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C4" w:rsidRPr="008A21C4" w:rsidRDefault="008A21C4" w:rsidP="008A21C4">
      <w:pPr>
        <w:jc w:val="right"/>
        <w:rPr>
          <w:rFonts w:ascii="Times New Roman" w:eastAsia="Times New Roman" w:hAnsi="Times New Roman" w:cs="Times New Roman"/>
          <w:sz w:val="32"/>
          <w:szCs w:val="32"/>
          <w:u w:val="single"/>
          <w:lang w:val="en-US" w:eastAsia="en-US"/>
        </w:rPr>
      </w:pPr>
      <w:r w:rsidRPr="008A21C4">
        <w:rPr>
          <w:rFonts w:ascii="Times New Roman" w:eastAsia="Times New Roman" w:hAnsi="Times New Roman" w:cs="Times New Roman"/>
          <w:i/>
          <w:iCs/>
          <w:sz w:val="32"/>
          <w:szCs w:val="32"/>
          <w:lang w:val="en-US" w:eastAsia="en-US"/>
        </w:rPr>
        <w:t xml:space="preserve">  </w:t>
      </w:r>
      <w:r w:rsidRPr="008A21C4">
        <w:rPr>
          <w:rFonts w:ascii="Times New Roman" w:eastAsia="Times New Roman" w:hAnsi="Times New Roman" w:cs="Times New Roman"/>
          <w:i/>
          <w:iCs/>
          <w:sz w:val="32"/>
          <w:szCs w:val="32"/>
          <w:u w:val="single"/>
          <w:lang w:val="en-US" w:eastAsia="en-US"/>
        </w:rPr>
        <w:t>Check against del</w:t>
      </w:r>
      <w:r w:rsidRPr="008A21C4">
        <w:rPr>
          <w:rFonts w:ascii="Times New Roman" w:eastAsia="Times New Roman" w:hAnsi="Times New Roman" w:cs="Times New Roman"/>
          <w:i/>
          <w:sz w:val="32"/>
          <w:szCs w:val="32"/>
          <w:u w:val="single"/>
          <w:lang w:val="en-US" w:eastAsia="en-US"/>
        </w:rPr>
        <w:t>ivery</w:t>
      </w:r>
    </w:p>
    <w:p w:rsidR="008A21C4" w:rsidRPr="008A21C4" w:rsidRDefault="008A21C4" w:rsidP="008A21C4">
      <w:pPr>
        <w:jc w:val="right"/>
        <w:rPr>
          <w:rFonts w:ascii="Times New Roman" w:eastAsia="Times New Roman" w:hAnsi="Times New Roman" w:cs="Times New Roman"/>
          <w:b/>
          <w:bCs/>
          <w:sz w:val="32"/>
          <w:szCs w:val="32"/>
          <w:u w:val="single"/>
          <w:lang w:val="en-US" w:eastAsia="en-US"/>
        </w:rPr>
      </w:pPr>
    </w:p>
    <w:p w:rsidR="008A21C4" w:rsidRPr="008A21C4" w:rsidRDefault="008A21C4" w:rsidP="008A21C4">
      <w:pPr>
        <w:jc w:val="right"/>
        <w:rPr>
          <w:rFonts w:ascii="Times New Roman" w:eastAsia="Times New Roman" w:hAnsi="Times New Roman" w:cs="Times New Roman"/>
          <w:b/>
          <w:bCs/>
          <w:sz w:val="32"/>
          <w:szCs w:val="32"/>
          <w:u w:val="single"/>
          <w:lang w:val="en-US" w:eastAsia="en-US"/>
        </w:rPr>
      </w:pPr>
    </w:p>
    <w:p w:rsidR="008A21C4" w:rsidRPr="008A21C4" w:rsidRDefault="008A21C4" w:rsidP="008A21C4">
      <w:pPr>
        <w:jc w:val="right"/>
        <w:rPr>
          <w:rFonts w:ascii="Times New Roman" w:eastAsia="Times New Roman" w:hAnsi="Times New Roman" w:cs="Times New Roman"/>
          <w:b/>
          <w:bCs/>
          <w:sz w:val="32"/>
          <w:szCs w:val="32"/>
          <w:u w:val="single"/>
          <w:lang w:val="en-US" w:eastAsia="en-US"/>
        </w:rPr>
      </w:pPr>
    </w:p>
    <w:p w:rsidR="008A21C4" w:rsidRPr="008A21C4" w:rsidRDefault="008A21C4"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 xml:space="preserve">30th Anniversary of the </w:t>
      </w:r>
      <w:r w:rsidRPr="008A21C4">
        <w:rPr>
          <w:rFonts w:ascii="Times New Roman" w:eastAsia="Times New Roman" w:hAnsi="Times New Roman" w:cs="Times New Roman"/>
          <w:b/>
          <w:bCs/>
          <w:sz w:val="32"/>
          <w:szCs w:val="32"/>
          <w:lang w:val="en-US" w:eastAsia="en-US"/>
        </w:rPr>
        <w:t>Committee</w:t>
      </w:r>
      <w:r w:rsidR="00740EED">
        <w:rPr>
          <w:rFonts w:ascii="Times New Roman" w:eastAsia="Times New Roman" w:hAnsi="Times New Roman" w:cs="Times New Roman"/>
          <w:b/>
          <w:bCs/>
          <w:sz w:val="32"/>
          <w:szCs w:val="32"/>
          <w:lang w:val="en-US" w:eastAsia="en-US"/>
        </w:rPr>
        <w:t xml:space="preserve"> against</w:t>
      </w:r>
      <w:r>
        <w:rPr>
          <w:rFonts w:ascii="Times New Roman" w:eastAsia="Times New Roman" w:hAnsi="Times New Roman" w:cs="Times New Roman"/>
          <w:b/>
          <w:bCs/>
          <w:sz w:val="32"/>
          <w:szCs w:val="32"/>
          <w:lang w:val="en-US" w:eastAsia="en-US"/>
        </w:rPr>
        <w:t xml:space="preserve"> Torture</w:t>
      </w:r>
    </w:p>
    <w:p w:rsidR="008A21C4" w:rsidRDefault="00740EED"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Panel 1</w:t>
      </w:r>
      <w:bookmarkStart w:id="0" w:name="_GoBack"/>
      <w:bookmarkEnd w:id="0"/>
      <w:r>
        <w:rPr>
          <w:rFonts w:ascii="Times New Roman" w:eastAsia="Times New Roman" w:hAnsi="Times New Roman" w:cs="Times New Roman"/>
          <w:b/>
          <w:bCs/>
          <w:sz w:val="32"/>
          <w:szCs w:val="32"/>
          <w:lang w:val="en-US" w:eastAsia="en-US"/>
        </w:rPr>
        <w:t>:</w:t>
      </w:r>
    </w:p>
    <w:p w:rsidR="008A21C4" w:rsidRDefault="008A21C4"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 xml:space="preserve">Promoting the </w:t>
      </w:r>
      <w:r w:rsidR="00740EED">
        <w:rPr>
          <w:rFonts w:ascii="Times New Roman" w:eastAsia="Times New Roman" w:hAnsi="Times New Roman" w:cs="Times New Roman"/>
          <w:b/>
          <w:bCs/>
          <w:sz w:val="32"/>
          <w:szCs w:val="32"/>
          <w:lang w:val="en-US" w:eastAsia="en-US"/>
        </w:rPr>
        <w:t>universal ratification of the Convention;</w:t>
      </w:r>
    </w:p>
    <w:p w:rsidR="00740EED" w:rsidRDefault="00740EED"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Identifying the main constraints and challenges,</w:t>
      </w:r>
    </w:p>
    <w:p w:rsidR="00740EED" w:rsidRPr="008A21C4" w:rsidRDefault="00740EED"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with examples of achievements and best pra</w:t>
      </w:r>
      <w:r w:rsidR="00866935">
        <w:rPr>
          <w:rFonts w:ascii="Times New Roman" w:eastAsia="Times New Roman" w:hAnsi="Times New Roman" w:cs="Times New Roman"/>
          <w:b/>
          <w:bCs/>
          <w:sz w:val="32"/>
          <w:szCs w:val="32"/>
          <w:lang w:val="en-US" w:eastAsia="en-US"/>
        </w:rPr>
        <w:t>c</w:t>
      </w:r>
      <w:r>
        <w:rPr>
          <w:rFonts w:ascii="Times New Roman" w:eastAsia="Times New Roman" w:hAnsi="Times New Roman" w:cs="Times New Roman"/>
          <w:b/>
          <w:bCs/>
          <w:sz w:val="32"/>
          <w:szCs w:val="32"/>
          <w:lang w:val="en-US" w:eastAsia="en-US"/>
        </w:rPr>
        <w:t>tices</w:t>
      </w:r>
      <w:r w:rsidR="00B557AD">
        <w:rPr>
          <w:rFonts w:ascii="Times New Roman" w:eastAsia="Times New Roman" w:hAnsi="Times New Roman" w:cs="Times New Roman"/>
          <w:b/>
          <w:bCs/>
          <w:sz w:val="32"/>
          <w:szCs w:val="32"/>
          <w:lang w:val="en-US" w:eastAsia="en-US"/>
        </w:rPr>
        <w:t>.</w:t>
      </w:r>
    </w:p>
    <w:p w:rsidR="008A21C4" w:rsidRPr="008A21C4" w:rsidRDefault="008A21C4" w:rsidP="008A21C4">
      <w:pPr>
        <w:jc w:val="center"/>
        <w:rPr>
          <w:rFonts w:ascii="Times New Roman" w:eastAsia="Times New Roman" w:hAnsi="Times New Roman" w:cs="Times New Roman"/>
          <w:b/>
          <w:bCs/>
          <w:sz w:val="32"/>
          <w:szCs w:val="32"/>
          <w:u w:val="single"/>
          <w:lang w:val="en-US" w:eastAsia="en-US"/>
        </w:rPr>
      </w:pPr>
    </w:p>
    <w:p w:rsidR="008A21C4" w:rsidRPr="008A21C4" w:rsidRDefault="008A21C4" w:rsidP="008A21C4">
      <w:pPr>
        <w:jc w:val="center"/>
        <w:rPr>
          <w:rFonts w:ascii="Times New Roman" w:eastAsia="Times New Roman" w:hAnsi="Times New Roman" w:cs="Times New Roman"/>
          <w:b/>
          <w:bCs/>
          <w:sz w:val="32"/>
          <w:szCs w:val="32"/>
          <w:u w:val="single"/>
          <w:lang w:val="en-US" w:eastAsia="en-US"/>
        </w:rPr>
      </w:pPr>
    </w:p>
    <w:p w:rsidR="008A21C4" w:rsidRPr="008A21C4" w:rsidRDefault="008A21C4" w:rsidP="008A21C4">
      <w:pPr>
        <w:jc w:val="center"/>
        <w:rPr>
          <w:rFonts w:ascii="Times New Roman" w:eastAsia="Times New Roman" w:hAnsi="Times New Roman" w:cs="Times New Roman"/>
          <w:b/>
          <w:bCs/>
          <w:sz w:val="32"/>
          <w:szCs w:val="32"/>
          <w:lang w:val="en-US" w:eastAsia="en-US"/>
        </w:rPr>
      </w:pPr>
      <w:r w:rsidRPr="008A21C4">
        <w:rPr>
          <w:rFonts w:ascii="Times New Roman" w:eastAsia="Times New Roman" w:hAnsi="Times New Roman" w:cs="Times New Roman"/>
          <w:noProof/>
          <w:sz w:val="32"/>
          <w:szCs w:val="32"/>
          <w:lang w:val="en-GB" w:eastAsia="en-GB"/>
        </w:rPr>
        <w:drawing>
          <wp:inline distT="0" distB="0" distL="0" distR="0" wp14:anchorId="56472AA7" wp14:editId="033C3AB6">
            <wp:extent cx="2371725" cy="1095375"/>
            <wp:effectExtent l="0" t="0" r="0" b="0"/>
            <wp:docPr id="2" name="Picture 2" descr="http://intranet.ohchr.org/Offices/Geneva/CommunicationsSection/Logos/Office_logo_EN_black_MEDIUM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ohchr.org/Offices/Geneva/CommunicationsSection/Logos/Office_logo_EN_black_MEDIUM_150dpi.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71725" cy="1095375"/>
                    </a:xfrm>
                    <a:prstGeom prst="rect">
                      <a:avLst/>
                    </a:prstGeom>
                    <a:noFill/>
                    <a:ln>
                      <a:noFill/>
                    </a:ln>
                  </pic:spPr>
                </pic:pic>
              </a:graphicData>
            </a:graphic>
          </wp:inline>
        </w:drawing>
      </w:r>
    </w:p>
    <w:p w:rsidR="008A21C4" w:rsidRPr="008A21C4" w:rsidRDefault="008A21C4" w:rsidP="008A21C4">
      <w:pPr>
        <w:rPr>
          <w:rFonts w:ascii="Times New Roman" w:eastAsia="Times New Roman" w:hAnsi="Times New Roman" w:cs="Times New Roman"/>
          <w:b/>
          <w:bCs/>
          <w:sz w:val="32"/>
          <w:szCs w:val="32"/>
          <w:lang w:val="en-US" w:eastAsia="en-US"/>
        </w:rPr>
      </w:pPr>
    </w:p>
    <w:p w:rsidR="008A21C4" w:rsidRPr="008A21C4" w:rsidRDefault="008A21C4" w:rsidP="008A21C4">
      <w:pPr>
        <w:jc w:val="center"/>
        <w:rPr>
          <w:rFonts w:ascii="Times New Roman" w:eastAsia="Times New Roman" w:hAnsi="Times New Roman" w:cs="Times New Roman"/>
          <w:b/>
          <w:bCs/>
          <w:sz w:val="32"/>
          <w:szCs w:val="32"/>
          <w:lang w:val="en-US" w:eastAsia="en-US"/>
        </w:rPr>
      </w:pPr>
    </w:p>
    <w:p w:rsidR="008A21C4" w:rsidRPr="008A21C4" w:rsidRDefault="008A21C4" w:rsidP="008A21C4">
      <w:pPr>
        <w:spacing w:line="240" w:lineRule="auto"/>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 xml:space="preserve">Presentation </w:t>
      </w:r>
      <w:r w:rsidRPr="008A21C4">
        <w:rPr>
          <w:rFonts w:ascii="Times New Roman" w:eastAsia="Times New Roman" w:hAnsi="Times New Roman" w:cs="Times New Roman"/>
          <w:b/>
          <w:bCs/>
          <w:sz w:val="32"/>
          <w:szCs w:val="32"/>
          <w:lang w:val="en-US" w:eastAsia="en-US"/>
        </w:rPr>
        <w:t>by</w:t>
      </w:r>
    </w:p>
    <w:p w:rsidR="008A21C4" w:rsidRPr="008A21C4" w:rsidRDefault="008A21C4" w:rsidP="008A21C4">
      <w:pPr>
        <w:spacing w:after="0" w:line="240" w:lineRule="auto"/>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 xml:space="preserve">Emmanuel </w:t>
      </w:r>
      <w:proofErr w:type="spellStart"/>
      <w:r>
        <w:rPr>
          <w:rFonts w:ascii="Times New Roman" w:eastAsia="Times New Roman" w:hAnsi="Times New Roman" w:cs="Times New Roman"/>
          <w:b/>
          <w:bCs/>
          <w:sz w:val="32"/>
          <w:szCs w:val="32"/>
          <w:lang w:val="en-US" w:eastAsia="en-US"/>
        </w:rPr>
        <w:t>Decaux</w:t>
      </w:r>
      <w:proofErr w:type="spellEnd"/>
    </w:p>
    <w:p w:rsidR="008A21C4" w:rsidRDefault="008A21C4" w:rsidP="008A21C4">
      <w:pPr>
        <w:spacing w:after="0" w:line="240" w:lineRule="auto"/>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 xml:space="preserve">Chairperson of </w:t>
      </w:r>
    </w:p>
    <w:p w:rsidR="008A21C4" w:rsidRPr="008A21C4" w:rsidRDefault="008A21C4" w:rsidP="008A21C4">
      <w:pPr>
        <w:spacing w:after="0" w:line="240" w:lineRule="auto"/>
        <w:jc w:val="center"/>
        <w:rPr>
          <w:rFonts w:ascii="Times New Roman" w:eastAsia="Times New Roman" w:hAnsi="Times New Roman" w:cs="Times New Roman"/>
          <w:b/>
          <w:bCs/>
          <w:sz w:val="32"/>
          <w:szCs w:val="32"/>
          <w:lang w:val="en-US" w:eastAsia="en-US"/>
        </w:rPr>
      </w:pPr>
      <w:proofErr w:type="gramStart"/>
      <w:r>
        <w:rPr>
          <w:rFonts w:ascii="Times New Roman" w:eastAsia="Times New Roman" w:hAnsi="Times New Roman" w:cs="Times New Roman"/>
          <w:b/>
          <w:bCs/>
          <w:sz w:val="32"/>
          <w:szCs w:val="32"/>
          <w:lang w:val="en-US" w:eastAsia="en-US"/>
        </w:rPr>
        <w:t>the</w:t>
      </w:r>
      <w:proofErr w:type="gramEnd"/>
      <w:r>
        <w:rPr>
          <w:rFonts w:ascii="Times New Roman" w:eastAsia="Times New Roman" w:hAnsi="Times New Roman" w:cs="Times New Roman"/>
          <w:b/>
          <w:bCs/>
          <w:sz w:val="32"/>
          <w:szCs w:val="32"/>
          <w:lang w:val="en-US" w:eastAsia="en-US"/>
        </w:rPr>
        <w:t xml:space="preserve"> Committee on enforced Disappearances</w:t>
      </w:r>
    </w:p>
    <w:p w:rsidR="008A21C4" w:rsidRPr="008A21C4" w:rsidRDefault="008A21C4" w:rsidP="008A21C4">
      <w:pPr>
        <w:jc w:val="center"/>
        <w:rPr>
          <w:rFonts w:ascii="Times New Roman" w:eastAsia="Times New Roman" w:hAnsi="Times New Roman" w:cs="Times New Roman"/>
          <w:b/>
          <w:bCs/>
          <w:sz w:val="32"/>
          <w:szCs w:val="32"/>
          <w:lang w:val="en-US" w:eastAsia="en-US"/>
        </w:rPr>
      </w:pPr>
    </w:p>
    <w:p w:rsidR="008A21C4" w:rsidRPr="008A21C4" w:rsidRDefault="008E6A2B" w:rsidP="008A21C4">
      <w:pPr>
        <w:jc w:val="center"/>
        <w:rPr>
          <w:rFonts w:ascii="Times New Roman" w:eastAsia="Times New Roman" w:hAnsi="Times New Roman" w:cs="Times New Roman"/>
          <w:b/>
          <w:bCs/>
          <w:sz w:val="32"/>
          <w:szCs w:val="32"/>
          <w:lang w:val="en-US" w:eastAsia="en-US"/>
        </w:rPr>
      </w:pPr>
      <w:r>
        <w:rPr>
          <w:rFonts w:ascii="Times New Roman" w:eastAsia="Times New Roman" w:hAnsi="Times New Roman" w:cs="Times New Roman"/>
          <w:b/>
          <w:bCs/>
          <w:sz w:val="32"/>
          <w:szCs w:val="32"/>
          <w:lang w:val="en-US" w:eastAsia="en-US"/>
        </w:rPr>
        <w:t>Geneva, 4 November 2014</w:t>
      </w:r>
    </w:p>
    <w:p w:rsidR="000F4604" w:rsidRPr="009067BE" w:rsidRDefault="000F4604" w:rsidP="000F4604">
      <w:pPr>
        <w:jc w:val="both"/>
        <w:rPr>
          <w:rFonts w:asciiTheme="majorBidi" w:hAnsiTheme="majorBidi" w:cstheme="majorBidi"/>
          <w:sz w:val="24"/>
          <w:szCs w:val="24"/>
        </w:rPr>
      </w:pPr>
    </w:p>
    <w:p w:rsidR="00AE49F0" w:rsidRDefault="00AE49F0" w:rsidP="009067BE">
      <w:pPr>
        <w:jc w:val="center"/>
        <w:rPr>
          <w:rFonts w:asciiTheme="majorBidi" w:hAnsiTheme="majorBidi" w:cstheme="majorBidi"/>
          <w:sz w:val="24"/>
          <w:szCs w:val="24"/>
        </w:rPr>
      </w:pPr>
    </w:p>
    <w:p w:rsidR="00E540B3" w:rsidRDefault="00E540B3" w:rsidP="00E540B3">
      <w:pPr>
        <w:jc w:val="both"/>
        <w:rPr>
          <w:rFonts w:asciiTheme="majorBidi" w:hAnsiTheme="majorBidi" w:cstheme="majorBidi"/>
          <w:sz w:val="24"/>
          <w:szCs w:val="24"/>
        </w:rPr>
      </w:pPr>
      <w:r>
        <w:rPr>
          <w:rFonts w:asciiTheme="majorBidi" w:hAnsiTheme="majorBidi" w:cstheme="majorBidi"/>
          <w:sz w:val="24"/>
          <w:szCs w:val="24"/>
        </w:rPr>
        <w:lastRenderedPageBreak/>
        <w:t>Mesdames, Messieurs,</w:t>
      </w:r>
    </w:p>
    <w:p w:rsidR="00180085" w:rsidRDefault="00B37CB0" w:rsidP="00E540B3">
      <w:pPr>
        <w:jc w:val="both"/>
        <w:rPr>
          <w:rFonts w:asciiTheme="majorBidi" w:hAnsiTheme="majorBidi" w:cstheme="majorBidi"/>
          <w:sz w:val="24"/>
          <w:szCs w:val="24"/>
        </w:rPr>
      </w:pPr>
      <w:r>
        <w:rPr>
          <w:rFonts w:asciiTheme="majorBidi" w:hAnsiTheme="majorBidi" w:cstheme="majorBidi"/>
          <w:sz w:val="24"/>
          <w:szCs w:val="24"/>
        </w:rPr>
        <w:tab/>
      </w:r>
      <w:r w:rsidR="000F4604" w:rsidRPr="009067BE">
        <w:rPr>
          <w:rFonts w:asciiTheme="majorBidi" w:hAnsiTheme="majorBidi" w:cstheme="majorBidi"/>
          <w:sz w:val="24"/>
          <w:szCs w:val="24"/>
        </w:rPr>
        <w:t>Je suis particulièrement heureux et honoré de participer à ce panel, en tant que président du Comité des disparitions forcées. Notre jeune Comité, qui  a été mis en place il y a à peine trois ans, a beaucoup de points communs avec le Comité contre la torture, notamment l</w:t>
      </w:r>
      <w:r w:rsidR="00802A63">
        <w:rPr>
          <w:rFonts w:asciiTheme="majorBidi" w:hAnsiTheme="majorBidi" w:cstheme="majorBidi"/>
          <w:sz w:val="24"/>
          <w:szCs w:val="24"/>
        </w:rPr>
        <w:t>a</w:t>
      </w:r>
      <w:r w:rsidR="000F4604" w:rsidRPr="009067BE">
        <w:rPr>
          <w:rFonts w:asciiTheme="majorBidi" w:hAnsiTheme="majorBidi" w:cstheme="majorBidi"/>
          <w:sz w:val="24"/>
          <w:szCs w:val="24"/>
        </w:rPr>
        <w:t xml:space="preserve"> dimension pénale de nos mandats respectifs. Nos deux comités ont déjà eu des contacts fructueux, aussi bien dans un cadre bilatéral que dans celui de la réunion annuelle des dix « organes de traités » compétents dans le domaine des droits de l’homme qui grâce au dynamisme de Claudio </w:t>
      </w:r>
      <w:proofErr w:type="spellStart"/>
      <w:r w:rsidR="000F4604" w:rsidRPr="009067BE">
        <w:rPr>
          <w:rFonts w:asciiTheme="majorBidi" w:hAnsiTheme="majorBidi" w:cstheme="majorBidi"/>
          <w:sz w:val="24"/>
          <w:szCs w:val="24"/>
        </w:rPr>
        <w:t>Gross</w:t>
      </w:r>
      <w:r w:rsidR="00C96D8D" w:rsidRPr="009067BE">
        <w:rPr>
          <w:rFonts w:asciiTheme="majorBidi" w:hAnsiTheme="majorBidi" w:cstheme="majorBidi"/>
          <w:sz w:val="24"/>
          <w:szCs w:val="24"/>
        </w:rPr>
        <w:t>man</w:t>
      </w:r>
      <w:proofErr w:type="spellEnd"/>
      <w:r w:rsidR="00C96D8D" w:rsidRPr="009067BE">
        <w:rPr>
          <w:rFonts w:asciiTheme="majorBidi" w:hAnsiTheme="majorBidi" w:cstheme="majorBidi"/>
          <w:sz w:val="24"/>
          <w:szCs w:val="24"/>
        </w:rPr>
        <w:t xml:space="preserve"> a eu un rôle décisif dans l’élaboration de la résolution 68/268 de l’Assemblée générale</w:t>
      </w:r>
      <w:r w:rsidR="000F4604" w:rsidRPr="009067BE">
        <w:rPr>
          <w:rFonts w:asciiTheme="majorBidi" w:hAnsiTheme="majorBidi" w:cstheme="majorBidi"/>
          <w:sz w:val="24"/>
          <w:szCs w:val="24"/>
        </w:rPr>
        <w:t>. C’est assez dire combien je tiens</w:t>
      </w:r>
      <w:r w:rsidR="00802A63">
        <w:rPr>
          <w:rFonts w:asciiTheme="majorBidi" w:hAnsiTheme="majorBidi" w:cstheme="majorBidi"/>
          <w:sz w:val="24"/>
          <w:szCs w:val="24"/>
        </w:rPr>
        <w:t xml:space="preserve"> à </w:t>
      </w:r>
      <w:r w:rsidR="000F4604" w:rsidRPr="009067BE">
        <w:rPr>
          <w:rFonts w:asciiTheme="majorBidi" w:hAnsiTheme="majorBidi" w:cstheme="majorBidi"/>
          <w:sz w:val="24"/>
          <w:szCs w:val="24"/>
        </w:rPr>
        <w:t>saluer la date historique qu</w:t>
      </w:r>
      <w:r w:rsidR="00C96D8D" w:rsidRPr="009067BE">
        <w:rPr>
          <w:rFonts w:asciiTheme="majorBidi" w:hAnsiTheme="majorBidi" w:cstheme="majorBidi"/>
          <w:sz w:val="24"/>
          <w:szCs w:val="24"/>
        </w:rPr>
        <w:t>’a</w:t>
      </w:r>
      <w:r w:rsidR="000F4604" w:rsidRPr="009067BE">
        <w:rPr>
          <w:rFonts w:asciiTheme="majorBidi" w:hAnsiTheme="majorBidi" w:cstheme="majorBidi"/>
          <w:sz w:val="24"/>
          <w:szCs w:val="24"/>
        </w:rPr>
        <w:t xml:space="preserve"> constitu</w:t>
      </w:r>
      <w:r w:rsidR="00C96D8D" w:rsidRPr="009067BE">
        <w:rPr>
          <w:rFonts w:asciiTheme="majorBidi" w:hAnsiTheme="majorBidi" w:cstheme="majorBidi"/>
          <w:sz w:val="24"/>
          <w:szCs w:val="24"/>
        </w:rPr>
        <w:t>é</w:t>
      </w:r>
      <w:r w:rsidR="000F4604" w:rsidRPr="009067BE">
        <w:rPr>
          <w:rFonts w:asciiTheme="majorBidi" w:hAnsiTheme="majorBidi" w:cstheme="majorBidi"/>
          <w:sz w:val="24"/>
          <w:szCs w:val="24"/>
        </w:rPr>
        <w:t xml:space="preserve"> l’adoption de la Convention des Nations Unies </w:t>
      </w:r>
      <w:r w:rsidR="00C96D8D" w:rsidRPr="009067BE">
        <w:rPr>
          <w:rFonts w:asciiTheme="majorBidi" w:hAnsiTheme="majorBidi" w:cstheme="majorBidi"/>
          <w:sz w:val="24"/>
          <w:szCs w:val="24"/>
        </w:rPr>
        <w:t xml:space="preserve">à New York, le 10 décembre </w:t>
      </w:r>
      <w:r w:rsidR="000F4604" w:rsidRPr="009067BE">
        <w:rPr>
          <w:rFonts w:asciiTheme="majorBidi" w:hAnsiTheme="majorBidi" w:cstheme="majorBidi"/>
          <w:sz w:val="24"/>
          <w:szCs w:val="24"/>
        </w:rPr>
        <w:t>1984</w:t>
      </w:r>
      <w:r w:rsidR="009067BE">
        <w:rPr>
          <w:rFonts w:asciiTheme="majorBidi" w:hAnsiTheme="majorBidi" w:cstheme="majorBidi"/>
          <w:sz w:val="24"/>
          <w:szCs w:val="24"/>
        </w:rPr>
        <w:t>, et tout le chemin parcouru depuis trente ans, en l’espace d’une génération.</w:t>
      </w:r>
      <w:r w:rsidR="00C96D8D" w:rsidRPr="009067BE">
        <w:rPr>
          <w:rFonts w:asciiTheme="majorBidi" w:hAnsiTheme="majorBidi" w:cstheme="majorBidi"/>
          <w:sz w:val="24"/>
          <w:szCs w:val="24"/>
        </w:rPr>
        <w:t xml:space="preserve"> </w:t>
      </w:r>
    </w:p>
    <w:p w:rsidR="00FE3ADF" w:rsidRDefault="00B37CB0" w:rsidP="00B40F5A">
      <w:pPr>
        <w:jc w:val="both"/>
        <w:rPr>
          <w:rFonts w:asciiTheme="majorBidi" w:hAnsiTheme="majorBidi" w:cstheme="majorBidi"/>
          <w:sz w:val="24"/>
          <w:szCs w:val="24"/>
        </w:rPr>
      </w:pPr>
      <w:r>
        <w:rPr>
          <w:rFonts w:asciiTheme="majorBidi" w:hAnsiTheme="majorBidi" w:cstheme="majorBidi"/>
          <w:sz w:val="24"/>
          <w:szCs w:val="24"/>
        </w:rPr>
        <w:tab/>
      </w:r>
      <w:r w:rsidR="000F4604" w:rsidRPr="009067BE">
        <w:rPr>
          <w:rFonts w:asciiTheme="majorBidi" w:hAnsiTheme="majorBidi" w:cstheme="majorBidi"/>
          <w:sz w:val="24"/>
          <w:szCs w:val="24"/>
        </w:rPr>
        <w:t xml:space="preserve">Mais </w:t>
      </w:r>
      <w:r w:rsidR="009067BE">
        <w:rPr>
          <w:rFonts w:asciiTheme="majorBidi" w:hAnsiTheme="majorBidi" w:cstheme="majorBidi"/>
          <w:sz w:val="24"/>
          <w:szCs w:val="24"/>
        </w:rPr>
        <w:t>le thème de ce panel comporte également un intérêt particulier pour moi, dans la mesure où la Commission des droits de l’homme</w:t>
      </w:r>
      <w:r w:rsidR="00180085">
        <w:rPr>
          <w:rFonts w:asciiTheme="majorBidi" w:hAnsiTheme="majorBidi" w:cstheme="majorBidi"/>
          <w:sz w:val="24"/>
          <w:szCs w:val="24"/>
        </w:rPr>
        <w:t>, par sa résolution 2003/25 m’avait désigné comme rapporteur spécial</w:t>
      </w:r>
      <w:r w:rsidR="00FE3ADF">
        <w:rPr>
          <w:rFonts w:asciiTheme="majorBidi" w:hAnsiTheme="majorBidi" w:cstheme="majorBidi"/>
          <w:sz w:val="24"/>
          <w:szCs w:val="24"/>
        </w:rPr>
        <w:t xml:space="preserve"> d’</w:t>
      </w:r>
      <w:r w:rsidR="00180085">
        <w:rPr>
          <w:rFonts w:asciiTheme="majorBidi" w:hAnsiTheme="majorBidi" w:cstheme="majorBidi"/>
          <w:sz w:val="24"/>
          <w:szCs w:val="24"/>
        </w:rPr>
        <w:t xml:space="preserve">une étude sur </w:t>
      </w:r>
      <w:r w:rsidR="00180085" w:rsidRPr="00FE3ADF">
        <w:rPr>
          <w:rFonts w:asciiTheme="majorBidi" w:hAnsiTheme="majorBidi" w:cstheme="majorBidi"/>
          <w:i/>
          <w:iCs/>
          <w:sz w:val="24"/>
          <w:szCs w:val="24"/>
        </w:rPr>
        <w:t>« </w:t>
      </w:r>
      <w:r w:rsidR="00FE3ADF" w:rsidRPr="00FE3ADF">
        <w:rPr>
          <w:rFonts w:asciiTheme="majorBidi" w:hAnsiTheme="majorBidi" w:cstheme="majorBidi"/>
          <w:i/>
          <w:iCs/>
          <w:sz w:val="24"/>
          <w:szCs w:val="24"/>
        </w:rPr>
        <w:t>L</w:t>
      </w:r>
      <w:r w:rsidR="00180085" w:rsidRPr="00180085">
        <w:rPr>
          <w:rFonts w:asciiTheme="majorBidi" w:hAnsiTheme="majorBidi" w:cstheme="majorBidi"/>
          <w:i/>
          <w:iCs/>
          <w:sz w:val="24"/>
          <w:szCs w:val="24"/>
        </w:rPr>
        <w:t>’application universelle des instruments internationaux relatifs aux droits de l’homme</w:t>
      </w:r>
      <w:r w:rsidR="00180085">
        <w:rPr>
          <w:rFonts w:asciiTheme="majorBidi" w:hAnsiTheme="majorBidi" w:cstheme="majorBidi"/>
          <w:sz w:val="24"/>
          <w:szCs w:val="24"/>
        </w:rPr>
        <w:t> », à la suite d’un document de travail présenté à la Sous-commission des droits de l’homme (E/CN.4/Sub.2/2003/37). Le rapport final a été présenté lors de la dernière session de la Sous-Commission en 2006</w:t>
      </w:r>
      <w:r w:rsidR="00FE3ADF">
        <w:rPr>
          <w:rFonts w:asciiTheme="majorBidi" w:hAnsiTheme="majorBidi" w:cstheme="majorBidi"/>
          <w:sz w:val="24"/>
          <w:szCs w:val="24"/>
        </w:rPr>
        <w:t xml:space="preserve"> </w:t>
      </w:r>
      <w:r w:rsidR="00180085">
        <w:rPr>
          <w:rFonts w:asciiTheme="majorBidi" w:hAnsiTheme="majorBidi" w:cstheme="majorBidi"/>
          <w:sz w:val="24"/>
          <w:szCs w:val="24"/>
        </w:rPr>
        <w:t xml:space="preserve">(A/HRC/Sub.1/58/5 et A/HRC/Sub.1/58/5/Add.1). </w:t>
      </w:r>
      <w:r w:rsidR="00FE3ADF">
        <w:rPr>
          <w:rFonts w:asciiTheme="majorBidi" w:hAnsiTheme="majorBidi" w:cstheme="majorBidi"/>
          <w:sz w:val="24"/>
          <w:szCs w:val="24"/>
        </w:rPr>
        <w:t xml:space="preserve">On peut encore retrouver ces documents, en cherchant bien, dans ce que le </w:t>
      </w:r>
      <w:proofErr w:type="spellStart"/>
      <w:r w:rsidR="00FE3ADF">
        <w:rPr>
          <w:rFonts w:asciiTheme="majorBidi" w:hAnsiTheme="majorBidi" w:cstheme="majorBidi"/>
          <w:sz w:val="24"/>
          <w:szCs w:val="24"/>
        </w:rPr>
        <w:t>Haut-commisssaire</w:t>
      </w:r>
      <w:proofErr w:type="spellEnd"/>
      <w:r w:rsidR="00FE3ADF">
        <w:rPr>
          <w:rFonts w:asciiTheme="majorBidi" w:hAnsiTheme="majorBidi" w:cstheme="majorBidi"/>
          <w:sz w:val="24"/>
          <w:szCs w:val="24"/>
        </w:rPr>
        <w:t xml:space="preserve">  vient d’appeler «  </w:t>
      </w:r>
      <w:r w:rsidR="00FE3ADF" w:rsidRPr="00FE3ADF">
        <w:rPr>
          <w:rFonts w:asciiTheme="majorBidi" w:hAnsiTheme="majorBidi" w:cstheme="majorBidi"/>
          <w:i/>
          <w:iCs/>
          <w:sz w:val="24"/>
          <w:szCs w:val="24"/>
        </w:rPr>
        <w:t xml:space="preserve">a </w:t>
      </w:r>
      <w:proofErr w:type="spellStart"/>
      <w:r w:rsidR="00FE3ADF" w:rsidRPr="00FE3ADF">
        <w:rPr>
          <w:rFonts w:asciiTheme="majorBidi" w:hAnsiTheme="majorBidi" w:cstheme="majorBidi"/>
          <w:i/>
          <w:iCs/>
          <w:sz w:val="24"/>
          <w:szCs w:val="24"/>
        </w:rPr>
        <w:t>sprawling</w:t>
      </w:r>
      <w:proofErr w:type="spellEnd"/>
      <w:r w:rsidR="00FE3ADF">
        <w:rPr>
          <w:rFonts w:asciiTheme="majorBidi" w:hAnsiTheme="majorBidi" w:cstheme="majorBidi"/>
          <w:i/>
          <w:iCs/>
          <w:sz w:val="24"/>
          <w:szCs w:val="24"/>
        </w:rPr>
        <w:t xml:space="preserve">, </w:t>
      </w:r>
      <w:proofErr w:type="spellStart"/>
      <w:r w:rsidR="00FE3ADF">
        <w:rPr>
          <w:rFonts w:asciiTheme="majorBidi" w:hAnsiTheme="majorBidi" w:cstheme="majorBidi"/>
          <w:i/>
          <w:iCs/>
          <w:sz w:val="24"/>
          <w:szCs w:val="24"/>
        </w:rPr>
        <w:t>impenetrable</w:t>
      </w:r>
      <w:proofErr w:type="spellEnd"/>
      <w:r w:rsidR="00FE3ADF">
        <w:rPr>
          <w:rFonts w:asciiTheme="majorBidi" w:hAnsiTheme="majorBidi" w:cstheme="majorBidi"/>
          <w:i/>
          <w:iCs/>
          <w:sz w:val="24"/>
          <w:szCs w:val="24"/>
        </w:rPr>
        <w:t xml:space="preserve"> </w:t>
      </w:r>
      <w:r w:rsidR="00FE3ADF" w:rsidRPr="00FE3ADF">
        <w:rPr>
          <w:rFonts w:asciiTheme="majorBidi" w:hAnsiTheme="majorBidi" w:cstheme="majorBidi"/>
          <w:i/>
          <w:iCs/>
          <w:sz w:val="24"/>
          <w:szCs w:val="24"/>
        </w:rPr>
        <w:t xml:space="preserve"> web-site</w:t>
      </w:r>
      <w:r w:rsidR="00FE3ADF">
        <w:rPr>
          <w:rFonts w:asciiTheme="majorBidi" w:hAnsiTheme="majorBidi" w:cstheme="majorBidi"/>
          <w:sz w:val="24"/>
          <w:szCs w:val="24"/>
        </w:rPr>
        <w:t xml:space="preserve"> »… </w:t>
      </w:r>
    </w:p>
    <w:p w:rsidR="00B40F5A" w:rsidRDefault="00B37CB0" w:rsidP="00B40F5A">
      <w:pPr>
        <w:jc w:val="both"/>
        <w:rPr>
          <w:rFonts w:asciiTheme="majorBidi" w:hAnsiTheme="majorBidi" w:cstheme="majorBidi"/>
          <w:sz w:val="24"/>
          <w:szCs w:val="24"/>
        </w:rPr>
      </w:pPr>
      <w:r>
        <w:rPr>
          <w:rFonts w:asciiTheme="majorBidi" w:hAnsiTheme="majorBidi" w:cstheme="majorBidi"/>
          <w:sz w:val="24"/>
          <w:szCs w:val="24"/>
        </w:rPr>
        <w:tab/>
      </w:r>
      <w:r w:rsidR="00180085">
        <w:rPr>
          <w:rFonts w:asciiTheme="majorBidi" w:hAnsiTheme="majorBidi" w:cstheme="majorBidi"/>
          <w:sz w:val="24"/>
          <w:szCs w:val="24"/>
        </w:rPr>
        <w:t>Le point de départ de cette étude était la dynamique de ratification</w:t>
      </w:r>
      <w:r w:rsidR="00B40F5A">
        <w:rPr>
          <w:rFonts w:asciiTheme="majorBidi" w:hAnsiTheme="majorBidi" w:cstheme="majorBidi"/>
          <w:sz w:val="24"/>
          <w:szCs w:val="24"/>
        </w:rPr>
        <w:t xml:space="preserve"> universelle</w:t>
      </w:r>
      <w:r w:rsidR="00180085">
        <w:rPr>
          <w:rFonts w:asciiTheme="majorBidi" w:hAnsiTheme="majorBidi" w:cstheme="majorBidi"/>
          <w:sz w:val="24"/>
          <w:szCs w:val="24"/>
        </w:rPr>
        <w:t xml:space="preserve"> lancée par la Conférence mondiale de Vienne de 1993</w:t>
      </w:r>
      <w:r w:rsidR="00865D01">
        <w:rPr>
          <w:rFonts w:asciiTheme="majorBidi" w:hAnsiTheme="majorBidi" w:cstheme="majorBidi"/>
          <w:sz w:val="24"/>
          <w:szCs w:val="24"/>
        </w:rPr>
        <w:t>, tant dans des termes généraux (II §.</w:t>
      </w:r>
      <w:r w:rsidR="00B40F5A">
        <w:rPr>
          <w:rFonts w:asciiTheme="majorBidi" w:hAnsiTheme="majorBidi" w:cstheme="majorBidi"/>
          <w:sz w:val="24"/>
          <w:szCs w:val="24"/>
        </w:rPr>
        <w:t>4</w:t>
      </w:r>
      <w:r w:rsidR="00865D01">
        <w:rPr>
          <w:rFonts w:asciiTheme="majorBidi" w:hAnsiTheme="majorBidi" w:cstheme="majorBidi"/>
          <w:sz w:val="24"/>
          <w:szCs w:val="24"/>
        </w:rPr>
        <w:t>)</w:t>
      </w:r>
      <w:r w:rsidR="00B40F5A">
        <w:rPr>
          <w:rFonts w:asciiTheme="majorBidi" w:hAnsiTheme="majorBidi" w:cstheme="majorBidi"/>
          <w:sz w:val="24"/>
          <w:szCs w:val="24"/>
        </w:rPr>
        <w:t>, notamment en encourageant « </w:t>
      </w:r>
      <w:r w:rsidR="00B40F5A" w:rsidRPr="00B40F5A">
        <w:rPr>
          <w:rFonts w:asciiTheme="majorBidi" w:hAnsiTheme="majorBidi" w:cstheme="majorBidi"/>
          <w:i/>
          <w:iCs/>
          <w:sz w:val="24"/>
          <w:szCs w:val="24"/>
        </w:rPr>
        <w:t>d’ouvrir un dialogue avec les Etats qui ne sont pas parties à ces instruments afin de déterminer quels sont les obstacles qui s’y opposent et de voir comment les surmonter »</w:t>
      </w:r>
      <w:r w:rsidR="00B40F5A">
        <w:rPr>
          <w:rFonts w:asciiTheme="majorBidi" w:hAnsiTheme="majorBidi" w:cstheme="majorBidi"/>
          <w:sz w:val="24"/>
          <w:szCs w:val="24"/>
        </w:rPr>
        <w:t xml:space="preserve">, </w:t>
      </w:r>
      <w:r w:rsidR="00865D01">
        <w:rPr>
          <w:rFonts w:asciiTheme="majorBidi" w:hAnsiTheme="majorBidi" w:cstheme="majorBidi"/>
          <w:sz w:val="24"/>
          <w:szCs w:val="24"/>
        </w:rPr>
        <w:t>qu’en termes spécifiques</w:t>
      </w:r>
      <w:r w:rsidR="00FE3ADF">
        <w:rPr>
          <w:rFonts w:asciiTheme="majorBidi" w:hAnsiTheme="majorBidi" w:cstheme="majorBidi"/>
          <w:sz w:val="24"/>
          <w:szCs w:val="24"/>
        </w:rPr>
        <w:t>. Ainsi,  « </w:t>
      </w:r>
      <w:r w:rsidR="00FE3ADF" w:rsidRPr="00FE3ADF">
        <w:rPr>
          <w:rFonts w:asciiTheme="majorBidi" w:hAnsiTheme="majorBidi" w:cstheme="majorBidi"/>
          <w:i/>
          <w:iCs/>
          <w:sz w:val="24"/>
          <w:szCs w:val="24"/>
        </w:rPr>
        <w:t>La Conférence mondiale sur les droits de l’homme se félicite  que de nombreux Etats Membres aient ratifié la Convention contre la torture et autres peines ou traitements cruels, inhumains ou dégradants, et encourage tous les autres Etats Membres à ratifier rapidement cet instrument</w:t>
      </w:r>
      <w:r w:rsidR="00FE3ADF">
        <w:rPr>
          <w:rFonts w:asciiTheme="majorBidi" w:hAnsiTheme="majorBidi" w:cstheme="majorBidi"/>
          <w:sz w:val="24"/>
          <w:szCs w:val="24"/>
        </w:rPr>
        <w:t> » (</w:t>
      </w:r>
      <w:r w:rsidR="00865D01">
        <w:rPr>
          <w:rFonts w:asciiTheme="majorBidi" w:hAnsiTheme="majorBidi" w:cstheme="majorBidi"/>
          <w:sz w:val="24"/>
          <w:szCs w:val="24"/>
        </w:rPr>
        <w:t>I</w:t>
      </w:r>
      <w:r w:rsidR="00FE3ADF">
        <w:rPr>
          <w:rFonts w:asciiTheme="majorBidi" w:hAnsiTheme="majorBidi" w:cstheme="majorBidi"/>
          <w:sz w:val="24"/>
          <w:szCs w:val="24"/>
        </w:rPr>
        <w:t>I, §.54). Elle demande</w:t>
      </w:r>
      <w:r w:rsidR="00865D01">
        <w:rPr>
          <w:rFonts w:asciiTheme="majorBidi" w:hAnsiTheme="majorBidi" w:cstheme="majorBidi"/>
          <w:sz w:val="24"/>
          <w:szCs w:val="24"/>
        </w:rPr>
        <w:t xml:space="preserve"> également que soit rapidement  le Protocole facultatif qui vise à mettre en place un système préventif de visites régulières sur les lieux de détention (II, §.61). Mais la Déclaration et programme d’action de Vienne ne fixe pas d’objectif dans le temps, contrairement à l’échéance de 1995 pour la Convention sur les droits de l’enfant </w:t>
      </w:r>
      <w:r w:rsidR="00B40F5A">
        <w:rPr>
          <w:rFonts w:asciiTheme="majorBidi" w:hAnsiTheme="majorBidi" w:cstheme="majorBidi"/>
          <w:sz w:val="24"/>
          <w:szCs w:val="24"/>
        </w:rPr>
        <w:t xml:space="preserve">(I, §.21) </w:t>
      </w:r>
      <w:r w:rsidR="00865D01">
        <w:rPr>
          <w:rFonts w:asciiTheme="majorBidi" w:hAnsiTheme="majorBidi" w:cstheme="majorBidi"/>
          <w:sz w:val="24"/>
          <w:szCs w:val="24"/>
        </w:rPr>
        <w:t>ou 2000 pour la Convention contre toutes les formes de discrimination à l’égard des femmes</w:t>
      </w:r>
      <w:r w:rsidR="00B40F5A">
        <w:rPr>
          <w:rFonts w:asciiTheme="majorBidi" w:hAnsiTheme="majorBidi" w:cstheme="majorBidi"/>
          <w:sz w:val="24"/>
          <w:szCs w:val="24"/>
        </w:rPr>
        <w:t xml:space="preserve"> (II, §.39)… </w:t>
      </w:r>
    </w:p>
    <w:p w:rsidR="00B40F5A" w:rsidRDefault="00B37CB0" w:rsidP="003E4223">
      <w:pPr>
        <w:jc w:val="both"/>
        <w:rPr>
          <w:rFonts w:asciiTheme="majorBidi" w:hAnsiTheme="majorBidi" w:cstheme="majorBidi"/>
          <w:sz w:val="24"/>
          <w:szCs w:val="24"/>
        </w:rPr>
      </w:pPr>
      <w:r>
        <w:rPr>
          <w:rFonts w:asciiTheme="majorBidi" w:hAnsiTheme="majorBidi" w:cstheme="majorBidi"/>
          <w:sz w:val="24"/>
          <w:szCs w:val="24"/>
        </w:rPr>
        <w:tab/>
      </w:r>
      <w:r w:rsidR="00B40F5A">
        <w:rPr>
          <w:rFonts w:asciiTheme="majorBidi" w:hAnsiTheme="majorBidi" w:cstheme="majorBidi"/>
          <w:sz w:val="24"/>
          <w:szCs w:val="24"/>
        </w:rPr>
        <w:t>Qu’en est-il aujourd’hui</w:t>
      </w:r>
      <w:r w:rsidR="003E4223">
        <w:rPr>
          <w:rFonts w:asciiTheme="majorBidi" w:hAnsiTheme="majorBidi" w:cstheme="majorBidi"/>
          <w:sz w:val="24"/>
          <w:szCs w:val="24"/>
        </w:rPr>
        <w:t>, vingt ans après la Conférence mondiale de Vienne</w:t>
      </w:r>
      <w:r w:rsidR="00B40F5A">
        <w:rPr>
          <w:rFonts w:asciiTheme="majorBidi" w:hAnsiTheme="majorBidi" w:cstheme="majorBidi"/>
          <w:sz w:val="24"/>
          <w:szCs w:val="24"/>
        </w:rPr>
        <w:t xml:space="preserve"> ? Il nous faut faire un rapide bilan de l’état des ratifications et des signatures, avant d’esquisser quelques pistes concrètes en vue de promouvoir la ratification universelle de la Convention. </w:t>
      </w:r>
    </w:p>
    <w:p w:rsidR="00E540B3" w:rsidRDefault="00E540B3" w:rsidP="003E4223">
      <w:pPr>
        <w:jc w:val="both"/>
        <w:rPr>
          <w:rFonts w:asciiTheme="majorBidi" w:hAnsiTheme="majorBidi" w:cstheme="majorBidi"/>
          <w:sz w:val="24"/>
          <w:szCs w:val="24"/>
        </w:rPr>
      </w:pPr>
    </w:p>
    <w:p w:rsidR="00E540B3" w:rsidRDefault="00E540B3" w:rsidP="003E4223">
      <w:pPr>
        <w:jc w:val="both"/>
        <w:rPr>
          <w:rFonts w:asciiTheme="majorBidi" w:hAnsiTheme="majorBidi" w:cstheme="majorBidi"/>
          <w:sz w:val="24"/>
          <w:szCs w:val="24"/>
        </w:rPr>
      </w:pPr>
    </w:p>
    <w:p w:rsidR="00E540B3" w:rsidRDefault="00E540B3" w:rsidP="003E4223">
      <w:pPr>
        <w:jc w:val="both"/>
        <w:rPr>
          <w:rFonts w:asciiTheme="majorBidi" w:hAnsiTheme="majorBidi" w:cstheme="majorBidi"/>
          <w:sz w:val="24"/>
          <w:szCs w:val="24"/>
        </w:rPr>
      </w:pPr>
    </w:p>
    <w:p w:rsidR="009C3889" w:rsidRDefault="009C3889" w:rsidP="00B37CB0">
      <w:pPr>
        <w:jc w:val="both"/>
        <w:rPr>
          <w:rFonts w:asciiTheme="majorBidi" w:hAnsiTheme="majorBidi" w:cstheme="majorBidi"/>
          <w:b/>
          <w:bCs/>
          <w:sz w:val="24"/>
          <w:szCs w:val="24"/>
        </w:rPr>
      </w:pPr>
    </w:p>
    <w:p w:rsidR="003E4223" w:rsidRDefault="003E4223" w:rsidP="00B37CB0">
      <w:pPr>
        <w:jc w:val="both"/>
        <w:rPr>
          <w:rFonts w:asciiTheme="majorBidi" w:hAnsiTheme="majorBidi" w:cstheme="majorBidi"/>
          <w:sz w:val="24"/>
          <w:szCs w:val="24"/>
        </w:rPr>
      </w:pPr>
      <w:r w:rsidRPr="00AE49F0">
        <w:rPr>
          <w:rFonts w:asciiTheme="majorBidi" w:hAnsiTheme="majorBidi" w:cstheme="majorBidi"/>
          <w:b/>
          <w:bCs/>
          <w:sz w:val="24"/>
          <w:szCs w:val="24"/>
        </w:rPr>
        <w:lastRenderedPageBreak/>
        <w:t xml:space="preserve">I </w:t>
      </w:r>
      <w:r w:rsidR="00757409" w:rsidRPr="00AE49F0">
        <w:rPr>
          <w:rFonts w:asciiTheme="majorBidi" w:hAnsiTheme="majorBidi" w:cstheme="majorBidi"/>
          <w:b/>
          <w:bCs/>
          <w:sz w:val="24"/>
          <w:szCs w:val="24"/>
        </w:rPr>
        <w:t>–</w:t>
      </w:r>
      <w:r w:rsidRPr="00AE49F0">
        <w:rPr>
          <w:rFonts w:asciiTheme="majorBidi" w:hAnsiTheme="majorBidi" w:cstheme="majorBidi"/>
          <w:b/>
          <w:bCs/>
          <w:sz w:val="24"/>
          <w:szCs w:val="24"/>
        </w:rPr>
        <w:t xml:space="preserve"> </w:t>
      </w:r>
      <w:r w:rsidR="00FA44A5" w:rsidRPr="00AE49F0">
        <w:rPr>
          <w:rFonts w:asciiTheme="majorBidi" w:hAnsiTheme="majorBidi" w:cstheme="majorBidi"/>
          <w:b/>
          <w:bCs/>
          <w:sz w:val="24"/>
          <w:szCs w:val="24"/>
        </w:rPr>
        <w:t xml:space="preserve">LE BILAN </w:t>
      </w:r>
      <w:r w:rsidR="00A564E6" w:rsidRPr="00AE49F0">
        <w:rPr>
          <w:rFonts w:asciiTheme="majorBidi" w:hAnsiTheme="majorBidi" w:cstheme="majorBidi"/>
          <w:b/>
          <w:bCs/>
          <w:sz w:val="24"/>
          <w:szCs w:val="24"/>
        </w:rPr>
        <w:t>DES RATIFICATIONS</w:t>
      </w:r>
      <w:r w:rsidR="00CB14E8">
        <w:rPr>
          <w:rFonts w:asciiTheme="majorBidi" w:hAnsiTheme="majorBidi" w:cstheme="majorBidi"/>
          <w:sz w:val="24"/>
          <w:szCs w:val="24"/>
        </w:rPr>
        <w:t>.</w:t>
      </w:r>
    </w:p>
    <w:p w:rsidR="00757409" w:rsidRDefault="00757409" w:rsidP="00AE49F0">
      <w:pPr>
        <w:jc w:val="both"/>
        <w:rPr>
          <w:rFonts w:asciiTheme="majorBidi" w:hAnsiTheme="majorBidi" w:cstheme="majorBidi"/>
          <w:sz w:val="24"/>
          <w:szCs w:val="24"/>
        </w:rPr>
      </w:pPr>
      <w:r>
        <w:rPr>
          <w:rFonts w:asciiTheme="majorBidi" w:hAnsiTheme="majorBidi" w:cstheme="majorBidi"/>
          <w:sz w:val="24"/>
          <w:szCs w:val="24"/>
        </w:rPr>
        <w:t>1</w:t>
      </w:r>
      <w:r w:rsidR="00B37CB0">
        <w:rPr>
          <w:rFonts w:asciiTheme="majorBidi" w:hAnsiTheme="majorBidi" w:cstheme="majorBidi"/>
          <w:sz w:val="24"/>
          <w:szCs w:val="24"/>
        </w:rPr>
        <w:t>.</w:t>
      </w:r>
      <w:r>
        <w:rPr>
          <w:rFonts w:asciiTheme="majorBidi" w:hAnsiTheme="majorBidi" w:cstheme="majorBidi"/>
          <w:sz w:val="24"/>
          <w:szCs w:val="24"/>
        </w:rPr>
        <w:t xml:space="preserve"> </w:t>
      </w:r>
      <w:r w:rsidR="00FA44A5" w:rsidRPr="00FA44A5">
        <w:rPr>
          <w:rFonts w:asciiTheme="majorBidi" w:hAnsiTheme="majorBidi" w:cstheme="majorBidi"/>
          <w:sz w:val="24"/>
          <w:szCs w:val="24"/>
          <w:u w:val="single"/>
        </w:rPr>
        <w:t>L’a</w:t>
      </w:r>
      <w:r w:rsidR="00AE49F0">
        <w:rPr>
          <w:rFonts w:asciiTheme="majorBidi" w:hAnsiTheme="majorBidi" w:cstheme="majorBidi"/>
          <w:sz w:val="24"/>
          <w:szCs w:val="24"/>
          <w:u w:val="single"/>
        </w:rPr>
        <w:t>nalyse</w:t>
      </w:r>
      <w:r w:rsidR="00FA44A5" w:rsidRPr="00FA44A5">
        <w:rPr>
          <w:rFonts w:asciiTheme="majorBidi" w:hAnsiTheme="majorBidi" w:cstheme="majorBidi"/>
          <w:sz w:val="24"/>
          <w:szCs w:val="24"/>
          <w:u w:val="single"/>
        </w:rPr>
        <w:t xml:space="preserve"> quantitative</w:t>
      </w:r>
      <w:r w:rsidR="003C1049">
        <w:rPr>
          <w:rFonts w:asciiTheme="majorBidi" w:hAnsiTheme="majorBidi" w:cstheme="majorBidi"/>
          <w:sz w:val="24"/>
          <w:szCs w:val="24"/>
          <w:u w:val="single"/>
        </w:rPr>
        <w:t>.</w:t>
      </w:r>
    </w:p>
    <w:p w:rsidR="00AE49F0" w:rsidRDefault="00B37CB0" w:rsidP="00AE49F0">
      <w:pPr>
        <w:jc w:val="both"/>
        <w:rPr>
          <w:rFonts w:asciiTheme="majorBidi" w:hAnsiTheme="majorBidi" w:cstheme="majorBidi"/>
          <w:sz w:val="24"/>
          <w:szCs w:val="24"/>
        </w:rPr>
      </w:pPr>
      <w:r>
        <w:rPr>
          <w:rFonts w:asciiTheme="majorBidi" w:hAnsiTheme="majorBidi" w:cstheme="majorBidi"/>
          <w:sz w:val="24"/>
          <w:szCs w:val="24"/>
        </w:rPr>
        <w:tab/>
      </w:r>
      <w:r w:rsidR="00757409" w:rsidRPr="00ED4A78">
        <w:rPr>
          <w:rFonts w:asciiTheme="majorBidi" w:hAnsiTheme="majorBidi" w:cstheme="majorBidi"/>
          <w:sz w:val="24"/>
          <w:szCs w:val="24"/>
        </w:rPr>
        <w:t xml:space="preserve">Les chiffres parlent d’eux-mêmes. La Convention </w:t>
      </w:r>
      <w:r w:rsidR="0075022F" w:rsidRPr="00ED4A78">
        <w:rPr>
          <w:rFonts w:asciiTheme="majorBidi" w:hAnsiTheme="majorBidi" w:cstheme="majorBidi"/>
          <w:sz w:val="24"/>
          <w:szCs w:val="24"/>
        </w:rPr>
        <w:t>comporte</w:t>
      </w:r>
      <w:r w:rsidR="00757409" w:rsidRPr="00ED4A78">
        <w:rPr>
          <w:rFonts w:asciiTheme="majorBidi" w:hAnsiTheme="majorBidi" w:cstheme="majorBidi"/>
          <w:sz w:val="24"/>
          <w:szCs w:val="24"/>
        </w:rPr>
        <w:t xml:space="preserve"> aujourd’hui 156 Etats parties. Elle a dépassé la barre des 50 ratifications en</w:t>
      </w:r>
      <w:r w:rsidR="0075022F" w:rsidRPr="00ED4A78">
        <w:rPr>
          <w:rFonts w:asciiTheme="majorBidi" w:hAnsiTheme="majorBidi" w:cstheme="majorBidi"/>
          <w:sz w:val="24"/>
          <w:szCs w:val="24"/>
        </w:rPr>
        <w:t>tre 1986 et</w:t>
      </w:r>
      <w:r w:rsidR="00757409" w:rsidRPr="00ED4A78">
        <w:rPr>
          <w:rFonts w:asciiTheme="majorBidi" w:hAnsiTheme="majorBidi" w:cstheme="majorBidi"/>
          <w:sz w:val="24"/>
          <w:szCs w:val="24"/>
        </w:rPr>
        <w:t xml:space="preserve"> 1990, </w:t>
      </w:r>
      <w:r w:rsidR="0075022F" w:rsidRPr="00ED4A78">
        <w:rPr>
          <w:rFonts w:asciiTheme="majorBidi" w:hAnsiTheme="majorBidi" w:cstheme="majorBidi"/>
          <w:sz w:val="24"/>
          <w:szCs w:val="24"/>
        </w:rPr>
        <w:t xml:space="preserve">soit </w:t>
      </w:r>
      <w:r w:rsidR="00757409" w:rsidRPr="00ED4A78">
        <w:rPr>
          <w:rFonts w:asciiTheme="majorBidi" w:hAnsiTheme="majorBidi" w:cstheme="majorBidi"/>
          <w:sz w:val="24"/>
          <w:szCs w:val="24"/>
        </w:rPr>
        <w:t xml:space="preserve">en </w:t>
      </w:r>
      <w:r w:rsidR="0075022F" w:rsidRPr="00ED4A78">
        <w:rPr>
          <w:rFonts w:asciiTheme="majorBidi" w:hAnsiTheme="majorBidi" w:cstheme="majorBidi"/>
          <w:sz w:val="24"/>
          <w:szCs w:val="24"/>
        </w:rPr>
        <w:t>quatre</w:t>
      </w:r>
      <w:r w:rsidR="00757409" w:rsidRPr="00ED4A78">
        <w:rPr>
          <w:rFonts w:asciiTheme="majorBidi" w:hAnsiTheme="majorBidi" w:cstheme="majorBidi"/>
          <w:sz w:val="24"/>
          <w:szCs w:val="24"/>
        </w:rPr>
        <w:t xml:space="preserve"> ans, celle de 100 ratifications en 1996, un doublement en six ans,  mais le seuil de 150 ratifications n’a été atteint qu’en 2012,  en une quinzaine d’années. </w:t>
      </w:r>
      <w:r w:rsidR="00351E71" w:rsidRPr="00ED4A78">
        <w:rPr>
          <w:rFonts w:asciiTheme="majorBidi" w:hAnsiTheme="majorBidi" w:cstheme="majorBidi"/>
          <w:sz w:val="24"/>
          <w:szCs w:val="24"/>
        </w:rPr>
        <w:t xml:space="preserve">Ou pour dire les choses autrement, le rythme de ratifications </w:t>
      </w:r>
      <w:r w:rsidR="0075022F" w:rsidRPr="00ED4A78">
        <w:rPr>
          <w:rFonts w:asciiTheme="majorBidi" w:hAnsiTheme="majorBidi" w:cstheme="majorBidi"/>
          <w:sz w:val="24"/>
          <w:szCs w:val="24"/>
        </w:rPr>
        <w:t xml:space="preserve">qui était d’une douzaine de ratifications annuelles, au démarrage entre 1986 et 1900, s’est stabilisé autour d’une moyenne de 7 ratifications annuelles </w:t>
      </w:r>
      <w:r w:rsidR="00351E71" w:rsidRPr="00ED4A78">
        <w:rPr>
          <w:rFonts w:asciiTheme="majorBidi" w:hAnsiTheme="majorBidi" w:cstheme="majorBidi"/>
          <w:sz w:val="24"/>
          <w:szCs w:val="24"/>
        </w:rPr>
        <w:t xml:space="preserve">jusqu’en 2004, </w:t>
      </w:r>
      <w:r w:rsidR="0075022F" w:rsidRPr="00ED4A78">
        <w:rPr>
          <w:rFonts w:asciiTheme="majorBidi" w:hAnsiTheme="majorBidi" w:cstheme="majorBidi"/>
          <w:sz w:val="24"/>
          <w:szCs w:val="24"/>
        </w:rPr>
        <w:t>avant de plonger à une ou deux ratifications annuelles depuis lors – parfois aucune comme en 2009.</w:t>
      </w:r>
    </w:p>
    <w:p w:rsidR="00AE49F0" w:rsidRDefault="00AE49F0" w:rsidP="00AE49F0">
      <w:r>
        <w:rPr>
          <w:noProof/>
          <w:lang w:val="en-GB" w:eastAsia="en-GB"/>
        </w:rPr>
        <w:drawing>
          <wp:inline distT="0" distB="0" distL="0" distR="0" wp14:anchorId="0E60CE57" wp14:editId="32D8A2BE">
            <wp:extent cx="5509260" cy="320802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022F" w:rsidRDefault="00B37CB0" w:rsidP="007D5794">
      <w:pPr>
        <w:jc w:val="both"/>
        <w:rPr>
          <w:rFonts w:asciiTheme="majorBidi" w:hAnsiTheme="majorBidi" w:cstheme="majorBidi"/>
          <w:sz w:val="24"/>
          <w:szCs w:val="24"/>
        </w:rPr>
      </w:pPr>
      <w:r>
        <w:rPr>
          <w:rFonts w:asciiTheme="majorBidi" w:hAnsiTheme="majorBidi" w:cstheme="majorBidi"/>
          <w:sz w:val="24"/>
          <w:szCs w:val="24"/>
        </w:rPr>
        <w:tab/>
      </w:r>
      <w:r w:rsidR="0075022F">
        <w:rPr>
          <w:rFonts w:asciiTheme="majorBidi" w:hAnsiTheme="majorBidi" w:cstheme="majorBidi"/>
          <w:sz w:val="24"/>
          <w:szCs w:val="24"/>
        </w:rPr>
        <w:t xml:space="preserve">Cela s’explique en partie par un effet marginal,  le « réservoir » des Etats signataires étant aujourd’hui réduit à 10 Etats, avec des dates de signatures </w:t>
      </w:r>
      <w:r w:rsidR="00FA44A5">
        <w:rPr>
          <w:rFonts w:asciiTheme="majorBidi" w:hAnsiTheme="majorBidi" w:cstheme="majorBidi"/>
          <w:sz w:val="24"/>
          <w:szCs w:val="24"/>
        </w:rPr>
        <w:t xml:space="preserve">très </w:t>
      </w:r>
      <w:r w:rsidR="0075022F">
        <w:rPr>
          <w:rFonts w:asciiTheme="majorBidi" w:hAnsiTheme="majorBidi" w:cstheme="majorBidi"/>
          <w:sz w:val="24"/>
          <w:szCs w:val="24"/>
        </w:rPr>
        <w:t xml:space="preserve">échelonnées dans le temps, 1985 pour la Gambie, 1986 pour le Soudan, </w:t>
      </w:r>
      <w:r w:rsidR="00FA44A5">
        <w:rPr>
          <w:rFonts w:asciiTheme="majorBidi" w:hAnsiTheme="majorBidi" w:cstheme="majorBidi"/>
          <w:sz w:val="24"/>
          <w:szCs w:val="24"/>
        </w:rPr>
        <w:t xml:space="preserve">1997 pour l’Inde, </w:t>
      </w:r>
      <w:r w:rsidR="0075022F">
        <w:rPr>
          <w:rFonts w:asciiTheme="majorBidi" w:hAnsiTheme="majorBidi" w:cstheme="majorBidi"/>
          <w:sz w:val="24"/>
          <w:szCs w:val="24"/>
        </w:rPr>
        <w:t xml:space="preserve">2000 pour </w:t>
      </w:r>
      <w:proofErr w:type="spellStart"/>
      <w:r w:rsidR="0075022F">
        <w:rPr>
          <w:rFonts w:asciiTheme="majorBidi" w:hAnsiTheme="majorBidi" w:cstheme="majorBidi"/>
          <w:sz w:val="24"/>
          <w:szCs w:val="24"/>
        </w:rPr>
        <w:t>Sao</w:t>
      </w:r>
      <w:r w:rsidR="007D5794">
        <w:rPr>
          <w:rFonts w:asciiTheme="majorBidi" w:hAnsiTheme="majorBidi" w:cstheme="majorBidi"/>
          <w:sz w:val="24"/>
          <w:szCs w:val="24"/>
        </w:rPr>
        <w:t>-</w:t>
      </w:r>
      <w:r w:rsidR="0075022F">
        <w:rPr>
          <w:rFonts w:asciiTheme="majorBidi" w:hAnsiTheme="majorBidi" w:cstheme="majorBidi"/>
          <w:sz w:val="24"/>
          <w:szCs w:val="24"/>
        </w:rPr>
        <w:t>Tom</w:t>
      </w:r>
      <w:r w:rsidR="007D5794">
        <w:rPr>
          <w:rFonts w:asciiTheme="majorBidi" w:hAnsiTheme="majorBidi" w:cstheme="majorBidi"/>
          <w:sz w:val="24"/>
          <w:szCs w:val="24"/>
        </w:rPr>
        <w:t>é-et-</w:t>
      </w:r>
      <w:r w:rsidR="0075022F">
        <w:rPr>
          <w:rFonts w:asciiTheme="majorBidi" w:hAnsiTheme="majorBidi" w:cstheme="majorBidi"/>
          <w:sz w:val="24"/>
          <w:szCs w:val="24"/>
        </w:rPr>
        <w:t>Principe</w:t>
      </w:r>
      <w:proofErr w:type="spellEnd"/>
      <w:r w:rsidR="00FA44A5">
        <w:rPr>
          <w:rFonts w:asciiTheme="majorBidi" w:hAnsiTheme="majorBidi" w:cstheme="majorBidi"/>
          <w:sz w:val="24"/>
          <w:szCs w:val="24"/>
        </w:rPr>
        <w:t xml:space="preserve"> ou les Comores, 2008 pour les Bahamas, 2011 pour Palau</w:t>
      </w:r>
      <w:r w:rsidR="0075022F">
        <w:rPr>
          <w:rFonts w:asciiTheme="majorBidi" w:hAnsiTheme="majorBidi" w:cstheme="majorBidi"/>
          <w:sz w:val="24"/>
          <w:szCs w:val="24"/>
        </w:rPr>
        <w:t xml:space="preserve">, 2013 </w:t>
      </w:r>
      <w:r w:rsidR="00FA44A5">
        <w:rPr>
          <w:rFonts w:asciiTheme="majorBidi" w:hAnsiTheme="majorBidi" w:cstheme="majorBidi"/>
          <w:sz w:val="24"/>
          <w:szCs w:val="24"/>
        </w:rPr>
        <w:t xml:space="preserve">pour Haïti, l’Angola et </w:t>
      </w:r>
      <w:r w:rsidR="0075022F">
        <w:rPr>
          <w:rFonts w:asciiTheme="majorBidi" w:hAnsiTheme="majorBidi" w:cstheme="majorBidi"/>
          <w:sz w:val="24"/>
          <w:szCs w:val="24"/>
        </w:rPr>
        <w:t>le Vietnam</w:t>
      </w:r>
      <w:r w:rsidR="00FA44A5">
        <w:rPr>
          <w:rFonts w:asciiTheme="majorBidi" w:hAnsiTheme="majorBidi" w:cstheme="majorBidi"/>
          <w:sz w:val="24"/>
          <w:szCs w:val="24"/>
        </w:rPr>
        <w:t>.</w:t>
      </w:r>
    </w:p>
    <w:p w:rsidR="00FA44A5" w:rsidRDefault="00B37CB0" w:rsidP="00AE49F0">
      <w:pPr>
        <w:jc w:val="both"/>
        <w:rPr>
          <w:rFonts w:asciiTheme="majorBidi" w:hAnsiTheme="majorBidi" w:cstheme="majorBidi"/>
          <w:sz w:val="24"/>
          <w:szCs w:val="24"/>
        </w:rPr>
      </w:pPr>
      <w:r>
        <w:rPr>
          <w:rFonts w:asciiTheme="majorBidi" w:hAnsiTheme="majorBidi" w:cstheme="majorBidi"/>
          <w:sz w:val="24"/>
          <w:szCs w:val="24"/>
        </w:rPr>
        <w:tab/>
      </w:r>
      <w:r w:rsidR="00FA44A5">
        <w:rPr>
          <w:rFonts w:asciiTheme="majorBidi" w:hAnsiTheme="majorBidi" w:cstheme="majorBidi"/>
          <w:sz w:val="24"/>
          <w:szCs w:val="24"/>
        </w:rPr>
        <w:t xml:space="preserve">Restent </w:t>
      </w:r>
      <w:r w:rsidR="00AE49F0">
        <w:rPr>
          <w:rFonts w:asciiTheme="majorBidi" w:hAnsiTheme="majorBidi" w:cstheme="majorBidi"/>
          <w:sz w:val="24"/>
          <w:szCs w:val="24"/>
        </w:rPr>
        <w:t>moins d’une</w:t>
      </w:r>
      <w:r w:rsidR="004A4808">
        <w:rPr>
          <w:rFonts w:asciiTheme="majorBidi" w:hAnsiTheme="majorBidi" w:cstheme="majorBidi"/>
          <w:sz w:val="24"/>
          <w:szCs w:val="24"/>
        </w:rPr>
        <w:t xml:space="preserve"> trentaine </w:t>
      </w:r>
      <w:r w:rsidR="00AE49F0">
        <w:rPr>
          <w:rFonts w:asciiTheme="majorBidi" w:hAnsiTheme="majorBidi" w:cstheme="majorBidi"/>
          <w:sz w:val="24"/>
          <w:szCs w:val="24"/>
        </w:rPr>
        <w:t>de</w:t>
      </w:r>
      <w:r w:rsidR="00FA44A5">
        <w:rPr>
          <w:rFonts w:asciiTheme="majorBidi" w:hAnsiTheme="majorBidi" w:cstheme="majorBidi"/>
          <w:sz w:val="24"/>
          <w:szCs w:val="24"/>
        </w:rPr>
        <w:t xml:space="preserve"> membres des Nations Unies qui ne sont ni partie, ni signataire</w:t>
      </w:r>
      <w:r w:rsidR="00E30CCB">
        <w:rPr>
          <w:rFonts w:asciiTheme="majorBidi" w:hAnsiTheme="majorBidi" w:cstheme="majorBidi"/>
          <w:sz w:val="24"/>
          <w:szCs w:val="24"/>
        </w:rPr>
        <w:t xml:space="preserve">. </w:t>
      </w:r>
      <w:r w:rsidR="00AF4D7D">
        <w:rPr>
          <w:rFonts w:asciiTheme="majorBidi" w:hAnsiTheme="majorBidi" w:cstheme="majorBidi"/>
          <w:sz w:val="24"/>
          <w:szCs w:val="24"/>
        </w:rPr>
        <w:t>Il</w:t>
      </w:r>
      <w:r w:rsidR="00E30CCB">
        <w:rPr>
          <w:rFonts w:asciiTheme="majorBidi" w:hAnsiTheme="majorBidi" w:cstheme="majorBidi"/>
          <w:sz w:val="24"/>
          <w:szCs w:val="24"/>
        </w:rPr>
        <w:t xml:space="preserve"> s’agit notamment </w:t>
      </w:r>
      <w:r w:rsidR="00AF4D7D">
        <w:rPr>
          <w:rFonts w:asciiTheme="majorBidi" w:hAnsiTheme="majorBidi" w:cstheme="majorBidi"/>
          <w:sz w:val="24"/>
          <w:szCs w:val="24"/>
        </w:rPr>
        <w:t xml:space="preserve">d’Etats </w:t>
      </w:r>
      <w:r w:rsidR="00E30CCB">
        <w:rPr>
          <w:rFonts w:asciiTheme="majorBidi" w:hAnsiTheme="majorBidi" w:cstheme="majorBidi"/>
          <w:sz w:val="24"/>
          <w:szCs w:val="24"/>
        </w:rPr>
        <w:t>africains</w:t>
      </w:r>
      <w:r w:rsidR="00AF4D7D">
        <w:rPr>
          <w:rFonts w:asciiTheme="majorBidi" w:hAnsiTheme="majorBidi" w:cstheme="majorBidi"/>
          <w:sz w:val="24"/>
          <w:szCs w:val="24"/>
        </w:rPr>
        <w:t xml:space="preserve"> </w:t>
      </w:r>
      <w:r w:rsidR="007D5794">
        <w:rPr>
          <w:rFonts w:asciiTheme="majorBidi" w:hAnsiTheme="majorBidi" w:cstheme="majorBidi"/>
          <w:sz w:val="24"/>
          <w:szCs w:val="24"/>
        </w:rPr>
        <w:t>–</w:t>
      </w:r>
      <w:r w:rsidR="00E30CCB">
        <w:rPr>
          <w:rFonts w:asciiTheme="majorBidi" w:hAnsiTheme="majorBidi" w:cstheme="majorBidi"/>
          <w:sz w:val="24"/>
          <w:szCs w:val="24"/>
        </w:rPr>
        <w:t xml:space="preserve"> comme la Tanzanie, le Zimbabwe, la République </w:t>
      </w:r>
      <w:r w:rsidR="00E30CCB" w:rsidRPr="003C1049">
        <w:rPr>
          <w:rFonts w:asciiTheme="majorBidi" w:hAnsiTheme="majorBidi" w:cstheme="majorBidi"/>
          <w:sz w:val="24"/>
          <w:szCs w:val="24"/>
        </w:rPr>
        <w:t>centrafricaine et le Sud Soudan</w:t>
      </w:r>
      <w:r w:rsidR="00AF4D7D" w:rsidRPr="003C1049">
        <w:rPr>
          <w:rFonts w:asciiTheme="majorBidi" w:hAnsiTheme="majorBidi" w:cstheme="majorBidi"/>
          <w:sz w:val="24"/>
          <w:szCs w:val="24"/>
        </w:rPr>
        <w:t xml:space="preserve"> </w:t>
      </w:r>
      <w:r w:rsidR="007D5794">
        <w:rPr>
          <w:rFonts w:asciiTheme="majorBidi" w:hAnsiTheme="majorBidi" w:cstheme="majorBidi"/>
          <w:sz w:val="24"/>
          <w:szCs w:val="24"/>
        </w:rPr>
        <w:t xml:space="preserve">– </w:t>
      </w:r>
      <w:r w:rsidR="00E30CCB" w:rsidRPr="003C1049">
        <w:rPr>
          <w:rFonts w:asciiTheme="majorBidi" w:hAnsiTheme="majorBidi" w:cstheme="majorBidi"/>
          <w:sz w:val="24"/>
          <w:szCs w:val="24"/>
        </w:rPr>
        <w:t xml:space="preserve"> </w:t>
      </w:r>
      <w:r w:rsidR="00AF4D7D" w:rsidRPr="003C1049">
        <w:rPr>
          <w:rFonts w:asciiTheme="majorBidi" w:hAnsiTheme="majorBidi" w:cstheme="majorBidi"/>
          <w:sz w:val="24"/>
          <w:szCs w:val="24"/>
        </w:rPr>
        <w:t xml:space="preserve">et d’Etats d’Asie </w:t>
      </w:r>
      <w:r w:rsidR="007D5794">
        <w:rPr>
          <w:rFonts w:asciiTheme="majorBidi" w:hAnsiTheme="majorBidi" w:cstheme="majorBidi"/>
          <w:sz w:val="24"/>
          <w:szCs w:val="24"/>
        </w:rPr>
        <w:t>–</w:t>
      </w:r>
      <w:r w:rsidR="00FA44A5" w:rsidRPr="003C1049">
        <w:rPr>
          <w:rFonts w:asciiTheme="majorBidi" w:hAnsiTheme="majorBidi" w:cstheme="majorBidi"/>
          <w:sz w:val="24"/>
          <w:szCs w:val="24"/>
        </w:rPr>
        <w:t xml:space="preserve"> comme l’Iran, le Myanmar, la Malaisie, la République populaire démocratique de Corée</w:t>
      </w:r>
      <w:r w:rsidR="00AF4D7D" w:rsidRPr="003C1049">
        <w:rPr>
          <w:rFonts w:asciiTheme="majorBidi" w:hAnsiTheme="majorBidi" w:cstheme="majorBidi"/>
          <w:sz w:val="24"/>
          <w:szCs w:val="24"/>
        </w:rPr>
        <w:t xml:space="preserve">, </w:t>
      </w:r>
      <w:r w:rsidR="009D0E47" w:rsidRPr="003C1049">
        <w:rPr>
          <w:rFonts w:asciiTheme="majorBidi" w:hAnsiTheme="majorBidi" w:cstheme="majorBidi"/>
          <w:sz w:val="24"/>
          <w:szCs w:val="24"/>
        </w:rPr>
        <w:t>la Papouasie-Nouvelle-Guinée,  Singapour,</w:t>
      </w:r>
      <w:r w:rsidR="00AF4D7D" w:rsidRPr="003C1049">
        <w:rPr>
          <w:rFonts w:asciiTheme="majorBidi" w:hAnsiTheme="majorBidi" w:cstheme="majorBidi"/>
          <w:sz w:val="24"/>
          <w:szCs w:val="24"/>
        </w:rPr>
        <w:t xml:space="preserve"> </w:t>
      </w:r>
      <w:r w:rsidR="009D0E47" w:rsidRPr="003C1049">
        <w:rPr>
          <w:rFonts w:asciiTheme="majorBidi" w:hAnsiTheme="majorBidi" w:cstheme="majorBidi"/>
          <w:sz w:val="24"/>
          <w:szCs w:val="24"/>
        </w:rPr>
        <w:t xml:space="preserve">Oman, le Bhoutan, </w:t>
      </w:r>
      <w:r w:rsidR="00AF4D7D" w:rsidRPr="003C1049">
        <w:rPr>
          <w:rFonts w:asciiTheme="majorBidi" w:hAnsiTheme="majorBidi" w:cstheme="majorBidi"/>
          <w:sz w:val="24"/>
          <w:szCs w:val="24"/>
        </w:rPr>
        <w:t xml:space="preserve"> Brunei </w:t>
      </w:r>
      <w:r w:rsidR="007D5794">
        <w:rPr>
          <w:rFonts w:asciiTheme="majorBidi" w:hAnsiTheme="majorBidi" w:cstheme="majorBidi"/>
          <w:sz w:val="24"/>
          <w:szCs w:val="24"/>
        </w:rPr>
        <w:t xml:space="preserve">– </w:t>
      </w:r>
      <w:r w:rsidR="00AF4D7D" w:rsidRPr="003C1049">
        <w:rPr>
          <w:rFonts w:asciiTheme="majorBidi" w:hAnsiTheme="majorBidi" w:cstheme="majorBidi"/>
          <w:sz w:val="24"/>
          <w:szCs w:val="24"/>
        </w:rPr>
        <w:t xml:space="preserve"> d’Etats des Caraïb</w:t>
      </w:r>
      <w:r w:rsidR="007D5794">
        <w:rPr>
          <w:rFonts w:asciiTheme="majorBidi" w:hAnsiTheme="majorBidi" w:cstheme="majorBidi"/>
          <w:sz w:val="24"/>
          <w:szCs w:val="24"/>
        </w:rPr>
        <w:t>es</w:t>
      </w:r>
      <w:r w:rsidR="00AF4D7D" w:rsidRPr="003C1049">
        <w:rPr>
          <w:rFonts w:asciiTheme="majorBidi" w:hAnsiTheme="majorBidi" w:cstheme="majorBidi"/>
          <w:sz w:val="24"/>
          <w:szCs w:val="24"/>
        </w:rPr>
        <w:t xml:space="preserve"> </w:t>
      </w:r>
      <w:r w:rsidR="007D5794">
        <w:rPr>
          <w:rFonts w:asciiTheme="majorBidi" w:hAnsiTheme="majorBidi" w:cstheme="majorBidi"/>
          <w:sz w:val="24"/>
          <w:szCs w:val="24"/>
        </w:rPr>
        <w:t xml:space="preserve">– </w:t>
      </w:r>
      <w:r w:rsidR="00AF4D7D" w:rsidRPr="003C1049">
        <w:rPr>
          <w:rFonts w:asciiTheme="majorBidi" w:hAnsiTheme="majorBidi" w:cstheme="majorBidi"/>
          <w:sz w:val="24"/>
          <w:szCs w:val="24"/>
        </w:rPr>
        <w:t xml:space="preserve"> comme la Jamaïque, Trinité-et-Tobago, le Suriname, la Barbade, Sainte-Lucie, la Grenade, la Dominique, Saint-Kitts-et Nevis – ou d’îles du Pacifique  – comme </w:t>
      </w:r>
      <w:r w:rsidR="009D0E47" w:rsidRPr="003C1049">
        <w:rPr>
          <w:rFonts w:asciiTheme="majorBidi" w:hAnsiTheme="majorBidi" w:cstheme="majorBidi"/>
          <w:sz w:val="24"/>
          <w:szCs w:val="24"/>
        </w:rPr>
        <w:t>Fidji, les îles Salomon, Samoa</w:t>
      </w:r>
      <w:r w:rsidR="00AF4D7D" w:rsidRPr="003C1049">
        <w:rPr>
          <w:rFonts w:asciiTheme="majorBidi" w:hAnsiTheme="majorBidi" w:cstheme="majorBidi"/>
          <w:sz w:val="24"/>
          <w:szCs w:val="24"/>
        </w:rPr>
        <w:t>,</w:t>
      </w:r>
      <w:r w:rsidR="009D0E47" w:rsidRPr="003C1049">
        <w:rPr>
          <w:rFonts w:asciiTheme="majorBidi" w:hAnsiTheme="majorBidi" w:cstheme="majorBidi"/>
          <w:sz w:val="24"/>
          <w:szCs w:val="24"/>
        </w:rPr>
        <w:t xml:space="preserve"> </w:t>
      </w:r>
      <w:r w:rsidR="004A4808" w:rsidRPr="003C1049">
        <w:rPr>
          <w:rFonts w:asciiTheme="majorBidi" w:hAnsiTheme="majorBidi" w:cstheme="majorBidi"/>
          <w:sz w:val="24"/>
          <w:szCs w:val="24"/>
        </w:rPr>
        <w:t xml:space="preserve">la Micronésie, Tonga, Kiribati, les îles </w:t>
      </w:r>
      <w:r w:rsidR="00A564E6">
        <w:rPr>
          <w:rFonts w:asciiTheme="majorBidi" w:hAnsiTheme="majorBidi" w:cstheme="majorBidi"/>
          <w:sz w:val="24"/>
          <w:szCs w:val="24"/>
        </w:rPr>
        <w:t xml:space="preserve">Marshall </w:t>
      </w:r>
      <w:r w:rsidR="004A4808" w:rsidRPr="003C1049">
        <w:rPr>
          <w:rFonts w:asciiTheme="majorBidi" w:hAnsiTheme="majorBidi" w:cstheme="majorBidi"/>
          <w:sz w:val="24"/>
          <w:szCs w:val="24"/>
        </w:rPr>
        <w:t>et Tuvalu</w:t>
      </w:r>
      <w:r w:rsidR="00AF4D7D" w:rsidRPr="003C1049">
        <w:rPr>
          <w:rFonts w:asciiTheme="majorBidi" w:hAnsiTheme="majorBidi" w:cstheme="majorBidi"/>
          <w:sz w:val="24"/>
          <w:szCs w:val="24"/>
        </w:rPr>
        <w:t>…</w:t>
      </w:r>
      <w:r w:rsidR="00A564E6">
        <w:rPr>
          <w:rFonts w:asciiTheme="majorBidi" w:hAnsiTheme="majorBidi" w:cstheme="majorBidi"/>
          <w:sz w:val="24"/>
          <w:szCs w:val="24"/>
        </w:rPr>
        <w:t xml:space="preserve"> L</w:t>
      </w:r>
      <w:r w:rsidR="00AF4D7D" w:rsidRPr="003C1049">
        <w:rPr>
          <w:rFonts w:asciiTheme="majorBidi" w:hAnsiTheme="majorBidi" w:cstheme="majorBidi"/>
          <w:sz w:val="24"/>
          <w:szCs w:val="24"/>
        </w:rPr>
        <w:t xml:space="preserve">es situations </w:t>
      </w:r>
      <w:r w:rsidR="00A564E6">
        <w:rPr>
          <w:rFonts w:asciiTheme="majorBidi" w:hAnsiTheme="majorBidi" w:cstheme="majorBidi"/>
          <w:sz w:val="24"/>
          <w:szCs w:val="24"/>
        </w:rPr>
        <w:t xml:space="preserve">locales </w:t>
      </w:r>
      <w:r w:rsidR="00AF4D7D" w:rsidRPr="003C1049">
        <w:rPr>
          <w:rFonts w:asciiTheme="majorBidi" w:hAnsiTheme="majorBidi" w:cstheme="majorBidi"/>
          <w:sz w:val="24"/>
          <w:szCs w:val="24"/>
        </w:rPr>
        <w:t xml:space="preserve">sont très différentes, comme on le voit, </w:t>
      </w:r>
      <w:r w:rsidR="00A564E6">
        <w:rPr>
          <w:rFonts w:asciiTheme="majorBidi" w:hAnsiTheme="majorBidi" w:cstheme="majorBidi"/>
          <w:sz w:val="24"/>
          <w:szCs w:val="24"/>
        </w:rPr>
        <w:t xml:space="preserve">s’agissant notamment des « micro-Etats », </w:t>
      </w:r>
      <w:r w:rsidR="00AF4D7D" w:rsidRPr="003C1049">
        <w:rPr>
          <w:rFonts w:asciiTheme="majorBidi" w:hAnsiTheme="majorBidi" w:cstheme="majorBidi"/>
          <w:sz w:val="24"/>
          <w:szCs w:val="24"/>
        </w:rPr>
        <w:t xml:space="preserve">et impliquent </w:t>
      </w:r>
      <w:r w:rsidR="00802A63">
        <w:rPr>
          <w:rFonts w:asciiTheme="majorBidi" w:hAnsiTheme="majorBidi" w:cstheme="majorBidi"/>
          <w:sz w:val="24"/>
          <w:szCs w:val="24"/>
        </w:rPr>
        <w:t>s</w:t>
      </w:r>
      <w:r w:rsidR="00AF4D7D" w:rsidRPr="003C1049">
        <w:rPr>
          <w:rFonts w:asciiTheme="majorBidi" w:hAnsiTheme="majorBidi" w:cstheme="majorBidi"/>
          <w:sz w:val="24"/>
          <w:szCs w:val="24"/>
        </w:rPr>
        <w:t>ans doute des approch</w:t>
      </w:r>
      <w:r w:rsidR="003C1049">
        <w:rPr>
          <w:rFonts w:asciiTheme="majorBidi" w:hAnsiTheme="majorBidi" w:cstheme="majorBidi"/>
          <w:sz w:val="24"/>
          <w:szCs w:val="24"/>
        </w:rPr>
        <w:t>es d</w:t>
      </w:r>
      <w:r w:rsidR="00AF4D7D" w:rsidRPr="003C1049">
        <w:rPr>
          <w:rFonts w:asciiTheme="majorBidi" w:hAnsiTheme="majorBidi" w:cstheme="majorBidi"/>
          <w:sz w:val="24"/>
          <w:szCs w:val="24"/>
        </w:rPr>
        <w:t>iversifiées.</w:t>
      </w:r>
    </w:p>
    <w:p w:rsidR="00AF4D7D" w:rsidRDefault="00AF4D7D" w:rsidP="00AE49F0">
      <w:pPr>
        <w:jc w:val="both"/>
        <w:rPr>
          <w:rFonts w:asciiTheme="majorBidi" w:hAnsiTheme="majorBidi" w:cstheme="majorBidi"/>
          <w:sz w:val="24"/>
          <w:szCs w:val="24"/>
        </w:rPr>
      </w:pPr>
      <w:r>
        <w:rPr>
          <w:rFonts w:asciiTheme="majorBidi" w:hAnsiTheme="majorBidi" w:cstheme="majorBidi"/>
          <w:sz w:val="24"/>
          <w:szCs w:val="24"/>
        </w:rPr>
        <w:lastRenderedPageBreak/>
        <w:t>2</w:t>
      </w:r>
      <w:r w:rsidR="00B37CB0">
        <w:rPr>
          <w:rFonts w:asciiTheme="majorBidi" w:hAnsiTheme="majorBidi" w:cstheme="majorBidi"/>
          <w:sz w:val="24"/>
          <w:szCs w:val="24"/>
        </w:rPr>
        <w:t>.</w:t>
      </w:r>
      <w:r>
        <w:rPr>
          <w:rFonts w:asciiTheme="majorBidi" w:hAnsiTheme="majorBidi" w:cstheme="majorBidi"/>
          <w:sz w:val="24"/>
          <w:szCs w:val="24"/>
        </w:rPr>
        <w:t xml:space="preserve"> </w:t>
      </w:r>
      <w:r w:rsidRPr="003C1049">
        <w:rPr>
          <w:rFonts w:asciiTheme="majorBidi" w:hAnsiTheme="majorBidi" w:cstheme="majorBidi"/>
          <w:sz w:val="24"/>
          <w:szCs w:val="24"/>
          <w:u w:val="single"/>
        </w:rPr>
        <w:t>L’a</w:t>
      </w:r>
      <w:r w:rsidR="00AE49F0">
        <w:rPr>
          <w:rFonts w:asciiTheme="majorBidi" w:hAnsiTheme="majorBidi" w:cstheme="majorBidi"/>
          <w:sz w:val="24"/>
          <w:szCs w:val="24"/>
          <w:u w:val="single"/>
        </w:rPr>
        <w:t>nalyse</w:t>
      </w:r>
      <w:r w:rsidRPr="003C1049">
        <w:rPr>
          <w:rFonts w:asciiTheme="majorBidi" w:hAnsiTheme="majorBidi" w:cstheme="majorBidi"/>
          <w:sz w:val="24"/>
          <w:szCs w:val="24"/>
          <w:u w:val="single"/>
        </w:rPr>
        <w:t xml:space="preserve"> qualitative.</w:t>
      </w:r>
      <w:r>
        <w:rPr>
          <w:rFonts w:asciiTheme="majorBidi" w:hAnsiTheme="majorBidi" w:cstheme="majorBidi"/>
          <w:sz w:val="24"/>
          <w:szCs w:val="24"/>
        </w:rPr>
        <w:t xml:space="preserve"> </w:t>
      </w:r>
    </w:p>
    <w:p w:rsidR="003C1049" w:rsidRDefault="00B37CB0" w:rsidP="003C1049">
      <w:pPr>
        <w:jc w:val="both"/>
        <w:rPr>
          <w:rFonts w:asciiTheme="majorBidi" w:hAnsiTheme="majorBidi" w:cstheme="majorBidi"/>
          <w:sz w:val="24"/>
          <w:szCs w:val="24"/>
        </w:rPr>
      </w:pPr>
      <w:r>
        <w:rPr>
          <w:rFonts w:asciiTheme="majorBidi" w:hAnsiTheme="majorBidi" w:cstheme="majorBidi"/>
          <w:sz w:val="24"/>
          <w:szCs w:val="24"/>
        </w:rPr>
        <w:tab/>
      </w:r>
      <w:r w:rsidR="003C1049">
        <w:rPr>
          <w:rFonts w:asciiTheme="majorBidi" w:hAnsiTheme="majorBidi" w:cstheme="majorBidi"/>
          <w:sz w:val="24"/>
          <w:szCs w:val="24"/>
        </w:rPr>
        <w:t>La ratification n’est pas un but en soi, faut-il le rappeler. D’abord parce que nombre de ratifications sont assorties de réserves qui invitent à s’interroger sur leur portée juridique. A cet égard, il faut rappeler la recommandation de la Conférence de Vienne visant  « </w:t>
      </w:r>
      <w:r w:rsidR="003C1049" w:rsidRPr="003C1049">
        <w:rPr>
          <w:rFonts w:asciiTheme="majorBidi" w:hAnsiTheme="majorBidi" w:cstheme="majorBidi"/>
          <w:i/>
          <w:iCs/>
          <w:sz w:val="24"/>
          <w:szCs w:val="24"/>
        </w:rPr>
        <w:t xml:space="preserve">à formuler toutes les réserves avec autant de précision et de circonspection que possible, à veiller à ce qu’aucune </w:t>
      </w:r>
      <w:r w:rsidR="003C1049">
        <w:rPr>
          <w:rFonts w:asciiTheme="majorBidi" w:hAnsiTheme="majorBidi" w:cstheme="majorBidi"/>
          <w:i/>
          <w:iCs/>
          <w:sz w:val="24"/>
          <w:szCs w:val="24"/>
        </w:rPr>
        <w:t>n</w:t>
      </w:r>
      <w:r w:rsidR="003C1049" w:rsidRPr="003C1049">
        <w:rPr>
          <w:rFonts w:asciiTheme="majorBidi" w:hAnsiTheme="majorBidi" w:cstheme="majorBidi"/>
          <w:i/>
          <w:iCs/>
          <w:sz w:val="24"/>
          <w:szCs w:val="24"/>
        </w:rPr>
        <w:t>e soit incompatible avec le but et l’objet du traité en cause et à examiner régulièrement les réserves qu’ils auraient formulées en vue de les retirer </w:t>
      </w:r>
      <w:r w:rsidR="003C1049">
        <w:rPr>
          <w:rFonts w:asciiTheme="majorBidi" w:hAnsiTheme="majorBidi" w:cstheme="majorBidi"/>
          <w:sz w:val="24"/>
          <w:szCs w:val="24"/>
        </w:rPr>
        <w:t xml:space="preserve">» (II,§.5). Le guide </w:t>
      </w:r>
      <w:r w:rsidR="00995837">
        <w:rPr>
          <w:rFonts w:asciiTheme="majorBidi" w:hAnsiTheme="majorBidi" w:cstheme="majorBidi"/>
          <w:sz w:val="24"/>
          <w:szCs w:val="24"/>
        </w:rPr>
        <w:t>« </w:t>
      </w:r>
      <w:r w:rsidR="003C1049">
        <w:rPr>
          <w:rFonts w:asciiTheme="majorBidi" w:hAnsiTheme="majorBidi" w:cstheme="majorBidi"/>
          <w:sz w:val="24"/>
          <w:szCs w:val="24"/>
        </w:rPr>
        <w:t>la pratique des réserves</w:t>
      </w:r>
      <w:r w:rsidR="00995837">
        <w:rPr>
          <w:rFonts w:asciiTheme="majorBidi" w:hAnsiTheme="majorBidi" w:cstheme="majorBidi"/>
          <w:sz w:val="24"/>
          <w:szCs w:val="24"/>
        </w:rPr>
        <w:t> »</w:t>
      </w:r>
      <w:r w:rsidR="003C1049">
        <w:rPr>
          <w:rFonts w:asciiTheme="majorBidi" w:hAnsiTheme="majorBidi" w:cstheme="majorBidi"/>
          <w:sz w:val="24"/>
          <w:szCs w:val="24"/>
        </w:rPr>
        <w:t xml:space="preserve"> élaboré par la CDI, à la suite des rapports d’Alain Pellet, préconise un « dialogue réservataire »  dans le même esprit.  </w:t>
      </w:r>
    </w:p>
    <w:p w:rsidR="00CB14E8" w:rsidRDefault="00B37CB0" w:rsidP="00AE49F0">
      <w:pPr>
        <w:jc w:val="both"/>
        <w:rPr>
          <w:rFonts w:asciiTheme="majorBidi" w:hAnsiTheme="majorBidi" w:cstheme="majorBidi"/>
          <w:sz w:val="24"/>
          <w:szCs w:val="24"/>
        </w:rPr>
      </w:pPr>
      <w:r>
        <w:rPr>
          <w:rFonts w:asciiTheme="majorBidi" w:hAnsiTheme="majorBidi" w:cstheme="majorBidi"/>
          <w:sz w:val="24"/>
          <w:szCs w:val="24"/>
        </w:rPr>
        <w:tab/>
      </w:r>
      <w:r w:rsidR="003C1049">
        <w:rPr>
          <w:rFonts w:asciiTheme="majorBidi" w:hAnsiTheme="majorBidi" w:cstheme="majorBidi"/>
          <w:sz w:val="24"/>
          <w:szCs w:val="24"/>
        </w:rPr>
        <w:t>On doit également considérer que le Protocole additionnel à la Convention, « l’OP-CAT »</w:t>
      </w:r>
      <w:r w:rsidR="00CB14E8">
        <w:rPr>
          <w:rFonts w:asciiTheme="majorBidi" w:hAnsiTheme="majorBidi" w:cstheme="majorBidi"/>
          <w:sz w:val="24"/>
          <w:szCs w:val="24"/>
        </w:rPr>
        <w:t xml:space="preserve"> qui a été adopté en 2002, il y a douze ans - douze ans déjà, douze ans seulement - ne comporte que 74 ratifications, soit moins que la moitié des Etats parties à la Convention.  Même en ajoutant les 19 Etats signataires, on est loin du compte. Ce n’est pas le lieu de faire une analyse croisée des statistiques, mais on peut constater qu’un Etat, comme l’Angola a signé en même temps les deux instruments, contrairement à Haïti ou au Vietnam.</w:t>
      </w:r>
    </w:p>
    <w:p w:rsidR="00E540B3" w:rsidRDefault="00E540B3" w:rsidP="00AE49F0">
      <w:pPr>
        <w:jc w:val="both"/>
        <w:rPr>
          <w:rFonts w:asciiTheme="majorBidi" w:hAnsiTheme="majorBidi" w:cstheme="majorBidi"/>
          <w:sz w:val="24"/>
          <w:szCs w:val="24"/>
        </w:rPr>
      </w:pPr>
    </w:p>
    <w:p w:rsidR="00CB14E8" w:rsidRDefault="00CB14E8" w:rsidP="00E540B3">
      <w:pPr>
        <w:jc w:val="both"/>
        <w:rPr>
          <w:rFonts w:asciiTheme="majorBidi" w:hAnsiTheme="majorBidi" w:cstheme="majorBidi"/>
          <w:sz w:val="24"/>
          <w:szCs w:val="24"/>
        </w:rPr>
      </w:pPr>
      <w:r w:rsidRPr="00AE49F0">
        <w:rPr>
          <w:rFonts w:asciiTheme="majorBidi" w:hAnsiTheme="majorBidi" w:cstheme="majorBidi"/>
          <w:b/>
          <w:bCs/>
          <w:sz w:val="24"/>
          <w:szCs w:val="24"/>
        </w:rPr>
        <w:t>II – LA PROMOTION DE LA RATIFICATION</w:t>
      </w:r>
      <w:r>
        <w:rPr>
          <w:rFonts w:asciiTheme="majorBidi" w:hAnsiTheme="majorBidi" w:cstheme="majorBidi"/>
          <w:sz w:val="24"/>
          <w:szCs w:val="24"/>
        </w:rPr>
        <w:t>.</w:t>
      </w:r>
    </w:p>
    <w:p w:rsidR="00CB14E8" w:rsidRDefault="00CB14E8" w:rsidP="00CB14E8">
      <w:pPr>
        <w:jc w:val="both"/>
        <w:rPr>
          <w:rFonts w:asciiTheme="majorBidi" w:hAnsiTheme="majorBidi" w:cstheme="majorBidi"/>
          <w:sz w:val="24"/>
          <w:szCs w:val="24"/>
        </w:rPr>
      </w:pPr>
      <w:r>
        <w:rPr>
          <w:rFonts w:asciiTheme="majorBidi" w:hAnsiTheme="majorBidi" w:cstheme="majorBidi"/>
          <w:sz w:val="24"/>
          <w:szCs w:val="24"/>
        </w:rPr>
        <w:t>1</w:t>
      </w:r>
      <w:r w:rsidR="00B37CB0">
        <w:rPr>
          <w:rFonts w:asciiTheme="majorBidi" w:hAnsiTheme="majorBidi" w:cstheme="majorBidi"/>
          <w:sz w:val="24"/>
          <w:szCs w:val="24"/>
        </w:rPr>
        <w:t>.</w:t>
      </w:r>
      <w:r>
        <w:rPr>
          <w:rFonts w:asciiTheme="majorBidi" w:hAnsiTheme="majorBidi" w:cstheme="majorBidi"/>
          <w:sz w:val="24"/>
          <w:szCs w:val="24"/>
        </w:rPr>
        <w:t xml:space="preserve"> </w:t>
      </w:r>
      <w:r w:rsidRPr="00CB14E8">
        <w:rPr>
          <w:rFonts w:asciiTheme="majorBidi" w:hAnsiTheme="majorBidi" w:cstheme="majorBidi"/>
          <w:sz w:val="24"/>
          <w:szCs w:val="24"/>
          <w:u w:val="single"/>
        </w:rPr>
        <w:t>L’approche globale</w:t>
      </w:r>
      <w:r>
        <w:rPr>
          <w:rFonts w:asciiTheme="majorBidi" w:hAnsiTheme="majorBidi" w:cstheme="majorBidi"/>
          <w:sz w:val="24"/>
          <w:szCs w:val="24"/>
        </w:rPr>
        <w:t>.</w:t>
      </w:r>
    </w:p>
    <w:p w:rsidR="0075022F" w:rsidRDefault="00B37CB0" w:rsidP="007A0436">
      <w:pPr>
        <w:jc w:val="both"/>
        <w:rPr>
          <w:rFonts w:asciiTheme="majorBidi" w:hAnsiTheme="majorBidi" w:cstheme="majorBidi"/>
          <w:sz w:val="24"/>
          <w:szCs w:val="24"/>
        </w:rPr>
      </w:pPr>
      <w:r>
        <w:rPr>
          <w:rFonts w:asciiTheme="majorBidi" w:hAnsiTheme="majorBidi" w:cstheme="majorBidi"/>
          <w:sz w:val="24"/>
          <w:szCs w:val="24"/>
        </w:rPr>
        <w:tab/>
      </w:r>
      <w:r w:rsidR="00CB14E8">
        <w:rPr>
          <w:rFonts w:asciiTheme="majorBidi" w:hAnsiTheme="majorBidi" w:cstheme="majorBidi"/>
          <w:sz w:val="24"/>
          <w:szCs w:val="24"/>
        </w:rPr>
        <w:t>Depuis la Conférence de Vienne, les incitations à ratifier se mu</w:t>
      </w:r>
      <w:r w:rsidR="007A0436">
        <w:rPr>
          <w:rFonts w:asciiTheme="majorBidi" w:hAnsiTheme="majorBidi" w:cstheme="majorBidi"/>
          <w:sz w:val="24"/>
          <w:szCs w:val="24"/>
        </w:rPr>
        <w:t>l</w:t>
      </w:r>
      <w:r w:rsidR="00CB14E8">
        <w:rPr>
          <w:rFonts w:asciiTheme="majorBidi" w:hAnsiTheme="majorBidi" w:cstheme="majorBidi"/>
          <w:sz w:val="24"/>
          <w:szCs w:val="24"/>
        </w:rPr>
        <w:t>tiplient. Le Secrétaire général, comme dépositaire, organise chaque année la « semaine des traités », en marge de l’ouverture de la session de l’Assemblée générale à New York, ma</w:t>
      </w:r>
      <w:r w:rsidR="007A0436">
        <w:rPr>
          <w:rFonts w:asciiTheme="majorBidi" w:hAnsiTheme="majorBidi" w:cstheme="majorBidi"/>
          <w:sz w:val="24"/>
          <w:szCs w:val="24"/>
        </w:rPr>
        <w:t>is on peut se demander si la fo</w:t>
      </w:r>
      <w:r w:rsidR="00CB14E8">
        <w:rPr>
          <w:rFonts w:asciiTheme="majorBidi" w:hAnsiTheme="majorBidi" w:cstheme="majorBidi"/>
          <w:sz w:val="24"/>
          <w:szCs w:val="24"/>
        </w:rPr>
        <w:t xml:space="preserve">rmule ne s’épuise pas quelque peu. </w:t>
      </w:r>
    </w:p>
    <w:p w:rsidR="007A0436" w:rsidRDefault="00B37CB0" w:rsidP="007A0436">
      <w:pPr>
        <w:jc w:val="both"/>
        <w:rPr>
          <w:rFonts w:asciiTheme="majorBidi" w:hAnsiTheme="majorBidi" w:cstheme="majorBidi"/>
          <w:sz w:val="24"/>
          <w:szCs w:val="24"/>
        </w:rPr>
      </w:pPr>
      <w:r>
        <w:rPr>
          <w:rFonts w:asciiTheme="majorBidi" w:hAnsiTheme="majorBidi" w:cstheme="majorBidi"/>
          <w:sz w:val="24"/>
          <w:szCs w:val="24"/>
        </w:rPr>
        <w:tab/>
      </w:r>
      <w:r w:rsidR="007A0436">
        <w:rPr>
          <w:rFonts w:asciiTheme="majorBidi" w:hAnsiTheme="majorBidi" w:cstheme="majorBidi"/>
          <w:sz w:val="24"/>
          <w:szCs w:val="24"/>
        </w:rPr>
        <w:t xml:space="preserve">Plus récemment la création du Conseil des droits de l’homme a mis en place un double mécanisme d’incitation. A défaut d’exiger la ratification des « traités de base » pour se porter candidat à un siège au Conseil des droits de l’homme, les Etats sont incités à formuler des engagements volontaires </w:t>
      </w:r>
      <w:r w:rsidR="007A0436" w:rsidRPr="007A0436">
        <w:rPr>
          <w:rFonts w:asciiTheme="majorBidi" w:hAnsiTheme="majorBidi" w:cstheme="majorBidi"/>
          <w:i/>
          <w:iCs/>
          <w:sz w:val="24"/>
          <w:szCs w:val="24"/>
        </w:rPr>
        <w:t>(</w:t>
      </w:r>
      <w:proofErr w:type="spellStart"/>
      <w:r w:rsidR="007A0436" w:rsidRPr="007A0436">
        <w:rPr>
          <w:rFonts w:asciiTheme="majorBidi" w:hAnsiTheme="majorBidi" w:cstheme="majorBidi"/>
          <w:i/>
          <w:iCs/>
          <w:sz w:val="24"/>
          <w:szCs w:val="24"/>
        </w:rPr>
        <w:t>pledges</w:t>
      </w:r>
      <w:proofErr w:type="spellEnd"/>
      <w:r w:rsidR="007A0436">
        <w:rPr>
          <w:rFonts w:asciiTheme="majorBidi" w:hAnsiTheme="majorBidi" w:cstheme="majorBidi"/>
          <w:sz w:val="24"/>
          <w:szCs w:val="24"/>
        </w:rPr>
        <w:t xml:space="preserve">). Et qui plus est ces engagements font partie des termes de référence de l’Examen périodique universel, où les Etats peuvent également recommander à l’Etat examiné de ratifier tel instrument, comme la Convention contre la torture de 1984. </w:t>
      </w:r>
    </w:p>
    <w:p w:rsidR="007A0436" w:rsidRDefault="00B37CB0" w:rsidP="00E67837">
      <w:pPr>
        <w:jc w:val="both"/>
        <w:rPr>
          <w:rFonts w:asciiTheme="majorBidi" w:hAnsiTheme="majorBidi" w:cstheme="majorBidi"/>
          <w:sz w:val="24"/>
          <w:szCs w:val="24"/>
        </w:rPr>
      </w:pPr>
      <w:r>
        <w:rPr>
          <w:rFonts w:asciiTheme="majorBidi" w:hAnsiTheme="majorBidi" w:cstheme="majorBidi"/>
          <w:sz w:val="24"/>
          <w:szCs w:val="24"/>
        </w:rPr>
        <w:tab/>
      </w:r>
      <w:r w:rsidR="007A0436">
        <w:rPr>
          <w:rFonts w:asciiTheme="majorBidi" w:hAnsiTheme="majorBidi" w:cstheme="majorBidi"/>
          <w:sz w:val="24"/>
          <w:szCs w:val="24"/>
        </w:rPr>
        <w:t>Enfin le Conseil des droits de l’homme, comme l’Assemblée générale recommandent chaque année, de manière quelque peu rituelle il est vrai, la ratification de la Convention de 1984.</w:t>
      </w:r>
      <w:r w:rsidR="00E67837">
        <w:rPr>
          <w:rFonts w:asciiTheme="majorBidi" w:hAnsiTheme="majorBidi" w:cstheme="majorBidi"/>
          <w:sz w:val="24"/>
          <w:szCs w:val="24"/>
        </w:rPr>
        <w:t xml:space="preserve"> C’est encore le cas de la résolution 68/156 adoptée au consensus par l’AG le 18 décembre 2013 qui « </w:t>
      </w:r>
      <w:r w:rsidR="00E67837" w:rsidRPr="00E67837">
        <w:rPr>
          <w:rFonts w:asciiTheme="majorBidi" w:hAnsiTheme="majorBidi" w:cstheme="majorBidi"/>
          <w:i/>
          <w:iCs/>
          <w:sz w:val="24"/>
          <w:szCs w:val="24"/>
        </w:rPr>
        <w:t>exhorte</w:t>
      </w:r>
      <w:r w:rsidR="00E67837">
        <w:rPr>
          <w:rFonts w:asciiTheme="majorBidi" w:hAnsiTheme="majorBidi" w:cstheme="majorBidi"/>
          <w:sz w:val="24"/>
          <w:szCs w:val="24"/>
        </w:rPr>
        <w:t> » les Etats à ratifier la Convention et le Protocole « </w:t>
      </w:r>
      <w:r w:rsidR="00E67837" w:rsidRPr="00E67837">
        <w:rPr>
          <w:rFonts w:asciiTheme="majorBidi" w:hAnsiTheme="majorBidi" w:cstheme="majorBidi"/>
          <w:i/>
          <w:iCs/>
          <w:sz w:val="24"/>
          <w:szCs w:val="24"/>
        </w:rPr>
        <w:t>à titre prioritaire</w:t>
      </w:r>
      <w:r w:rsidR="00E67837">
        <w:rPr>
          <w:rFonts w:asciiTheme="majorBidi" w:hAnsiTheme="majorBidi" w:cstheme="majorBidi"/>
          <w:sz w:val="24"/>
          <w:szCs w:val="24"/>
        </w:rPr>
        <w:t> » (§.31).</w:t>
      </w:r>
    </w:p>
    <w:p w:rsidR="007A0436" w:rsidRDefault="007A0436" w:rsidP="007A0436">
      <w:pPr>
        <w:jc w:val="both"/>
        <w:rPr>
          <w:rFonts w:asciiTheme="majorBidi" w:hAnsiTheme="majorBidi" w:cstheme="majorBidi"/>
          <w:sz w:val="24"/>
          <w:szCs w:val="24"/>
        </w:rPr>
      </w:pPr>
      <w:r>
        <w:rPr>
          <w:rFonts w:asciiTheme="majorBidi" w:hAnsiTheme="majorBidi" w:cstheme="majorBidi"/>
          <w:sz w:val="24"/>
          <w:szCs w:val="24"/>
        </w:rPr>
        <w:t>2</w:t>
      </w:r>
      <w:r w:rsidR="00E540B3">
        <w:rPr>
          <w:rFonts w:asciiTheme="majorBidi" w:hAnsiTheme="majorBidi" w:cstheme="majorBidi"/>
          <w:sz w:val="24"/>
          <w:szCs w:val="24"/>
        </w:rPr>
        <w:t>.</w:t>
      </w:r>
      <w:r>
        <w:rPr>
          <w:rFonts w:asciiTheme="majorBidi" w:hAnsiTheme="majorBidi" w:cstheme="majorBidi"/>
          <w:sz w:val="24"/>
          <w:szCs w:val="24"/>
        </w:rPr>
        <w:t xml:space="preserve"> </w:t>
      </w:r>
      <w:r w:rsidRPr="007A0436">
        <w:rPr>
          <w:rFonts w:asciiTheme="majorBidi" w:hAnsiTheme="majorBidi" w:cstheme="majorBidi"/>
          <w:sz w:val="24"/>
          <w:szCs w:val="24"/>
          <w:u w:val="single"/>
        </w:rPr>
        <w:t>L’approche spécifique</w:t>
      </w:r>
      <w:r>
        <w:rPr>
          <w:rFonts w:asciiTheme="majorBidi" w:hAnsiTheme="majorBidi" w:cstheme="majorBidi"/>
          <w:sz w:val="24"/>
          <w:szCs w:val="24"/>
        </w:rPr>
        <w:t xml:space="preserve">. </w:t>
      </w:r>
    </w:p>
    <w:p w:rsidR="007A0436" w:rsidRDefault="00E540B3" w:rsidP="007A0436">
      <w:pPr>
        <w:jc w:val="both"/>
        <w:rPr>
          <w:rFonts w:asciiTheme="majorBidi" w:hAnsiTheme="majorBidi" w:cstheme="majorBidi"/>
          <w:sz w:val="24"/>
          <w:szCs w:val="24"/>
        </w:rPr>
      </w:pPr>
      <w:r>
        <w:rPr>
          <w:rFonts w:asciiTheme="majorBidi" w:hAnsiTheme="majorBidi" w:cstheme="majorBidi"/>
          <w:sz w:val="24"/>
          <w:szCs w:val="24"/>
        </w:rPr>
        <w:tab/>
      </w:r>
      <w:r w:rsidR="007A0436">
        <w:rPr>
          <w:rFonts w:asciiTheme="majorBidi" w:hAnsiTheme="majorBidi" w:cstheme="majorBidi"/>
          <w:sz w:val="24"/>
          <w:szCs w:val="24"/>
        </w:rPr>
        <w:t xml:space="preserve">Des actions plus ciblées </w:t>
      </w:r>
      <w:r w:rsidR="00802A63">
        <w:rPr>
          <w:rFonts w:asciiTheme="majorBidi" w:hAnsiTheme="majorBidi" w:cstheme="majorBidi"/>
          <w:sz w:val="24"/>
          <w:szCs w:val="24"/>
        </w:rPr>
        <w:t>s’</w:t>
      </w:r>
      <w:r w:rsidR="007A0436">
        <w:rPr>
          <w:rFonts w:asciiTheme="majorBidi" w:hAnsiTheme="majorBidi" w:cstheme="majorBidi"/>
          <w:sz w:val="24"/>
          <w:szCs w:val="24"/>
        </w:rPr>
        <w:t>imposent sans doute pour aller plus loin, alors qu’on touche les limites du «</w:t>
      </w:r>
      <w:r w:rsidR="007A0436" w:rsidRPr="007A0436">
        <w:rPr>
          <w:rFonts w:asciiTheme="majorBidi" w:hAnsiTheme="majorBidi" w:cstheme="majorBidi"/>
          <w:i/>
          <w:iCs/>
          <w:sz w:val="24"/>
          <w:szCs w:val="24"/>
        </w:rPr>
        <w:t> </w:t>
      </w:r>
      <w:proofErr w:type="spellStart"/>
      <w:r w:rsidR="007A0436" w:rsidRPr="007A0436">
        <w:rPr>
          <w:rFonts w:asciiTheme="majorBidi" w:hAnsiTheme="majorBidi" w:cstheme="majorBidi"/>
          <w:i/>
          <w:iCs/>
          <w:sz w:val="24"/>
          <w:szCs w:val="24"/>
        </w:rPr>
        <w:t>membership</w:t>
      </w:r>
      <w:proofErr w:type="spellEnd"/>
      <w:r w:rsidR="007A0436" w:rsidRPr="007A0436">
        <w:rPr>
          <w:rFonts w:asciiTheme="majorBidi" w:hAnsiTheme="majorBidi" w:cstheme="majorBidi"/>
          <w:i/>
          <w:iCs/>
          <w:sz w:val="24"/>
          <w:szCs w:val="24"/>
        </w:rPr>
        <w:t> </w:t>
      </w:r>
      <w:r w:rsidR="007A0436">
        <w:rPr>
          <w:rFonts w:asciiTheme="majorBidi" w:hAnsiTheme="majorBidi" w:cstheme="majorBidi"/>
          <w:sz w:val="24"/>
          <w:szCs w:val="24"/>
        </w:rPr>
        <w:t xml:space="preserve">» de la Convention, avec des situations de plus en plus </w:t>
      </w:r>
      <w:r w:rsidR="007A0436">
        <w:rPr>
          <w:rFonts w:asciiTheme="majorBidi" w:hAnsiTheme="majorBidi" w:cstheme="majorBidi"/>
          <w:sz w:val="24"/>
          <w:szCs w:val="24"/>
        </w:rPr>
        <w:lastRenderedPageBreak/>
        <w:t xml:space="preserve">spécifiques. C’est déjà le cas, lorsqu’un autre organe de traité comme le fait le Comité des disparitions forcées, recommande dans ses observations finales la ratification de l’OP-CAT. </w:t>
      </w:r>
    </w:p>
    <w:p w:rsidR="007A0436" w:rsidRDefault="00E540B3" w:rsidP="00E67837">
      <w:pPr>
        <w:jc w:val="both"/>
        <w:rPr>
          <w:rFonts w:asciiTheme="majorBidi" w:hAnsiTheme="majorBidi" w:cstheme="majorBidi"/>
          <w:sz w:val="24"/>
          <w:szCs w:val="24"/>
        </w:rPr>
      </w:pPr>
      <w:r>
        <w:rPr>
          <w:rFonts w:asciiTheme="majorBidi" w:hAnsiTheme="majorBidi" w:cstheme="majorBidi"/>
          <w:sz w:val="24"/>
          <w:szCs w:val="24"/>
        </w:rPr>
        <w:tab/>
      </w:r>
      <w:r w:rsidR="007A0436">
        <w:rPr>
          <w:rFonts w:asciiTheme="majorBidi" w:hAnsiTheme="majorBidi" w:cstheme="majorBidi"/>
          <w:sz w:val="24"/>
          <w:szCs w:val="24"/>
        </w:rPr>
        <w:t>Cela peut-être également le rôle des rapporteurs par pays et des procédures spéciales, mais aussi des présences du Haut-Commissariat sur le terrain qui sont de plus en plus actives.</w:t>
      </w:r>
      <w:r w:rsidR="007D5794">
        <w:rPr>
          <w:rFonts w:asciiTheme="majorBidi" w:hAnsiTheme="majorBidi" w:cstheme="majorBidi"/>
          <w:sz w:val="24"/>
          <w:szCs w:val="24"/>
        </w:rPr>
        <w:t xml:space="preserve"> Ce n’est sans doute pas un hasard si plusieurs Etats qui n’ont pas signé la Convention font l’objet </w:t>
      </w:r>
      <w:r w:rsidR="007D5794" w:rsidRPr="00E67837">
        <w:rPr>
          <w:rFonts w:asciiTheme="majorBidi" w:hAnsiTheme="majorBidi" w:cstheme="majorBidi"/>
          <w:sz w:val="24"/>
          <w:szCs w:val="24"/>
        </w:rPr>
        <w:t>d’une procédure par pays,</w:t>
      </w:r>
      <w:r w:rsidR="007D5794">
        <w:rPr>
          <w:rFonts w:asciiTheme="majorBidi" w:hAnsiTheme="majorBidi" w:cstheme="majorBidi"/>
          <w:sz w:val="24"/>
          <w:szCs w:val="24"/>
        </w:rPr>
        <w:t xml:space="preserve"> </w:t>
      </w:r>
      <w:r w:rsidR="00E67837">
        <w:rPr>
          <w:rFonts w:asciiTheme="majorBidi" w:hAnsiTheme="majorBidi" w:cstheme="majorBidi"/>
          <w:sz w:val="24"/>
          <w:szCs w:val="24"/>
        </w:rPr>
        <w:t xml:space="preserve">comme l’Erythrée, la RCA, le Soudan, la RPD de Corée et le Myanmar, ou encore Haïti. De même le rapporteur spécial sur la torture, dont le mandat initial date de 1985, a fait récemment des visites dans des Etats qui ne sont pas encore liés par la Convention – comme la Jamaïque (A/HRC/16/52/Add.2) et la Papouasie-Nouvelle-Guinée (A/HRC/16/52/Add.5) – mais surtout Juan </w:t>
      </w:r>
      <w:proofErr w:type="spellStart"/>
      <w:r w:rsidR="00E67837">
        <w:rPr>
          <w:rFonts w:asciiTheme="majorBidi" w:hAnsiTheme="majorBidi" w:cstheme="majorBidi"/>
          <w:sz w:val="24"/>
          <w:szCs w:val="24"/>
        </w:rPr>
        <w:t>Mendez</w:t>
      </w:r>
      <w:proofErr w:type="spellEnd"/>
      <w:r w:rsidR="00E67837">
        <w:rPr>
          <w:rFonts w:asciiTheme="majorBidi" w:hAnsiTheme="majorBidi" w:cstheme="majorBidi"/>
          <w:sz w:val="24"/>
          <w:szCs w:val="24"/>
        </w:rPr>
        <w:t xml:space="preserve">, comme ses prédécesseurs ont dressé une liste de demandes de visite, incluant l’Inde (1993), l’Iran (2005) </w:t>
      </w:r>
      <w:r w:rsidR="0074022E">
        <w:rPr>
          <w:rFonts w:asciiTheme="majorBidi" w:hAnsiTheme="majorBidi" w:cstheme="majorBidi"/>
          <w:sz w:val="24"/>
          <w:szCs w:val="24"/>
        </w:rPr>
        <w:t>et le Zimbabwe (2005).</w:t>
      </w:r>
    </w:p>
    <w:p w:rsidR="007D5794" w:rsidRDefault="00E540B3" w:rsidP="007D5794">
      <w:pPr>
        <w:jc w:val="both"/>
        <w:rPr>
          <w:rFonts w:asciiTheme="majorBidi" w:hAnsiTheme="majorBidi" w:cstheme="majorBidi"/>
          <w:sz w:val="24"/>
          <w:szCs w:val="24"/>
        </w:rPr>
      </w:pPr>
      <w:r>
        <w:rPr>
          <w:rFonts w:asciiTheme="majorBidi" w:hAnsiTheme="majorBidi" w:cstheme="majorBidi"/>
          <w:sz w:val="24"/>
          <w:szCs w:val="24"/>
        </w:rPr>
        <w:tab/>
      </w:r>
      <w:r w:rsidR="007D5794">
        <w:rPr>
          <w:rFonts w:asciiTheme="majorBidi" w:hAnsiTheme="majorBidi" w:cstheme="majorBidi"/>
          <w:sz w:val="24"/>
          <w:szCs w:val="24"/>
        </w:rPr>
        <w:t xml:space="preserve">Il ne faut pas oublier l’action essentielle des ONG internationales, notamment les ONG spécialisées, comme l’OMCT, l’APT, la FIACAT, ou des ONG locales, pour promouvoir la Convention, au plus près des réalités et des préoccupations nationales. </w:t>
      </w:r>
    </w:p>
    <w:p w:rsidR="007D5794" w:rsidRDefault="00E540B3" w:rsidP="00A01958">
      <w:pPr>
        <w:jc w:val="both"/>
        <w:rPr>
          <w:rFonts w:asciiTheme="majorBidi" w:hAnsiTheme="majorBidi" w:cstheme="majorBidi"/>
          <w:sz w:val="24"/>
          <w:szCs w:val="24"/>
        </w:rPr>
      </w:pPr>
      <w:r>
        <w:rPr>
          <w:rFonts w:asciiTheme="majorBidi" w:hAnsiTheme="majorBidi" w:cstheme="majorBidi"/>
          <w:sz w:val="24"/>
          <w:szCs w:val="24"/>
        </w:rPr>
        <w:tab/>
      </w:r>
      <w:r w:rsidR="007D5794">
        <w:rPr>
          <w:rFonts w:asciiTheme="majorBidi" w:hAnsiTheme="majorBidi" w:cstheme="majorBidi"/>
          <w:sz w:val="24"/>
          <w:szCs w:val="24"/>
        </w:rPr>
        <w:t xml:space="preserve">Il serait également très utile que les bureaux régionaux du OHCHR ou des organisations internationales, régionales comme l’UA ou l’ASEAN, ou transrégionales comme l’UPI,  l’OIF, le Commonwealth et l’OIC, se mobilisent pour organiser sur le terrain des ateliers ouverts à toutes les parties prenantes, les représentants des pouvoirs publics et les membres de la société civile, en vue de dégager des « bonnes pratiques » et d’identifier les obstacles politiques, culturels ou techniques à la ratification. </w:t>
      </w:r>
      <w:r w:rsidR="001D3C01">
        <w:rPr>
          <w:rFonts w:asciiTheme="majorBidi" w:hAnsiTheme="majorBidi" w:cstheme="majorBidi"/>
          <w:sz w:val="24"/>
          <w:szCs w:val="24"/>
        </w:rPr>
        <w:t xml:space="preserve">La situation d’une grande démocratie comme l’Inde, signataire depuis 17 ans, n’est pas la même que des Etats qui viennent de signer la Convention il y a à peine un an, comme Haïti, l’Angola et le Vietnam. </w:t>
      </w:r>
      <w:r w:rsidR="001D3C01" w:rsidRPr="00BB6981">
        <w:rPr>
          <w:rFonts w:asciiTheme="majorBidi" w:hAnsiTheme="majorBidi" w:cstheme="majorBidi"/>
          <w:sz w:val="24"/>
          <w:szCs w:val="24"/>
        </w:rPr>
        <w:t>Tout autre est</w:t>
      </w:r>
      <w:r w:rsidR="001D3C01">
        <w:rPr>
          <w:rFonts w:asciiTheme="majorBidi" w:hAnsiTheme="majorBidi" w:cstheme="majorBidi"/>
          <w:sz w:val="24"/>
          <w:szCs w:val="24"/>
        </w:rPr>
        <w:t xml:space="preserve"> la situation d’Etats qui défient la communauté internationale par des</w:t>
      </w:r>
      <w:r w:rsidR="00A01958">
        <w:rPr>
          <w:rFonts w:asciiTheme="majorBidi" w:hAnsiTheme="majorBidi" w:cstheme="majorBidi"/>
          <w:sz w:val="24"/>
          <w:szCs w:val="24"/>
        </w:rPr>
        <w:t xml:space="preserve"> peines ou traitements </w:t>
      </w:r>
      <w:r w:rsidR="001D3C01">
        <w:rPr>
          <w:rFonts w:asciiTheme="majorBidi" w:hAnsiTheme="majorBidi" w:cstheme="majorBidi"/>
          <w:sz w:val="24"/>
          <w:szCs w:val="24"/>
        </w:rPr>
        <w:t xml:space="preserve"> cruels, inhumains et dégradants</w:t>
      </w:r>
      <w:r w:rsidR="00A01958">
        <w:rPr>
          <w:rFonts w:asciiTheme="majorBidi" w:hAnsiTheme="majorBidi" w:cstheme="majorBidi"/>
          <w:sz w:val="24"/>
          <w:szCs w:val="24"/>
        </w:rPr>
        <w:t>, notamment en appliquant des châtiments barbares, comme les amputations et les lapidations</w:t>
      </w:r>
      <w:r w:rsidR="001D3C01">
        <w:rPr>
          <w:rFonts w:asciiTheme="majorBidi" w:hAnsiTheme="majorBidi" w:cstheme="majorBidi"/>
          <w:sz w:val="24"/>
          <w:szCs w:val="24"/>
        </w:rPr>
        <w:t>.</w:t>
      </w:r>
    </w:p>
    <w:p w:rsidR="00A01958" w:rsidRDefault="00E540B3" w:rsidP="00A01958">
      <w:pPr>
        <w:jc w:val="both"/>
        <w:rPr>
          <w:rFonts w:asciiTheme="majorBidi" w:hAnsiTheme="majorBidi" w:cstheme="majorBidi"/>
          <w:sz w:val="24"/>
          <w:szCs w:val="24"/>
        </w:rPr>
      </w:pPr>
      <w:r>
        <w:rPr>
          <w:rFonts w:asciiTheme="majorBidi" w:hAnsiTheme="majorBidi" w:cstheme="majorBidi"/>
          <w:sz w:val="24"/>
          <w:szCs w:val="24"/>
        </w:rPr>
        <w:tab/>
      </w:r>
      <w:r w:rsidR="0074022E">
        <w:rPr>
          <w:rFonts w:asciiTheme="majorBidi" w:hAnsiTheme="majorBidi" w:cstheme="majorBidi"/>
          <w:sz w:val="24"/>
          <w:szCs w:val="24"/>
        </w:rPr>
        <w:t xml:space="preserve">S’agissant d’un principe de </w:t>
      </w:r>
      <w:r w:rsidR="0074022E" w:rsidRPr="0074022E">
        <w:rPr>
          <w:rFonts w:asciiTheme="majorBidi" w:hAnsiTheme="majorBidi" w:cstheme="majorBidi"/>
          <w:i/>
          <w:iCs/>
          <w:sz w:val="24"/>
          <w:szCs w:val="24"/>
        </w:rPr>
        <w:t xml:space="preserve">jus </w:t>
      </w:r>
      <w:proofErr w:type="spellStart"/>
      <w:r w:rsidR="0074022E" w:rsidRPr="0074022E">
        <w:rPr>
          <w:rFonts w:asciiTheme="majorBidi" w:hAnsiTheme="majorBidi" w:cstheme="majorBidi"/>
          <w:i/>
          <w:iCs/>
          <w:sz w:val="24"/>
          <w:szCs w:val="24"/>
        </w:rPr>
        <w:t>cogens</w:t>
      </w:r>
      <w:proofErr w:type="spellEnd"/>
      <w:r w:rsidR="0074022E">
        <w:rPr>
          <w:rFonts w:asciiTheme="majorBidi" w:hAnsiTheme="majorBidi" w:cstheme="majorBidi"/>
          <w:sz w:val="24"/>
          <w:szCs w:val="24"/>
        </w:rPr>
        <w:t xml:space="preserve">, qui est déjà consacré par la </w:t>
      </w:r>
      <w:r w:rsidR="001D3C01">
        <w:rPr>
          <w:rFonts w:asciiTheme="majorBidi" w:hAnsiTheme="majorBidi" w:cstheme="majorBidi"/>
          <w:sz w:val="24"/>
          <w:szCs w:val="24"/>
        </w:rPr>
        <w:t>D</w:t>
      </w:r>
      <w:r w:rsidR="0074022E">
        <w:rPr>
          <w:rFonts w:asciiTheme="majorBidi" w:hAnsiTheme="majorBidi" w:cstheme="majorBidi"/>
          <w:sz w:val="24"/>
          <w:szCs w:val="24"/>
        </w:rPr>
        <w:t xml:space="preserve">éclaration universelle et le Pacte international sur les droits civils et politiques, la Convention de 1984 n’ajoute pas d’obligation de fond à la charge des Etats, mais elle renforce les garanties internes, les mesures de formation, de prévention et de protection. Dans </w:t>
      </w:r>
      <w:r w:rsidR="00FC5F9D">
        <w:rPr>
          <w:rFonts w:asciiTheme="majorBidi" w:hAnsiTheme="majorBidi" w:cstheme="majorBidi"/>
          <w:sz w:val="24"/>
          <w:szCs w:val="24"/>
        </w:rPr>
        <w:t>s</w:t>
      </w:r>
      <w:r w:rsidR="0074022E">
        <w:rPr>
          <w:rFonts w:asciiTheme="majorBidi" w:hAnsiTheme="majorBidi" w:cstheme="majorBidi"/>
          <w:sz w:val="24"/>
          <w:szCs w:val="24"/>
        </w:rPr>
        <w:t xml:space="preserve">on arrêt du 20 juillet 2012  sur l’affaire </w:t>
      </w:r>
      <w:r w:rsidR="0074022E" w:rsidRPr="0074022E">
        <w:rPr>
          <w:rFonts w:asciiTheme="majorBidi" w:hAnsiTheme="majorBidi" w:cstheme="majorBidi"/>
          <w:i/>
          <w:iCs/>
          <w:sz w:val="24"/>
          <w:szCs w:val="24"/>
        </w:rPr>
        <w:t>Belgique c.</w:t>
      </w:r>
      <w:r w:rsidR="0074022E">
        <w:rPr>
          <w:rFonts w:asciiTheme="majorBidi" w:hAnsiTheme="majorBidi" w:cstheme="majorBidi"/>
          <w:i/>
          <w:iCs/>
          <w:sz w:val="24"/>
          <w:szCs w:val="24"/>
        </w:rPr>
        <w:t xml:space="preserve"> </w:t>
      </w:r>
      <w:r w:rsidR="0074022E" w:rsidRPr="0074022E">
        <w:rPr>
          <w:rFonts w:asciiTheme="majorBidi" w:hAnsiTheme="majorBidi" w:cstheme="majorBidi"/>
          <w:i/>
          <w:iCs/>
          <w:sz w:val="24"/>
          <w:szCs w:val="24"/>
        </w:rPr>
        <w:t>Sénégal</w:t>
      </w:r>
      <w:r w:rsidR="0074022E">
        <w:rPr>
          <w:rFonts w:asciiTheme="majorBidi" w:hAnsiTheme="majorBidi" w:cstheme="majorBidi"/>
          <w:sz w:val="24"/>
          <w:szCs w:val="24"/>
        </w:rPr>
        <w:t>, la Cour internationale de justice a précisé la portée de la coopération internationale</w:t>
      </w:r>
      <w:r w:rsidR="00AE49F0">
        <w:rPr>
          <w:rFonts w:asciiTheme="majorBidi" w:hAnsiTheme="majorBidi" w:cstheme="majorBidi"/>
          <w:sz w:val="24"/>
          <w:szCs w:val="24"/>
        </w:rPr>
        <w:t xml:space="preserve"> et de la compétence universelle</w:t>
      </w:r>
      <w:r w:rsidR="0074022E">
        <w:rPr>
          <w:rFonts w:asciiTheme="majorBidi" w:hAnsiTheme="majorBidi" w:cstheme="majorBidi"/>
          <w:sz w:val="24"/>
          <w:szCs w:val="24"/>
        </w:rPr>
        <w:t xml:space="preserve"> en interprétant l’obligation </w:t>
      </w:r>
      <w:proofErr w:type="spellStart"/>
      <w:r w:rsidR="0074022E" w:rsidRPr="0074022E">
        <w:rPr>
          <w:rFonts w:asciiTheme="majorBidi" w:hAnsiTheme="majorBidi" w:cstheme="majorBidi"/>
          <w:i/>
          <w:iCs/>
          <w:sz w:val="24"/>
          <w:szCs w:val="24"/>
        </w:rPr>
        <w:t>aut</w:t>
      </w:r>
      <w:proofErr w:type="spellEnd"/>
      <w:r w:rsidR="0074022E" w:rsidRPr="0074022E">
        <w:rPr>
          <w:rFonts w:asciiTheme="majorBidi" w:hAnsiTheme="majorBidi" w:cstheme="majorBidi"/>
          <w:i/>
          <w:iCs/>
          <w:sz w:val="24"/>
          <w:szCs w:val="24"/>
        </w:rPr>
        <w:t xml:space="preserve"> </w:t>
      </w:r>
      <w:proofErr w:type="spellStart"/>
      <w:r w:rsidR="0074022E" w:rsidRPr="0074022E">
        <w:rPr>
          <w:rFonts w:asciiTheme="majorBidi" w:hAnsiTheme="majorBidi" w:cstheme="majorBidi"/>
          <w:i/>
          <w:iCs/>
          <w:sz w:val="24"/>
          <w:szCs w:val="24"/>
        </w:rPr>
        <w:t>dedere</w:t>
      </w:r>
      <w:proofErr w:type="spellEnd"/>
      <w:r w:rsidR="0074022E" w:rsidRPr="0074022E">
        <w:rPr>
          <w:rFonts w:asciiTheme="majorBidi" w:hAnsiTheme="majorBidi" w:cstheme="majorBidi"/>
          <w:i/>
          <w:iCs/>
          <w:sz w:val="24"/>
          <w:szCs w:val="24"/>
        </w:rPr>
        <w:t xml:space="preserve"> </w:t>
      </w:r>
      <w:proofErr w:type="spellStart"/>
      <w:r w:rsidR="0074022E" w:rsidRPr="0074022E">
        <w:rPr>
          <w:rFonts w:asciiTheme="majorBidi" w:hAnsiTheme="majorBidi" w:cstheme="majorBidi"/>
          <w:i/>
          <w:iCs/>
          <w:sz w:val="24"/>
          <w:szCs w:val="24"/>
        </w:rPr>
        <w:t>aut</w:t>
      </w:r>
      <w:proofErr w:type="spellEnd"/>
      <w:r w:rsidR="0074022E" w:rsidRPr="0074022E">
        <w:rPr>
          <w:rFonts w:asciiTheme="majorBidi" w:hAnsiTheme="majorBidi" w:cstheme="majorBidi"/>
          <w:i/>
          <w:iCs/>
          <w:sz w:val="24"/>
          <w:szCs w:val="24"/>
        </w:rPr>
        <w:t xml:space="preserve"> </w:t>
      </w:r>
      <w:proofErr w:type="spellStart"/>
      <w:r w:rsidR="0074022E" w:rsidRPr="0074022E">
        <w:rPr>
          <w:rFonts w:asciiTheme="majorBidi" w:hAnsiTheme="majorBidi" w:cstheme="majorBidi"/>
          <w:i/>
          <w:iCs/>
          <w:sz w:val="24"/>
          <w:szCs w:val="24"/>
        </w:rPr>
        <w:t>judicare</w:t>
      </w:r>
      <w:proofErr w:type="spellEnd"/>
      <w:r w:rsidR="0074022E">
        <w:rPr>
          <w:rFonts w:asciiTheme="majorBidi" w:hAnsiTheme="majorBidi" w:cstheme="majorBidi"/>
          <w:sz w:val="24"/>
          <w:szCs w:val="24"/>
        </w:rPr>
        <w:t xml:space="preserve">. </w:t>
      </w:r>
      <w:r w:rsidR="001D3C01">
        <w:rPr>
          <w:rFonts w:asciiTheme="majorBidi" w:hAnsiTheme="majorBidi" w:cstheme="majorBidi"/>
          <w:sz w:val="24"/>
          <w:szCs w:val="24"/>
        </w:rPr>
        <w:t xml:space="preserve">De même des clarifications s’imposent sur </w:t>
      </w:r>
      <w:r w:rsidR="00A01958">
        <w:rPr>
          <w:rFonts w:asciiTheme="majorBidi" w:hAnsiTheme="majorBidi" w:cstheme="majorBidi"/>
          <w:sz w:val="24"/>
          <w:szCs w:val="24"/>
        </w:rPr>
        <w:t xml:space="preserve">l’application extraterritoriale de la Convention, comme l’illustre le débat actuel aux Etats-Unis, à la suite du memo rédigé par Harold </w:t>
      </w:r>
      <w:proofErr w:type="spellStart"/>
      <w:r w:rsidR="00A01958">
        <w:rPr>
          <w:rFonts w:asciiTheme="majorBidi" w:hAnsiTheme="majorBidi" w:cstheme="majorBidi"/>
          <w:sz w:val="24"/>
          <w:szCs w:val="24"/>
        </w:rPr>
        <w:t>Koh</w:t>
      </w:r>
      <w:proofErr w:type="spellEnd"/>
      <w:r w:rsidR="00A01958">
        <w:rPr>
          <w:rFonts w:asciiTheme="majorBidi" w:hAnsiTheme="majorBidi" w:cstheme="majorBidi"/>
          <w:sz w:val="24"/>
          <w:szCs w:val="24"/>
        </w:rPr>
        <w:t xml:space="preserve"> en 2013 (</w:t>
      </w:r>
      <w:r w:rsidR="00A01958" w:rsidRPr="00A01958">
        <w:rPr>
          <w:rFonts w:asciiTheme="majorBidi" w:hAnsiTheme="majorBidi" w:cstheme="majorBidi"/>
          <w:i/>
          <w:iCs/>
          <w:sz w:val="24"/>
          <w:szCs w:val="24"/>
        </w:rPr>
        <w:t>International New York Times</w:t>
      </w:r>
      <w:r w:rsidR="00A01958">
        <w:rPr>
          <w:rFonts w:asciiTheme="majorBidi" w:hAnsiTheme="majorBidi" w:cstheme="majorBidi"/>
          <w:sz w:val="24"/>
          <w:szCs w:val="24"/>
        </w:rPr>
        <w:t xml:space="preserve">, 20 octobre 2014). L’exemple doit venir aussi des Etats parties. </w:t>
      </w:r>
    </w:p>
    <w:p w:rsidR="0074022E" w:rsidRDefault="00E540B3" w:rsidP="00AE49F0">
      <w:pPr>
        <w:jc w:val="both"/>
        <w:rPr>
          <w:rFonts w:asciiTheme="majorBidi" w:hAnsiTheme="majorBidi" w:cstheme="majorBidi"/>
          <w:sz w:val="24"/>
          <w:szCs w:val="24"/>
        </w:rPr>
      </w:pPr>
      <w:r>
        <w:rPr>
          <w:rFonts w:asciiTheme="majorBidi" w:hAnsiTheme="majorBidi" w:cstheme="majorBidi"/>
          <w:sz w:val="24"/>
          <w:szCs w:val="24"/>
        </w:rPr>
        <w:tab/>
      </w:r>
      <w:r w:rsidR="00A01958">
        <w:rPr>
          <w:rFonts w:asciiTheme="majorBidi" w:hAnsiTheme="majorBidi" w:cstheme="majorBidi"/>
          <w:sz w:val="24"/>
          <w:szCs w:val="24"/>
        </w:rPr>
        <w:t>Il ne suffit pas de viser la ratification universelle de la Convention, il faut aboutir à son application effective. Mais tout ceci</w:t>
      </w:r>
      <w:r w:rsidR="0074022E">
        <w:rPr>
          <w:rFonts w:asciiTheme="majorBidi" w:hAnsiTheme="majorBidi" w:cstheme="majorBidi"/>
          <w:sz w:val="24"/>
          <w:szCs w:val="24"/>
        </w:rPr>
        <w:t xml:space="preserve"> devrait encourager </w:t>
      </w:r>
      <w:r w:rsidR="00A01958">
        <w:rPr>
          <w:rFonts w:asciiTheme="majorBidi" w:hAnsiTheme="majorBidi" w:cstheme="majorBidi"/>
          <w:sz w:val="24"/>
          <w:szCs w:val="24"/>
        </w:rPr>
        <w:t>la poignée d’</w:t>
      </w:r>
      <w:r w:rsidR="0074022E">
        <w:rPr>
          <w:rFonts w:asciiTheme="majorBidi" w:hAnsiTheme="majorBidi" w:cstheme="majorBidi"/>
          <w:sz w:val="24"/>
          <w:szCs w:val="24"/>
        </w:rPr>
        <w:t>Etats restés au bord du chemin à rejoindre l</w:t>
      </w:r>
      <w:r w:rsidR="00AE49F0">
        <w:rPr>
          <w:rFonts w:asciiTheme="majorBidi" w:hAnsiTheme="majorBidi" w:cstheme="majorBidi"/>
          <w:sz w:val="24"/>
          <w:szCs w:val="24"/>
        </w:rPr>
        <w:t>’ensemble d</w:t>
      </w:r>
      <w:r w:rsidR="0074022E">
        <w:rPr>
          <w:rFonts w:asciiTheme="majorBidi" w:hAnsiTheme="majorBidi" w:cstheme="majorBidi"/>
          <w:sz w:val="24"/>
          <w:szCs w:val="24"/>
        </w:rPr>
        <w:t>es 156 Etats parties</w:t>
      </w:r>
      <w:r w:rsidR="00A01958">
        <w:rPr>
          <w:rFonts w:asciiTheme="majorBidi" w:hAnsiTheme="majorBidi" w:cstheme="majorBidi"/>
          <w:sz w:val="24"/>
          <w:szCs w:val="24"/>
        </w:rPr>
        <w:t>, sans attendre encore une dizaine d’années</w:t>
      </w:r>
      <w:r w:rsidR="00AE49F0">
        <w:rPr>
          <w:rFonts w:asciiTheme="majorBidi" w:hAnsiTheme="majorBidi" w:cstheme="majorBidi"/>
          <w:sz w:val="24"/>
          <w:szCs w:val="24"/>
        </w:rPr>
        <w:t xml:space="preserve"> et le 40</w:t>
      </w:r>
      <w:r w:rsidR="00995837" w:rsidRPr="008A21C4">
        <w:rPr>
          <w:rFonts w:asciiTheme="majorBidi" w:hAnsiTheme="majorBidi" w:cstheme="majorBidi"/>
          <w:sz w:val="24"/>
          <w:szCs w:val="24"/>
          <w:vertAlign w:val="superscript"/>
        </w:rPr>
        <w:t>ème</w:t>
      </w:r>
      <w:r w:rsidR="00AE49F0">
        <w:rPr>
          <w:rFonts w:asciiTheme="majorBidi" w:hAnsiTheme="majorBidi" w:cstheme="majorBidi"/>
          <w:sz w:val="24"/>
          <w:szCs w:val="24"/>
        </w:rPr>
        <w:t xml:space="preserve"> anniversaire de la Convention de 1984. </w:t>
      </w:r>
    </w:p>
    <w:p w:rsidR="00757409" w:rsidRPr="009067BE" w:rsidRDefault="00757409" w:rsidP="003E4223">
      <w:pPr>
        <w:jc w:val="both"/>
        <w:rPr>
          <w:rFonts w:asciiTheme="majorBidi" w:hAnsiTheme="majorBidi" w:cstheme="majorBidi"/>
          <w:sz w:val="24"/>
          <w:szCs w:val="24"/>
        </w:rPr>
      </w:pPr>
    </w:p>
    <w:sectPr w:rsidR="00757409" w:rsidRPr="009067BE" w:rsidSect="0031533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13" w:rsidRDefault="00247913" w:rsidP="00C96D8D">
      <w:pPr>
        <w:spacing w:after="0" w:line="240" w:lineRule="auto"/>
      </w:pPr>
      <w:r>
        <w:separator/>
      </w:r>
    </w:p>
  </w:endnote>
  <w:endnote w:type="continuationSeparator" w:id="0">
    <w:p w:rsidR="00247913" w:rsidRDefault="00247913" w:rsidP="00C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02"/>
      <w:docPartObj>
        <w:docPartGallery w:val="Page Numbers (Bottom of Page)"/>
        <w:docPartUnique/>
      </w:docPartObj>
    </w:sdtPr>
    <w:sdtEndPr/>
    <w:sdtContent>
      <w:p w:rsidR="0074022E" w:rsidRDefault="00995837">
        <w:pPr>
          <w:pStyle w:val="Footer"/>
          <w:jc w:val="center"/>
        </w:pPr>
        <w:r>
          <w:fldChar w:fldCharType="begin"/>
        </w:r>
        <w:r>
          <w:instrText xml:space="preserve"> PAGE   \* MERGEFORMAT </w:instrText>
        </w:r>
        <w:r>
          <w:fldChar w:fldCharType="separate"/>
        </w:r>
        <w:r w:rsidR="0085098F">
          <w:rPr>
            <w:noProof/>
          </w:rPr>
          <w:t>1</w:t>
        </w:r>
        <w:r>
          <w:rPr>
            <w:noProof/>
          </w:rPr>
          <w:fldChar w:fldCharType="end"/>
        </w:r>
      </w:p>
    </w:sdtContent>
  </w:sdt>
  <w:p w:rsidR="0074022E" w:rsidRDefault="0074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13" w:rsidRDefault="00247913" w:rsidP="00C96D8D">
      <w:pPr>
        <w:spacing w:after="0" w:line="240" w:lineRule="auto"/>
      </w:pPr>
      <w:r>
        <w:separator/>
      </w:r>
    </w:p>
  </w:footnote>
  <w:footnote w:type="continuationSeparator" w:id="0">
    <w:p w:rsidR="00247913" w:rsidRDefault="00247913" w:rsidP="00C96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04"/>
    <w:rsid w:val="000C28EF"/>
    <w:rsid w:val="000F4604"/>
    <w:rsid w:val="00111643"/>
    <w:rsid w:val="00180085"/>
    <w:rsid w:val="001D3C01"/>
    <w:rsid w:val="00247913"/>
    <w:rsid w:val="0031533A"/>
    <w:rsid w:val="00351E71"/>
    <w:rsid w:val="003C1049"/>
    <w:rsid w:val="003E4223"/>
    <w:rsid w:val="004A4808"/>
    <w:rsid w:val="004E2100"/>
    <w:rsid w:val="00561C4D"/>
    <w:rsid w:val="006223D8"/>
    <w:rsid w:val="0063584B"/>
    <w:rsid w:val="0074022E"/>
    <w:rsid w:val="00740EED"/>
    <w:rsid w:val="0075022F"/>
    <w:rsid w:val="00757409"/>
    <w:rsid w:val="007A0436"/>
    <w:rsid w:val="007B5C56"/>
    <w:rsid w:val="007D5794"/>
    <w:rsid w:val="00802A63"/>
    <w:rsid w:val="0085098F"/>
    <w:rsid w:val="00865D01"/>
    <w:rsid w:val="00866935"/>
    <w:rsid w:val="008A21C4"/>
    <w:rsid w:val="008E6A2B"/>
    <w:rsid w:val="009067BE"/>
    <w:rsid w:val="00995837"/>
    <w:rsid w:val="009C3889"/>
    <w:rsid w:val="009D0E47"/>
    <w:rsid w:val="00A01958"/>
    <w:rsid w:val="00A564E6"/>
    <w:rsid w:val="00AB2FF8"/>
    <w:rsid w:val="00AE49F0"/>
    <w:rsid w:val="00AF4D7D"/>
    <w:rsid w:val="00B24834"/>
    <w:rsid w:val="00B37CB0"/>
    <w:rsid w:val="00B40F5A"/>
    <w:rsid w:val="00B557AD"/>
    <w:rsid w:val="00BB6981"/>
    <w:rsid w:val="00BD4800"/>
    <w:rsid w:val="00C96D8D"/>
    <w:rsid w:val="00CB14E8"/>
    <w:rsid w:val="00CC529D"/>
    <w:rsid w:val="00E30CCB"/>
    <w:rsid w:val="00E540B3"/>
    <w:rsid w:val="00E67837"/>
    <w:rsid w:val="00EB4EA2"/>
    <w:rsid w:val="00ED4A78"/>
    <w:rsid w:val="00FA44A5"/>
    <w:rsid w:val="00FC5F9D"/>
    <w:rsid w:val="00FE3ADF"/>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D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6D8D"/>
  </w:style>
  <w:style w:type="paragraph" w:styleId="Footer">
    <w:name w:val="footer"/>
    <w:basedOn w:val="Normal"/>
    <w:link w:val="FooterChar"/>
    <w:uiPriority w:val="99"/>
    <w:unhideWhenUsed/>
    <w:rsid w:val="00C96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D8D"/>
  </w:style>
  <w:style w:type="paragraph" w:styleId="BalloonText">
    <w:name w:val="Balloon Text"/>
    <w:basedOn w:val="Normal"/>
    <w:link w:val="BalloonTextChar"/>
    <w:uiPriority w:val="99"/>
    <w:semiHidden/>
    <w:unhideWhenUsed/>
    <w:rsid w:val="00AE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D8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6D8D"/>
  </w:style>
  <w:style w:type="paragraph" w:styleId="Footer">
    <w:name w:val="footer"/>
    <w:basedOn w:val="Normal"/>
    <w:link w:val="FooterChar"/>
    <w:uiPriority w:val="99"/>
    <w:unhideWhenUsed/>
    <w:rsid w:val="00C96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D8D"/>
  </w:style>
  <w:style w:type="paragraph" w:styleId="BalloonText">
    <w:name w:val="Balloon Text"/>
    <w:basedOn w:val="Normal"/>
    <w:link w:val="BalloonTextChar"/>
    <w:uiPriority w:val="99"/>
    <w:semiHidden/>
    <w:unhideWhenUsed/>
    <w:rsid w:val="00AE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2545">
      <w:bodyDiv w:val="1"/>
      <w:marLeft w:val="0"/>
      <w:marRight w:val="0"/>
      <w:marTop w:val="0"/>
      <w:marBottom w:val="0"/>
      <w:divBdr>
        <w:top w:val="none" w:sz="0" w:space="0" w:color="auto"/>
        <w:left w:val="none" w:sz="0" w:space="0" w:color="auto"/>
        <w:bottom w:val="none" w:sz="0" w:space="0" w:color="auto"/>
        <w:right w:val="none" w:sz="0" w:space="0" w:color="auto"/>
      </w:divBdr>
    </w:div>
    <w:div w:id="611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ntranet.ohchr.org/Offices/Geneva/CommunicationsSection/Logos/Office_logo_EN_black_MEDIUM_150dpi.p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Feuil1!$B$1</c:f>
              <c:strCache>
                <c:ptCount val="1"/>
                <c:pt idx="0">
                  <c:v>CAT</c:v>
                </c:pt>
              </c:strCache>
            </c:strRef>
          </c:tx>
          <c:invertIfNegative val="0"/>
          <c:cat>
            <c:numRef>
              <c:f>Feuil1!$A$2:$A$40</c:f>
              <c:numCache>
                <c:formatCode>General</c:formatCode>
                <c:ptCount val="39"/>
                <c:pt idx="0">
                  <c:v>1986</c:v>
                </c:pt>
                <c:pt idx="4">
                  <c:v>1990</c:v>
                </c:pt>
                <c:pt idx="9">
                  <c:v>1995</c:v>
                </c:pt>
                <c:pt idx="14">
                  <c:v>2000</c:v>
                </c:pt>
                <c:pt idx="19">
                  <c:v>2005</c:v>
                </c:pt>
                <c:pt idx="24">
                  <c:v>2010</c:v>
                </c:pt>
              </c:numCache>
            </c:numRef>
          </c:cat>
          <c:val>
            <c:numRef>
              <c:f>Feuil1!$B$2:$B$40</c:f>
              <c:numCache>
                <c:formatCode>General</c:formatCode>
                <c:ptCount val="39"/>
                <c:pt idx="0">
                  <c:v>14</c:v>
                </c:pt>
                <c:pt idx="1">
                  <c:v>27</c:v>
                </c:pt>
                <c:pt idx="2">
                  <c:v>37</c:v>
                </c:pt>
                <c:pt idx="3">
                  <c:v>47</c:v>
                </c:pt>
                <c:pt idx="4">
                  <c:v>54</c:v>
                </c:pt>
                <c:pt idx="5">
                  <c:v>62</c:v>
                </c:pt>
                <c:pt idx="6">
                  <c:v>69</c:v>
                </c:pt>
                <c:pt idx="7">
                  <c:v>78</c:v>
                </c:pt>
                <c:pt idx="8">
                  <c:v>85</c:v>
                </c:pt>
                <c:pt idx="9">
                  <c:v>92</c:v>
                </c:pt>
                <c:pt idx="10">
                  <c:v>100</c:v>
                </c:pt>
                <c:pt idx="11">
                  <c:v>103</c:v>
                </c:pt>
                <c:pt idx="12">
                  <c:v>110</c:v>
                </c:pt>
                <c:pt idx="13">
                  <c:v>117</c:v>
                </c:pt>
                <c:pt idx="14">
                  <c:v>123</c:v>
                </c:pt>
                <c:pt idx="15">
                  <c:v>128</c:v>
                </c:pt>
                <c:pt idx="16">
                  <c:v>133</c:v>
                </c:pt>
                <c:pt idx="17">
                  <c:v>135</c:v>
                </c:pt>
                <c:pt idx="18">
                  <c:v>140</c:v>
                </c:pt>
                <c:pt idx="19">
                  <c:v>142</c:v>
                </c:pt>
                <c:pt idx="20">
                  <c:v>145</c:v>
                </c:pt>
                <c:pt idx="21">
                  <c:v>146</c:v>
                </c:pt>
                <c:pt idx="22">
                  <c:v>147</c:v>
                </c:pt>
                <c:pt idx="23">
                  <c:v>147</c:v>
                </c:pt>
                <c:pt idx="24">
                  <c:v>148</c:v>
                </c:pt>
                <c:pt idx="25">
                  <c:v>150</c:v>
                </c:pt>
                <c:pt idx="26">
                  <c:v>154</c:v>
                </c:pt>
                <c:pt idx="27">
                  <c:v>155</c:v>
                </c:pt>
                <c:pt idx="28">
                  <c:v>155</c:v>
                </c:pt>
              </c:numCache>
            </c:numRef>
          </c:val>
        </c:ser>
        <c:dLbls>
          <c:showLegendKey val="0"/>
          <c:showVal val="0"/>
          <c:showCatName val="0"/>
          <c:showSerName val="0"/>
          <c:showPercent val="0"/>
          <c:showBubbleSize val="0"/>
        </c:dLbls>
        <c:gapWidth val="150"/>
        <c:axId val="99493760"/>
        <c:axId val="111593344"/>
      </c:barChart>
      <c:catAx>
        <c:axId val="99493760"/>
        <c:scaling>
          <c:orientation val="minMax"/>
        </c:scaling>
        <c:delete val="0"/>
        <c:axPos val="b"/>
        <c:numFmt formatCode="General" sourceLinked="1"/>
        <c:majorTickMark val="out"/>
        <c:minorTickMark val="none"/>
        <c:tickLblPos val="nextTo"/>
        <c:crossAx val="111593344"/>
        <c:crosses val="autoZero"/>
        <c:auto val="1"/>
        <c:lblAlgn val="ctr"/>
        <c:lblOffset val="100"/>
        <c:noMultiLvlLbl val="0"/>
      </c:catAx>
      <c:valAx>
        <c:axId val="111593344"/>
        <c:scaling>
          <c:orientation val="minMax"/>
        </c:scaling>
        <c:delete val="0"/>
        <c:axPos val="l"/>
        <c:majorGridlines/>
        <c:numFmt formatCode="General" sourceLinked="1"/>
        <c:majorTickMark val="out"/>
        <c:minorTickMark val="none"/>
        <c:tickLblPos val="nextTo"/>
        <c:crossAx val="99493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6D0C3-9342-4286-BF4A-5DFF4CDC49E2}"/>
</file>

<file path=customXml/itemProps2.xml><?xml version="1.0" encoding="utf-8"?>
<ds:datastoreItem xmlns:ds="http://schemas.openxmlformats.org/officeDocument/2006/customXml" ds:itemID="{D3934DA9-3B34-4540-9200-4DABA6E62530}"/>
</file>

<file path=customXml/itemProps3.xml><?xml version="1.0" encoding="utf-8"?>
<ds:datastoreItem xmlns:ds="http://schemas.openxmlformats.org/officeDocument/2006/customXml" ds:itemID="{DB1E48CB-1D13-47BF-AE31-0B99BA1931B2}"/>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9799</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dc:creator>
  <cp:lastModifiedBy>CAT Intern</cp:lastModifiedBy>
  <cp:revision>2</cp:revision>
  <cp:lastPrinted>2014-10-26T16:46:00Z</cp:lastPrinted>
  <dcterms:created xsi:type="dcterms:W3CDTF">2014-10-29T15:19:00Z</dcterms:created>
  <dcterms:modified xsi:type="dcterms:W3CDTF">2014-10-29T15:19:00Z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