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ED10" w14:textId="3825B0DB" w:rsidR="00E17FE1" w:rsidRPr="00D64EE6" w:rsidRDefault="00E17FE1" w:rsidP="00D64EE6">
      <w:pPr>
        <w:spacing w:after="0" w:line="240" w:lineRule="auto"/>
        <w:jc w:val="center"/>
        <w:rPr>
          <w:rFonts w:ascii="Times New Roman" w:hAnsi="Times New Roman"/>
          <w:b/>
          <w:bCs/>
          <w:sz w:val="32"/>
          <w:szCs w:val="32"/>
        </w:rPr>
      </w:pPr>
      <w:r w:rsidRPr="00D64EE6">
        <w:rPr>
          <w:rFonts w:ascii="Times New Roman" w:hAnsi="Times New Roman"/>
          <w:b/>
          <w:bCs/>
          <w:sz w:val="32"/>
          <w:szCs w:val="32"/>
        </w:rPr>
        <w:t xml:space="preserve">HUMAN RIGHTS COMMITTEE GENERAL COMMENT </w:t>
      </w:r>
    </w:p>
    <w:p w14:paraId="361C4EB0" w14:textId="77777777" w:rsidR="00E17FE1" w:rsidRDefault="00E17FE1" w:rsidP="00D64EE6">
      <w:pPr>
        <w:spacing w:after="0" w:line="240" w:lineRule="auto"/>
        <w:jc w:val="center"/>
        <w:rPr>
          <w:rFonts w:ascii="Times New Roman" w:hAnsi="Times New Roman"/>
          <w:b/>
          <w:bCs/>
          <w:sz w:val="32"/>
          <w:szCs w:val="32"/>
        </w:rPr>
      </w:pPr>
      <w:r w:rsidRPr="00D64EE6">
        <w:rPr>
          <w:rFonts w:ascii="Times New Roman" w:hAnsi="Times New Roman"/>
          <w:b/>
          <w:bCs/>
          <w:sz w:val="32"/>
          <w:szCs w:val="32"/>
        </w:rPr>
        <w:t>ON ARTICLE 6</w:t>
      </w:r>
    </w:p>
    <w:p w14:paraId="117437B9" w14:textId="77777777" w:rsidR="00747306" w:rsidRPr="00D64EE6" w:rsidRDefault="00747306" w:rsidP="00D64EE6">
      <w:pPr>
        <w:spacing w:after="0" w:line="240" w:lineRule="auto"/>
        <w:jc w:val="center"/>
        <w:rPr>
          <w:rFonts w:ascii="Times New Roman" w:hAnsi="Times New Roman"/>
          <w:sz w:val="24"/>
          <w:szCs w:val="24"/>
        </w:rPr>
      </w:pPr>
    </w:p>
    <w:p w14:paraId="353D9970" w14:textId="77777777" w:rsidR="00EB6E63" w:rsidRDefault="00E17FE1" w:rsidP="002C2BB7">
      <w:pPr>
        <w:spacing w:after="0" w:line="240" w:lineRule="auto"/>
        <w:jc w:val="center"/>
        <w:rPr>
          <w:rFonts w:ascii="Times New Roman" w:hAnsi="Times New Roman"/>
          <w:b/>
          <w:bCs/>
          <w:sz w:val="24"/>
          <w:szCs w:val="24"/>
        </w:rPr>
      </w:pPr>
      <w:r w:rsidRPr="00D64EE6">
        <w:rPr>
          <w:rFonts w:ascii="Times New Roman" w:hAnsi="Times New Roman"/>
          <w:b/>
          <w:bCs/>
          <w:sz w:val="24"/>
          <w:szCs w:val="24"/>
        </w:rPr>
        <w:t>Independent Submission for the 114th session</w:t>
      </w:r>
    </w:p>
    <w:p w14:paraId="24230DC6" w14:textId="4059D3CB" w:rsidR="003B0BE5" w:rsidRDefault="003B0BE5" w:rsidP="002C2BB7">
      <w:pPr>
        <w:spacing w:after="0" w:line="240" w:lineRule="auto"/>
        <w:jc w:val="center"/>
        <w:rPr>
          <w:rFonts w:ascii="Times New Roman" w:hAnsi="Times New Roman"/>
          <w:b/>
          <w:bCs/>
          <w:sz w:val="24"/>
          <w:szCs w:val="24"/>
        </w:rPr>
      </w:pPr>
      <w:r>
        <w:rPr>
          <w:rFonts w:ascii="Times New Roman" w:hAnsi="Times New Roman"/>
          <w:b/>
          <w:bCs/>
          <w:sz w:val="24"/>
          <w:szCs w:val="24"/>
        </w:rPr>
        <w:t xml:space="preserve"> July</w:t>
      </w:r>
      <w:r w:rsidR="003C4BC0">
        <w:rPr>
          <w:rFonts w:ascii="Times New Roman" w:hAnsi="Times New Roman"/>
          <w:b/>
          <w:bCs/>
          <w:sz w:val="24"/>
          <w:szCs w:val="24"/>
        </w:rPr>
        <w:t xml:space="preserve"> 14,</w:t>
      </w:r>
      <w:r>
        <w:rPr>
          <w:rFonts w:ascii="Times New Roman" w:hAnsi="Times New Roman"/>
          <w:b/>
          <w:bCs/>
          <w:sz w:val="24"/>
          <w:szCs w:val="24"/>
        </w:rPr>
        <w:t xml:space="preserve"> 2015</w:t>
      </w:r>
    </w:p>
    <w:p w14:paraId="79DB627D" w14:textId="55C57B94" w:rsidR="00747306" w:rsidRPr="00D64EE6" w:rsidRDefault="00747306" w:rsidP="002C2BB7">
      <w:pPr>
        <w:spacing w:after="0" w:line="240" w:lineRule="auto"/>
        <w:jc w:val="center"/>
        <w:rPr>
          <w:rFonts w:ascii="Times New Roman" w:hAnsi="Times New Roman"/>
          <w:b/>
          <w:bCs/>
          <w:sz w:val="24"/>
          <w:szCs w:val="24"/>
        </w:rPr>
      </w:pPr>
    </w:p>
    <w:p w14:paraId="5215E90D" w14:textId="6B75FDE7" w:rsidR="00E17FE1" w:rsidRPr="00D64EE6" w:rsidRDefault="00E17FE1" w:rsidP="00D64EE6">
      <w:pPr>
        <w:spacing w:after="0" w:line="240" w:lineRule="auto"/>
        <w:jc w:val="center"/>
        <w:rPr>
          <w:rFonts w:ascii="Times New Roman" w:hAnsi="Times New Roman"/>
          <w:b/>
          <w:bCs/>
          <w:sz w:val="24"/>
          <w:szCs w:val="24"/>
        </w:rPr>
      </w:pPr>
      <w:r w:rsidRPr="00D64EE6">
        <w:rPr>
          <w:rFonts w:ascii="Times New Roman" w:hAnsi="Times New Roman"/>
          <w:b/>
          <w:bCs/>
          <w:sz w:val="24"/>
          <w:szCs w:val="24"/>
        </w:rPr>
        <w:t>by the</w:t>
      </w:r>
      <w:r w:rsidR="00747306">
        <w:rPr>
          <w:rFonts w:ascii="Times New Roman" w:hAnsi="Times New Roman"/>
          <w:b/>
          <w:bCs/>
          <w:sz w:val="24"/>
          <w:szCs w:val="24"/>
        </w:rPr>
        <w:t xml:space="preserve"> </w:t>
      </w:r>
      <w:r w:rsidRPr="00D64EE6">
        <w:rPr>
          <w:rFonts w:ascii="Times New Roman" w:hAnsi="Times New Roman"/>
          <w:b/>
          <w:bCs/>
          <w:sz w:val="24"/>
          <w:szCs w:val="24"/>
        </w:rPr>
        <w:t xml:space="preserve">HUMAN RIGHTS PROGRAM </w:t>
      </w:r>
    </w:p>
    <w:p w14:paraId="2D9A8C03" w14:textId="77777777" w:rsidR="00E17FE1" w:rsidRPr="00D64EE6" w:rsidRDefault="00E17FE1" w:rsidP="00D64EE6">
      <w:pPr>
        <w:spacing w:after="0" w:line="240" w:lineRule="auto"/>
        <w:jc w:val="center"/>
        <w:rPr>
          <w:rFonts w:ascii="Times New Roman" w:hAnsi="Times New Roman"/>
          <w:b/>
          <w:bCs/>
          <w:sz w:val="20"/>
          <w:szCs w:val="20"/>
        </w:rPr>
      </w:pPr>
      <w:r w:rsidRPr="00D64EE6">
        <w:rPr>
          <w:rFonts w:ascii="Times New Roman" w:hAnsi="Times New Roman"/>
          <w:b/>
          <w:bCs/>
          <w:sz w:val="24"/>
          <w:szCs w:val="24"/>
        </w:rPr>
        <w:t>UNIVERSITY OF MINNESOTA</w:t>
      </w:r>
      <w:r w:rsidRPr="00D64EE6">
        <w:rPr>
          <w:rFonts w:ascii="Times New Roman" w:hAnsi="Times New Roman"/>
          <w:b/>
          <w:bCs/>
          <w:sz w:val="20"/>
          <w:szCs w:val="20"/>
        </w:rPr>
        <w:t xml:space="preserve"> </w:t>
      </w:r>
    </w:p>
    <w:p w14:paraId="2AFA30F9" w14:textId="77777777" w:rsidR="00007F2C" w:rsidRPr="00D64EE6" w:rsidRDefault="00007F2C" w:rsidP="00D64EE6">
      <w:pPr>
        <w:spacing w:after="0" w:line="240" w:lineRule="auto"/>
        <w:jc w:val="center"/>
        <w:rPr>
          <w:rFonts w:ascii="Times New Roman" w:hAnsi="Times New Roman"/>
          <w:sz w:val="24"/>
          <w:szCs w:val="24"/>
        </w:rPr>
      </w:pPr>
    </w:p>
    <w:p w14:paraId="43770A57" w14:textId="7AD6905C" w:rsidR="00E17FE1" w:rsidRPr="00D64EE6" w:rsidRDefault="00E17FE1" w:rsidP="00E17FE1">
      <w:pPr>
        <w:spacing w:line="240" w:lineRule="auto"/>
        <w:contextualSpacing/>
        <w:jc w:val="center"/>
        <w:rPr>
          <w:rFonts w:ascii="Times New Roman" w:hAnsi="Times New Roman"/>
          <w:b/>
          <w:sz w:val="24"/>
          <w:szCs w:val="24"/>
        </w:rPr>
      </w:pPr>
      <w:r w:rsidRPr="00D64EE6">
        <w:rPr>
          <w:rFonts w:ascii="Times New Roman" w:hAnsi="Times New Roman"/>
          <w:b/>
          <w:sz w:val="24"/>
          <w:szCs w:val="24"/>
        </w:rPr>
        <w:t xml:space="preserve">THE OBLIGATION TO </w:t>
      </w:r>
      <w:r w:rsidR="00EC08BA">
        <w:rPr>
          <w:rFonts w:ascii="Times New Roman" w:hAnsi="Times New Roman"/>
          <w:b/>
          <w:sz w:val="24"/>
          <w:szCs w:val="24"/>
        </w:rPr>
        <w:t xml:space="preserve">RESPECT AND </w:t>
      </w:r>
      <w:r w:rsidRPr="00D64EE6">
        <w:rPr>
          <w:rFonts w:ascii="Times New Roman" w:hAnsi="Times New Roman"/>
          <w:b/>
          <w:sz w:val="24"/>
          <w:szCs w:val="24"/>
        </w:rPr>
        <w:t>PROTECT THE RIGHT TO LIFE UNDER ARTICLE 6 FROM</w:t>
      </w:r>
      <w:r w:rsidR="00EC08BA">
        <w:rPr>
          <w:rFonts w:ascii="Times New Roman" w:hAnsi="Times New Roman"/>
          <w:b/>
          <w:sz w:val="24"/>
          <w:szCs w:val="24"/>
        </w:rPr>
        <w:t xml:space="preserve"> FIREARM-RELATED </w:t>
      </w:r>
      <w:r w:rsidRPr="00D64EE6">
        <w:rPr>
          <w:rFonts w:ascii="Times New Roman" w:hAnsi="Times New Roman"/>
          <w:b/>
          <w:sz w:val="24"/>
          <w:szCs w:val="24"/>
        </w:rPr>
        <w:t>VIOLATIONS</w:t>
      </w:r>
      <w:r w:rsidR="00EC08BA">
        <w:rPr>
          <w:rFonts w:ascii="Times New Roman" w:hAnsi="Times New Roman"/>
          <w:b/>
          <w:sz w:val="24"/>
          <w:szCs w:val="24"/>
        </w:rPr>
        <w:t xml:space="preserve"> </w:t>
      </w:r>
    </w:p>
    <w:p w14:paraId="48D48AFD" w14:textId="77777777" w:rsidR="00E17FE1" w:rsidRDefault="00E17FE1" w:rsidP="00E17FE1">
      <w:pPr>
        <w:spacing w:line="240" w:lineRule="auto"/>
        <w:ind w:firstLine="720"/>
        <w:contextualSpacing/>
        <w:rPr>
          <w:rFonts w:ascii="Times New Roman" w:hAnsi="Times New Roman"/>
          <w:sz w:val="24"/>
          <w:szCs w:val="24"/>
        </w:rPr>
      </w:pPr>
    </w:p>
    <w:p w14:paraId="2966BAB6" w14:textId="29745699" w:rsidR="00EC08BA" w:rsidRDefault="00EC08BA" w:rsidP="006F356F">
      <w:pPr>
        <w:spacing w:line="240" w:lineRule="auto"/>
        <w:ind w:firstLine="720"/>
        <w:contextualSpacing/>
        <w:jc w:val="center"/>
        <w:rPr>
          <w:rFonts w:ascii="Times New Roman" w:hAnsi="Times New Roman"/>
          <w:sz w:val="24"/>
          <w:szCs w:val="24"/>
        </w:rPr>
      </w:pPr>
      <w:r>
        <w:rPr>
          <w:rFonts w:ascii="Times New Roman" w:hAnsi="Times New Roman"/>
          <w:sz w:val="24"/>
          <w:szCs w:val="24"/>
        </w:rPr>
        <w:t>RECOMMENDATIONS</w:t>
      </w:r>
    </w:p>
    <w:p w14:paraId="3B1F84C9" w14:textId="77777777" w:rsidR="00EC08BA" w:rsidRDefault="00EC08BA" w:rsidP="006F356F">
      <w:pPr>
        <w:spacing w:line="240" w:lineRule="auto"/>
        <w:ind w:firstLine="720"/>
        <w:contextualSpacing/>
        <w:jc w:val="center"/>
        <w:rPr>
          <w:rFonts w:ascii="Times New Roman" w:hAnsi="Times New Roman"/>
          <w:sz w:val="24"/>
          <w:szCs w:val="24"/>
        </w:rPr>
      </w:pPr>
    </w:p>
    <w:p w14:paraId="2A749B01" w14:textId="1422AD51" w:rsidR="00B85213" w:rsidRDefault="00EC08BA" w:rsidP="001E4FE8">
      <w:pPr>
        <w:spacing w:after="0" w:line="240" w:lineRule="auto"/>
        <w:ind w:firstLine="720"/>
        <w:contextualSpacing/>
        <w:rPr>
          <w:rFonts w:ascii="Times New Roman" w:hAnsi="Times New Roman"/>
          <w:sz w:val="24"/>
          <w:szCs w:val="24"/>
        </w:rPr>
      </w:pPr>
      <w:r w:rsidRPr="00EC08BA">
        <w:rPr>
          <w:rFonts w:ascii="Times New Roman" w:hAnsi="Times New Roman"/>
          <w:sz w:val="24"/>
          <w:szCs w:val="24"/>
        </w:rPr>
        <w:t>The Committee’s new General Comment 36 on Article 6 should:</w:t>
      </w:r>
    </w:p>
    <w:p w14:paraId="566B356D" w14:textId="77777777" w:rsidR="00B85213" w:rsidRDefault="00B85213" w:rsidP="001E4FE8">
      <w:pPr>
        <w:spacing w:after="0" w:line="240" w:lineRule="auto"/>
        <w:ind w:firstLine="720"/>
        <w:contextualSpacing/>
        <w:rPr>
          <w:rFonts w:ascii="Times New Roman" w:hAnsi="Times New Roman"/>
          <w:sz w:val="24"/>
          <w:szCs w:val="24"/>
        </w:rPr>
      </w:pPr>
    </w:p>
    <w:p w14:paraId="03CD0821" w14:textId="28D9551F" w:rsidR="00EC08BA" w:rsidRDefault="00EC08BA" w:rsidP="006F356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Reaffirm that the State</w:t>
      </w:r>
      <w:r w:rsidR="00276C9B">
        <w:rPr>
          <w:rFonts w:ascii="Times New Roman" w:hAnsi="Times New Roman"/>
          <w:sz w:val="24"/>
          <w:szCs w:val="24"/>
        </w:rPr>
        <w:t>’s obligation to respect</w:t>
      </w:r>
      <w:r>
        <w:rPr>
          <w:rFonts w:ascii="Times New Roman" w:hAnsi="Times New Roman"/>
          <w:sz w:val="24"/>
          <w:szCs w:val="24"/>
        </w:rPr>
        <w:t xml:space="preserve"> the right to life requires it to take conc</w:t>
      </w:r>
      <w:r w:rsidRPr="00EC08BA">
        <w:rPr>
          <w:rFonts w:ascii="Times New Roman" w:hAnsi="Times New Roman"/>
          <w:sz w:val="24"/>
          <w:szCs w:val="24"/>
        </w:rPr>
        <w:t>rete steps to prevent the excessive use of force by law enforcemen</w:t>
      </w:r>
      <w:r w:rsidR="00D65CA5">
        <w:rPr>
          <w:rFonts w:ascii="Times New Roman" w:hAnsi="Times New Roman"/>
          <w:sz w:val="24"/>
          <w:szCs w:val="24"/>
        </w:rPr>
        <w:t>t officers by ensuring compliance</w:t>
      </w:r>
      <w:r w:rsidRPr="00EC08BA">
        <w:rPr>
          <w:rFonts w:ascii="Times New Roman" w:hAnsi="Times New Roman"/>
          <w:sz w:val="24"/>
          <w:szCs w:val="24"/>
        </w:rPr>
        <w:t xml:space="preserve"> with the Basic Principles on the Use of Force and Firearms by Law Enforcement Officials</w:t>
      </w:r>
      <w:r w:rsidR="00276C9B">
        <w:rPr>
          <w:rFonts w:ascii="Times New Roman" w:hAnsi="Times New Roman"/>
          <w:sz w:val="24"/>
          <w:szCs w:val="24"/>
        </w:rPr>
        <w:t>, and other h</w:t>
      </w:r>
      <w:r w:rsidR="00D65CA5">
        <w:rPr>
          <w:rFonts w:ascii="Times New Roman" w:hAnsi="Times New Roman"/>
          <w:sz w:val="24"/>
          <w:szCs w:val="24"/>
        </w:rPr>
        <w:t xml:space="preserve">uman rights standards, including training </w:t>
      </w:r>
      <w:r w:rsidR="00276C9B">
        <w:rPr>
          <w:rFonts w:ascii="Times New Roman" w:hAnsi="Times New Roman"/>
          <w:sz w:val="24"/>
          <w:szCs w:val="24"/>
        </w:rPr>
        <w:t>State agents on the limitations of and alternatives to the use of firearms.</w:t>
      </w:r>
    </w:p>
    <w:p w14:paraId="2187A94F" w14:textId="77777777" w:rsidR="00B85213" w:rsidRDefault="00B85213" w:rsidP="001E4FE8">
      <w:pPr>
        <w:pStyle w:val="ListParagraph"/>
        <w:spacing w:line="240" w:lineRule="auto"/>
        <w:ind w:left="1080"/>
        <w:rPr>
          <w:rFonts w:ascii="Times New Roman" w:hAnsi="Times New Roman"/>
          <w:sz w:val="24"/>
          <w:szCs w:val="24"/>
        </w:rPr>
      </w:pPr>
    </w:p>
    <w:p w14:paraId="75EC9283" w14:textId="7558146A" w:rsidR="00763C8E" w:rsidRDefault="00276C9B" w:rsidP="006F356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Reaffirm that </w:t>
      </w:r>
      <w:r w:rsidRPr="00276C9B">
        <w:rPr>
          <w:rFonts w:ascii="Times New Roman" w:hAnsi="Times New Roman"/>
          <w:sz w:val="24"/>
          <w:szCs w:val="24"/>
        </w:rPr>
        <w:t xml:space="preserve">the intentional lethal use of small arms may only be made when strictly unavoidable in order to protect life. State agents, including </w:t>
      </w:r>
      <w:r w:rsidR="00D65CA5">
        <w:rPr>
          <w:rFonts w:ascii="Times New Roman" w:hAnsi="Times New Roman"/>
          <w:sz w:val="24"/>
          <w:szCs w:val="24"/>
        </w:rPr>
        <w:t>law enforcement officials, must</w:t>
      </w:r>
      <w:r w:rsidRPr="00276C9B">
        <w:rPr>
          <w:rFonts w:ascii="Times New Roman" w:hAnsi="Times New Roman"/>
          <w:sz w:val="24"/>
          <w:szCs w:val="24"/>
        </w:rPr>
        <w:t xml:space="preserve"> not use small arms against persons except </w:t>
      </w:r>
      <w:r w:rsidR="00A6174A">
        <w:rPr>
          <w:rFonts w:ascii="Times New Roman" w:hAnsi="Times New Roman"/>
          <w:sz w:val="24"/>
          <w:szCs w:val="24"/>
        </w:rPr>
        <w:t>in the extremely limited circumstances described in the Basic Principles on the Use of Force and Firearms.</w:t>
      </w:r>
    </w:p>
    <w:p w14:paraId="6C76F3D1" w14:textId="77777777" w:rsidR="00B85213" w:rsidRDefault="00B85213" w:rsidP="001E4FE8">
      <w:pPr>
        <w:pStyle w:val="ListParagraph"/>
        <w:spacing w:line="240" w:lineRule="auto"/>
        <w:ind w:left="1080"/>
        <w:rPr>
          <w:rFonts w:ascii="Times New Roman" w:hAnsi="Times New Roman"/>
          <w:sz w:val="24"/>
          <w:szCs w:val="24"/>
        </w:rPr>
      </w:pPr>
    </w:p>
    <w:p w14:paraId="3C7E9D06" w14:textId="159E5BF9" w:rsidR="00A6174A" w:rsidRDefault="00276C9B" w:rsidP="00A6174A">
      <w:pPr>
        <w:pStyle w:val="ListParagraph"/>
        <w:numPr>
          <w:ilvl w:val="0"/>
          <w:numId w:val="1"/>
        </w:numPr>
        <w:spacing w:line="240" w:lineRule="auto"/>
        <w:rPr>
          <w:rFonts w:ascii="Times New Roman" w:hAnsi="Times New Roman"/>
          <w:sz w:val="24"/>
          <w:szCs w:val="24"/>
        </w:rPr>
      </w:pPr>
      <w:r w:rsidRPr="006F356F">
        <w:rPr>
          <w:rFonts w:ascii="Times New Roman" w:hAnsi="Times New Roman"/>
          <w:sz w:val="24"/>
          <w:szCs w:val="24"/>
        </w:rPr>
        <w:t>Clarify that to protect the right to life, States must take steps to prevent firearm violence by private actors, including</w:t>
      </w:r>
      <w:r w:rsidR="00763C8E" w:rsidRPr="006F356F">
        <w:rPr>
          <w:rFonts w:ascii="Times New Roman" w:hAnsi="Times New Roman"/>
          <w:sz w:val="24"/>
          <w:szCs w:val="24"/>
        </w:rPr>
        <w:t xml:space="preserve"> </w:t>
      </w:r>
      <w:r w:rsidR="00763C8E">
        <w:rPr>
          <w:rFonts w:ascii="Times New Roman" w:hAnsi="Times New Roman"/>
          <w:sz w:val="24"/>
          <w:szCs w:val="24"/>
        </w:rPr>
        <w:t xml:space="preserve">the establishment of </w:t>
      </w:r>
      <w:r w:rsidR="00763C8E" w:rsidRPr="006F356F">
        <w:rPr>
          <w:rFonts w:ascii="Times New Roman" w:hAnsi="Times New Roman"/>
          <w:sz w:val="24"/>
          <w:szCs w:val="24"/>
        </w:rPr>
        <w:t>appropriate legislative, administrative and other measures, consistent with international human rights law, to ensure that civilian acquisition, possession and use of firearms are effectively regulated</w:t>
      </w:r>
      <w:r w:rsidR="00763C8E" w:rsidRPr="00763C8E">
        <w:t xml:space="preserve"> </w:t>
      </w:r>
      <w:r w:rsidR="00763C8E" w:rsidRPr="00763C8E">
        <w:rPr>
          <w:rFonts w:ascii="Times New Roman" w:hAnsi="Times New Roman"/>
          <w:sz w:val="24"/>
          <w:szCs w:val="24"/>
        </w:rPr>
        <w:t>to prevent possession of arms by persons who are at risk of misusing them</w:t>
      </w:r>
      <w:r w:rsidR="00763C8E">
        <w:rPr>
          <w:rFonts w:ascii="Times New Roman" w:hAnsi="Times New Roman"/>
          <w:sz w:val="24"/>
          <w:szCs w:val="24"/>
        </w:rPr>
        <w:t>.</w:t>
      </w:r>
    </w:p>
    <w:p w14:paraId="7E47A39A" w14:textId="77777777" w:rsidR="00A6174A" w:rsidRPr="00A6174A" w:rsidRDefault="00A6174A" w:rsidP="00A6174A">
      <w:pPr>
        <w:pStyle w:val="ListParagraph"/>
        <w:spacing w:line="240" w:lineRule="auto"/>
        <w:ind w:left="1080"/>
        <w:rPr>
          <w:rFonts w:ascii="Times New Roman" w:hAnsi="Times New Roman"/>
          <w:sz w:val="24"/>
          <w:szCs w:val="24"/>
        </w:rPr>
      </w:pPr>
    </w:p>
    <w:p w14:paraId="3552F715" w14:textId="07A1038C" w:rsidR="00763C8E" w:rsidRDefault="00763C8E" w:rsidP="006F356F">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Clarify that, to protect the right to life, States must</w:t>
      </w:r>
      <w:r w:rsidRPr="00763C8E">
        <w:rPr>
          <w:rFonts w:ascii="Times New Roman" w:hAnsi="Times New Roman"/>
          <w:sz w:val="24"/>
          <w:szCs w:val="24"/>
        </w:rPr>
        <w:t xml:space="preserve"> prohibit international transfers of small arms which would violate their obligations under international law, including in circumstances in which such arms </w:t>
      </w:r>
      <w:r>
        <w:rPr>
          <w:rFonts w:ascii="Times New Roman" w:hAnsi="Times New Roman"/>
          <w:sz w:val="24"/>
          <w:szCs w:val="24"/>
        </w:rPr>
        <w:t>will foreseeably be used to commit serious human rights violations, including a pattern of extra-judicial killings.</w:t>
      </w:r>
    </w:p>
    <w:p w14:paraId="746E8BAB" w14:textId="4FF112F6" w:rsidR="008C491D" w:rsidRDefault="008C491D" w:rsidP="006F356F">
      <w:pPr>
        <w:spacing w:line="240" w:lineRule="auto"/>
        <w:ind w:firstLine="720"/>
        <w:contextualSpacing/>
        <w:jc w:val="center"/>
        <w:rPr>
          <w:rFonts w:ascii="Times New Roman" w:hAnsi="Times New Roman"/>
          <w:sz w:val="24"/>
          <w:szCs w:val="24"/>
        </w:rPr>
      </w:pPr>
      <w:r>
        <w:rPr>
          <w:rFonts w:ascii="Times New Roman" w:hAnsi="Times New Roman"/>
          <w:sz w:val="24"/>
          <w:szCs w:val="24"/>
        </w:rPr>
        <w:t>BACKGROUND</w:t>
      </w:r>
    </w:p>
    <w:p w14:paraId="6E713A4F" w14:textId="77777777" w:rsidR="008C491D" w:rsidRDefault="008C491D" w:rsidP="006F356F">
      <w:pPr>
        <w:spacing w:line="240" w:lineRule="auto"/>
        <w:ind w:firstLine="720"/>
        <w:contextualSpacing/>
        <w:jc w:val="center"/>
        <w:rPr>
          <w:rFonts w:ascii="Times New Roman" w:hAnsi="Times New Roman"/>
          <w:sz w:val="24"/>
          <w:szCs w:val="24"/>
        </w:rPr>
      </w:pPr>
    </w:p>
    <w:p w14:paraId="1CE4EE85" w14:textId="73698385" w:rsidR="00E17FE1" w:rsidRDefault="00E17FE1" w:rsidP="00E17FE1">
      <w:pPr>
        <w:spacing w:line="240" w:lineRule="auto"/>
        <w:ind w:firstLine="720"/>
        <w:contextualSpacing/>
        <w:rPr>
          <w:rFonts w:ascii="Times New Roman" w:hAnsi="Times New Roman"/>
          <w:sz w:val="24"/>
          <w:szCs w:val="24"/>
        </w:rPr>
      </w:pPr>
      <w:r w:rsidRPr="00283940">
        <w:rPr>
          <w:rFonts w:ascii="Times New Roman" w:hAnsi="Times New Roman"/>
          <w:sz w:val="24"/>
          <w:szCs w:val="24"/>
        </w:rPr>
        <w:t>The international community’s human rights concern with small arms and light weapons (“SALW”</w:t>
      </w:r>
      <w:r w:rsidR="00EC08BA">
        <w:rPr>
          <w:rFonts w:ascii="Times New Roman" w:hAnsi="Times New Roman"/>
          <w:sz w:val="24"/>
          <w:szCs w:val="24"/>
        </w:rPr>
        <w:t xml:space="preserve"> or “firearms”</w:t>
      </w:r>
      <w:r w:rsidRPr="00283940">
        <w:rPr>
          <w:rFonts w:ascii="Times New Roman" w:hAnsi="Times New Roman"/>
          <w:sz w:val="24"/>
          <w:szCs w:val="24"/>
        </w:rPr>
        <w:t xml:space="preserve">) </w:t>
      </w:r>
      <w:r w:rsidR="008C491D">
        <w:rPr>
          <w:rFonts w:ascii="Times New Roman" w:hAnsi="Times New Roman"/>
          <w:sz w:val="24"/>
          <w:szCs w:val="24"/>
        </w:rPr>
        <w:t>is intrinsically linked to the fundamental</w:t>
      </w:r>
      <w:r w:rsidRPr="00AC2250">
        <w:rPr>
          <w:rFonts w:ascii="Times New Roman" w:hAnsi="Times New Roman"/>
          <w:sz w:val="24"/>
          <w:szCs w:val="24"/>
        </w:rPr>
        <w:t xml:space="preserve"> right to life</w:t>
      </w:r>
      <w:r w:rsidR="008C491D">
        <w:rPr>
          <w:rFonts w:ascii="Times New Roman" w:hAnsi="Times New Roman"/>
          <w:sz w:val="24"/>
          <w:szCs w:val="24"/>
        </w:rPr>
        <w:t xml:space="preserve"> under Article 6 of </w:t>
      </w:r>
      <w:r w:rsidRPr="00D64EE6">
        <w:rPr>
          <w:rFonts w:ascii="Times New Roman" w:hAnsi="Times New Roman"/>
          <w:sz w:val="24"/>
          <w:szCs w:val="24"/>
        </w:rPr>
        <w:t>the International Covenant on Civil and</w:t>
      </w:r>
      <w:r w:rsidR="008C491D">
        <w:rPr>
          <w:rFonts w:ascii="Times New Roman" w:hAnsi="Times New Roman"/>
          <w:sz w:val="24"/>
          <w:szCs w:val="24"/>
        </w:rPr>
        <w:t xml:space="preserve"> </w:t>
      </w:r>
      <w:r w:rsidRPr="00D64EE6">
        <w:rPr>
          <w:rFonts w:ascii="Times New Roman" w:hAnsi="Times New Roman"/>
          <w:sz w:val="24"/>
          <w:szCs w:val="24"/>
        </w:rPr>
        <w:t>Political Rights (ICCPR),</w:t>
      </w:r>
      <w:bookmarkStart w:id="0" w:name="_Ref284879463"/>
      <w:r w:rsidRPr="00D64EE6">
        <w:rPr>
          <w:rStyle w:val="FootnoteReference"/>
          <w:rFonts w:ascii="Times New Roman" w:hAnsi="Times New Roman"/>
          <w:sz w:val="24"/>
          <w:szCs w:val="24"/>
        </w:rPr>
        <w:footnoteReference w:id="1"/>
      </w:r>
      <w:bookmarkEnd w:id="0"/>
      <w:r w:rsidRPr="00D64EE6">
        <w:rPr>
          <w:rFonts w:ascii="Times New Roman" w:hAnsi="Times New Roman"/>
          <w:sz w:val="24"/>
          <w:szCs w:val="24"/>
        </w:rPr>
        <w:t xml:space="preserve"> a</w:t>
      </w:r>
      <w:r w:rsidR="006F356F">
        <w:rPr>
          <w:rFonts w:ascii="Times New Roman" w:hAnsi="Times New Roman"/>
          <w:sz w:val="24"/>
          <w:szCs w:val="24"/>
        </w:rPr>
        <w:t xml:space="preserve">s well as </w:t>
      </w:r>
      <w:r w:rsidR="008C491D">
        <w:rPr>
          <w:rFonts w:ascii="Times New Roman" w:hAnsi="Times New Roman"/>
          <w:sz w:val="24"/>
          <w:szCs w:val="24"/>
        </w:rPr>
        <w:t xml:space="preserve">other </w:t>
      </w:r>
      <w:r w:rsidRPr="00D64EE6">
        <w:rPr>
          <w:rFonts w:ascii="Times New Roman" w:hAnsi="Times New Roman"/>
          <w:sz w:val="24"/>
          <w:szCs w:val="24"/>
        </w:rPr>
        <w:t xml:space="preserve">major </w:t>
      </w:r>
      <w:r w:rsidRPr="00D64EE6">
        <w:rPr>
          <w:rFonts w:ascii="Times New Roman" w:hAnsi="Times New Roman"/>
          <w:sz w:val="24"/>
          <w:szCs w:val="24"/>
        </w:rPr>
        <w:lastRenderedPageBreak/>
        <w:t>regional human rights treaties.</w:t>
      </w:r>
      <w:bookmarkStart w:id="1" w:name="_Ref284805901"/>
      <w:r w:rsidRPr="00D64EE6">
        <w:rPr>
          <w:rStyle w:val="FootnoteReference"/>
          <w:rFonts w:ascii="Times New Roman" w:hAnsi="Times New Roman"/>
          <w:sz w:val="24"/>
          <w:szCs w:val="24"/>
        </w:rPr>
        <w:footnoteReference w:id="2"/>
      </w:r>
      <w:bookmarkEnd w:id="1"/>
      <w:r w:rsidRPr="00D64EE6">
        <w:rPr>
          <w:rFonts w:ascii="Times New Roman" w:hAnsi="Times New Roman"/>
          <w:sz w:val="24"/>
          <w:szCs w:val="24"/>
        </w:rPr>
        <w:t xml:space="preserve"> The first paragraph of Article 6 of the ICCPR provides the scope of the right: “Every human being has the inherent right to life. This right shall be protected by law. No one shall be arbitrarily deprived of his life.”</w:t>
      </w:r>
      <w:r w:rsidRPr="00D64EE6">
        <w:rPr>
          <w:rStyle w:val="FootnoteReference"/>
          <w:rFonts w:ascii="Times New Roman" w:hAnsi="Times New Roman"/>
          <w:sz w:val="24"/>
          <w:szCs w:val="24"/>
        </w:rPr>
        <w:footnoteReference w:id="3"/>
      </w:r>
      <w:r w:rsidRPr="00D64EE6">
        <w:rPr>
          <w:rFonts w:ascii="Times New Roman" w:hAnsi="Times New Roman"/>
          <w:sz w:val="24"/>
          <w:szCs w:val="24"/>
        </w:rPr>
        <w:t xml:space="preserve"> This non-derogable</w:t>
      </w:r>
      <w:r w:rsidRPr="00D64EE6">
        <w:rPr>
          <w:rStyle w:val="FootnoteReference"/>
          <w:rFonts w:ascii="Times New Roman" w:hAnsi="Times New Roman"/>
          <w:sz w:val="24"/>
          <w:szCs w:val="24"/>
        </w:rPr>
        <w:footnoteReference w:id="4"/>
      </w:r>
      <w:r w:rsidRPr="00D64EE6">
        <w:rPr>
          <w:rFonts w:ascii="Times New Roman" w:hAnsi="Times New Roman"/>
          <w:sz w:val="24"/>
          <w:szCs w:val="24"/>
        </w:rPr>
        <w:t xml:space="preserve"> right is understood to be a </w:t>
      </w:r>
      <w:r w:rsidRPr="00D64EE6">
        <w:rPr>
          <w:rFonts w:ascii="Times New Roman" w:hAnsi="Times New Roman"/>
          <w:i/>
          <w:sz w:val="24"/>
          <w:szCs w:val="24"/>
        </w:rPr>
        <w:t>jus cogens</w:t>
      </w:r>
      <w:r w:rsidRPr="00D64EE6">
        <w:rPr>
          <w:rFonts w:ascii="Times New Roman" w:hAnsi="Times New Roman"/>
          <w:sz w:val="24"/>
          <w:szCs w:val="24"/>
        </w:rPr>
        <w:t xml:space="preserve"> or </w:t>
      </w:r>
      <w:r w:rsidRPr="00D64EE6">
        <w:rPr>
          <w:rFonts w:ascii="Times New Roman" w:hAnsi="Times New Roman"/>
          <w:i/>
          <w:sz w:val="24"/>
          <w:szCs w:val="24"/>
        </w:rPr>
        <w:t>erga omnes</w:t>
      </w:r>
      <w:r w:rsidRPr="00D64EE6">
        <w:rPr>
          <w:rFonts w:ascii="Times New Roman" w:hAnsi="Times New Roman"/>
          <w:sz w:val="24"/>
          <w:szCs w:val="24"/>
        </w:rPr>
        <w:t xml:space="preserve"> right,</w:t>
      </w:r>
      <w:bookmarkStart w:id="2" w:name="_Ref284948621"/>
      <w:r w:rsidRPr="00D64EE6">
        <w:rPr>
          <w:rStyle w:val="FootnoteReference"/>
          <w:rFonts w:ascii="Times New Roman" w:hAnsi="Times New Roman"/>
          <w:sz w:val="24"/>
          <w:szCs w:val="24"/>
        </w:rPr>
        <w:footnoteReference w:id="5"/>
      </w:r>
      <w:bookmarkEnd w:id="2"/>
      <w:r w:rsidRPr="00D64EE6">
        <w:rPr>
          <w:rFonts w:ascii="Times New Roman" w:hAnsi="Times New Roman"/>
          <w:sz w:val="24"/>
          <w:szCs w:val="24"/>
        </w:rPr>
        <w:t xml:space="preserve"> and it obligates States Parties to uphold both positive and negative duties.</w:t>
      </w:r>
      <w:bookmarkStart w:id="3" w:name="_Ref284796106"/>
      <w:r w:rsidRPr="00D64EE6">
        <w:rPr>
          <w:rStyle w:val="FootnoteReference"/>
          <w:rFonts w:ascii="Times New Roman" w:hAnsi="Times New Roman"/>
          <w:sz w:val="24"/>
          <w:szCs w:val="24"/>
        </w:rPr>
        <w:footnoteReference w:id="6"/>
      </w:r>
      <w:bookmarkEnd w:id="3"/>
      <w:r w:rsidRPr="00D64EE6">
        <w:rPr>
          <w:rFonts w:ascii="Times New Roman" w:hAnsi="Times New Roman"/>
          <w:sz w:val="24"/>
          <w:szCs w:val="24"/>
        </w:rPr>
        <w:t xml:space="preserve"> Because of the broad and fundamental nature of the right to life, it serves as the basis for </w:t>
      </w:r>
      <w:r w:rsidR="0020047C">
        <w:rPr>
          <w:rFonts w:ascii="Times New Roman" w:hAnsi="Times New Roman"/>
          <w:sz w:val="24"/>
          <w:szCs w:val="24"/>
        </w:rPr>
        <w:t xml:space="preserve">several core </w:t>
      </w:r>
      <w:r w:rsidRPr="00D64EE6">
        <w:rPr>
          <w:rFonts w:ascii="Times New Roman" w:hAnsi="Times New Roman"/>
          <w:sz w:val="24"/>
          <w:szCs w:val="24"/>
        </w:rPr>
        <w:t xml:space="preserve">international instruments </w:t>
      </w:r>
      <w:r w:rsidR="0020047C">
        <w:rPr>
          <w:rFonts w:ascii="Times New Roman" w:hAnsi="Times New Roman"/>
          <w:sz w:val="24"/>
          <w:szCs w:val="24"/>
        </w:rPr>
        <w:t xml:space="preserve">regarding </w:t>
      </w:r>
      <w:r w:rsidRPr="00D64EE6">
        <w:rPr>
          <w:rFonts w:ascii="Times New Roman" w:hAnsi="Times New Roman"/>
          <w:sz w:val="24"/>
          <w:szCs w:val="24"/>
        </w:rPr>
        <w:t xml:space="preserve">the use of force </w:t>
      </w:r>
      <w:r w:rsidR="0020047C">
        <w:rPr>
          <w:rFonts w:ascii="Times New Roman" w:hAnsi="Times New Roman"/>
          <w:sz w:val="24"/>
          <w:szCs w:val="24"/>
        </w:rPr>
        <w:t>with firearms.</w:t>
      </w:r>
      <w:bookmarkStart w:id="4" w:name="_Ref284802740"/>
      <w:r w:rsidRPr="00D64EE6">
        <w:rPr>
          <w:rStyle w:val="FootnoteReference"/>
          <w:rFonts w:ascii="Times New Roman" w:hAnsi="Times New Roman"/>
          <w:sz w:val="24"/>
          <w:szCs w:val="24"/>
        </w:rPr>
        <w:footnoteReference w:id="7"/>
      </w:r>
      <w:bookmarkEnd w:id="4"/>
    </w:p>
    <w:p w14:paraId="18A960D1" w14:textId="77777777" w:rsidR="0020047C" w:rsidRPr="00D64EE6" w:rsidRDefault="0020047C" w:rsidP="00E17FE1">
      <w:pPr>
        <w:spacing w:line="240" w:lineRule="auto"/>
        <w:ind w:firstLine="720"/>
        <w:contextualSpacing/>
        <w:rPr>
          <w:rFonts w:ascii="Times New Roman" w:hAnsi="Times New Roman"/>
          <w:sz w:val="24"/>
          <w:szCs w:val="24"/>
        </w:rPr>
      </w:pPr>
    </w:p>
    <w:p w14:paraId="714A165C" w14:textId="5FC98D50" w:rsidR="0020047C" w:rsidRPr="0020047C" w:rsidRDefault="0020047C" w:rsidP="0020047C">
      <w:pPr>
        <w:spacing w:line="240" w:lineRule="auto"/>
        <w:ind w:firstLine="720"/>
        <w:contextualSpacing/>
        <w:rPr>
          <w:rFonts w:ascii="Times New Roman" w:hAnsi="Times New Roman"/>
          <w:sz w:val="24"/>
          <w:szCs w:val="24"/>
        </w:rPr>
      </w:pPr>
      <w:r w:rsidRPr="0020047C">
        <w:rPr>
          <w:rFonts w:ascii="Times New Roman" w:hAnsi="Times New Roman"/>
          <w:sz w:val="24"/>
          <w:szCs w:val="24"/>
        </w:rPr>
        <w:t xml:space="preserve">In General Comments, jurisprudence, and </w:t>
      </w:r>
      <w:r w:rsidR="00D65CA5">
        <w:rPr>
          <w:rFonts w:ascii="Times New Roman" w:hAnsi="Times New Roman"/>
          <w:sz w:val="24"/>
          <w:szCs w:val="24"/>
        </w:rPr>
        <w:t>c</w:t>
      </w:r>
      <w:r w:rsidRPr="0020047C">
        <w:rPr>
          <w:rFonts w:ascii="Times New Roman" w:hAnsi="Times New Roman"/>
          <w:sz w:val="24"/>
          <w:szCs w:val="24"/>
        </w:rPr>
        <w:t xml:space="preserve">oncluding </w:t>
      </w:r>
      <w:r w:rsidR="00D65CA5">
        <w:rPr>
          <w:rFonts w:ascii="Times New Roman" w:hAnsi="Times New Roman"/>
          <w:sz w:val="24"/>
          <w:szCs w:val="24"/>
        </w:rPr>
        <w:t>o</w:t>
      </w:r>
      <w:r w:rsidRPr="0020047C">
        <w:rPr>
          <w:rFonts w:ascii="Times New Roman" w:hAnsi="Times New Roman"/>
          <w:sz w:val="24"/>
          <w:szCs w:val="24"/>
        </w:rPr>
        <w:t>bservations, the Human Rights Committee has repeatedly recognized that</w:t>
      </w:r>
      <w:r w:rsidR="002C2BB7">
        <w:rPr>
          <w:rFonts w:ascii="Times New Roman" w:hAnsi="Times New Roman"/>
          <w:sz w:val="24"/>
          <w:szCs w:val="24"/>
        </w:rPr>
        <w:t xml:space="preserve"> the</w:t>
      </w:r>
      <w:r w:rsidRPr="0020047C">
        <w:rPr>
          <w:rFonts w:ascii="Times New Roman" w:hAnsi="Times New Roman"/>
          <w:sz w:val="24"/>
          <w:szCs w:val="24"/>
        </w:rPr>
        <w:t xml:space="preserve"> </w:t>
      </w:r>
      <w:r w:rsidR="003F1827">
        <w:rPr>
          <w:rFonts w:ascii="Times New Roman" w:hAnsi="Times New Roman"/>
          <w:sz w:val="24"/>
          <w:szCs w:val="24"/>
        </w:rPr>
        <w:t>ICCPR</w:t>
      </w:r>
      <w:r w:rsidRPr="0020047C">
        <w:rPr>
          <w:rFonts w:ascii="Times New Roman" w:hAnsi="Times New Roman"/>
          <w:sz w:val="24"/>
          <w:szCs w:val="24"/>
        </w:rPr>
        <w:t xml:space="preserve"> cr</w:t>
      </w:r>
      <w:r w:rsidR="00747306">
        <w:rPr>
          <w:rFonts w:ascii="Times New Roman" w:hAnsi="Times New Roman"/>
          <w:sz w:val="24"/>
          <w:szCs w:val="24"/>
        </w:rPr>
        <w:t>eates duties for States Parties</w:t>
      </w:r>
      <w:r w:rsidRPr="0020047C">
        <w:rPr>
          <w:rFonts w:ascii="Times New Roman" w:hAnsi="Times New Roman"/>
          <w:sz w:val="24"/>
          <w:szCs w:val="24"/>
        </w:rPr>
        <w:t xml:space="preserve"> to</w:t>
      </w:r>
      <w:r w:rsidR="006F356F">
        <w:rPr>
          <w:rFonts w:ascii="Times New Roman" w:hAnsi="Times New Roman"/>
          <w:sz w:val="24"/>
          <w:szCs w:val="24"/>
        </w:rPr>
        <w:t xml:space="preserve"> respect and</w:t>
      </w:r>
      <w:r w:rsidRPr="0020047C">
        <w:rPr>
          <w:rFonts w:ascii="Times New Roman" w:hAnsi="Times New Roman"/>
          <w:sz w:val="24"/>
          <w:szCs w:val="24"/>
        </w:rPr>
        <w:t xml:space="preserve"> protect </w:t>
      </w:r>
      <w:r w:rsidR="006F356F">
        <w:rPr>
          <w:rFonts w:ascii="Times New Roman" w:hAnsi="Times New Roman"/>
          <w:sz w:val="24"/>
          <w:szCs w:val="24"/>
        </w:rPr>
        <w:t xml:space="preserve">their </w:t>
      </w:r>
      <w:r w:rsidRPr="0020047C">
        <w:rPr>
          <w:rFonts w:ascii="Times New Roman" w:hAnsi="Times New Roman"/>
          <w:sz w:val="24"/>
          <w:szCs w:val="24"/>
        </w:rPr>
        <w:t>populations from all forms of violence,</w:t>
      </w:r>
      <w:r w:rsidRPr="0020047C">
        <w:rPr>
          <w:rFonts w:ascii="Times New Roman" w:hAnsi="Times New Roman"/>
          <w:sz w:val="24"/>
          <w:szCs w:val="24"/>
          <w:vertAlign w:val="superscript"/>
        </w:rPr>
        <w:footnoteReference w:id="8"/>
      </w:r>
      <w:r w:rsidRPr="0020047C">
        <w:rPr>
          <w:rFonts w:ascii="Times New Roman" w:hAnsi="Times New Roman"/>
          <w:sz w:val="24"/>
          <w:szCs w:val="24"/>
        </w:rPr>
        <w:t xml:space="preserve"> </w:t>
      </w:r>
      <w:r w:rsidR="006F356F">
        <w:rPr>
          <w:rFonts w:ascii="Times New Roman" w:hAnsi="Times New Roman"/>
          <w:sz w:val="24"/>
          <w:szCs w:val="24"/>
        </w:rPr>
        <w:t xml:space="preserve">including </w:t>
      </w:r>
      <w:r w:rsidR="00747306">
        <w:rPr>
          <w:rFonts w:ascii="Times New Roman" w:hAnsi="Times New Roman"/>
          <w:sz w:val="24"/>
          <w:szCs w:val="24"/>
        </w:rPr>
        <w:t xml:space="preserve">firearms </w:t>
      </w:r>
      <w:r w:rsidR="006F356F">
        <w:rPr>
          <w:rFonts w:ascii="Times New Roman" w:hAnsi="Times New Roman"/>
          <w:sz w:val="24"/>
          <w:szCs w:val="24"/>
        </w:rPr>
        <w:t>excesses</w:t>
      </w:r>
      <w:r w:rsidRPr="0020047C">
        <w:rPr>
          <w:rFonts w:ascii="Times New Roman" w:hAnsi="Times New Roman"/>
          <w:sz w:val="24"/>
          <w:szCs w:val="24"/>
        </w:rPr>
        <w:t xml:space="preserve"> by law enforcement officers,</w:t>
      </w:r>
      <w:r w:rsidR="002C2BB7">
        <w:rPr>
          <w:rStyle w:val="FootnoteReference"/>
          <w:rFonts w:ascii="Times New Roman" w:hAnsi="Times New Roman"/>
          <w:sz w:val="24"/>
          <w:szCs w:val="24"/>
        </w:rPr>
        <w:footnoteReference w:id="9"/>
      </w:r>
      <w:r w:rsidRPr="0020047C">
        <w:rPr>
          <w:rFonts w:ascii="Times New Roman" w:hAnsi="Times New Roman"/>
          <w:sz w:val="24"/>
          <w:szCs w:val="24"/>
        </w:rPr>
        <w:t xml:space="preserve"> </w:t>
      </w:r>
      <w:r w:rsidR="006F356F">
        <w:rPr>
          <w:rFonts w:ascii="Times New Roman" w:hAnsi="Times New Roman"/>
          <w:sz w:val="24"/>
          <w:szCs w:val="24"/>
        </w:rPr>
        <w:t>and harm caused by</w:t>
      </w:r>
      <w:r w:rsidRPr="0020047C">
        <w:rPr>
          <w:rFonts w:ascii="Times New Roman" w:hAnsi="Times New Roman"/>
          <w:sz w:val="24"/>
          <w:szCs w:val="24"/>
        </w:rPr>
        <w:t xml:space="preserve"> private misuse of firearms.</w:t>
      </w:r>
      <w:r w:rsidRPr="0020047C">
        <w:rPr>
          <w:rFonts w:ascii="Times New Roman" w:hAnsi="Times New Roman"/>
          <w:sz w:val="24"/>
          <w:szCs w:val="24"/>
          <w:vertAlign w:val="superscript"/>
        </w:rPr>
        <w:footnoteReference w:id="10"/>
      </w:r>
      <w:r w:rsidRPr="0020047C">
        <w:rPr>
          <w:rFonts w:ascii="Times New Roman" w:hAnsi="Times New Roman"/>
          <w:sz w:val="24"/>
          <w:szCs w:val="24"/>
        </w:rPr>
        <w:t xml:space="preserve"> </w:t>
      </w:r>
    </w:p>
    <w:p w14:paraId="159F194B" w14:textId="77777777" w:rsidR="00E17FE1" w:rsidRPr="00283940" w:rsidRDefault="00E17FE1" w:rsidP="00E17FE1">
      <w:pPr>
        <w:spacing w:line="240" w:lineRule="auto"/>
        <w:ind w:firstLine="720"/>
        <w:contextualSpacing/>
        <w:rPr>
          <w:rFonts w:ascii="Times New Roman" w:hAnsi="Times New Roman"/>
          <w:sz w:val="24"/>
          <w:szCs w:val="24"/>
        </w:rPr>
      </w:pPr>
    </w:p>
    <w:p w14:paraId="139A15D6" w14:textId="3493DDC5"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 xml:space="preserve">The </w:t>
      </w:r>
      <w:r w:rsidR="0020047C">
        <w:rPr>
          <w:rFonts w:ascii="Times New Roman" w:hAnsi="Times New Roman"/>
          <w:sz w:val="24"/>
          <w:szCs w:val="24"/>
        </w:rPr>
        <w:t xml:space="preserve">2006 </w:t>
      </w:r>
      <w:r w:rsidR="00D65CA5">
        <w:rPr>
          <w:rFonts w:ascii="Times New Roman" w:hAnsi="Times New Roman"/>
          <w:sz w:val="24"/>
          <w:szCs w:val="24"/>
        </w:rPr>
        <w:t xml:space="preserve">Principles adopted by </w:t>
      </w:r>
      <w:r w:rsidRPr="00D64EE6">
        <w:rPr>
          <w:rFonts w:ascii="Times New Roman" w:hAnsi="Times New Roman"/>
          <w:sz w:val="24"/>
          <w:szCs w:val="24"/>
        </w:rPr>
        <w:t xml:space="preserve">the Sub-Commission on </w:t>
      </w:r>
      <w:r w:rsidR="0020047C">
        <w:rPr>
          <w:rFonts w:ascii="Times New Roman" w:hAnsi="Times New Roman"/>
          <w:sz w:val="24"/>
          <w:szCs w:val="24"/>
        </w:rPr>
        <w:t>the</w:t>
      </w:r>
      <w:r w:rsidR="0020047C" w:rsidRPr="0020047C">
        <w:rPr>
          <w:rFonts w:ascii="Times New Roman" w:hAnsi="Times New Roman"/>
          <w:sz w:val="24"/>
          <w:szCs w:val="24"/>
        </w:rPr>
        <w:t xml:space="preserve"> Prevention of Human Rights Violations Committed with Small Arms and Light Weapons</w:t>
      </w:r>
      <w:r w:rsidR="003F1827">
        <w:rPr>
          <w:rFonts w:ascii="Times New Roman" w:hAnsi="Times New Roman"/>
          <w:sz w:val="24"/>
          <w:szCs w:val="24"/>
        </w:rPr>
        <w:t xml:space="preserve"> (SALW</w:t>
      </w:r>
      <w:r w:rsidR="00CE0CBA">
        <w:rPr>
          <w:rFonts w:ascii="Times New Roman" w:hAnsi="Times New Roman"/>
          <w:sz w:val="24"/>
          <w:szCs w:val="24"/>
        </w:rPr>
        <w:t xml:space="preserve"> Principles</w:t>
      </w:r>
      <w:r w:rsidR="003F1827">
        <w:rPr>
          <w:rFonts w:ascii="Times New Roman" w:hAnsi="Times New Roman"/>
          <w:sz w:val="24"/>
          <w:szCs w:val="24"/>
        </w:rPr>
        <w:t>)</w:t>
      </w:r>
      <w:r w:rsidR="0020047C" w:rsidRPr="0020047C">
        <w:rPr>
          <w:rFonts w:ascii="Times New Roman" w:hAnsi="Times New Roman"/>
          <w:sz w:val="24"/>
          <w:szCs w:val="24"/>
          <w:vertAlign w:val="superscript"/>
        </w:rPr>
        <w:footnoteReference w:id="11"/>
      </w:r>
      <w:r w:rsidR="0020047C" w:rsidRPr="0020047C">
        <w:rPr>
          <w:rFonts w:ascii="Times New Roman" w:hAnsi="Times New Roman"/>
          <w:sz w:val="24"/>
          <w:szCs w:val="24"/>
        </w:rPr>
        <w:t xml:space="preserve"> </w:t>
      </w:r>
      <w:r w:rsidR="0020047C">
        <w:rPr>
          <w:rFonts w:ascii="Times New Roman" w:hAnsi="Times New Roman"/>
          <w:sz w:val="24"/>
          <w:szCs w:val="24"/>
        </w:rPr>
        <w:t>provide a useful restatement of international human rights standards</w:t>
      </w:r>
      <w:r w:rsidRPr="00D64EE6">
        <w:rPr>
          <w:rFonts w:ascii="Times New Roman" w:hAnsi="Times New Roman"/>
          <w:sz w:val="24"/>
          <w:szCs w:val="24"/>
        </w:rPr>
        <w:t xml:space="preserve"> on the protection of the right to life with respect to small arms and light weapons.  </w:t>
      </w:r>
    </w:p>
    <w:p w14:paraId="19446014" w14:textId="77777777" w:rsidR="00E17FE1" w:rsidRPr="00D64EE6" w:rsidRDefault="00E17FE1" w:rsidP="00E17FE1">
      <w:pPr>
        <w:spacing w:line="240" w:lineRule="auto"/>
        <w:ind w:firstLine="720"/>
        <w:contextualSpacing/>
        <w:rPr>
          <w:rFonts w:ascii="Times New Roman" w:hAnsi="Times New Roman"/>
          <w:sz w:val="24"/>
          <w:szCs w:val="24"/>
        </w:rPr>
      </w:pPr>
    </w:p>
    <w:p w14:paraId="2B287388" w14:textId="27AFA7BC" w:rsidR="001E4FE8" w:rsidRDefault="00E17FE1" w:rsidP="00E17FE1">
      <w:pPr>
        <w:spacing w:line="240" w:lineRule="auto"/>
        <w:ind w:firstLine="720"/>
        <w:contextualSpacing/>
        <w:rPr>
          <w:rFonts w:ascii="Times New Roman" w:hAnsi="Times New Roman"/>
          <w:sz w:val="24"/>
          <w:szCs w:val="24"/>
        </w:rPr>
      </w:pPr>
      <w:r w:rsidRPr="00283940">
        <w:rPr>
          <w:rFonts w:ascii="Times New Roman" w:hAnsi="Times New Roman"/>
          <w:sz w:val="24"/>
          <w:szCs w:val="24"/>
        </w:rPr>
        <w:t xml:space="preserve">The SALW Principles, through the ICCPR and other instruments upon which they are </w:t>
      </w:r>
      <w:r w:rsidR="00B85213">
        <w:rPr>
          <w:rFonts w:ascii="Times New Roman" w:hAnsi="Times New Roman"/>
          <w:sz w:val="24"/>
          <w:szCs w:val="24"/>
        </w:rPr>
        <w:t>bas</w:t>
      </w:r>
      <w:r w:rsidRPr="00283940">
        <w:rPr>
          <w:rFonts w:ascii="Times New Roman" w:hAnsi="Times New Roman"/>
          <w:sz w:val="24"/>
          <w:szCs w:val="24"/>
        </w:rPr>
        <w:t>ed</w:t>
      </w:r>
      <w:r w:rsidR="003B0BE5">
        <w:rPr>
          <w:rFonts w:ascii="Times New Roman" w:hAnsi="Times New Roman"/>
          <w:sz w:val="24"/>
          <w:szCs w:val="24"/>
        </w:rPr>
        <w:t>,</w:t>
      </w:r>
      <w:r w:rsidRPr="00D64EE6">
        <w:rPr>
          <w:rStyle w:val="FootnoteReference"/>
          <w:rFonts w:ascii="Times New Roman" w:hAnsi="Times New Roman"/>
          <w:sz w:val="24"/>
          <w:szCs w:val="24"/>
        </w:rPr>
        <w:footnoteReference w:id="12"/>
      </w:r>
      <w:r w:rsidR="006F356F">
        <w:rPr>
          <w:rFonts w:ascii="Times New Roman" w:hAnsi="Times New Roman"/>
          <w:sz w:val="24"/>
          <w:szCs w:val="24"/>
        </w:rPr>
        <w:t xml:space="preserve">elaborate the responsibilities of States </w:t>
      </w:r>
      <w:r w:rsidR="00CE0CBA">
        <w:rPr>
          <w:rFonts w:ascii="Times New Roman" w:hAnsi="Times New Roman"/>
          <w:sz w:val="24"/>
          <w:szCs w:val="24"/>
        </w:rPr>
        <w:t>related to firearms</w:t>
      </w:r>
      <w:r w:rsidRPr="00D64EE6">
        <w:rPr>
          <w:rFonts w:ascii="Times New Roman" w:hAnsi="Times New Roman"/>
          <w:sz w:val="24"/>
          <w:szCs w:val="24"/>
        </w:rPr>
        <w:t>.</w:t>
      </w:r>
      <w:r w:rsidRPr="00D64EE6">
        <w:rPr>
          <w:rStyle w:val="FootnoteReference"/>
          <w:rFonts w:ascii="Times New Roman" w:hAnsi="Times New Roman"/>
          <w:sz w:val="24"/>
          <w:szCs w:val="24"/>
        </w:rPr>
        <w:footnoteReference w:id="13"/>
      </w:r>
      <w:r w:rsidRPr="00D64EE6">
        <w:rPr>
          <w:rFonts w:ascii="Times New Roman" w:hAnsi="Times New Roman"/>
          <w:sz w:val="24"/>
          <w:szCs w:val="24"/>
        </w:rPr>
        <w:t xml:space="preserve"> Negatively, a state may not violate the right to life of </w:t>
      </w:r>
      <w:r w:rsidR="00CE0CBA">
        <w:rPr>
          <w:rFonts w:ascii="Times New Roman" w:hAnsi="Times New Roman"/>
          <w:sz w:val="24"/>
          <w:szCs w:val="24"/>
        </w:rPr>
        <w:t>persons</w:t>
      </w:r>
      <w:r w:rsidRPr="00D64EE6">
        <w:rPr>
          <w:rFonts w:ascii="Times New Roman" w:hAnsi="Times New Roman"/>
          <w:sz w:val="24"/>
          <w:szCs w:val="24"/>
        </w:rPr>
        <w:t xml:space="preserve"> by the </w:t>
      </w:r>
      <w:r w:rsidR="00CE0CBA">
        <w:rPr>
          <w:rFonts w:ascii="Times New Roman" w:hAnsi="Times New Roman"/>
          <w:sz w:val="24"/>
          <w:szCs w:val="24"/>
        </w:rPr>
        <w:t>armed actions o</w:t>
      </w:r>
      <w:r w:rsidRPr="00D64EE6">
        <w:rPr>
          <w:rFonts w:ascii="Times New Roman" w:hAnsi="Times New Roman"/>
          <w:sz w:val="24"/>
          <w:szCs w:val="24"/>
        </w:rPr>
        <w:t xml:space="preserve">f military personnel, law enforcement officials, or other official state actors. Affirmatively, a state </w:t>
      </w:r>
      <w:r w:rsidR="00CE0CBA">
        <w:rPr>
          <w:rFonts w:ascii="Times New Roman" w:hAnsi="Times New Roman"/>
          <w:sz w:val="24"/>
          <w:szCs w:val="24"/>
        </w:rPr>
        <w:t>must</w:t>
      </w:r>
      <w:r w:rsidRPr="00D64EE6">
        <w:rPr>
          <w:rFonts w:ascii="Times New Roman" w:hAnsi="Times New Roman"/>
          <w:sz w:val="24"/>
          <w:szCs w:val="24"/>
        </w:rPr>
        <w:t xml:space="preserve"> protect the right to life from violations by non-state actors within its control or power. Related</w:t>
      </w:r>
      <w:r w:rsidR="005D6F5E">
        <w:rPr>
          <w:rFonts w:ascii="Times New Roman" w:hAnsi="Times New Roman"/>
          <w:sz w:val="24"/>
          <w:szCs w:val="24"/>
        </w:rPr>
        <w:t xml:space="preserve"> to this</w:t>
      </w:r>
      <w:r w:rsidRPr="00D64EE6">
        <w:rPr>
          <w:rFonts w:ascii="Times New Roman" w:hAnsi="Times New Roman"/>
          <w:sz w:val="24"/>
          <w:szCs w:val="24"/>
        </w:rPr>
        <w:t xml:space="preserve"> affirmative obligation</w:t>
      </w:r>
      <w:r w:rsidR="005D6F5E">
        <w:rPr>
          <w:rFonts w:ascii="Times New Roman" w:hAnsi="Times New Roman"/>
          <w:sz w:val="24"/>
          <w:szCs w:val="24"/>
        </w:rPr>
        <w:t>,</w:t>
      </w:r>
      <w:r w:rsidRPr="00D64EE6">
        <w:rPr>
          <w:rFonts w:ascii="Times New Roman" w:hAnsi="Times New Roman"/>
          <w:sz w:val="24"/>
          <w:szCs w:val="24"/>
        </w:rPr>
        <w:t xml:space="preserve"> a state </w:t>
      </w:r>
      <w:r w:rsidR="005D6F5E">
        <w:rPr>
          <w:rFonts w:ascii="Times New Roman" w:hAnsi="Times New Roman"/>
          <w:sz w:val="24"/>
          <w:szCs w:val="24"/>
        </w:rPr>
        <w:t>should</w:t>
      </w:r>
      <w:r w:rsidR="00B85213">
        <w:rPr>
          <w:rFonts w:ascii="Times New Roman" w:hAnsi="Times New Roman"/>
          <w:sz w:val="24"/>
          <w:szCs w:val="24"/>
        </w:rPr>
        <w:t xml:space="preserve"> </w:t>
      </w:r>
      <w:r w:rsidRPr="00D64EE6">
        <w:rPr>
          <w:rFonts w:ascii="Times New Roman" w:hAnsi="Times New Roman"/>
          <w:sz w:val="24"/>
          <w:szCs w:val="24"/>
        </w:rPr>
        <w:t xml:space="preserve">prevent transfers of small arms and light weapons from territory or actors within its control that </w:t>
      </w:r>
      <w:r w:rsidR="005D6F5E">
        <w:rPr>
          <w:rFonts w:ascii="Times New Roman" w:hAnsi="Times New Roman"/>
          <w:sz w:val="24"/>
          <w:szCs w:val="24"/>
        </w:rPr>
        <w:t xml:space="preserve">the exporting state </w:t>
      </w:r>
      <w:r w:rsidRPr="00D64EE6">
        <w:rPr>
          <w:rFonts w:ascii="Times New Roman" w:hAnsi="Times New Roman"/>
          <w:sz w:val="24"/>
          <w:szCs w:val="24"/>
        </w:rPr>
        <w:t>has knowledge will lead to likely violations of the right to</w:t>
      </w:r>
      <w:r w:rsidRPr="00283940">
        <w:rPr>
          <w:rFonts w:ascii="Times New Roman" w:hAnsi="Times New Roman"/>
          <w:sz w:val="24"/>
          <w:szCs w:val="24"/>
        </w:rPr>
        <w:t xml:space="preserve"> life in receiving states. </w:t>
      </w:r>
    </w:p>
    <w:p w14:paraId="49CA2E08" w14:textId="7A180C10" w:rsidR="00E17FE1" w:rsidRPr="00984275" w:rsidRDefault="00E17FE1" w:rsidP="00984275">
      <w:pPr>
        <w:pStyle w:val="ListParagraph"/>
        <w:numPr>
          <w:ilvl w:val="0"/>
          <w:numId w:val="2"/>
        </w:numPr>
        <w:spacing w:line="240" w:lineRule="auto"/>
        <w:rPr>
          <w:rFonts w:ascii="Times New Roman" w:hAnsi="Times New Roman"/>
          <w:b/>
          <w:sz w:val="24"/>
          <w:szCs w:val="24"/>
        </w:rPr>
      </w:pPr>
      <w:r w:rsidRPr="00984275">
        <w:rPr>
          <w:rFonts w:ascii="Times New Roman" w:hAnsi="Times New Roman"/>
          <w:b/>
          <w:sz w:val="24"/>
          <w:szCs w:val="24"/>
        </w:rPr>
        <w:t xml:space="preserve">Obligation </w:t>
      </w:r>
      <w:r w:rsidR="0021625B">
        <w:rPr>
          <w:rFonts w:ascii="Times New Roman" w:hAnsi="Times New Roman"/>
          <w:b/>
          <w:sz w:val="24"/>
          <w:szCs w:val="24"/>
        </w:rPr>
        <w:t>to Respect</w:t>
      </w:r>
      <w:r w:rsidRPr="00984275">
        <w:rPr>
          <w:rFonts w:ascii="Times New Roman" w:hAnsi="Times New Roman"/>
          <w:b/>
          <w:sz w:val="24"/>
          <w:szCs w:val="24"/>
        </w:rPr>
        <w:t xml:space="preserve"> the Right to Life with</w:t>
      </w:r>
      <w:r w:rsidR="0021625B">
        <w:rPr>
          <w:rFonts w:ascii="Times New Roman" w:hAnsi="Times New Roman"/>
          <w:b/>
          <w:sz w:val="24"/>
          <w:szCs w:val="24"/>
        </w:rPr>
        <w:t xml:space="preserve"> regard to Firearms</w:t>
      </w:r>
    </w:p>
    <w:p w14:paraId="084D4741" w14:textId="7B32D583" w:rsidR="00E17FE1" w:rsidRPr="00D64EE6" w:rsidRDefault="00E17FE1" w:rsidP="003F56A6">
      <w:pPr>
        <w:ind w:firstLine="720"/>
        <w:rPr>
          <w:rFonts w:ascii="Times New Roman" w:hAnsi="Times New Roman"/>
          <w:sz w:val="24"/>
          <w:szCs w:val="24"/>
        </w:rPr>
      </w:pPr>
      <w:r w:rsidRPr="00D64EE6">
        <w:rPr>
          <w:rFonts w:ascii="Times New Roman" w:hAnsi="Times New Roman"/>
          <w:sz w:val="24"/>
          <w:szCs w:val="24"/>
        </w:rPr>
        <w:t xml:space="preserve">A state’s first duty </w:t>
      </w:r>
      <w:r w:rsidR="00C44809">
        <w:rPr>
          <w:rFonts w:ascii="Times New Roman" w:hAnsi="Times New Roman"/>
          <w:sz w:val="24"/>
          <w:szCs w:val="24"/>
        </w:rPr>
        <w:t>with regard to firearms</w:t>
      </w:r>
      <w:r w:rsidRPr="00D64EE6">
        <w:rPr>
          <w:rFonts w:ascii="Times New Roman" w:hAnsi="Times New Roman"/>
          <w:sz w:val="24"/>
          <w:szCs w:val="24"/>
        </w:rPr>
        <w:t xml:space="preserve"> is not</w:t>
      </w:r>
      <w:r w:rsidR="00C44809">
        <w:rPr>
          <w:rFonts w:ascii="Times New Roman" w:hAnsi="Times New Roman"/>
          <w:sz w:val="24"/>
          <w:szCs w:val="24"/>
        </w:rPr>
        <w:t xml:space="preserve"> </w:t>
      </w:r>
      <w:r w:rsidR="00D65CA5">
        <w:rPr>
          <w:rFonts w:ascii="Times New Roman" w:hAnsi="Times New Roman"/>
          <w:sz w:val="24"/>
          <w:szCs w:val="24"/>
        </w:rPr>
        <w:t xml:space="preserve">to </w:t>
      </w:r>
      <w:r w:rsidR="00C44809">
        <w:rPr>
          <w:rFonts w:ascii="Times New Roman" w:hAnsi="Times New Roman"/>
          <w:sz w:val="24"/>
          <w:szCs w:val="24"/>
        </w:rPr>
        <w:t>misuse them in direct v</w:t>
      </w:r>
      <w:r w:rsidRPr="00D64EE6">
        <w:rPr>
          <w:rFonts w:ascii="Times New Roman" w:hAnsi="Times New Roman"/>
          <w:sz w:val="24"/>
          <w:szCs w:val="24"/>
        </w:rPr>
        <w:t>iolat</w:t>
      </w:r>
      <w:r w:rsidR="00C44809">
        <w:rPr>
          <w:rFonts w:ascii="Times New Roman" w:hAnsi="Times New Roman"/>
          <w:sz w:val="24"/>
          <w:szCs w:val="24"/>
        </w:rPr>
        <w:t>ion of</w:t>
      </w:r>
      <w:r w:rsidRPr="00D64EE6">
        <w:rPr>
          <w:rFonts w:ascii="Times New Roman" w:hAnsi="Times New Roman"/>
          <w:sz w:val="24"/>
          <w:szCs w:val="24"/>
        </w:rPr>
        <w:t xml:space="preserve"> the right to life</w:t>
      </w:r>
      <w:r w:rsidR="00C44809">
        <w:rPr>
          <w:rFonts w:ascii="Times New Roman" w:hAnsi="Times New Roman"/>
          <w:sz w:val="24"/>
          <w:szCs w:val="24"/>
        </w:rPr>
        <w:t>, or any other human rights.</w:t>
      </w:r>
      <w:r w:rsidRPr="00D64EE6">
        <w:rPr>
          <w:rStyle w:val="FootnoteReference"/>
          <w:rFonts w:ascii="Times New Roman" w:hAnsi="Times New Roman"/>
          <w:sz w:val="24"/>
          <w:szCs w:val="24"/>
        </w:rPr>
        <w:footnoteReference w:id="14"/>
      </w:r>
      <w:r w:rsidRPr="00D64EE6">
        <w:rPr>
          <w:rFonts w:ascii="Times New Roman" w:hAnsi="Times New Roman"/>
          <w:sz w:val="24"/>
          <w:szCs w:val="24"/>
        </w:rPr>
        <w:t xml:space="preserve"> </w:t>
      </w:r>
      <w:r w:rsidR="00C35D7C">
        <w:rPr>
          <w:rFonts w:ascii="Times New Roman" w:hAnsi="Times New Roman"/>
          <w:sz w:val="24"/>
          <w:szCs w:val="24"/>
        </w:rPr>
        <w:t>The</w:t>
      </w:r>
      <w:r w:rsidR="006D7034" w:rsidRPr="00D64EE6">
        <w:rPr>
          <w:rFonts w:ascii="Times New Roman" w:hAnsi="Times New Roman"/>
          <w:sz w:val="24"/>
          <w:szCs w:val="24"/>
        </w:rPr>
        <w:t xml:space="preserve"> Human Rights Committee has repeatedly held States parties in violation of article 6 protections on the grounds of extrajudicial killings and/or excessive use</w:t>
      </w:r>
      <w:r w:rsidR="006D7034" w:rsidRPr="00283940">
        <w:rPr>
          <w:rFonts w:ascii="Times New Roman" w:hAnsi="Times New Roman"/>
          <w:sz w:val="24"/>
          <w:szCs w:val="24"/>
        </w:rPr>
        <w:t xml:space="preserve"> of force with firearms.</w:t>
      </w:r>
      <w:r w:rsidR="006D7034" w:rsidRPr="00D64EE6">
        <w:rPr>
          <w:rStyle w:val="FootnoteReference"/>
          <w:rFonts w:ascii="Times New Roman" w:hAnsi="Times New Roman"/>
          <w:sz w:val="24"/>
          <w:szCs w:val="24"/>
        </w:rPr>
        <w:footnoteReference w:id="15"/>
      </w:r>
    </w:p>
    <w:p w14:paraId="1C958A3A" w14:textId="7613F6CC" w:rsidR="00E17FE1"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 xml:space="preserve">Regarding those circumstances in which the use of force may be justified, the </w:t>
      </w:r>
      <w:r w:rsidR="0021625B">
        <w:rPr>
          <w:rFonts w:ascii="Times New Roman" w:hAnsi="Times New Roman"/>
          <w:sz w:val="24"/>
          <w:szCs w:val="24"/>
        </w:rPr>
        <w:t>Basic Principles on Use of Force and Firearm</w:t>
      </w:r>
      <w:r w:rsidR="00A03273">
        <w:rPr>
          <w:rFonts w:ascii="Times New Roman" w:hAnsi="Times New Roman"/>
          <w:sz w:val="24"/>
          <w:szCs w:val="24"/>
        </w:rPr>
        <w:t>s, article 9,</w:t>
      </w:r>
      <w:r w:rsidR="0021625B">
        <w:rPr>
          <w:rFonts w:ascii="Times New Roman" w:hAnsi="Times New Roman"/>
          <w:sz w:val="24"/>
          <w:szCs w:val="24"/>
        </w:rPr>
        <w:t xml:space="preserve"> prohibit</w:t>
      </w:r>
      <w:r w:rsidR="00A03273">
        <w:rPr>
          <w:rFonts w:ascii="Times New Roman" w:hAnsi="Times New Roman"/>
          <w:sz w:val="24"/>
          <w:szCs w:val="24"/>
        </w:rPr>
        <w:t>s</w:t>
      </w:r>
      <w:r w:rsidR="0021625B">
        <w:rPr>
          <w:rFonts w:ascii="Times New Roman" w:hAnsi="Times New Roman"/>
          <w:sz w:val="24"/>
          <w:szCs w:val="24"/>
        </w:rPr>
        <w:t xml:space="preserve"> the use of </w:t>
      </w:r>
      <w:r w:rsidR="0021625B" w:rsidRPr="0021625B">
        <w:rPr>
          <w:rFonts w:ascii="Times New Roman" w:hAnsi="Times New Roman"/>
          <w:sz w:val="24"/>
          <w:szCs w:val="24"/>
        </w:rPr>
        <w:t xml:space="preserve">firearms against persons </w:t>
      </w:r>
      <w:r w:rsidR="0021625B">
        <w:rPr>
          <w:rFonts w:ascii="Times New Roman" w:hAnsi="Times New Roman"/>
          <w:sz w:val="24"/>
          <w:szCs w:val="24"/>
        </w:rPr>
        <w:t>“</w:t>
      </w:r>
      <w:r w:rsidR="0021625B" w:rsidRPr="0021625B">
        <w:rPr>
          <w:rFonts w:ascii="Times New Roman" w:hAnsi="Times New Roman"/>
          <w:sz w:val="24"/>
          <w:szCs w:val="24"/>
        </w:rPr>
        <w:t xml:space="preserve">except in self-defence or defence of others against the imminent threat of death or serious injury, to prevent the perpetration of a particularly serious crime involving grave threat to life, to arrest a person presenting such a danger and resisting their authority, or to prevent his or her </w:t>
      </w:r>
      <w:r w:rsidR="0021625B" w:rsidRPr="0021625B">
        <w:rPr>
          <w:rFonts w:ascii="Times New Roman" w:hAnsi="Times New Roman"/>
          <w:sz w:val="24"/>
          <w:szCs w:val="24"/>
        </w:rPr>
        <w:lastRenderedPageBreak/>
        <w:t>escape, and only when less extreme means are insufficient to achieve these objectives.</w:t>
      </w:r>
      <w:r w:rsidR="0021625B">
        <w:rPr>
          <w:rFonts w:ascii="Times New Roman" w:hAnsi="Times New Roman"/>
          <w:sz w:val="24"/>
          <w:szCs w:val="24"/>
        </w:rPr>
        <w:t>”</w:t>
      </w:r>
      <w:r w:rsidR="0021625B" w:rsidRPr="0021625B">
        <w:rPr>
          <w:rFonts w:ascii="Times New Roman" w:hAnsi="Times New Roman"/>
          <w:sz w:val="24"/>
          <w:szCs w:val="24"/>
        </w:rPr>
        <w:t xml:space="preserve"> </w:t>
      </w:r>
      <w:r w:rsidRPr="00D64EE6">
        <w:rPr>
          <w:rFonts w:ascii="Times New Roman" w:hAnsi="Times New Roman"/>
          <w:sz w:val="24"/>
          <w:szCs w:val="24"/>
        </w:rPr>
        <w:t xml:space="preserve">The </w:t>
      </w:r>
      <w:r w:rsidR="0021625B">
        <w:rPr>
          <w:rFonts w:ascii="Times New Roman" w:hAnsi="Times New Roman"/>
          <w:sz w:val="24"/>
          <w:szCs w:val="24"/>
        </w:rPr>
        <w:t>limited exceptions for allowing the use of firearms</w:t>
      </w:r>
      <w:r w:rsidRPr="00D64EE6">
        <w:rPr>
          <w:rFonts w:ascii="Times New Roman" w:hAnsi="Times New Roman"/>
          <w:sz w:val="24"/>
          <w:szCs w:val="24"/>
        </w:rPr>
        <w:t xml:space="preserve"> are based on the interna</w:t>
      </w:r>
      <w:r w:rsidRPr="00283940">
        <w:rPr>
          <w:rFonts w:ascii="Times New Roman" w:hAnsi="Times New Roman"/>
          <w:sz w:val="24"/>
          <w:szCs w:val="24"/>
        </w:rPr>
        <w:t>tional requirement of “proportionality,” and the principle invokes “necessity” by reference to the use of less extreme means where sufficient.</w:t>
      </w:r>
      <w:r w:rsidRPr="00D64EE6">
        <w:rPr>
          <w:rStyle w:val="FootnoteReference"/>
          <w:rFonts w:ascii="Times New Roman" w:hAnsi="Times New Roman"/>
          <w:sz w:val="24"/>
          <w:szCs w:val="24"/>
        </w:rPr>
        <w:footnoteReference w:id="16"/>
      </w:r>
      <w:r w:rsidRPr="00D64EE6">
        <w:rPr>
          <w:rFonts w:ascii="Times New Roman" w:hAnsi="Times New Roman"/>
          <w:sz w:val="24"/>
          <w:szCs w:val="24"/>
        </w:rPr>
        <w:t xml:space="preserve"> Additionally, </w:t>
      </w:r>
      <w:r w:rsidR="00AC0263" w:rsidRPr="00283940">
        <w:rPr>
          <w:rFonts w:ascii="Times New Roman" w:hAnsi="Times New Roman"/>
          <w:sz w:val="24"/>
          <w:szCs w:val="24"/>
        </w:rPr>
        <w:t xml:space="preserve">in order to comply with </w:t>
      </w:r>
      <w:r w:rsidR="00A03273">
        <w:rPr>
          <w:rFonts w:ascii="Times New Roman" w:hAnsi="Times New Roman"/>
          <w:sz w:val="24"/>
          <w:szCs w:val="24"/>
        </w:rPr>
        <w:t>ICCPR A</w:t>
      </w:r>
      <w:r w:rsidR="00AC0263" w:rsidRPr="00283940">
        <w:rPr>
          <w:rFonts w:ascii="Times New Roman" w:hAnsi="Times New Roman"/>
          <w:sz w:val="24"/>
          <w:szCs w:val="24"/>
        </w:rPr>
        <w:t xml:space="preserve">rticle 6, </w:t>
      </w:r>
      <w:r w:rsidR="00A03273">
        <w:rPr>
          <w:rFonts w:ascii="Times New Roman" w:hAnsi="Times New Roman"/>
          <w:sz w:val="24"/>
          <w:szCs w:val="24"/>
        </w:rPr>
        <w:t>S</w:t>
      </w:r>
      <w:r w:rsidRPr="00283940">
        <w:rPr>
          <w:rFonts w:ascii="Times New Roman" w:hAnsi="Times New Roman"/>
          <w:sz w:val="24"/>
          <w:szCs w:val="24"/>
        </w:rPr>
        <w:t>tates must “</w:t>
      </w:r>
      <w:r w:rsidRPr="00D64EE6">
        <w:rPr>
          <w:rStyle w:val="apple-style-span"/>
          <w:rFonts w:ascii="Times New Roman" w:hAnsi="Times New Roman"/>
          <w:color w:val="000000"/>
          <w:sz w:val="24"/>
          <w:szCs w:val="24"/>
        </w:rPr>
        <w:t>establish effective reporting and investigative procedures</w:t>
      </w:r>
      <w:r w:rsidRPr="00D64EE6">
        <w:rPr>
          <w:rFonts w:ascii="Times New Roman" w:hAnsi="Times New Roman"/>
          <w:sz w:val="24"/>
          <w:szCs w:val="24"/>
        </w:rPr>
        <w:t>” that are conducted “</w:t>
      </w:r>
      <w:r w:rsidRPr="00D64EE6">
        <w:rPr>
          <w:rStyle w:val="apple-style-span"/>
          <w:rFonts w:ascii="Times New Roman" w:hAnsi="Times New Roman"/>
          <w:color w:val="000000"/>
          <w:sz w:val="24"/>
          <w:szCs w:val="24"/>
        </w:rPr>
        <w:t>by independent and competent authorities.</w:t>
      </w:r>
      <w:r w:rsidRPr="00D64EE6">
        <w:rPr>
          <w:rFonts w:ascii="Times New Roman" w:hAnsi="Times New Roman"/>
          <w:sz w:val="24"/>
          <w:szCs w:val="24"/>
        </w:rPr>
        <w:t>”</w:t>
      </w:r>
      <w:r w:rsidRPr="00D64EE6">
        <w:rPr>
          <w:rStyle w:val="FootnoteReference"/>
          <w:rFonts w:ascii="Times New Roman" w:hAnsi="Times New Roman"/>
          <w:sz w:val="24"/>
          <w:szCs w:val="24"/>
        </w:rPr>
        <w:footnoteReference w:id="17"/>
      </w:r>
      <w:r w:rsidRPr="00D64EE6">
        <w:rPr>
          <w:rFonts w:ascii="Times New Roman" w:hAnsi="Times New Roman"/>
          <w:sz w:val="24"/>
          <w:szCs w:val="24"/>
        </w:rPr>
        <w:t xml:space="preserve"> </w:t>
      </w:r>
    </w:p>
    <w:p w14:paraId="490AB95F" w14:textId="77777777" w:rsidR="00C44809" w:rsidRDefault="00C44809" w:rsidP="00E17FE1">
      <w:pPr>
        <w:spacing w:line="240" w:lineRule="auto"/>
        <w:ind w:firstLine="720"/>
        <w:contextualSpacing/>
        <w:rPr>
          <w:rFonts w:ascii="Times New Roman" w:hAnsi="Times New Roman"/>
          <w:sz w:val="24"/>
          <w:szCs w:val="24"/>
        </w:rPr>
      </w:pPr>
    </w:p>
    <w:p w14:paraId="58E13FC9" w14:textId="77777777" w:rsidR="008A7621" w:rsidRDefault="008A7621" w:rsidP="008A7621">
      <w:pPr>
        <w:spacing w:line="240" w:lineRule="auto"/>
        <w:ind w:firstLine="720"/>
        <w:contextualSpacing/>
        <w:rPr>
          <w:rFonts w:ascii="Times New Roman" w:hAnsi="Times New Roman"/>
          <w:sz w:val="24"/>
          <w:szCs w:val="24"/>
        </w:rPr>
      </w:pPr>
      <w:r>
        <w:rPr>
          <w:rFonts w:ascii="Times New Roman" w:hAnsi="Times New Roman"/>
          <w:sz w:val="24"/>
          <w:szCs w:val="24"/>
        </w:rPr>
        <w:t>The</w:t>
      </w:r>
      <w:r w:rsidRPr="00D64EE6">
        <w:rPr>
          <w:rFonts w:ascii="Times New Roman" w:hAnsi="Times New Roman"/>
          <w:sz w:val="24"/>
          <w:szCs w:val="24"/>
        </w:rPr>
        <w:t xml:space="preserve"> SALW Principles </w:t>
      </w:r>
      <w:r>
        <w:rPr>
          <w:rFonts w:ascii="Times New Roman" w:hAnsi="Times New Roman"/>
          <w:sz w:val="24"/>
          <w:szCs w:val="24"/>
        </w:rPr>
        <w:t>promote</w:t>
      </w:r>
      <w:r w:rsidRPr="00D64EE6">
        <w:rPr>
          <w:rFonts w:ascii="Times New Roman" w:hAnsi="Times New Roman"/>
          <w:sz w:val="24"/>
          <w:szCs w:val="24"/>
        </w:rPr>
        <w:t xml:space="preserve"> proactive and preventive measures</w:t>
      </w:r>
      <w:r>
        <w:rPr>
          <w:rFonts w:ascii="Times New Roman" w:hAnsi="Times New Roman"/>
          <w:sz w:val="24"/>
          <w:szCs w:val="24"/>
        </w:rPr>
        <w:t>, including the adoption of  r</w:t>
      </w:r>
      <w:r w:rsidRPr="00D64EE6">
        <w:rPr>
          <w:rFonts w:ascii="Times New Roman" w:hAnsi="Times New Roman"/>
          <w:sz w:val="24"/>
          <w:szCs w:val="24"/>
        </w:rPr>
        <w:t>ules and regulations on the use of force and small arms against persons,</w:t>
      </w:r>
      <w:r w:rsidRPr="00D64EE6">
        <w:rPr>
          <w:rStyle w:val="FootnoteReference"/>
          <w:rFonts w:ascii="Times New Roman" w:hAnsi="Times New Roman"/>
          <w:sz w:val="24"/>
          <w:szCs w:val="24"/>
        </w:rPr>
        <w:footnoteReference w:id="18"/>
      </w:r>
      <w:r w:rsidRPr="00D64EE6">
        <w:rPr>
          <w:rFonts w:ascii="Times New Roman" w:hAnsi="Times New Roman"/>
          <w:sz w:val="24"/>
          <w:szCs w:val="24"/>
        </w:rPr>
        <w:t xml:space="preserve"> strict enforcement of such rules und</w:t>
      </w:r>
      <w:r w:rsidRPr="00283940">
        <w:rPr>
          <w:rFonts w:ascii="Times New Roman" w:hAnsi="Times New Roman"/>
          <w:sz w:val="24"/>
          <w:szCs w:val="24"/>
        </w:rPr>
        <w:t>er a “clear chain of command” that allows for criminal sanctions for arbitrary or abusive use of force carried out with small arms.</w:t>
      </w:r>
      <w:r w:rsidRPr="00D64EE6">
        <w:rPr>
          <w:rStyle w:val="FootnoteReference"/>
          <w:rFonts w:ascii="Times New Roman" w:hAnsi="Times New Roman"/>
          <w:sz w:val="24"/>
          <w:szCs w:val="24"/>
        </w:rPr>
        <w:footnoteReference w:id="19"/>
      </w:r>
      <w:r w:rsidRPr="00D64EE6">
        <w:rPr>
          <w:rFonts w:ascii="Times New Roman" w:hAnsi="Times New Roman"/>
          <w:sz w:val="24"/>
          <w:szCs w:val="24"/>
        </w:rPr>
        <w:t xml:space="preserve"> States must provide adequate procedures both for the maintenance of the small arms and light weapons themselves</w:t>
      </w:r>
      <w:r w:rsidRPr="00D64EE6">
        <w:rPr>
          <w:rStyle w:val="FootnoteReference"/>
          <w:rFonts w:ascii="Times New Roman" w:hAnsi="Times New Roman"/>
          <w:sz w:val="24"/>
          <w:szCs w:val="24"/>
        </w:rPr>
        <w:footnoteReference w:id="20"/>
      </w:r>
      <w:r w:rsidRPr="00D64EE6">
        <w:rPr>
          <w:rFonts w:ascii="Times New Roman" w:hAnsi="Times New Roman"/>
          <w:sz w:val="24"/>
          <w:szCs w:val="24"/>
        </w:rPr>
        <w:t xml:space="preserve"> and for the screening and training of the persons tasked with their proper use.</w:t>
      </w:r>
      <w:r w:rsidRPr="00D64EE6">
        <w:rPr>
          <w:rStyle w:val="FootnoteReference"/>
          <w:rFonts w:ascii="Times New Roman" w:hAnsi="Times New Roman"/>
          <w:sz w:val="24"/>
          <w:szCs w:val="24"/>
        </w:rPr>
        <w:footnoteReference w:id="21"/>
      </w:r>
      <w:r w:rsidRPr="00D64EE6">
        <w:rPr>
          <w:rFonts w:ascii="Times New Roman" w:hAnsi="Times New Roman"/>
          <w:sz w:val="24"/>
          <w:szCs w:val="24"/>
        </w:rPr>
        <w:t xml:space="preserve"> Most importantly, the </w:t>
      </w:r>
      <w:r w:rsidRPr="00D64EE6">
        <w:rPr>
          <w:rFonts w:ascii="Times New Roman" w:hAnsi="Times New Roman"/>
          <w:sz w:val="24"/>
          <w:szCs w:val="24"/>
        </w:rPr>
        <w:lastRenderedPageBreak/>
        <w:t>training of state agents and the execution of their duties must be informed by human rights norms, specifically the respect for the right to life.</w:t>
      </w:r>
      <w:r w:rsidRPr="00D64EE6">
        <w:rPr>
          <w:rStyle w:val="FootnoteReference"/>
          <w:rFonts w:ascii="Times New Roman" w:hAnsi="Times New Roman"/>
          <w:sz w:val="24"/>
          <w:szCs w:val="24"/>
        </w:rPr>
        <w:footnoteReference w:id="22"/>
      </w:r>
      <w:r w:rsidRPr="00D64EE6">
        <w:rPr>
          <w:rFonts w:ascii="Times New Roman" w:hAnsi="Times New Roman"/>
          <w:sz w:val="24"/>
          <w:szCs w:val="24"/>
        </w:rPr>
        <w:t xml:space="preserve"> </w:t>
      </w:r>
    </w:p>
    <w:p w14:paraId="29F5B69F" w14:textId="2A342A07" w:rsidR="00E17FE1" w:rsidRPr="00984275" w:rsidRDefault="00E17FE1" w:rsidP="00984275">
      <w:pPr>
        <w:pStyle w:val="ListParagraph"/>
        <w:numPr>
          <w:ilvl w:val="0"/>
          <w:numId w:val="2"/>
        </w:numPr>
        <w:rPr>
          <w:rFonts w:ascii="Times New Roman" w:hAnsi="Times New Roman"/>
          <w:b/>
          <w:sz w:val="24"/>
          <w:szCs w:val="24"/>
        </w:rPr>
      </w:pPr>
      <w:r w:rsidRPr="00984275">
        <w:rPr>
          <w:rFonts w:ascii="Times New Roman" w:hAnsi="Times New Roman"/>
          <w:b/>
          <w:sz w:val="24"/>
          <w:szCs w:val="24"/>
        </w:rPr>
        <w:tab/>
        <w:t>Obligation to</w:t>
      </w:r>
      <w:r w:rsidR="00F9339F">
        <w:rPr>
          <w:rFonts w:ascii="Times New Roman" w:hAnsi="Times New Roman"/>
          <w:b/>
          <w:sz w:val="24"/>
          <w:szCs w:val="24"/>
        </w:rPr>
        <w:t xml:space="preserve"> Use Due Diligence to</w:t>
      </w:r>
      <w:r w:rsidRPr="00984275">
        <w:rPr>
          <w:rFonts w:ascii="Times New Roman" w:hAnsi="Times New Roman"/>
          <w:b/>
          <w:sz w:val="24"/>
          <w:szCs w:val="24"/>
        </w:rPr>
        <w:t xml:space="preserve"> Prevent Violations of the Right to Life</w:t>
      </w:r>
    </w:p>
    <w:p w14:paraId="08F38CB6" w14:textId="6FF1BCD0" w:rsidR="00E17FE1" w:rsidRPr="00D64EE6" w:rsidRDefault="00E17FE1" w:rsidP="00E17FE1">
      <w:pPr>
        <w:spacing w:line="240" w:lineRule="auto"/>
        <w:contextualSpacing/>
        <w:rPr>
          <w:rFonts w:ascii="Times New Roman" w:hAnsi="Times New Roman"/>
          <w:sz w:val="24"/>
          <w:szCs w:val="24"/>
        </w:rPr>
      </w:pPr>
      <w:r w:rsidRPr="00D64EE6">
        <w:rPr>
          <w:rFonts w:ascii="Times New Roman" w:hAnsi="Times New Roman"/>
          <w:sz w:val="24"/>
          <w:szCs w:val="24"/>
        </w:rPr>
        <w:tab/>
      </w:r>
      <w:r w:rsidR="00B22925">
        <w:rPr>
          <w:rFonts w:ascii="Times New Roman" w:hAnsi="Times New Roman"/>
          <w:sz w:val="24"/>
          <w:szCs w:val="24"/>
        </w:rPr>
        <w:t>Article 6</w:t>
      </w:r>
      <w:r w:rsidRPr="00D64EE6">
        <w:rPr>
          <w:rFonts w:ascii="Times New Roman" w:hAnsi="Times New Roman"/>
          <w:sz w:val="24"/>
          <w:szCs w:val="24"/>
        </w:rPr>
        <w:t xml:space="preserve"> imposes affirmative duties on states to </w:t>
      </w:r>
      <w:r w:rsidR="00984275">
        <w:rPr>
          <w:rFonts w:ascii="Times New Roman" w:hAnsi="Times New Roman"/>
          <w:sz w:val="24"/>
          <w:szCs w:val="24"/>
        </w:rPr>
        <w:t xml:space="preserve">protect </w:t>
      </w:r>
      <w:r w:rsidRPr="00D64EE6">
        <w:rPr>
          <w:rFonts w:ascii="Times New Roman" w:hAnsi="Times New Roman"/>
          <w:sz w:val="24"/>
          <w:szCs w:val="24"/>
        </w:rPr>
        <w:t>the right to life</w:t>
      </w:r>
      <w:r w:rsidRPr="00D64EE6">
        <w:rPr>
          <w:rStyle w:val="FootnoteReference"/>
          <w:rFonts w:ascii="Times New Roman" w:hAnsi="Times New Roman"/>
          <w:sz w:val="24"/>
          <w:szCs w:val="24"/>
        </w:rPr>
        <w:footnoteReference w:id="23"/>
      </w:r>
      <w:r w:rsidRPr="00D64EE6">
        <w:rPr>
          <w:rFonts w:ascii="Times New Roman" w:hAnsi="Times New Roman"/>
          <w:sz w:val="24"/>
          <w:szCs w:val="24"/>
        </w:rPr>
        <w:t xml:space="preserve"> by other state actors</w:t>
      </w:r>
      <w:r w:rsidRPr="00D64EE6">
        <w:rPr>
          <w:rStyle w:val="FootnoteReference"/>
          <w:rFonts w:ascii="Times New Roman" w:hAnsi="Times New Roman"/>
          <w:sz w:val="24"/>
          <w:szCs w:val="24"/>
        </w:rPr>
        <w:footnoteReference w:id="24"/>
      </w:r>
      <w:r w:rsidRPr="00D64EE6">
        <w:rPr>
          <w:rFonts w:ascii="Times New Roman" w:hAnsi="Times New Roman"/>
          <w:sz w:val="24"/>
          <w:szCs w:val="24"/>
        </w:rPr>
        <w:t xml:space="preserve"> and private parties.</w:t>
      </w:r>
      <w:r w:rsidRPr="00D64EE6">
        <w:rPr>
          <w:rStyle w:val="FootnoteReference"/>
          <w:rFonts w:ascii="Times New Roman" w:hAnsi="Times New Roman"/>
          <w:sz w:val="24"/>
          <w:szCs w:val="24"/>
        </w:rPr>
        <w:footnoteReference w:id="25"/>
      </w:r>
      <w:r w:rsidRPr="00D64EE6">
        <w:rPr>
          <w:rFonts w:ascii="Times New Roman" w:hAnsi="Times New Roman"/>
          <w:sz w:val="24"/>
          <w:szCs w:val="24"/>
        </w:rPr>
        <w:t xml:space="preserve"> </w:t>
      </w:r>
      <w:r w:rsidR="005C6AD0" w:rsidRPr="00D64EE6">
        <w:rPr>
          <w:rFonts w:ascii="Times New Roman" w:hAnsi="Times New Roman"/>
          <w:sz w:val="24"/>
          <w:szCs w:val="24"/>
        </w:rPr>
        <w:t>United Nations Human Rights Council Resolution</w:t>
      </w:r>
      <w:r w:rsidR="00C35D7C">
        <w:rPr>
          <w:rFonts w:ascii="Times New Roman" w:hAnsi="Times New Roman"/>
          <w:sz w:val="24"/>
          <w:szCs w:val="24"/>
        </w:rPr>
        <w:t xml:space="preserve"> 29, adopted July 2, 2015,</w:t>
      </w:r>
      <w:r w:rsidR="005C6AD0" w:rsidRPr="00D64EE6">
        <w:rPr>
          <w:rFonts w:ascii="Times New Roman" w:hAnsi="Times New Roman"/>
          <w:sz w:val="24"/>
          <w:szCs w:val="24"/>
        </w:rPr>
        <w:t xml:space="preserve"> </w:t>
      </w:r>
      <w:r w:rsidR="005C6AD0" w:rsidRPr="00283940">
        <w:rPr>
          <w:rFonts w:ascii="Times New Roman" w:hAnsi="Times New Roman"/>
          <w:sz w:val="24"/>
          <w:szCs w:val="24"/>
        </w:rPr>
        <w:t>calls upon member States to “</w:t>
      </w:r>
      <w:r w:rsidR="005C6AD0" w:rsidRPr="00D64EE6">
        <w:rPr>
          <w:rFonts w:ascii="Times New Roman" w:hAnsi="Times New Roman"/>
          <w:sz w:val="24"/>
          <w:szCs w:val="24"/>
        </w:rPr>
        <w:t>do their utmost to take appropriate legislative, administrative and other measures, consistent with international human rights law and their constitutional frameworks, in order to ensure that civilian acquisition, possession and use of firearms are effectively regulated with the aim of enhancing the protection of human rights, in particular the right to life and security of person.”</w:t>
      </w:r>
      <w:r w:rsidR="005C6AD0" w:rsidRPr="00D64EE6">
        <w:rPr>
          <w:rStyle w:val="FootnoteReference"/>
          <w:rFonts w:ascii="Times New Roman" w:hAnsi="Times New Roman"/>
          <w:sz w:val="24"/>
          <w:szCs w:val="24"/>
        </w:rPr>
        <w:footnoteReference w:id="26"/>
      </w:r>
      <w:r w:rsidR="005C6AD0" w:rsidRPr="00D64EE6">
        <w:rPr>
          <w:rFonts w:ascii="Times New Roman" w:hAnsi="Times New Roman"/>
          <w:sz w:val="24"/>
          <w:szCs w:val="24"/>
        </w:rPr>
        <w:t xml:space="preserve"> </w:t>
      </w:r>
      <w:r w:rsidR="008A7621" w:rsidRPr="00D64EE6">
        <w:rPr>
          <w:rFonts w:ascii="Times New Roman" w:hAnsi="Times New Roman"/>
          <w:sz w:val="24"/>
          <w:szCs w:val="24"/>
        </w:rPr>
        <w:t>As discussed above, the SALW Principles recognize states’ due diligence requirements in relation to private actors.</w:t>
      </w:r>
      <w:r w:rsidR="008A7621" w:rsidRPr="00D64EE6">
        <w:rPr>
          <w:rStyle w:val="FootnoteReference"/>
          <w:rFonts w:ascii="Times New Roman" w:hAnsi="Times New Roman"/>
          <w:sz w:val="24"/>
          <w:szCs w:val="24"/>
        </w:rPr>
        <w:footnoteReference w:id="27"/>
      </w:r>
      <w:r w:rsidR="008A7621" w:rsidRPr="00D64EE6">
        <w:rPr>
          <w:rFonts w:ascii="Times New Roman" w:hAnsi="Times New Roman"/>
          <w:sz w:val="24"/>
          <w:szCs w:val="24"/>
        </w:rPr>
        <w:t xml:space="preserve"> </w:t>
      </w:r>
      <w:r w:rsidRPr="00D64EE6">
        <w:rPr>
          <w:rFonts w:ascii="Times New Roman" w:hAnsi="Times New Roman"/>
          <w:sz w:val="24"/>
          <w:szCs w:val="24"/>
        </w:rPr>
        <w:t xml:space="preserve">The human rights duties of states </w:t>
      </w:r>
      <w:r w:rsidR="008A7621">
        <w:rPr>
          <w:rFonts w:ascii="Times New Roman" w:hAnsi="Times New Roman"/>
          <w:sz w:val="24"/>
          <w:szCs w:val="24"/>
        </w:rPr>
        <w:t xml:space="preserve">apply </w:t>
      </w:r>
      <w:r w:rsidRPr="00D64EE6">
        <w:rPr>
          <w:rFonts w:ascii="Times New Roman" w:hAnsi="Times New Roman"/>
          <w:sz w:val="24"/>
          <w:szCs w:val="24"/>
        </w:rPr>
        <w:t>to domestic non-state actors as well as to transfers of small arms and light weapons to foreign actors. These two obligations will be taken in turn.</w:t>
      </w:r>
    </w:p>
    <w:p w14:paraId="0269E0B0" w14:textId="77777777" w:rsidR="00E17FE1" w:rsidRPr="00283940" w:rsidRDefault="00E17FE1" w:rsidP="00E17FE1">
      <w:pPr>
        <w:spacing w:line="240" w:lineRule="auto"/>
        <w:contextualSpacing/>
        <w:rPr>
          <w:rFonts w:ascii="Times New Roman" w:hAnsi="Times New Roman"/>
          <w:sz w:val="24"/>
          <w:szCs w:val="24"/>
        </w:rPr>
      </w:pPr>
    </w:p>
    <w:p w14:paraId="5A44B2DD" w14:textId="2F47C21C" w:rsidR="001E4FE8" w:rsidRDefault="00E17FE1" w:rsidP="002C2BB7">
      <w:pPr>
        <w:spacing w:line="240" w:lineRule="auto"/>
        <w:ind w:firstLine="720"/>
        <w:contextualSpacing/>
        <w:rPr>
          <w:rFonts w:ascii="Times New Roman" w:hAnsi="Times New Roman"/>
          <w:sz w:val="24"/>
          <w:szCs w:val="24"/>
        </w:rPr>
      </w:pPr>
      <w:r w:rsidRPr="00D64EE6">
        <w:rPr>
          <w:rFonts w:ascii="Times New Roman" w:hAnsi="Times New Roman"/>
          <w:b/>
          <w:i/>
          <w:sz w:val="24"/>
          <w:szCs w:val="24"/>
        </w:rPr>
        <w:tab/>
        <w:t>A.</w:t>
      </w:r>
      <w:r w:rsidRPr="00D64EE6">
        <w:rPr>
          <w:rFonts w:ascii="Times New Roman" w:hAnsi="Times New Roman"/>
          <w:b/>
          <w:i/>
          <w:sz w:val="24"/>
          <w:szCs w:val="24"/>
        </w:rPr>
        <w:tab/>
        <w:t xml:space="preserve">State Obligation to Prevent </w:t>
      </w:r>
      <w:r w:rsidR="00484873">
        <w:rPr>
          <w:rFonts w:ascii="Times New Roman" w:hAnsi="Times New Roman"/>
          <w:b/>
          <w:i/>
          <w:sz w:val="24"/>
          <w:szCs w:val="24"/>
        </w:rPr>
        <w:t xml:space="preserve">Firearms </w:t>
      </w:r>
      <w:r w:rsidRPr="00D64EE6">
        <w:rPr>
          <w:rFonts w:ascii="Times New Roman" w:hAnsi="Times New Roman"/>
          <w:b/>
          <w:i/>
          <w:sz w:val="24"/>
          <w:szCs w:val="24"/>
        </w:rPr>
        <w:t>Violations</w:t>
      </w:r>
      <w:r w:rsidR="00F600E3">
        <w:rPr>
          <w:rFonts w:ascii="Times New Roman" w:hAnsi="Times New Roman"/>
          <w:b/>
          <w:i/>
          <w:sz w:val="24"/>
          <w:szCs w:val="24"/>
        </w:rPr>
        <w:t xml:space="preserve"> by Non-State Actors</w:t>
      </w:r>
    </w:p>
    <w:p w14:paraId="62A41348" w14:textId="77777777" w:rsidR="001E4FE8" w:rsidRDefault="001E4FE8" w:rsidP="002C2BB7">
      <w:pPr>
        <w:spacing w:line="240" w:lineRule="auto"/>
        <w:ind w:firstLine="720"/>
        <w:contextualSpacing/>
        <w:rPr>
          <w:rFonts w:ascii="Times New Roman" w:hAnsi="Times New Roman"/>
          <w:sz w:val="24"/>
          <w:szCs w:val="24"/>
        </w:rPr>
      </w:pPr>
    </w:p>
    <w:p w14:paraId="25839C95" w14:textId="27E56556" w:rsidR="00E17FE1" w:rsidRPr="00D64EE6" w:rsidRDefault="00E17FE1" w:rsidP="002C2BB7">
      <w:pPr>
        <w:spacing w:line="240" w:lineRule="auto"/>
        <w:ind w:firstLine="720"/>
        <w:contextualSpacing/>
        <w:rPr>
          <w:rFonts w:ascii="Times New Roman" w:hAnsi="Times New Roman"/>
          <w:sz w:val="24"/>
          <w:szCs w:val="24"/>
        </w:rPr>
      </w:pPr>
      <w:r w:rsidRPr="00D64EE6">
        <w:rPr>
          <w:rFonts w:ascii="Times New Roman" w:hAnsi="Times New Roman"/>
          <w:sz w:val="24"/>
          <w:szCs w:val="24"/>
        </w:rPr>
        <w:lastRenderedPageBreak/>
        <w:t>The state responsibility for the conduct of private parties is well-established within the Human Rights Committee’s comments</w:t>
      </w:r>
      <w:r w:rsidR="003F56A6" w:rsidRPr="00D64EE6">
        <w:rPr>
          <w:rFonts w:ascii="Times New Roman" w:hAnsi="Times New Roman"/>
          <w:sz w:val="24"/>
          <w:szCs w:val="24"/>
        </w:rPr>
        <w:t>,</w:t>
      </w:r>
      <w:r w:rsidRPr="00D64EE6">
        <w:rPr>
          <w:rStyle w:val="FootnoteReference"/>
          <w:rFonts w:ascii="Times New Roman" w:hAnsi="Times New Roman"/>
          <w:sz w:val="24"/>
          <w:szCs w:val="24"/>
        </w:rPr>
        <w:footnoteReference w:id="28"/>
      </w:r>
      <w:r w:rsidR="003F56A6" w:rsidRPr="00D64EE6">
        <w:rPr>
          <w:rFonts w:ascii="Times New Roman" w:hAnsi="Times New Roman"/>
          <w:sz w:val="24"/>
          <w:szCs w:val="24"/>
        </w:rPr>
        <w:t xml:space="preserve"> concluding observations,</w:t>
      </w:r>
      <w:r w:rsidR="003F56A6" w:rsidRPr="00D64EE6">
        <w:rPr>
          <w:rStyle w:val="FootnoteReference"/>
          <w:rFonts w:ascii="Times New Roman" w:hAnsi="Times New Roman"/>
          <w:sz w:val="24"/>
          <w:szCs w:val="24"/>
        </w:rPr>
        <w:footnoteReference w:id="29"/>
      </w:r>
      <w:r w:rsidRPr="00D64EE6">
        <w:rPr>
          <w:rFonts w:ascii="Times New Roman" w:hAnsi="Times New Roman"/>
          <w:sz w:val="24"/>
          <w:szCs w:val="24"/>
        </w:rPr>
        <w:t xml:space="preserve"> and communications.</w:t>
      </w:r>
      <w:r w:rsidRPr="00D64EE6">
        <w:rPr>
          <w:rStyle w:val="FootnoteReference"/>
          <w:rFonts w:ascii="Times New Roman" w:hAnsi="Times New Roman"/>
          <w:sz w:val="24"/>
          <w:szCs w:val="24"/>
        </w:rPr>
        <w:footnoteReference w:id="30"/>
      </w:r>
      <w:r w:rsidRPr="00D64EE6">
        <w:rPr>
          <w:rFonts w:ascii="Times New Roman" w:hAnsi="Times New Roman"/>
          <w:sz w:val="24"/>
          <w:szCs w:val="24"/>
        </w:rPr>
        <w:t xml:space="preserve"> This obligation has been recognized by the Committee on the Elimination of Discrimination against </w:t>
      </w:r>
      <w:r w:rsidR="002608A8">
        <w:rPr>
          <w:rFonts w:ascii="Times New Roman" w:hAnsi="Times New Roman"/>
          <w:sz w:val="24"/>
          <w:szCs w:val="24"/>
        </w:rPr>
        <w:t>W</w:t>
      </w:r>
      <w:r w:rsidR="00037D6A">
        <w:rPr>
          <w:rFonts w:ascii="Times New Roman" w:hAnsi="Times New Roman"/>
          <w:sz w:val="24"/>
          <w:szCs w:val="24"/>
        </w:rPr>
        <w:t>o</w:t>
      </w:r>
      <w:r w:rsidRPr="00D64EE6">
        <w:rPr>
          <w:rFonts w:ascii="Times New Roman" w:hAnsi="Times New Roman"/>
          <w:sz w:val="24"/>
          <w:szCs w:val="24"/>
        </w:rPr>
        <w:t>men,</w:t>
      </w:r>
      <w:r w:rsidRPr="00D64EE6">
        <w:rPr>
          <w:rStyle w:val="FootnoteReference"/>
          <w:rFonts w:ascii="Times New Roman" w:hAnsi="Times New Roman"/>
          <w:sz w:val="24"/>
          <w:szCs w:val="24"/>
        </w:rPr>
        <w:footnoteReference w:id="31"/>
      </w:r>
      <w:r w:rsidRPr="00D64EE6">
        <w:rPr>
          <w:rFonts w:ascii="Times New Roman" w:hAnsi="Times New Roman"/>
          <w:sz w:val="24"/>
          <w:szCs w:val="24"/>
        </w:rPr>
        <w:t xml:space="preserve"> the Committee on the Elimination of Racial Discrimination,</w:t>
      </w:r>
      <w:r w:rsidRPr="00D64EE6">
        <w:rPr>
          <w:rStyle w:val="FootnoteReference"/>
          <w:rFonts w:ascii="Times New Roman" w:hAnsi="Times New Roman"/>
          <w:sz w:val="24"/>
          <w:szCs w:val="24"/>
        </w:rPr>
        <w:footnoteReference w:id="32"/>
      </w:r>
      <w:r w:rsidRPr="00D64EE6">
        <w:rPr>
          <w:rFonts w:ascii="Times New Roman" w:hAnsi="Times New Roman"/>
          <w:sz w:val="24"/>
          <w:szCs w:val="24"/>
        </w:rPr>
        <w:t xml:space="preserve"> and UN special procedures.</w:t>
      </w:r>
      <w:r w:rsidRPr="00D64EE6">
        <w:rPr>
          <w:rStyle w:val="FootnoteReference"/>
          <w:rFonts w:ascii="Times New Roman" w:hAnsi="Times New Roman"/>
          <w:sz w:val="24"/>
          <w:szCs w:val="24"/>
        </w:rPr>
        <w:footnoteReference w:id="33"/>
      </w:r>
      <w:r w:rsidRPr="00D64EE6">
        <w:rPr>
          <w:rFonts w:ascii="Times New Roman" w:hAnsi="Times New Roman"/>
          <w:sz w:val="24"/>
          <w:szCs w:val="24"/>
        </w:rPr>
        <w:t xml:space="preserve"> </w:t>
      </w:r>
    </w:p>
    <w:p w14:paraId="451AD2C6" w14:textId="77777777" w:rsidR="00E17FE1" w:rsidRPr="00D64EE6" w:rsidRDefault="00E17FE1" w:rsidP="00E17FE1">
      <w:pPr>
        <w:spacing w:line="240" w:lineRule="auto"/>
        <w:contextualSpacing/>
        <w:rPr>
          <w:rFonts w:ascii="Times New Roman" w:hAnsi="Times New Roman"/>
          <w:sz w:val="24"/>
          <w:szCs w:val="24"/>
        </w:rPr>
      </w:pPr>
    </w:p>
    <w:p w14:paraId="3114DD2F" w14:textId="4E7C7DC3" w:rsidR="00E17FE1" w:rsidRPr="00283940" w:rsidRDefault="00B22925" w:rsidP="00E17FE1">
      <w:pPr>
        <w:spacing w:line="240" w:lineRule="auto"/>
        <w:ind w:firstLine="720"/>
        <w:contextualSpacing/>
        <w:rPr>
          <w:rFonts w:ascii="Times New Roman" w:hAnsi="Times New Roman"/>
          <w:sz w:val="24"/>
          <w:szCs w:val="24"/>
        </w:rPr>
      </w:pPr>
      <w:r>
        <w:rPr>
          <w:rFonts w:ascii="Times New Roman" w:hAnsi="Times New Roman"/>
          <w:sz w:val="24"/>
          <w:szCs w:val="24"/>
        </w:rPr>
        <w:t>Commentators have identified</w:t>
      </w:r>
      <w:r w:rsidR="00E17FE1" w:rsidRPr="00283940">
        <w:rPr>
          <w:rFonts w:ascii="Times New Roman" w:hAnsi="Times New Roman"/>
          <w:sz w:val="24"/>
          <w:szCs w:val="24"/>
        </w:rPr>
        <w:t xml:space="preserve"> at least four ways in which a state may be liable for private conduct because it is attributed to the state.</w:t>
      </w:r>
      <w:r w:rsidR="00E17FE1" w:rsidRPr="00D64EE6">
        <w:rPr>
          <w:rStyle w:val="FootnoteReference"/>
          <w:rFonts w:ascii="Times New Roman" w:hAnsi="Times New Roman"/>
          <w:sz w:val="24"/>
          <w:szCs w:val="24"/>
        </w:rPr>
        <w:footnoteReference w:id="34"/>
      </w:r>
      <w:r w:rsidR="00E17FE1" w:rsidRPr="00D64EE6">
        <w:rPr>
          <w:rFonts w:ascii="Times New Roman" w:hAnsi="Times New Roman"/>
          <w:sz w:val="24"/>
          <w:szCs w:val="24"/>
        </w:rPr>
        <w:t xml:space="preserve"> First, the actions of private parties may be attributed to the state when “</w:t>
      </w:r>
      <w:r w:rsidR="00E17FE1" w:rsidRPr="00283940">
        <w:rPr>
          <w:rFonts w:ascii="Times New Roman" w:hAnsi="Times New Roman"/>
          <w:sz w:val="24"/>
          <w:szCs w:val="24"/>
        </w:rPr>
        <w:t xml:space="preserve">the person or group of persons is in fact acting on the instructions of, or under the </w:t>
      </w:r>
      <w:r w:rsidR="00E17FE1" w:rsidRPr="00D64EE6">
        <w:rPr>
          <w:rFonts w:ascii="Times New Roman" w:hAnsi="Times New Roman"/>
          <w:i/>
          <w:sz w:val="24"/>
          <w:szCs w:val="24"/>
        </w:rPr>
        <w:t>direction or control</w:t>
      </w:r>
      <w:r w:rsidR="00E17FE1" w:rsidRPr="00D64EE6">
        <w:rPr>
          <w:rFonts w:ascii="Times New Roman" w:hAnsi="Times New Roman"/>
          <w:sz w:val="24"/>
          <w:szCs w:val="24"/>
        </w:rPr>
        <w:t xml:space="preserve"> of, that State in carrying out the conduct.”</w:t>
      </w:r>
      <w:r w:rsidR="00E17FE1" w:rsidRPr="00D64EE6">
        <w:rPr>
          <w:rStyle w:val="FootnoteReference"/>
          <w:rFonts w:ascii="Times New Roman" w:hAnsi="Times New Roman"/>
          <w:sz w:val="24"/>
          <w:szCs w:val="24"/>
        </w:rPr>
        <w:footnoteReference w:id="35"/>
      </w:r>
      <w:r w:rsidR="00E17FE1" w:rsidRPr="00D64EE6">
        <w:rPr>
          <w:rFonts w:ascii="Times New Roman" w:hAnsi="Times New Roman"/>
          <w:sz w:val="24"/>
          <w:szCs w:val="24"/>
        </w:rPr>
        <w:t xml:space="preserve"> Second, conduct that is not otherwise attributable to the state subsequently may be so considered “</w:t>
      </w:r>
      <w:r w:rsidR="00E17FE1" w:rsidRPr="00283940">
        <w:rPr>
          <w:rFonts w:ascii="Times New Roman" w:hAnsi="Times New Roman"/>
          <w:sz w:val="24"/>
          <w:szCs w:val="24"/>
        </w:rPr>
        <w:t xml:space="preserve">if and to the extent that the State </w:t>
      </w:r>
      <w:r w:rsidR="00E17FE1" w:rsidRPr="00D64EE6">
        <w:rPr>
          <w:rFonts w:ascii="Times New Roman" w:hAnsi="Times New Roman"/>
          <w:i/>
          <w:sz w:val="24"/>
          <w:szCs w:val="24"/>
        </w:rPr>
        <w:t>acknowledges and adopts</w:t>
      </w:r>
      <w:r w:rsidR="00E17FE1" w:rsidRPr="00D64EE6">
        <w:rPr>
          <w:rFonts w:ascii="Times New Roman" w:hAnsi="Times New Roman"/>
          <w:sz w:val="24"/>
          <w:szCs w:val="24"/>
        </w:rPr>
        <w:t xml:space="preserve"> the conduct in question as its own.”</w:t>
      </w:r>
      <w:r w:rsidR="00E17FE1" w:rsidRPr="00D64EE6">
        <w:rPr>
          <w:rStyle w:val="FootnoteReference"/>
          <w:rFonts w:ascii="Times New Roman" w:hAnsi="Times New Roman"/>
          <w:sz w:val="24"/>
          <w:szCs w:val="24"/>
        </w:rPr>
        <w:footnoteReference w:id="36"/>
      </w:r>
      <w:r w:rsidR="00E17FE1" w:rsidRPr="00D64EE6">
        <w:rPr>
          <w:rFonts w:ascii="Times New Roman" w:hAnsi="Times New Roman"/>
          <w:sz w:val="24"/>
          <w:szCs w:val="24"/>
        </w:rPr>
        <w:t xml:space="preserve"> Third, states </w:t>
      </w:r>
      <w:r w:rsidR="00E17FE1" w:rsidRPr="00D64EE6">
        <w:rPr>
          <w:rFonts w:ascii="Times New Roman" w:hAnsi="Times New Roman"/>
          <w:sz w:val="24"/>
          <w:szCs w:val="24"/>
        </w:rPr>
        <w:lastRenderedPageBreak/>
        <w:t>are respo</w:t>
      </w:r>
      <w:r w:rsidR="00E17FE1" w:rsidRPr="00283940">
        <w:rPr>
          <w:rFonts w:ascii="Times New Roman" w:hAnsi="Times New Roman"/>
          <w:sz w:val="24"/>
          <w:szCs w:val="24"/>
        </w:rPr>
        <w:t xml:space="preserve">nsible for acts of an entity “which is empowered by the law of that State to exercise elements of the </w:t>
      </w:r>
      <w:r w:rsidR="00E17FE1" w:rsidRPr="00D64EE6">
        <w:rPr>
          <w:rFonts w:ascii="Times New Roman" w:hAnsi="Times New Roman"/>
          <w:i/>
          <w:sz w:val="24"/>
          <w:szCs w:val="24"/>
        </w:rPr>
        <w:t>governmental authority</w:t>
      </w:r>
      <w:r w:rsidR="00E17FE1" w:rsidRPr="00D64EE6">
        <w:rPr>
          <w:rFonts w:ascii="Times New Roman" w:hAnsi="Times New Roman"/>
          <w:sz w:val="24"/>
          <w:szCs w:val="24"/>
        </w:rPr>
        <w:t xml:space="preserve"> . . . .”</w:t>
      </w:r>
      <w:r w:rsidR="00E17FE1" w:rsidRPr="00D64EE6">
        <w:rPr>
          <w:rStyle w:val="FootnoteReference"/>
          <w:rFonts w:ascii="Times New Roman" w:hAnsi="Times New Roman"/>
          <w:sz w:val="24"/>
          <w:szCs w:val="24"/>
        </w:rPr>
        <w:footnoteReference w:id="37"/>
      </w:r>
      <w:r w:rsidR="00E17FE1" w:rsidRPr="00D64EE6">
        <w:rPr>
          <w:rFonts w:ascii="Times New Roman" w:hAnsi="Times New Roman"/>
          <w:sz w:val="24"/>
          <w:szCs w:val="24"/>
        </w:rPr>
        <w:t xml:space="preserve"> Fourth, conduct in which states and private parties are accomplices gives rise to state responsibility “for the acts of i</w:t>
      </w:r>
      <w:r w:rsidR="00E17FE1" w:rsidRPr="00283940">
        <w:rPr>
          <w:rFonts w:ascii="Times New Roman" w:hAnsi="Times New Roman"/>
          <w:sz w:val="24"/>
          <w:szCs w:val="24"/>
        </w:rPr>
        <w:t>ts agents as well as for those perpetrated by individuals who acted with their complicity . . . .”</w:t>
      </w:r>
      <w:r w:rsidR="00E17FE1" w:rsidRPr="00D64EE6">
        <w:rPr>
          <w:rStyle w:val="FootnoteReference"/>
          <w:rFonts w:ascii="Times New Roman" w:hAnsi="Times New Roman"/>
          <w:sz w:val="24"/>
          <w:szCs w:val="24"/>
        </w:rPr>
        <w:footnoteReference w:id="38"/>
      </w:r>
      <w:r w:rsidR="00E17FE1" w:rsidRPr="00D64EE6">
        <w:rPr>
          <w:rFonts w:ascii="Times New Roman" w:hAnsi="Times New Roman"/>
          <w:sz w:val="24"/>
          <w:szCs w:val="24"/>
        </w:rPr>
        <w:t xml:space="preserve"> Additionally, actions that cannot be attributed to the state may still give rise to state responsibility when it fails to exercise “due diligence,” an issue</w:t>
      </w:r>
      <w:r w:rsidR="00E17FE1" w:rsidRPr="00283940">
        <w:rPr>
          <w:rFonts w:ascii="Times New Roman" w:hAnsi="Times New Roman"/>
          <w:sz w:val="24"/>
          <w:szCs w:val="24"/>
        </w:rPr>
        <w:t xml:space="preserve"> now discussed.</w:t>
      </w:r>
    </w:p>
    <w:p w14:paraId="08761318" w14:textId="77777777" w:rsidR="00E17FE1" w:rsidRPr="00D64EE6" w:rsidRDefault="00E17FE1" w:rsidP="00E17FE1">
      <w:pPr>
        <w:spacing w:line="240" w:lineRule="auto"/>
        <w:ind w:firstLine="720"/>
        <w:contextualSpacing/>
        <w:rPr>
          <w:rFonts w:ascii="Times New Roman" w:hAnsi="Times New Roman"/>
          <w:sz w:val="24"/>
          <w:szCs w:val="24"/>
        </w:rPr>
      </w:pPr>
    </w:p>
    <w:p w14:paraId="34C729FB"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Due diligence provides the standard by which a state’s regulation of private conduct is judged.</w:t>
      </w:r>
      <w:r w:rsidRPr="00D64EE6">
        <w:rPr>
          <w:rStyle w:val="FootnoteReference"/>
          <w:rFonts w:ascii="Times New Roman" w:hAnsi="Times New Roman"/>
          <w:sz w:val="24"/>
          <w:szCs w:val="24"/>
        </w:rPr>
        <w:footnoteReference w:id="39"/>
      </w:r>
      <w:r w:rsidRPr="00D64EE6">
        <w:rPr>
          <w:rFonts w:ascii="Times New Roman" w:hAnsi="Times New Roman"/>
          <w:sz w:val="24"/>
          <w:szCs w:val="24"/>
        </w:rPr>
        <w:t xml:space="preserve"> The import of this standard was highlighted by the Inter-American Court of Human Rights:</w:t>
      </w:r>
    </w:p>
    <w:p w14:paraId="57A246BE" w14:textId="77777777" w:rsidR="00E17FE1" w:rsidRPr="00D64EE6" w:rsidRDefault="00E17FE1" w:rsidP="00E17FE1">
      <w:pPr>
        <w:spacing w:line="240" w:lineRule="auto"/>
        <w:contextualSpacing/>
        <w:rPr>
          <w:rFonts w:ascii="Times New Roman" w:hAnsi="Times New Roman"/>
          <w:sz w:val="24"/>
          <w:szCs w:val="24"/>
        </w:rPr>
      </w:pPr>
    </w:p>
    <w:p w14:paraId="0780C895" w14:textId="77777777" w:rsidR="00E17FE1" w:rsidRPr="00D64EE6" w:rsidRDefault="00E17FE1" w:rsidP="00E17FE1">
      <w:pPr>
        <w:spacing w:line="240" w:lineRule="auto"/>
        <w:ind w:left="720" w:right="720"/>
        <w:contextualSpacing/>
        <w:rPr>
          <w:rFonts w:ascii="Times New Roman" w:hAnsi="Times New Roman"/>
          <w:sz w:val="24"/>
          <w:szCs w:val="24"/>
        </w:rPr>
      </w:pPr>
      <w:r w:rsidRPr="00D64EE6">
        <w:rPr>
          <w:rFonts w:ascii="Times New Roman" w:hAnsi="Times New Roman"/>
          <w:sz w:val="24"/>
          <w:szCs w:val="24"/>
        </w:rPr>
        <w:t>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w:t>
      </w:r>
      <w:r w:rsidRPr="00283940">
        <w:rPr>
          <w:rFonts w:ascii="Times New Roman" w:hAnsi="Times New Roman"/>
          <w:sz w:val="24"/>
          <w:szCs w:val="24"/>
        </w:rPr>
        <w:t>ause of the lack of due diligence to prevent the violation or to respond to it as required by the Convention.</w:t>
      </w:r>
      <w:r w:rsidRPr="00D64EE6">
        <w:rPr>
          <w:rStyle w:val="FootnoteReference"/>
          <w:rFonts w:ascii="Times New Roman" w:hAnsi="Times New Roman"/>
          <w:sz w:val="24"/>
          <w:szCs w:val="24"/>
        </w:rPr>
        <w:footnoteReference w:id="40"/>
      </w:r>
    </w:p>
    <w:p w14:paraId="729BC2A2" w14:textId="77777777" w:rsidR="00E17FE1" w:rsidRPr="00D64EE6" w:rsidRDefault="00E17FE1" w:rsidP="00E17FE1">
      <w:pPr>
        <w:spacing w:line="240" w:lineRule="auto"/>
        <w:ind w:left="720"/>
        <w:contextualSpacing/>
        <w:rPr>
          <w:rFonts w:ascii="Times New Roman" w:hAnsi="Times New Roman"/>
          <w:sz w:val="24"/>
          <w:szCs w:val="24"/>
        </w:rPr>
      </w:pPr>
    </w:p>
    <w:p w14:paraId="0DD858D6" w14:textId="680DA427" w:rsidR="000C27D9" w:rsidRPr="00D64EE6" w:rsidRDefault="00E17FE1" w:rsidP="0068290A">
      <w:pPr>
        <w:spacing w:line="240" w:lineRule="auto"/>
        <w:ind w:firstLine="720"/>
        <w:contextualSpacing/>
        <w:rPr>
          <w:rFonts w:ascii="Times New Roman" w:hAnsi="Times New Roman"/>
          <w:sz w:val="24"/>
          <w:szCs w:val="24"/>
        </w:rPr>
      </w:pPr>
      <w:r w:rsidRPr="00D64EE6">
        <w:rPr>
          <w:rFonts w:ascii="Times New Roman" w:hAnsi="Times New Roman"/>
          <w:sz w:val="24"/>
          <w:szCs w:val="24"/>
        </w:rPr>
        <w:t xml:space="preserve">The SALW Principles rely on this standard of </w:t>
      </w:r>
      <w:r w:rsidR="00B22925">
        <w:rPr>
          <w:rFonts w:ascii="Times New Roman" w:hAnsi="Times New Roman"/>
          <w:sz w:val="24"/>
          <w:szCs w:val="24"/>
        </w:rPr>
        <w:t>state responsibility.</w:t>
      </w:r>
      <w:r w:rsidRPr="00D64EE6">
        <w:rPr>
          <w:rFonts w:ascii="Times New Roman" w:hAnsi="Times New Roman"/>
          <w:sz w:val="24"/>
          <w:szCs w:val="24"/>
        </w:rPr>
        <w:t xml:space="preserve"> </w:t>
      </w:r>
      <w:r w:rsidR="0068290A">
        <w:rPr>
          <w:rFonts w:ascii="Times New Roman" w:hAnsi="Times New Roman"/>
          <w:sz w:val="24"/>
          <w:szCs w:val="24"/>
        </w:rPr>
        <w:t>Principle 10 calls upon governments to</w:t>
      </w:r>
      <w:r w:rsidR="0068290A" w:rsidRPr="0068290A">
        <w:rPr>
          <w:rFonts w:ascii="Times New Roman" w:hAnsi="Times New Roman"/>
          <w:sz w:val="24"/>
          <w:szCs w:val="24"/>
        </w:rPr>
        <w:t xml:space="preserve"> incorporate into their national laws licensing requirements to</w:t>
      </w:r>
      <w:r w:rsidR="0068290A">
        <w:rPr>
          <w:rFonts w:ascii="Times New Roman" w:hAnsi="Times New Roman"/>
          <w:sz w:val="24"/>
          <w:szCs w:val="24"/>
        </w:rPr>
        <w:t xml:space="preserve"> </w:t>
      </w:r>
      <w:r w:rsidR="0068290A" w:rsidRPr="0068290A">
        <w:rPr>
          <w:rFonts w:ascii="Times New Roman" w:hAnsi="Times New Roman"/>
          <w:sz w:val="24"/>
          <w:szCs w:val="24"/>
        </w:rPr>
        <w:t>prevent possession of arms by persons who are at risk of misusing them.</w:t>
      </w:r>
      <w:r w:rsidR="0068290A">
        <w:rPr>
          <w:rFonts w:ascii="Times New Roman" w:hAnsi="Times New Roman"/>
          <w:sz w:val="24"/>
          <w:szCs w:val="24"/>
        </w:rPr>
        <w:t xml:space="preserve"> </w:t>
      </w:r>
      <w:r w:rsidRPr="00D64EE6">
        <w:rPr>
          <w:rFonts w:ascii="Times New Roman" w:hAnsi="Times New Roman"/>
          <w:sz w:val="24"/>
          <w:szCs w:val="24"/>
        </w:rPr>
        <w:t>The commentary to SALW Principle 10 on licensing requirements for private arms ownership explains “that States are bound to act with due diligence to protect human rights by reducing arms-related violence committed by private actors.”</w:t>
      </w:r>
      <w:r w:rsidRPr="00D64EE6">
        <w:rPr>
          <w:rStyle w:val="FootnoteReference"/>
          <w:rFonts w:ascii="Times New Roman" w:hAnsi="Times New Roman"/>
          <w:sz w:val="24"/>
          <w:szCs w:val="24"/>
        </w:rPr>
        <w:footnoteReference w:id="41"/>
      </w:r>
      <w:r w:rsidRPr="00D64EE6">
        <w:rPr>
          <w:rFonts w:ascii="Times New Roman" w:hAnsi="Times New Roman"/>
          <w:sz w:val="24"/>
          <w:szCs w:val="24"/>
        </w:rPr>
        <w:t xml:space="preserve"> In addition to the licensing requirements,</w:t>
      </w:r>
      <w:r w:rsidRPr="00D64EE6">
        <w:rPr>
          <w:rStyle w:val="FootnoteReference"/>
          <w:rFonts w:ascii="Times New Roman" w:hAnsi="Times New Roman"/>
          <w:sz w:val="24"/>
          <w:szCs w:val="24"/>
        </w:rPr>
        <w:footnoteReference w:id="42"/>
      </w:r>
      <w:r w:rsidRPr="00D64EE6">
        <w:rPr>
          <w:rFonts w:ascii="Times New Roman" w:hAnsi="Times New Roman"/>
          <w:sz w:val="24"/>
          <w:szCs w:val="24"/>
        </w:rPr>
        <w:t xml:space="preserve"> states are required to regulate the manufacture, identification, and tracing of small arms and light weapons,</w:t>
      </w:r>
      <w:r w:rsidRPr="00D64EE6">
        <w:rPr>
          <w:rStyle w:val="FootnoteReference"/>
          <w:rFonts w:ascii="Times New Roman" w:hAnsi="Times New Roman"/>
          <w:sz w:val="24"/>
          <w:szCs w:val="24"/>
        </w:rPr>
        <w:footnoteReference w:id="43"/>
      </w:r>
      <w:r w:rsidRPr="00D64EE6">
        <w:rPr>
          <w:rFonts w:ascii="Times New Roman" w:hAnsi="Times New Roman"/>
          <w:sz w:val="24"/>
          <w:szCs w:val="24"/>
        </w:rPr>
        <w:t xml:space="preserve"> to criminalize their illicit manufacture, possession, or misuse,</w:t>
      </w:r>
      <w:r w:rsidRPr="00D64EE6">
        <w:rPr>
          <w:rStyle w:val="FootnoteReference"/>
          <w:rFonts w:ascii="Times New Roman" w:hAnsi="Times New Roman"/>
          <w:sz w:val="24"/>
          <w:szCs w:val="24"/>
        </w:rPr>
        <w:footnoteReference w:id="44"/>
      </w:r>
      <w:r w:rsidRPr="00D64EE6">
        <w:rPr>
          <w:rFonts w:ascii="Times New Roman" w:hAnsi="Times New Roman"/>
          <w:sz w:val="24"/>
          <w:szCs w:val="24"/>
        </w:rPr>
        <w:t xml:space="preserve"> and to implement disarmament and demobilization </w:t>
      </w:r>
      <w:r w:rsidRPr="00D64EE6">
        <w:rPr>
          <w:rFonts w:ascii="Times New Roman" w:hAnsi="Times New Roman"/>
          <w:sz w:val="24"/>
          <w:szCs w:val="24"/>
        </w:rPr>
        <w:lastRenderedPageBreak/>
        <w:t>plans.</w:t>
      </w:r>
      <w:r w:rsidRPr="00D64EE6">
        <w:rPr>
          <w:rStyle w:val="FootnoteReference"/>
          <w:rFonts w:ascii="Times New Roman" w:hAnsi="Times New Roman"/>
          <w:sz w:val="24"/>
          <w:szCs w:val="24"/>
        </w:rPr>
        <w:footnoteReference w:id="45"/>
      </w:r>
      <w:r w:rsidR="000C27D9" w:rsidRPr="00D64EE6">
        <w:rPr>
          <w:rFonts w:ascii="Times New Roman" w:hAnsi="Times New Roman"/>
          <w:sz w:val="24"/>
          <w:szCs w:val="24"/>
        </w:rPr>
        <w:t xml:space="preserve"> </w:t>
      </w:r>
      <w:r w:rsidR="008B0047" w:rsidRPr="00D64EE6">
        <w:rPr>
          <w:rFonts w:ascii="Times New Roman" w:hAnsi="Times New Roman"/>
          <w:sz w:val="24"/>
          <w:szCs w:val="24"/>
        </w:rPr>
        <w:t>The Human Rights Committee has encouraged S</w:t>
      </w:r>
      <w:r w:rsidR="00064817" w:rsidRPr="00D64EE6">
        <w:rPr>
          <w:rFonts w:ascii="Times New Roman" w:hAnsi="Times New Roman"/>
          <w:sz w:val="24"/>
          <w:szCs w:val="24"/>
        </w:rPr>
        <w:t xml:space="preserve">tates dealing with the aftermath of armed conflict </w:t>
      </w:r>
      <w:r w:rsidR="008B0047" w:rsidRPr="00D64EE6">
        <w:rPr>
          <w:rFonts w:ascii="Times New Roman" w:hAnsi="Times New Roman"/>
          <w:sz w:val="24"/>
          <w:szCs w:val="24"/>
        </w:rPr>
        <w:t>to develop proper controls over stockpiles of weapons and take active measures to prevent the proliferation of small arms.</w:t>
      </w:r>
      <w:r w:rsidR="000C27D9" w:rsidRPr="00D64EE6">
        <w:rPr>
          <w:rStyle w:val="FootnoteReference"/>
          <w:rFonts w:ascii="Times New Roman" w:hAnsi="Times New Roman"/>
          <w:sz w:val="24"/>
          <w:szCs w:val="24"/>
        </w:rPr>
        <w:footnoteReference w:id="46"/>
      </w:r>
    </w:p>
    <w:p w14:paraId="5EE838CF" w14:textId="77777777" w:rsidR="000C27D9" w:rsidRPr="00D64EE6" w:rsidRDefault="000C27D9" w:rsidP="00E17FE1">
      <w:pPr>
        <w:spacing w:line="240" w:lineRule="auto"/>
        <w:ind w:firstLine="720"/>
        <w:contextualSpacing/>
        <w:rPr>
          <w:rFonts w:ascii="Times New Roman" w:hAnsi="Times New Roman"/>
          <w:sz w:val="24"/>
          <w:szCs w:val="24"/>
        </w:rPr>
      </w:pPr>
    </w:p>
    <w:p w14:paraId="7AE15520" w14:textId="5C57B733" w:rsidR="00E17FE1" w:rsidRPr="00D64EE6" w:rsidRDefault="00E17FE1" w:rsidP="00E17FE1">
      <w:pPr>
        <w:spacing w:line="240" w:lineRule="auto"/>
        <w:ind w:firstLine="720"/>
        <w:contextualSpacing/>
        <w:rPr>
          <w:rFonts w:ascii="Times New Roman" w:hAnsi="Times New Roman"/>
          <w:sz w:val="24"/>
          <w:szCs w:val="24"/>
        </w:rPr>
      </w:pPr>
      <w:r w:rsidRPr="00283940">
        <w:rPr>
          <w:rFonts w:ascii="Times New Roman" w:hAnsi="Times New Roman"/>
          <w:sz w:val="24"/>
          <w:szCs w:val="24"/>
        </w:rPr>
        <w:t xml:space="preserve">The due diligence standard to protect the right to life from violence by small arms and light weapons includes the </w:t>
      </w:r>
      <w:r w:rsidRPr="00D64EE6">
        <w:rPr>
          <w:rFonts w:ascii="Times New Roman" w:hAnsi="Times New Roman"/>
          <w:sz w:val="24"/>
          <w:szCs w:val="24"/>
        </w:rPr>
        <w:t>responsibility “to take steps to prevent reasonably foreseeable abuses by private actors.”</w:t>
      </w:r>
      <w:r w:rsidRPr="00D64EE6">
        <w:rPr>
          <w:rStyle w:val="FootnoteReference"/>
          <w:rFonts w:ascii="Times New Roman" w:hAnsi="Times New Roman"/>
          <w:sz w:val="24"/>
          <w:szCs w:val="24"/>
        </w:rPr>
        <w:footnoteReference w:id="47"/>
      </w:r>
      <w:r w:rsidRPr="00D64EE6">
        <w:rPr>
          <w:rFonts w:ascii="Times New Roman" w:hAnsi="Times New Roman"/>
          <w:sz w:val="24"/>
          <w:szCs w:val="24"/>
        </w:rPr>
        <w:t xml:space="preserve"> Due diligence places a strict standard of conduct </w:t>
      </w:r>
      <w:r w:rsidR="00484873">
        <w:rPr>
          <w:rFonts w:ascii="Times New Roman" w:hAnsi="Times New Roman"/>
          <w:sz w:val="24"/>
          <w:szCs w:val="24"/>
        </w:rPr>
        <w:t>upon</w:t>
      </w:r>
      <w:r w:rsidRPr="00D64EE6">
        <w:rPr>
          <w:rFonts w:ascii="Times New Roman" w:hAnsi="Times New Roman"/>
          <w:sz w:val="24"/>
          <w:szCs w:val="24"/>
        </w:rPr>
        <w:t xml:space="preserve"> a state </w:t>
      </w:r>
      <w:r w:rsidR="00484873">
        <w:rPr>
          <w:rFonts w:ascii="Times New Roman" w:hAnsi="Times New Roman"/>
          <w:sz w:val="24"/>
          <w:szCs w:val="24"/>
        </w:rPr>
        <w:t xml:space="preserve">to </w:t>
      </w:r>
      <w:r w:rsidRPr="00D64EE6">
        <w:rPr>
          <w:rFonts w:ascii="Times New Roman" w:hAnsi="Times New Roman"/>
          <w:sz w:val="24"/>
          <w:szCs w:val="24"/>
        </w:rPr>
        <w:t>protect “all individuals within its territory and subject to its jurisdiction.”</w:t>
      </w:r>
      <w:r w:rsidRPr="00D64EE6">
        <w:rPr>
          <w:rStyle w:val="FootnoteReference"/>
          <w:rFonts w:ascii="Times New Roman" w:hAnsi="Times New Roman"/>
          <w:sz w:val="24"/>
          <w:szCs w:val="24"/>
        </w:rPr>
        <w:footnoteReference w:id="48"/>
      </w:r>
      <w:r w:rsidRPr="00D64EE6">
        <w:rPr>
          <w:rFonts w:ascii="Times New Roman" w:hAnsi="Times New Roman"/>
          <w:sz w:val="24"/>
          <w:szCs w:val="24"/>
        </w:rPr>
        <w:t xml:space="preserve"> The jurisprudence of the Human Rights Committee provides some guidance. In cas</w:t>
      </w:r>
      <w:r w:rsidRPr="00283940">
        <w:rPr>
          <w:rFonts w:ascii="Times New Roman" w:hAnsi="Times New Roman"/>
          <w:sz w:val="24"/>
          <w:szCs w:val="24"/>
        </w:rPr>
        <w:t xml:space="preserve">e of </w:t>
      </w:r>
      <w:r w:rsidRPr="00283940">
        <w:rPr>
          <w:rFonts w:ascii="Times New Roman" w:hAnsi="Times New Roman"/>
          <w:i/>
          <w:sz w:val="24"/>
          <w:szCs w:val="24"/>
        </w:rPr>
        <w:t>Jiménez Vaca v. Colombia</w:t>
      </w:r>
      <w:r w:rsidRPr="00D64EE6">
        <w:rPr>
          <w:rFonts w:ascii="Times New Roman" w:hAnsi="Times New Roman"/>
          <w:sz w:val="24"/>
          <w:szCs w:val="24"/>
        </w:rPr>
        <w:t>, the complainant received multiple death threats and an attempted murder by shooting, yet the state did not undertake sufficient measure</w:t>
      </w:r>
      <w:r w:rsidR="00484873">
        <w:rPr>
          <w:rFonts w:ascii="Times New Roman" w:hAnsi="Times New Roman"/>
          <w:sz w:val="24"/>
          <w:szCs w:val="24"/>
        </w:rPr>
        <w:t>s</w:t>
      </w:r>
      <w:r w:rsidRPr="00D64EE6">
        <w:rPr>
          <w:rFonts w:ascii="Times New Roman" w:hAnsi="Times New Roman"/>
          <w:sz w:val="24"/>
          <w:szCs w:val="24"/>
        </w:rPr>
        <w:t xml:space="preserve"> to investigate these events, forcing him to seek asylum and live in exile.</w:t>
      </w:r>
      <w:r w:rsidRPr="00D64EE6">
        <w:rPr>
          <w:rStyle w:val="FootnoteReference"/>
          <w:rFonts w:ascii="Times New Roman" w:hAnsi="Times New Roman"/>
          <w:sz w:val="24"/>
          <w:szCs w:val="24"/>
        </w:rPr>
        <w:footnoteReference w:id="49"/>
      </w:r>
      <w:r w:rsidRPr="00D64EE6">
        <w:rPr>
          <w:rFonts w:ascii="Times New Roman" w:hAnsi="Times New Roman"/>
          <w:sz w:val="24"/>
          <w:szCs w:val="24"/>
        </w:rPr>
        <w:t xml:space="preserve"> The Committee found that the failure to protect the complainant gave rise to a violation of the right to life because these threats were reported to the state and the violence was foreseeable.</w:t>
      </w:r>
      <w:r w:rsidRPr="00D64EE6">
        <w:rPr>
          <w:rStyle w:val="FootnoteReference"/>
          <w:rFonts w:ascii="Times New Roman" w:hAnsi="Times New Roman"/>
          <w:sz w:val="24"/>
          <w:szCs w:val="24"/>
        </w:rPr>
        <w:footnoteReference w:id="50"/>
      </w:r>
      <w:r w:rsidRPr="00D64EE6">
        <w:rPr>
          <w:rFonts w:ascii="Times New Roman" w:hAnsi="Times New Roman"/>
          <w:sz w:val="24"/>
          <w:szCs w:val="24"/>
        </w:rPr>
        <w:t xml:space="preserve"> </w:t>
      </w:r>
    </w:p>
    <w:p w14:paraId="318BB8F8" w14:textId="77777777" w:rsidR="00E17FE1" w:rsidRPr="00283940" w:rsidRDefault="00E17FE1" w:rsidP="00E17FE1">
      <w:pPr>
        <w:spacing w:line="240" w:lineRule="auto"/>
        <w:ind w:firstLine="720"/>
        <w:contextualSpacing/>
        <w:rPr>
          <w:rFonts w:ascii="Times New Roman" w:hAnsi="Times New Roman"/>
          <w:sz w:val="24"/>
          <w:szCs w:val="24"/>
        </w:rPr>
      </w:pPr>
    </w:p>
    <w:p w14:paraId="3D7257B6" w14:textId="66FDF1B8" w:rsidR="008B0047" w:rsidRDefault="00162067" w:rsidP="008B0047">
      <w:pPr>
        <w:spacing w:line="240" w:lineRule="auto"/>
        <w:ind w:firstLine="720"/>
        <w:contextualSpacing/>
        <w:rPr>
          <w:rFonts w:ascii="Times New Roman" w:hAnsi="Times New Roman"/>
          <w:sz w:val="24"/>
          <w:szCs w:val="24"/>
        </w:rPr>
      </w:pPr>
      <w:r>
        <w:rPr>
          <w:rFonts w:ascii="Times New Roman" w:hAnsi="Times New Roman"/>
          <w:sz w:val="24"/>
          <w:szCs w:val="24"/>
        </w:rPr>
        <w:t xml:space="preserve">Based on the ICCPR </w:t>
      </w:r>
      <w:r w:rsidR="00E17FE1" w:rsidRPr="00D64EE6">
        <w:rPr>
          <w:rFonts w:ascii="Times New Roman" w:hAnsi="Times New Roman"/>
          <w:sz w:val="24"/>
          <w:szCs w:val="24"/>
        </w:rPr>
        <w:t xml:space="preserve">and international jurisprudence, the first affirmative obligation to protect the right to life requires prevention of violence by private actors, under a strict due diligence standard. </w:t>
      </w:r>
      <w:r w:rsidR="008B0047" w:rsidRPr="00D64EE6">
        <w:rPr>
          <w:rFonts w:ascii="Times New Roman" w:hAnsi="Times New Roman"/>
          <w:sz w:val="24"/>
          <w:szCs w:val="24"/>
        </w:rPr>
        <w:t>This duty extends to active prevention and response to extra-judicial killings, torture and other crimes by private vigilante groups.</w:t>
      </w:r>
      <w:r w:rsidR="008B0047" w:rsidRPr="00D64EE6">
        <w:rPr>
          <w:rStyle w:val="FootnoteReference"/>
          <w:rFonts w:ascii="Times New Roman" w:hAnsi="Times New Roman"/>
          <w:sz w:val="24"/>
          <w:szCs w:val="24"/>
        </w:rPr>
        <w:footnoteReference w:id="51"/>
      </w:r>
      <w:r w:rsidR="008B0047" w:rsidRPr="00D64EE6">
        <w:rPr>
          <w:rFonts w:ascii="Times New Roman" w:hAnsi="Times New Roman"/>
          <w:sz w:val="24"/>
          <w:szCs w:val="24"/>
        </w:rPr>
        <w:t xml:space="preserve"> Recently, the Human Rights Committee also articulated a duty under article 6 for</w:t>
      </w:r>
      <w:r w:rsidR="008B0047" w:rsidRPr="00283940">
        <w:rPr>
          <w:rFonts w:ascii="Times New Roman" w:hAnsi="Times New Roman"/>
          <w:sz w:val="24"/>
          <w:szCs w:val="24"/>
        </w:rPr>
        <w:t xml:space="preserve"> States to ensure </w:t>
      </w:r>
      <w:r w:rsidR="008B0047" w:rsidRPr="00D64EE6">
        <w:rPr>
          <w:rFonts w:ascii="Times New Roman" w:hAnsi="Times New Roman"/>
          <w:sz w:val="24"/>
          <w:szCs w:val="24"/>
        </w:rPr>
        <w:t>strict adherence to principles of necessity and proportionality in legal frameworks that allow for deadly force in self-defense</w:t>
      </w:r>
      <w:r w:rsidR="00F9339F">
        <w:rPr>
          <w:rFonts w:ascii="Times New Roman" w:hAnsi="Times New Roman"/>
          <w:sz w:val="24"/>
          <w:szCs w:val="24"/>
        </w:rPr>
        <w:t>.</w:t>
      </w:r>
      <w:r w:rsidR="008B0047" w:rsidRPr="00D64EE6">
        <w:rPr>
          <w:rStyle w:val="FootnoteReference"/>
          <w:rFonts w:ascii="Times New Roman" w:hAnsi="Times New Roman"/>
          <w:sz w:val="24"/>
          <w:szCs w:val="24"/>
        </w:rPr>
        <w:footnoteReference w:id="52"/>
      </w:r>
    </w:p>
    <w:p w14:paraId="466F1325" w14:textId="77777777" w:rsidR="002608A8" w:rsidRPr="00D64EE6" w:rsidRDefault="002608A8" w:rsidP="008B0047">
      <w:pPr>
        <w:spacing w:line="240" w:lineRule="auto"/>
        <w:ind w:firstLine="720"/>
        <w:contextualSpacing/>
        <w:rPr>
          <w:rFonts w:ascii="Times New Roman" w:hAnsi="Times New Roman"/>
          <w:sz w:val="24"/>
          <w:szCs w:val="24"/>
        </w:rPr>
      </w:pPr>
    </w:p>
    <w:p w14:paraId="5843BDCF" w14:textId="31FFCD43" w:rsidR="00E17FE1" w:rsidRPr="00D64EE6" w:rsidRDefault="00E17FE1" w:rsidP="00E17FE1">
      <w:pPr>
        <w:spacing w:line="240" w:lineRule="auto"/>
        <w:ind w:firstLine="720"/>
        <w:contextualSpacing/>
        <w:rPr>
          <w:rFonts w:ascii="Times New Roman" w:hAnsi="Times New Roman"/>
          <w:sz w:val="24"/>
          <w:szCs w:val="24"/>
        </w:rPr>
      </w:pPr>
      <w:r w:rsidRPr="00283940">
        <w:rPr>
          <w:rFonts w:ascii="Times New Roman" w:hAnsi="Times New Roman"/>
          <w:sz w:val="24"/>
          <w:szCs w:val="24"/>
        </w:rPr>
        <w:t>The second affirmative obligation requires states to prevent violations in foreign states through transfers of small arms and</w:t>
      </w:r>
      <w:r w:rsidRPr="00D64EE6">
        <w:rPr>
          <w:rFonts w:ascii="Times New Roman" w:hAnsi="Times New Roman"/>
          <w:sz w:val="24"/>
          <w:szCs w:val="24"/>
        </w:rPr>
        <w:t xml:space="preserve"> light weapons over which they have effective control. This extraterritorial aspect of the affirmative obligation to prevent small arms and light weapons abuses is taken up next.</w:t>
      </w:r>
    </w:p>
    <w:p w14:paraId="543A667B" w14:textId="77777777" w:rsidR="00E17FE1" w:rsidRPr="00D64EE6" w:rsidRDefault="00E17FE1" w:rsidP="00E17FE1">
      <w:pPr>
        <w:spacing w:line="240" w:lineRule="auto"/>
        <w:ind w:firstLine="720"/>
        <w:contextualSpacing/>
        <w:rPr>
          <w:rFonts w:ascii="Times New Roman" w:hAnsi="Times New Roman"/>
          <w:b/>
          <w:i/>
          <w:sz w:val="24"/>
          <w:szCs w:val="24"/>
        </w:rPr>
      </w:pPr>
      <w:r w:rsidRPr="00D64EE6">
        <w:rPr>
          <w:rFonts w:ascii="Times New Roman" w:hAnsi="Times New Roman"/>
          <w:b/>
          <w:i/>
          <w:sz w:val="24"/>
          <w:szCs w:val="24"/>
        </w:rPr>
        <w:lastRenderedPageBreak/>
        <w:t>B.</w:t>
      </w:r>
      <w:r w:rsidRPr="00D64EE6">
        <w:rPr>
          <w:rFonts w:ascii="Times New Roman" w:hAnsi="Times New Roman"/>
          <w:b/>
          <w:i/>
          <w:sz w:val="24"/>
          <w:szCs w:val="24"/>
        </w:rPr>
        <w:tab/>
        <w:t>State Obligation to Prevent Illicit Transfers of Small Arms and Light Weapons</w:t>
      </w:r>
    </w:p>
    <w:p w14:paraId="4B86450F" w14:textId="77777777" w:rsidR="00726756" w:rsidRPr="00D64EE6" w:rsidRDefault="00726756" w:rsidP="008B0047">
      <w:pPr>
        <w:spacing w:line="240" w:lineRule="auto"/>
        <w:contextualSpacing/>
        <w:rPr>
          <w:rFonts w:ascii="Times New Roman" w:hAnsi="Times New Roman"/>
          <w:sz w:val="24"/>
          <w:szCs w:val="24"/>
        </w:rPr>
      </w:pPr>
    </w:p>
    <w:p w14:paraId="7205D37B" w14:textId="4A4B1D51" w:rsidR="00E17FE1" w:rsidRDefault="00E17FE1" w:rsidP="00B85213">
      <w:pPr>
        <w:spacing w:line="240" w:lineRule="auto"/>
        <w:ind w:firstLine="720"/>
        <w:contextualSpacing/>
        <w:rPr>
          <w:rFonts w:ascii="Times New Roman" w:hAnsi="Times New Roman"/>
          <w:sz w:val="24"/>
          <w:szCs w:val="24"/>
        </w:rPr>
      </w:pPr>
      <w:r w:rsidRPr="00D64EE6">
        <w:rPr>
          <w:rFonts w:ascii="Times New Roman" w:hAnsi="Times New Roman"/>
          <w:sz w:val="24"/>
          <w:szCs w:val="24"/>
        </w:rPr>
        <w:t xml:space="preserve">Regarding the transfer of small arms and light weapons, an emerging “human rights rule of transfers” is developing based on state practice and </w:t>
      </w:r>
      <w:r w:rsidRPr="00D64EE6">
        <w:rPr>
          <w:rFonts w:ascii="Times New Roman" w:hAnsi="Times New Roman"/>
          <w:i/>
          <w:sz w:val="24"/>
          <w:szCs w:val="24"/>
        </w:rPr>
        <w:t>opinio juris</w:t>
      </w:r>
      <w:r w:rsidRPr="00D64EE6">
        <w:rPr>
          <w:rFonts w:ascii="Times New Roman" w:hAnsi="Times New Roman"/>
          <w:sz w:val="24"/>
          <w:szCs w:val="24"/>
        </w:rPr>
        <w:t>.</w:t>
      </w:r>
      <w:r w:rsidRPr="00D64EE6">
        <w:rPr>
          <w:rStyle w:val="FootnoteReference"/>
          <w:rFonts w:ascii="Times New Roman" w:hAnsi="Times New Roman"/>
          <w:sz w:val="24"/>
          <w:szCs w:val="24"/>
        </w:rPr>
        <w:footnoteReference w:id="53"/>
      </w:r>
      <w:r w:rsidRPr="00D64EE6">
        <w:rPr>
          <w:rFonts w:ascii="Times New Roman" w:hAnsi="Times New Roman"/>
          <w:sz w:val="24"/>
          <w:szCs w:val="24"/>
        </w:rPr>
        <w:t xml:space="preserve"> This customary norm is one aspect of states’ affirmative obligation to protect the right to life from violations with small arms and light weapons. </w:t>
      </w:r>
      <w:r w:rsidRPr="00283940">
        <w:rPr>
          <w:rFonts w:ascii="Times New Roman" w:hAnsi="Times New Roman"/>
          <w:sz w:val="24"/>
          <w:szCs w:val="24"/>
        </w:rPr>
        <w:t xml:space="preserve">This rule is grounded firmly in human rights principles, applying the positive duties discussed above in an extraterritorial context. </w:t>
      </w:r>
    </w:p>
    <w:p w14:paraId="32FA1A5D" w14:textId="77777777" w:rsidR="00D25904" w:rsidRPr="00D64EE6" w:rsidRDefault="00D25904" w:rsidP="002C2BB7">
      <w:pPr>
        <w:spacing w:line="240" w:lineRule="auto"/>
        <w:contextualSpacing/>
        <w:rPr>
          <w:rFonts w:ascii="Times New Roman" w:hAnsi="Times New Roman"/>
          <w:sz w:val="24"/>
          <w:szCs w:val="24"/>
        </w:rPr>
      </w:pPr>
    </w:p>
    <w:p w14:paraId="5F78A8AC" w14:textId="4A006888" w:rsidR="0027752F"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Article 2 of the ICCPR makes clear that states have affirmative duties to protect the right to life from abuses within their territory or jurisdiction,</w:t>
      </w:r>
      <w:r w:rsidRPr="00D64EE6">
        <w:rPr>
          <w:rStyle w:val="FootnoteReference"/>
          <w:rFonts w:ascii="Times New Roman" w:hAnsi="Times New Roman"/>
          <w:sz w:val="24"/>
          <w:szCs w:val="24"/>
        </w:rPr>
        <w:footnoteReference w:id="54"/>
      </w:r>
      <w:r w:rsidRPr="00D64EE6">
        <w:rPr>
          <w:rFonts w:ascii="Times New Roman" w:hAnsi="Times New Roman"/>
          <w:sz w:val="24"/>
          <w:szCs w:val="24"/>
        </w:rPr>
        <w:t xml:space="preserve"> and General Comment 31 reveals that this duty requires of states the due diligence to prevent foreseeable private violations.</w:t>
      </w:r>
      <w:r w:rsidRPr="00D64EE6">
        <w:rPr>
          <w:rStyle w:val="FootnoteReference"/>
          <w:rFonts w:ascii="Times New Roman" w:hAnsi="Times New Roman"/>
          <w:sz w:val="24"/>
          <w:szCs w:val="24"/>
        </w:rPr>
        <w:footnoteReference w:id="55"/>
      </w:r>
      <w:r w:rsidRPr="00D64EE6">
        <w:rPr>
          <w:rFonts w:ascii="Times New Roman" w:hAnsi="Times New Roman"/>
          <w:sz w:val="24"/>
          <w:szCs w:val="24"/>
        </w:rPr>
        <w:t xml:space="preserve"> </w:t>
      </w:r>
      <w:r w:rsidR="00D366F8">
        <w:rPr>
          <w:rFonts w:ascii="Times New Roman" w:hAnsi="Times New Roman"/>
          <w:sz w:val="24"/>
          <w:szCs w:val="24"/>
        </w:rPr>
        <w:t>T</w:t>
      </w:r>
      <w:r w:rsidRPr="00D64EE6">
        <w:rPr>
          <w:rFonts w:ascii="Times New Roman" w:hAnsi="Times New Roman"/>
          <w:sz w:val="24"/>
          <w:szCs w:val="24"/>
        </w:rPr>
        <w:t xml:space="preserve">hat Comment </w:t>
      </w:r>
      <w:r w:rsidR="00725896" w:rsidRPr="00D64EE6">
        <w:rPr>
          <w:rFonts w:ascii="Times New Roman" w:hAnsi="Times New Roman"/>
          <w:sz w:val="24"/>
          <w:szCs w:val="24"/>
        </w:rPr>
        <w:t xml:space="preserve">and recent concluding observations </w:t>
      </w:r>
      <w:r w:rsidRPr="00D64EE6">
        <w:rPr>
          <w:rFonts w:ascii="Times New Roman" w:hAnsi="Times New Roman"/>
          <w:sz w:val="24"/>
          <w:szCs w:val="24"/>
        </w:rPr>
        <w:t>obligate states to exercise due diligence even when such persons or events operate extraterritorially.</w:t>
      </w:r>
      <w:r w:rsidRPr="00D64EE6">
        <w:rPr>
          <w:rStyle w:val="FootnoteReference"/>
          <w:rFonts w:ascii="Times New Roman" w:hAnsi="Times New Roman"/>
          <w:sz w:val="24"/>
          <w:szCs w:val="24"/>
        </w:rPr>
        <w:footnoteReference w:id="56"/>
      </w:r>
      <w:r w:rsidRPr="00D64EE6">
        <w:rPr>
          <w:rFonts w:ascii="Times New Roman" w:hAnsi="Times New Roman"/>
          <w:sz w:val="24"/>
          <w:szCs w:val="24"/>
        </w:rPr>
        <w:t xml:space="preserve"> The test of whether a state is responsible for extraterritorial conduct hinges on its “power or effective control.”</w:t>
      </w:r>
      <w:r w:rsidRPr="00D64EE6">
        <w:rPr>
          <w:rStyle w:val="FootnoteReference"/>
          <w:rFonts w:ascii="Times New Roman" w:hAnsi="Times New Roman"/>
          <w:sz w:val="24"/>
          <w:szCs w:val="24"/>
        </w:rPr>
        <w:footnoteReference w:id="57"/>
      </w:r>
      <w:r w:rsidRPr="00D64EE6">
        <w:rPr>
          <w:rFonts w:ascii="Times New Roman" w:hAnsi="Times New Roman"/>
          <w:sz w:val="24"/>
          <w:szCs w:val="24"/>
        </w:rPr>
        <w:t xml:space="preserve"> </w:t>
      </w:r>
      <w:r w:rsidR="00D366F8">
        <w:rPr>
          <w:rFonts w:ascii="Times New Roman" w:hAnsi="Times New Roman"/>
          <w:sz w:val="24"/>
          <w:szCs w:val="24"/>
        </w:rPr>
        <w:t xml:space="preserve"> </w:t>
      </w:r>
    </w:p>
    <w:p w14:paraId="32EBAAA6" w14:textId="77777777" w:rsidR="0027752F" w:rsidRDefault="0027752F" w:rsidP="00E17FE1">
      <w:pPr>
        <w:spacing w:line="240" w:lineRule="auto"/>
        <w:ind w:firstLine="720"/>
        <w:contextualSpacing/>
        <w:rPr>
          <w:rFonts w:ascii="Times New Roman" w:hAnsi="Times New Roman"/>
          <w:sz w:val="24"/>
          <w:szCs w:val="24"/>
        </w:rPr>
      </w:pPr>
    </w:p>
    <w:p w14:paraId="5716814D" w14:textId="09CDE7CD" w:rsidR="00E17FE1" w:rsidRDefault="0027752F" w:rsidP="001E4FE8">
      <w:pPr>
        <w:spacing w:line="240" w:lineRule="auto"/>
        <w:ind w:firstLine="720"/>
        <w:contextualSpacing/>
        <w:rPr>
          <w:rFonts w:ascii="Times New Roman" w:hAnsi="Times New Roman"/>
          <w:sz w:val="24"/>
          <w:szCs w:val="24"/>
        </w:rPr>
      </w:pPr>
      <w:r>
        <w:rPr>
          <w:rFonts w:ascii="Times New Roman" w:hAnsi="Times New Roman"/>
          <w:sz w:val="24"/>
          <w:szCs w:val="24"/>
        </w:rPr>
        <w:t>The recent entry into force of the Arms Trade Treaty reinforces the international commitment to assess the human rights impact of arms</w:t>
      </w:r>
      <w:r w:rsidR="0056179F">
        <w:rPr>
          <w:rFonts w:ascii="Times New Roman" w:hAnsi="Times New Roman"/>
          <w:sz w:val="24"/>
          <w:szCs w:val="24"/>
        </w:rPr>
        <w:t>, including small arms,</w:t>
      </w:r>
      <w:r>
        <w:rPr>
          <w:rFonts w:ascii="Times New Roman" w:hAnsi="Times New Roman"/>
          <w:sz w:val="24"/>
          <w:szCs w:val="24"/>
        </w:rPr>
        <w:t xml:space="preserve"> sent from one country to another.</w:t>
      </w:r>
      <w:r w:rsidR="00AC0E2A">
        <w:rPr>
          <w:rFonts w:ascii="Times New Roman" w:hAnsi="Times New Roman"/>
          <w:sz w:val="24"/>
          <w:szCs w:val="24"/>
        </w:rPr>
        <w:t xml:space="preserve">  Article 6 </w:t>
      </w:r>
      <w:r w:rsidR="00357207">
        <w:rPr>
          <w:rFonts w:ascii="Times New Roman" w:hAnsi="Times New Roman"/>
          <w:sz w:val="24"/>
          <w:szCs w:val="24"/>
        </w:rPr>
        <w:t>states that “A State Party shall not authorize any transfer of conventional arms if it has knowledge at the time of authorization that the arms or items would be sued in the commission of genocide, crimes against humanity, grave breaches of the Geneva Conventions of 1949, attacks directed against civilian objects or civilians protected as such, or other war crimes as defined by international agreements to which it is a Party.</w:t>
      </w:r>
      <w:r w:rsidR="006C77E7">
        <w:rPr>
          <w:rFonts w:ascii="Times New Roman" w:hAnsi="Times New Roman"/>
          <w:sz w:val="24"/>
          <w:szCs w:val="24"/>
        </w:rPr>
        <w:t>”</w:t>
      </w:r>
      <w:r>
        <w:rPr>
          <w:rStyle w:val="FootnoteReference"/>
          <w:rFonts w:ascii="Times New Roman" w:hAnsi="Times New Roman"/>
          <w:sz w:val="24"/>
          <w:szCs w:val="24"/>
        </w:rPr>
        <w:footnoteReference w:id="58"/>
      </w:r>
      <w:r>
        <w:rPr>
          <w:rFonts w:ascii="Times New Roman" w:hAnsi="Times New Roman"/>
          <w:sz w:val="24"/>
          <w:szCs w:val="24"/>
        </w:rPr>
        <w:t xml:space="preserve"> </w:t>
      </w:r>
      <w:r w:rsidR="00357207">
        <w:rPr>
          <w:rFonts w:ascii="Times New Roman" w:hAnsi="Times New Roman"/>
          <w:sz w:val="24"/>
          <w:szCs w:val="24"/>
        </w:rPr>
        <w:t xml:space="preserve"> Article 7 adds to this restriction that St</w:t>
      </w:r>
      <w:r w:rsidR="00365C17">
        <w:rPr>
          <w:rFonts w:ascii="Times New Roman" w:hAnsi="Times New Roman"/>
          <w:sz w:val="24"/>
          <w:szCs w:val="24"/>
        </w:rPr>
        <w:t>ates Parties must assess t</w:t>
      </w:r>
      <w:r w:rsidR="00357207">
        <w:rPr>
          <w:rFonts w:ascii="Times New Roman" w:hAnsi="Times New Roman"/>
          <w:sz w:val="24"/>
          <w:szCs w:val="24"/>
        </w:rPr>
        <w:t>he potential that arms “could be used to…commit or facilitate a serious violation of international human rights law…”</w:t>
      </w:r>
      <w:r w:rsidR="00357207">
        <w:rPr>
          <w:rStyle w:val="FootnoteReference"/>
          <w:rFonts w:ascii="Times New Roman" w:hAnsi="Times New Roman"/>
          <w:sz w:val="24"/>
          <w:szCs w:val="24"/>
        </w:rPr>
        <w:footnoteReference w:id="59"/>
      </w:r>
      <w:r w:rsidR="00357207">
        <w:rPr>
          <w:rFonts w:ascii="Times New Roman" w:hAnsi="Times New Roman"/>
          <w:sz w:val="24"/>
          <w:szCs w:val="24"/>
        </w:rPr>
        <w:t xml:space="preserve"> and balance this potential against mitigating factors and/or potential positive consequences of the expo</w:t>
      </w:r>
      <w:r w:rsidR="00365C17">
        <w:rPr>
          <w:rFonts w:ascii="Times New Roman" w:hAnsi="Times New Roman"/>
          <w:sz w:val="24"/>
          <w:szCs w:val="24"/>
        </w:rPr>
        <w:t xml:space="preserve">rts. </w:t>
      </w:r>
      <w:r w:rsidR="00A41B9C">
        <w:rPr>
          <w:rStyle w:val="FootnoteReference"/>
          <w:rFonts w:ascii="Times New Roman" w:hAnsi="Times New Roman"/>
          <w:sz w:val="24"/>
          <w:szCs w:val="24"/>
        </w:rPr>
        <w:footnoteReference w:id="60"/>
      </w:r>
      <w:r w:rsidR="00C0609D">
        <w:rPr>
          <w:rFonts w:ascii="Times New Roman" w:hAnsi="Times New Roman"/>
          <w:sz w:val="24"/>
          <w:szCs w:val="24"/>
        </w:rPr>
        <w:t xml:space="preserve">  </w:t>
      </w:r>
      <w:r w:rsidR="00A32030">
        <w:rPr>
          <w:rFonts w:ascii="Times New Roman" w:hAnsi="Times New Roman"/>
          <w:sz w:val="24"/>
          <w:szCs w:val="24"/>
        </w:rPr>
        <w:t xml:space="preserve">While this treaty represents an important development in the area of disarmament and security, </w:t>
      </w:r>
      <w:r w:rsidR="00A32030">
        <w:rPr>
          <w:rFonts w:ascii="Times New Roman" w:hAnsi="Times New Roman"/>
          <w:sz w:val="24"/>
          <w:szCs w:val="24"/>
        </w:rPr>
        <w:lastRenderedPageBreak/>
        <w:t>its reliance upon judgments regarding what constitutes a serious violation of international human rights law calls for more robust engagement by this Committee and other political and expert bodies with authority in the field.</w:t>
      </w:r>
    </w:p>
    <w:p w14:paraId="62453513" w14:textId="77777777" w:rsidR="0056179F" w:rsidRPr="00D64EE6" w:rsidRDefault="0056179F" w:rsidP="0056179F">
      <w:pPr>
        <w:spacing w:line="240" w:lineRule="auto"/>
        <w:ind w:firstLine="720"/>
        <w:contextualSpacing/>
        <w:rPr>
          <w:rFonts w:ascii="Times New Roman" w:hAnsi="Times New Roman"/>
          <w:sz w:val="24"/>
          <w:szCs w:val="24"/>
        </w:rPr>
      </w:pPr>
    </w:p>
    <w:p w14:paraId="62BF6572" w14:textId="6AE5B65C" w:rsidR="00E17FE1" w:rsidRPr="00D64EE6" w:rsidRDefault="00E17FE1" w:rsidP="0056179F">
      <w:pPr>
        <w:spacing w:line="240" w:lineRule="auto"/>
        <w:contextualSpacing/>
        <w:rPr>
          <w:rFonts w:ascii="Times New Roman" w:hAnsi="Times New Roman"/>
          <w:sz w:val="24"/>
          <w:szCs w:val="24"/>
        </w:rPr>
      </w:pPr>
      <w:r w:rsidRPr="00D64EE6">
        <w:rPr>
          <w:rFonts w:ascii="Times New Roman" w:hAnsi="Times New Roman"/>
          <w:sz w:val="24"/>
          <w:szCs w:val="24"/>
        </w:rPr>
        <w:tab/>
        <w:t>The SALW Principles recognize this extraterritorial due diligence requirement of the ICCPR and base upon it Principle 14—the human rights rule of transfer: “Governments shall prohibit international transfers of small arms which would violate their obligations under international law, including in circumstances in which such arms are likely to be used to commit serious human rights violations.”</w:t>
      </w:r>
      <w:r w:rsidRPr="00D64EE6">
        <w:rPr>
          <w:rStyle w:val="FootnoteReference"/>
          <w:rFonts w:ascii="Times New Roman" w:hAnsi="Times New Roman"/>
          <w:sz w:val="24"/>
          <w:szCs w:val="24"/>
        </w:rPr>
        <w:footnoteReference w:id="61"/>
      </w:r>
      <w:r w:rsidRPr="00D64EE6">
        <w:rPr>
          <w:rFonts w:ascii="Times New Roman" w:hAnsi="Times New Roman"/>
          <w:sz w:val="24"/>
          <w:szCs w:val="24"/>
        </w:rPr>
        <w:t xml:space="preserve"> Additionally, Principle 15 requires extraterritorial duties insofar as it mandates cooperation and info</w:t>
      </w:r>
      <w:r w:rsidR="0056179F">
        <w:rPr>
          <w:rFonts w:ascii="Times New Roman" w:hAnsi="Times New Roman"/>
          <w:sz w:val="24"/>
          <w:szCs w:val="24"/>
        </w:rPr>
        <w:t>rmation-sharing between states, including “</w:t>
      </w:r>
      <w:r w:rsidRPr="00D64EE6">
        <w:rPr>
          <w:rFonts w:ascii="Times New Roman" w:hAnsi="Times New Roman"/>
          <w:sz w:val="24"/>
          <w:szCs w:val="24"/>
        </w:rPr>
        <w:t>information regarding the ownership or purchase of small arms and light weapons in the former State.</w:t>
      </w:r>
      <w:r w:rsidR="0056179F">
        <w:rPr>
          <w:rFonts w:ascii="Times New Roman" w:hAnsi="Times New Roman"/>
          <w:sz w:val="24"/>
          <w:szCs w:val="24"/>
        </w:rPr>
        <w:t>”</w:t>
      </w:r>
      <w:r w:rsidRPr="00D64EE6">
        <w:rPr>
          <w:rStyle w:val="FootnoteReference"/>
          <w:rFonts w:ascii="Times New Roman" w:hAnsi="Times New Roman"/>
          <w:sz w:val="24"/>
          <w:szCs w:val="24"/>
        </w:rPr>
        <w:footnoteReference w:id="62"/>
      </w:r>
    </w:p>
    <w:p w14:paraId="1B414182" w14:textId="77777777" w:rsidR="00E17FE1" w:rsidRPr="00D64EE6" w:rsidRDefault="00E17FE1" w:rsidP="00E17FE1">
      <w:pPr>
        <w:spacing w:line="240" w:lineRule="auto"/>
        <w:contextualSpacing/>
        <w:rPr>
          <w:rFonts w:ascii="Times New Roman" w:hAnsi="Times New Roman"/>
          <w:sz w:val="24"/>
          <w:szCs w:val="24"/>
        </w:rPr>
      </w:pPr>
      <w:r w:rsidRPr="00D64EE6">
        <w:rPr>
          <w:rFonts w:ascii="Times New Roman" w:hAnsi="Times New Roman"/>
          <w:sz w:val="24"/>
          <w:szCs w:val="24"/>
        </w:rPr>
        <w:tab/>
        <w:t>Having established the foundation for the human rights rule of transfer, it bears noting the standard for such a rule. In analyzing state practice in upholding the rule, three considerations are paramount: “the seriousness of the violation that results from the transfer; the degree of knowledge of the transferring state regarding likely violations; and the capacity of the transferring state to prevent the violations."</w:t>
      </w:r>
      <w:r w:rsidRPr="00D64EE6">
        <w:rPr>
          <w:rStyle w:val="FootnoteReference"/>
          <w:rFonts w:ascii="Times New Roman" w:hAnsi="Times New Roman"/>
          <w:sz w:val="24"/>
          <w:szCs w:val="24"/>
        </w:rPr>
        <w:footnoteReference w:id="63"/>
      </w:r>
      <w:r w:rsidRPr="00D64EE6">
        <w:rPr>
          <w:rFonts w:ascii="Times New Roman" w:hAnsi="Times New Roman"/>
          <w:sz w:val="24"/>
          <w:szCs w:val="24"/>
        </w:rPr>
        <w:t xml:space="preserve"> The greater applicability of each of these factors in a given state’s actions and circumstances, the more likely that a state is in violation of its obligations under the ICCPR. A flexible approach that considers these three factors as a whole, rather than individually, provides insight into whether to hold a state accountable for transfers of small arms and light weapons that are likely to be used to violate the right to life.</w:t>
      </w:r>
    </w:p>
    <w:p w14:paraId="317ACA34" w14:textId="77777777" w:rsidR="00E17FE1" w:rsidRPr="00283940" w:rsidRDefault="00E17FE1" w:rsidP="00E17FE1">
      <w:pPr>
        <w:spacing w:line="240" w:lineRule="auto"/>
        <w:contextualSpacing/>
        <w:rPr>
          <w:rFonts w:ascii="Times New Roman" w:hAnsi="Times New Roman"/>
          <w:sz w:val="24"/>
          <w:szCs w:val="24"/>
        </w:rPr>
      </w:pPr>
    </w:p>
    <w:p w14:paraId="4EAC0CA6"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The human rights rule of transfer is grounded on well-established treaty obligations and international human rights principles. Reading together the affirmative obligations of states to prevent abuses by private actors and the extraterritorial scope of those obligations, it becomes clear that transferring small arms and light weapons into situations where the abuse of the human right to life is serious, foreseeable, and preventable gives rise to violations of state obligations. States must be held accountable to protect the right to life as far as they are capable from violations by state actors, domestic private actors, and foreign state and non-state actors.</w:t>
      </w:r>
    </w:p>
    <w:p w14:paraId="19793546" w14:textId="77777777" w:rsidR="00E17FE1" w:rsidRPr="00D64EE6" w:rsidRDefault="00E17FE1" w:rsidP="00E17FE1">
      <w:pPr>
        <w:spacing w:line="240" w:lineRule="auto"/>
        <w:ind w:firstLine="720"/>
        <w:contextualSpacing/>
        <w:rPr>
          <w:rFonts w:ascii="Times New Roman" w:hAnsi="Times New Roman"/>
          <w:sz w:val="24"/>
          <w:szCs w:val="24"/>
        </w:rPr>
      </w:pPr>
    </w:p>
    <w:p w14:paraId="59FD8084" w14:textId="77777777" w:rsidR="00E17FE1" w:rsidRPr="002C2BB7" w:rsidRDefault="00E17FE1" w:rsidP="00E17FE1">
      <w:pPr>
        <w:spacing w:line="240" w:lineRule="auto"/>
        <w:ind w:firstLine="720"/>
        <w:contextualSpacing/>
        <w:rPr>
          <w:rFonts w:ascii="Times New Roman" w:hAnsi="Times New Roman"/>
          <w:sz w:val="24"/>
          <w:szCs w:val="24"/>
          <w:lang w:val="es-MX"/>
        </w:rPr>
      </w:pPr>
      <w:r w:rsidRPr="00D64EE6">
        <w:rPr>
          <w:rFonts w:ascii="Times New Roman" w:hAnsi="Times New Roman"/>
          <w:sz w:val="24"/>
          <w:szCs w:val="24"/>
        </w:rPr>
        <w:t>Jennifer M. Green, J.D.</w:t>
      </w:r>
      <w:r w:rsidRPr="00D64EE6">
        <w:rPr>
          <w:rFonts w:ascii="Times New Roman" w:hAnsi="Times New Roman"/>
          <w:sz w:val="24"/>
          <w:szCs w:val="24"/>
        </w:rPr>
        <w:tab/>
      </w:r>
      <w:r w:rsidRPr="00D64EE6">
        <w:rPr>
          <w:rFonts w:ascii="Times New Roman" w:hAnsi="Times New Roman"/>
          <w:sz w:val="24"/>
          <w:szCs w:val="24"/>
        </w:rPr>
        <w:tab/>
      </w:r>
      <w:r w:rsidRPr="00D64EE6">
        <w:rPr>
          <w:rFonts w:ascii="Times New Roman" w:hAnsi="Times New Roman"/>
          <w:sz w:val="24"/>
          <w:szCs w:val="24"/>
        </w:rPr>
        <w:tab/>
        <w:t xml:space="preserve"> </w:t>
      </w:r>
      <w:r w:rsidRPr="002C2BB7">
        <w:rPr>
          <w:rFonts w:ascii="Times New Roman" w:hAnsi="Times New Roman"/>
          <w:sz w:val="24"/>
          <w:szCs w:val="24"/>
          <w:lang w:val="es-MX"/>
        </w:rPr>
        <w:t>Barbara A. Frey, J.D.</w:t>
      </w:r>
    </w:p>
    <w:p w14:paraId="5E76CCAB"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Associate Professor of Clinical Instruction</w:t>
      </w:r>
      <w:r w:rsidRPr="00D64EE6">
        <w:rPr>
          <w:rFonts w:ascii="Times New Roman" w:hAnsi="Times New Roman"/>
          <w:sz w:val="24"/>
          <w:szCs w:val="24"/>
        </w:rPr>
        <w:tab/>
        <w:t>Director, Human Rights Program</w:t>
      </w:r>
    </w:p>
    <w:p w14:paraId="0E96B210"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 xml:space="preserve">Director, Human Rights Litigation </w:t>
      </w:r>
      <w:r w:rsidRPr="00D64EE6">
        <w:rPr>
          <w:rFonts w:ascii="Times New Roman" w:hAnsi="Times New Roman"/>
          <w:sz w:val="24"/>
          <w:szCs w:val="24"/>
        </w:rPr>
        <w:tab/>
      </w:r>
      <w:r w:rsidRPr="00D64EE6">
        <w:rPr>
          <w:rFonts w:ascii="Times New Roman" w:hAnsi="Times New Roman"/>
          <w:sz w:val="24"/>
          <w:szCs w:val="24"/>
        </w:rPr>
        <w:tab/>
        <w:t>Institute for Global Studies</w:t>
      </w:r>
    </w:p>
    <w:p w14:paraId="4639BF8B"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  and International Advocacy Clinic</w:t>
      </w:r>
      <w:r w:rsidRPr="00D64EE6">
        <w:rPr>
          <w:rFonts w:ascii="Times New Roman" w:hAnsi="Times New Roman"/>
          <w:sz w:val="24"/>
          <w:szCs w:val="24"/>
        </w:rPr>
        <w:tab/>
      </w:r>
      <w:r w:rsidRPr="00D64EE6">
        <w:rPr>
          <w:rFonts w:ascii="Times New Roman" w:hAnsi="Times New Roman"/>
          <w:sz w:val="24"/>
          <w:szCs w:val="24"/>
        </w:rPr>
        <w:tab/>
        <w:t>University of Minnesota</w:t>
      </w:r>
    </w:p>
    <w:p w14:paraId="30760606"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University of Minnesota Law School</w:t>
      </w:r>
      <w:r w:rsidRPr="00D64EE6">
        <w:rPr>
          <w:rFonts w:ascii="Times New Roman" w:hAnsi="Times New Roman"/>
          <w:sz w:val="24"/>
          <w:szCs w:val="24"/>
        </w:rPr>
        <w:tab/>
      </w:r>
      <w:r w:rsidRPr="00D64EE6">
        <w:rPr>
          <w:rFonts w:ascii="Times New Roman" w:hAnsi="Times New Roman"/>
          <w:sz w:val="24"/>
          <w:szCs w:val="24"/>
        </w:rPr>
        <w:tab/>
        <w:t>214 Social Sciences Building</w:t>
      </w:r>
    </w:p>
    <w:p w14:paraId="1EF631E9" w14:textId="6DD4974B" w:rsidR="00E17FE1" w:rsidRPr="00D64EE6" w:rsidRDefault="00A32030" w:rsidP="00E17FE1">
      <w:pPr>
        <w:spacing w:line="240" w:lineRule="auto"/>
        <w:ind w:firstLine="720"/>
        <w:contextualSpacing/>
        <w:rPr>
          <w:rFonts w:ascii="Times New Roman" w:hAnsi="Times New Roman"/>
          <w:sz w:val="24"/>
          <w:szCs w:val="24"/>
        </w:rPr>
      </w:pPr>
      <w:r>
        <w:rPr>
          <w:rFonts w:ascii="Times New Roman" w:hAnsi="Times New Roman"/>
          <w:sz w:val="24"/>
          <w:szCs w:val="24"/>
        </w:rPr>
        <w:t>2</w:t>
      </w:r>
      <w:r w:rsidR="00E17FE1" w:rsidRPr="00D64EE6">
        <w:rPr>
          <w:rFonts w:ascii="Times New Roman" w:hAnsi="Times New Roman"/>
          <w:sz w:val="24"/>
          <w:szCs w:val="24"/>
        </w:rPr>
        <w:t>29-19th Avenue South</w:t>
      </w:r>
      <w:r w:rsidR="00E17FE1" w:rsidRPr="00D64EE6">
        <w:rPr>
          <w:rFonts w:ascii="Times New Roman" w:hAnsi="Times New Roman"/>
          <w:sz w:val="24"/>
          <w:szCs w:val="24"/>
        </w:rPr>
        <w:tab/>
      </w:r>
      <w:r w:rsidR="00E17FE1" w:rsidRPr="00D64EE6">
        <w:rPr>
          <w:rFonts w:ascii="Times New Roman" w:hAnsi="Times New Roman"/>
          <w:sz w:val="24"/>
          <w:szCs w:val="24"/>
        </w:rPr>
        <w:tab/>
      </w:r>
      <w:r w:rsidR="00E17FE1" w:rsidRPr="00D64EE6">
        <w:rPr>
          <w:rFonts w:ascii="Times New Roman" w:hAnsi="Times New Roman"/>
          <w:sz w:val="24"/>
          <w:szCs w:val="24"/>
        </w:rPr>
        <w:tab/>
        <w:t>Minneapolis, MN  55455</w:t>
      </w:r>
    </w:p>
    <w:p w14:paraId="65E573A9"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Minneapolis, MN  55455</w:t>
      </w:r>
      <w:r w:rsidRPr="00D64EE6">
        <w:rPr>
          <w:rFonts w:ascii="Times New Roman" w:hAnsi="Times New Roman"/>
          <w:sz w:val="24"/>
          <w:szCs w:val="24"/>
        </w:rPr>
        <w:tab/>
      </w:r>
      <w:r w:rsidRPr="00D64EE6">
        <w:rPr>
          <w:rFonts w:ascii="Times New Roman" w:hAnsi="Times New Roman"/>
          <w:sz w:val="24"/>
          <w:szCs w:val="24"/>
        </w:rPr>
        <w:tab/>
      </w:r>
      <w:r w:rsidRPr="00D64EE6">
        <w:rPr>
          <w:rFonts w:ascii="Times New Roman" w:hAnsi="Times New Roman"/>
          <w:sz w:val="24"/>
          <w:szCs w:val="24"/>
        </w:rPr>
        <w:tab/>
        <w:t>tel: +1-612-626-1879</w:t>
      </w:r>
    </w:p>
    <w:p w14:paraId="2E930731" w14:textId="77777777" w:rsidR="00E17FE1" w:rsidRPr="00D64EE6" w:rsidRDefault="00E17FE1" w:rsidP="00E17FE1">
      <w:pPr>
        <w:spacing w:line="240" w:lineRule="auto"/>
        <w:ind w:firstLine="720"/>
        <w:contextualSpacing/>
        <w:rPr>
          <w:rFonts w:ascii="Times New Roman" w:hAnsi="Times New Roman"/>
          <w:sz w:val="24"/>
          <w:szCs w:val="24"/>
        </w:rPr>
      </w:pPr>
      <w:r w:rsidRPr="00D64EE6">
        <w:rPr>
          <w:rFonts w:ascii="Times New Roman" w:hAnsi="Times New Roman"/>
          <w:sz w:val="24"/>
          <w:szCs w:val="24"/>
        </w:rPr>
        <w:t>tel: +1-612-625-7247</w:t>
      </w:r>
    </w:p>
    <w:p w14:paraId="5987B2BF" w14:textId="77777777" w:rsidR="00E17FE1" w:rsidRPr="00D64EE6" w:rsidRDefault="00E17FE1" w:rsidP="00E17FE1">
      <w:pPr>
        <w:spacing w:line="240" w:lineRule="auto"/>
        <w:ind w:firstLine="720"/>
        <w:contextualSpacing/>
        <w:rPr>
          <w:rFonts w:ascii="Times New Roman" w:hAnsi="Times New Roman"/>
          <w:sz w:val="24"/>
          <w:szCs w:val="24"/>
        </w:rPr>
      </w:pPr>
    </w:p>
    <w:p w14:paraId="70046422" w14:textId="1CCCFFEC" w:rsidR="000B4AF2" w:rsidRPr="00D64EE6" w:rsidRDefault="000B4AF2" w:rsidP="00D64EE6">
      <w:pPr>
        <w:spacing w:after="0" w:line="240" w:lineRule="auto"/>
        <w:rPr>
          <w:rFonts w:ascii="Times New Roman" w:hAnsi="Times New Roman"/>
          <w:sz w:val="24"/>
          <w:szCs w:val="24"/>
        </w:rPr>
      </w:pPr>
      <w:r w:rsidRPr="00D64EE6">
        <w:rPr>
          <w:rFonts w:ascii="Times New Roman" w:hAnsi="Times New Roman"/>
          <w:sz w:val="24"/>
          <w:szCs w:val="24"/>
        </w:rPr>
        <w:t xml:space="preserve"> </w:t>
      </w:r>
    </w:p>
    <w:sectPr w:rsidR="000B4AF2" w:rsidRPr="00D64EE6" w:rsidSect="004F00A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A9FDF" w14:textId="77777777" w:rsidR="00A61B5F" w:rsidRDefault="00A61B5F" w:rsidP="00DE769B">
      <w:pPr>
        <w:spacing w:after="0" w:line="240" w:lineRule="auto"/>
      </w:pPr>
      <w:r>
        <w:separator/>
      </w:r>
    </w:p>
  </w:endnote>
  <w:endnote w:type="continuationSeparator" w:id="0">
    <w:p w14:paraId="24B32A33" w14:textId="77777777" w:rsidR="00A61B5F" w:rsidRDefault="00A61B5F" w:rsidP="00DE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0B41" w14:textId="77777777" w:rsidR="00A61B5F" w:rsidRDefault="00A61B5F" w:rsidP="004F0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BA6A4" w14:textId="77777777" w:rsidR="00A61B5F" w:rsidRDefault="00A61B5F" w:rsidP="004F00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AA56" w14:textId="77777777" w:rsidR="00A61B5F" w:rsidRPr="001E4FE8" w:rsidRDefault="00A61B5F" w:rsidP="004F00AB">
    <w:pPr>
      <w:pStyle w:val="Footer"/>
      <w:framePr w:wrap="around" w:vAnchor="text" w:hAnchor="margin" w:xAlign="right" w:y="1"/>
      <w:rPr>
        <w:rStyle w:val="PageNumber"/>
        <w:rFonts w:ascii="Times New Roman" w:hAnsi="Times New Roman"/>
      </w:rPr>
    </w:pPr>
    <w:r w:rsidRPr="001E4FE8">
      <w:rPr>
        <w:rStyle w:val="PageNumber"/>
        <w:rFonts w:ascii="Times New Roman" w:hAnsi="Times New Roman"/>
      </w:rPr>
      <w:fldChar w:fldCharType="begin"/>
    </w:r>
    <w:r w:rsidRPr="001E4FE8">
      <w:rPr>
        <w:rStyle w:val="PageNumber"/>
        <w:rFonts w:ascii="Times New Roman" w:hAnsi="Times New Roman"/>
      </w:rPr>
      <w:instrText xml:space="preserve">PAGE  </w:instrText>
    </w:r>
    <w:r w:rsidRPr="001E4FE8">
      <w:rPr>
        <w:rStyle w:val="PageNumber"/>
        <w:rFonts w:ascii="Times New Roman" w:hAnsi="Times New Roman"/>
      </w:rPr>
      <w:fldChar w:fldCharType="separate"/>
    </w:r>
    <w:r w:rsidR="00CF6045">
      <w:rPr>
        <w:rStyle w:val="PageNumber"/>
        <w:rFonts w:ascii="Times New Roman" w:hAnsi="Times New Roman"/>
        <w:noProof/>
      </w:rPr>
      <w:t>10</w:t>
    </w:r>
    <w:r w:rsidRPr="001E4FE8">
      <w:rPr>
        <w:rStyle w:val="PageNumber"/>
        <w:rFonts w:ascii="Times New Roman" w:hAnsi="Times New Roman"/>
      </w:rPr>
      <w:fldChar w:fldCharType="end"/>
    </w:r>
  </w:p>
  <w:p w14:paraId="3A3177AA" w14:textId="77777777" w:rsidR="00A61B5F" w:rsidRPr="001E4FE8" w:rsidRDefault="00A61B5F" w:rsidP="004F00AB">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2412" w14:textId="77777777" w:rsidR="00A61B5F" w:rsidRDefault="00A61B5F" w:rsidP="00DE769B">
      <w:pPr>
        <w:spacing w:after="0" w:line="240" w:lineRule="auto"/>
      </w:pPr>
      <w:r>
        <w:separator/>
      </w:r>
    </w:p>
  </w:footnote>
  <w:footnote w:type="continuationSeparator" w:id="0">
    <w:p w14:paraId="309C3FE2" w14:textId="77777777" w:rsidR="00A61B5F" w:rsidRDefault="00A61B5F" w:rsidP="00DE769B">
      <w:pPr>
        <w:spacing w:after="0" w:line="240" w:lineRule="auto"/>
      </w:pPr>
      <w:r>
        <w:continuationSeparator/>
      </w:r>
    </w:p>
  </w:footnote>
  <w:footnote w:id="1">
    <w:p w14:paraId="4C3C27B5"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International Covenant on Civil and Political Rights, Art. 6, ¶ 1, Dec. 16, 1966, 999 U.N.T.S. 171 [</w:t>
      </w:r>
      <w:r w:rsidRPr="007B6F39">
        <w:rPr>
          <w:rFonts w:ascii="Times New Roman" w:hAnsi="Times New Roman"/>
          <w:i/>
        </w:rPr>
        <w:t>hereinafter</w:t>
      </w:r>
      <w:r w:rsidRPr="007B6F39">
        <w:rPr>
          <w:rFonts w:ascii="Times New Roman" w:hAnsi="Times New Roman"/>
        </w:rPr>
        <w:t xml:space="preserve"> ICCPR].</w:t>
      </w:r>
    </w:p>
    <w:p w14:paraId="3ACC3201" w14:textId="77777777" w:rsidR="00A61B5F" w:rsidRPr="007B6F39" w:rsidRDefault="00A61B5F" w:rsidP="00E17FE1">
      <w:pPr>
        <w:pStyle w:val="FootnoteText"/>
        <w:rPr>
          <w:rFonts w:ascii="Times New Roman" w:hAnsi="Times New Roman"/>
        </w:rPr>
      </w:pPr>
    </w:p>
  </w:footnote>
  <w:footnote w:id="2">
    <w:p w14:paraId="46A735BE" w14:textId="54CE5BD2"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Barbara Frey, </w:t>
      </w:r>
      <w:r w:rsidRPr="007B6F39">
        <w:rPr>
          <w:rFonts w:ascii="Times New Roman" w:hAnsi="Times New Roman"/>
          <w:i/>
          <w:iCs/>
        </w:rPr>
        <w:t>Obligations to Protect the Right to Life: Constructing a Rule of Transfer Regarding Small Arms and Light Weapons</w:t>
      </w:r>
      <w:r w:rsidRPr="007B6F39">
        <w:rPr>
          <w:rFonts w:ascii="Times New Roman" w:hAnsi="Times New Roman"/>
        </w:rPr>
        <w:t xml:space="preserve">, 36 in </w:t>
      </w:r>
      <w:r w:rsidRPr="007B6F39">
        <w:rPr>
          <w:rFonts w:ascii="Times New Roman" w:hAnsi="Times New Roman"/>
          <w:smallCaps/>
        </w:rPr>
        <w:t>Universal Human Rights and Extraterritorial Obligations</w:t>
      </w:r>
      <w:r w:rsidRPr="007B6F39">
        <w:rPr>
          <w:rFonts w:ascii="Times New Roman" w:hAnsi="Times New Roman"/>
        </w:rPr>
        <w:t xml:space="preserve"> (Mark Gibney and Sigrun Skogly, eds.): Univ. of Penn. Press (2010) (citing both international and regional mechanisms).</w:t>
      </w:r>
    </w:p>
    <w:p w14:paraId="17C58AA6" w14:textId="77777777" w:rsidR="00A61B5F" w:rsidRPr="007B6F39" w:rsidRDefault="00A61B5F" w:rsidP="00E17FE1">
      <w:pPr>
        <w:pStyle w:val="FootnoteText"/>
        <w:rPr>
          <w:rFonts w:ascii="Times New Roman" w:hAnsi="Times New Roman"/>
        </w:rPr>
      </w:pPr>
    </w:p>
  </w:footnote>
  <w:footnote w:id="3">
    <w:p w14:paraId="1064C6DE" w14:textId="560459B0" w:rsidR="00A61B5F" w:rsidRPr="007B6F39" w:rsidRDefault="00A61B5F" w:rsidP="00E17FE1">
      <w:pPr>
        <w:spacing w:after="0" w:line="240" w:lineRule="auto"/>
        <w:rPr>
          <w:rFonts w:ascii="Times New Roman" w:hAnsi="Times New Roman"/>
          <w:sz w:val="20"/>
          <w:szCs w:val="20"/>
        </w:rPr>
      </w:pPr>
      <w:r w:rsidRPr="007B6F39">
        <w:rPr>
          <w:rStyle w:val="FootnoteReference"/>
          <w:rFonts w:ascii="Times New Roman" w:hAnsi="Times New Roman"/>
          <w:sz w:val="20"/>
          <w:szCs w:val="20"/>
        </w:rPr>
        <w:footnoteRef/>
      </w:r>
      <w:r w:rsidRPr="007B6F39">
        <w:rPr>
          <w:rFonts w:ascii="Times New Roman" w:hAnsi="Times New Roman"/>
          <w:sz w:val="20"/>
          <w:szCs w:val="20"/>
        </w:rPr>
        <w:t xml:space="preserve"> ICCPR, </w:t>
      </w:r>
      <w:r w:rsidRPr="007B6F39">
        <w:rPr>
          <w:rFonts w:ascii="Times New Roman" w:hAnsi="Times New Roman"/>
          <w:i/>
          <w:sz w:val="20"/>
          <w:szCs w:val="20"/>
        </w:rPr>
        <w:t>supra</w:t>
      </w:r>
      <w:r w:rsidRPr="007B6F39">
        <w:rPr>
          <w:rFonts w:ascii="Times New Roman" w:hAnsi="Times New Roman"/>
          <w:sz w:val="20"/>
          <w:szCs w:val="20"/>
        </w:rPr>
        <w:t xml:space="preserve"> note 1.</w:t>
      </w:r>
    </w:p>
    <w:p w14:paraId="052DEDD9" w14:textId="77777777" w:rsidR="00A61B5F" w:rsidRPr="001E4FE8" w:rsidRDefault="00A61B5F" w:rsidP="00E17FE1">
      <w:pPr>
        <w:spacing w:after="0" w:line="240" w:lineRule="auto"/>
        <w:rPr>
          <w:rFonts w:ascii="Times New Roman" w:hAnsi="Times New Roman"/>
          <w:sz w:val="20"/>
          <w:szCs w:val="20"/>
        </w:rPr>
      </w:pPr>
    </w:p>
  </w:footnote>
  <w:footnote w:id="4">
    <w:p w14:paraId="4E0A3DFA"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DD095E">
        <w:rPr>
          <w:rFonts w:ascii="Times New Roman" w:hAnsi="Times New Roman"/>
        </w:rPr>
        <w:t xml:space="preserve"> </w:t>
      </w:r>
      <w:r w:rsidRPr="00DD095E">
        <w:rPr>
          <w:rFonts w:ascii="Times New Roman" w:hAnsi="Times New Roman"/>
          <w:i/>
        </w:rPr>
        <w:t>See id.</w:t>
      </w:r>
      <w:r w:rsidRPr="00DD095E">
        <w:rPr>
          <w:rFonts w:ascii="Times New Roman" w:hAnsi="Times New Roman"/>
        </w:rPr>
        <w:t xml:space="preserve"> at Art. 4, ¶ 2; </w:t>
      </w:r>
      <w:r w:rsidRPr="00A61B5F">
        <w:rPr>
          <w:rFonts w:ascii="Times New Roman" w:hAnsi="Times New Roman"/>
          <w:i/>
        </w:rPr>
        <w:t>see also</w:t>
      </w:r>
      <w:r w:rsidRPr="00E1116A">
        <w:rPr>
          <w:rFonts w:ascii="Times New Roman" w:hAnsi="Times New Roman"/>
        </w:rPr>
        <w:t xml:space="preserve"> Hu</w:t>
      </w:r>
      <w:r w:rsidRPr="00AF34ED">
        <w:rPr>
          <w:rFonts w:ascii="Times New Roman" w:hAnsi="Times New Roman"/>
        </w:rPr>
        <w:t xml:space="preserve">man Rights Committee, General Comment No. 29, </w:t>
      </w:r>
      <w:r w:rsidRPr="00AF34ED">
        <w:rPr>
          <w:rFonts w:ascii="Times New Roman" w:hAnsi="Times New Roman"/>
          <w:i/>
        </w:rPr>
        <w:t>State of Emergency (Article 4)</w:t>
      </w:r>
      <w:r w:rsidRPr="007B6F39">
        <w:rPr>
          <w:rFonts w:ascii="Times New Roman" w:hAnsi="Times New Roman"/>
        </w:rPr>
        <w:t>, ¶ 11, U.N. Doc. CCPR/C/21/Rev.1/Add.11 (Aug. 31, 2001) [</w:t>
      </w:r>
      <w:r w:rsidRPr="007B6F39">
        <w:rPr>
          <w:rFonts w:ascii="Times New Roman" w:hAnsi="Times New Roman"/>
          <w:i/>
        </w:rPr>
        <w:t>hereinafter</w:t>
      </w:r>
      <w:r w:rsidRPr="007B6F39">
        <w:rPr>
          <w:rFonts w:ascii="Times New Roman" w:hAnsi="Times New Roman"/>
        </w:rPr>
        <w:t xml:space="preserve"> HRC Comment 29] (noting that many of the non-derogable rights—including Article 6—are “peremptory” but that the list of peremptory rights “extends beyond the list” of rights in this provision).</w:t>
      </w:r>
    </w:p>
    <w:p w14:paraId="79F876BC" w14:textId="77777777" w:rsidR="00A61B5F" w:rsidRPr="007B6F39" w:rsidRDefault="00A61B5F" w:rsidP="00E17FE1">
      <w:pPr>
        <w:pStyle w:val="FootnoteText"/>
        <w:rPr>
          <w:rFonts w:ascii="Times New Roman" w:hAnsi="Times New Roman"/>
        </w:rPr>
      </w:pPr>
    </w:p>
  </w:footnote>
  <w:footnote w:id="5">
    <w:p w14:paraId="4BEFFF1C"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Human Rights Committee, General Comment 6, Article 6 (Sixteenth session, 1982), ¶ 1, Compilation of General Comments and General Recommendations Adopted by Human Rights Treaty Bodies, U.N. Doc. HRI/GEN/1/Rev.1 at 6 (1994) [</w:t>
      </w:r>
      <w:r w:rsidRPr="007B6F39">
        <w:rPr>
          <w:rFonts w:ascii="Times New Roman" w:hAnsi="Times New Roman"/>
          <w:i/>
        </w:rPr>
        <w:t>hereinafter</w:t>
      </w:r>
      <w:r w:rsidRPr="007B6F39">
        <w:rPr>
          <w:rFonts w:ascii="Times New Roman" w:hAnsi="Times New Roman"/>
        </w:rPr>
        <w:t xml:space="preserve"> HRC Comment 6] (describing this “supreme right” as one “which should not be interpreted narrowly”).</w:t>
      </w:r>
    </w:p>
    <w:p w14:paraId="511AB5E7" w14:textId="77777777" w:rsidR="00A61B5F" w:rsidRPr="007B6F39" w:rsidRDefault="00A61B5F" w:rsidP="00E17FE1">
      <w:pPr>
        <w:pStyle w:val="FootnoteText"/>
        <w:rPr>
          <w:rFonts w:ascii="Times New Roman" w:hAnsi="Times New Roman"/>
        </w:rPr>
      </w:pPr>
    </w:p>
  </w:footnote>
  <w:footnote w:id="6">
    <w:p w14:paraId="08C14BDE"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Human Rights Committee, General Comment No. 31, </w:t>
      </w:r>
      <w:r w:rsidRPr="007B6F39">
        <w:rPr>
          <w:rFonts w:ascii="Times New Roman" w:hAnsi="Times New Roman"/>
          <w:i/>
        </w:rPr>
        <w:t>Nature of the General Legal Obligation Imposed on States Parties to the Covenant (Article 2)</w:t>
      </w:r>
      <w:r w:rsidRPr="007B6F39">
        <w:rPr>
          <w:rFonts w:ascii="Times New Roman" w:hAnsi="Times New Roman"/>
        </w:rPr>
        <w:t>, ¶ 6, U.N. Doc. CCPR/C/21/Rev. 1/Add. 13 (Mar. 29, 2004) [</w:t>
      </w:r>
      <w:r w:rsidRPr="007B6F39">
        <w:rPr>
          <w:rFonts w:ascii="Times New Roman" w:hAnsi="Times New Roman"/>
          <w:i/>
        </w:rPr>
        <w:t>hereinafter</w:t>
      </w:r>
      <w:r w:rsidRPr="007B6F39">
        <w:rPr>
          <w:rFonts w:ascii="Times New Roman" w:hAnsi="Times New Roman"/>
        </w:rPr>
        <w:t xml:space="preserve"> HRC Comment 31].</w:t>
      </w:r>
    </w:p>
    <w:p w14:paraId="7A883B2B" w14:textId="77777777" w:rsidR="00A61B5F" w:rsidRPr="007B6F39" w:rsidRDefault="00A61B5F" w:rsidP="00E17FE1">
      <w:pPr>
        <w:pStyle w:val="FootnoteText"/>
        <w:rPr>
          <w:rFonts w:ascii="Times New Roman" w:hAnsi="Times New Roman"/>
        </w:rPr>
      </w:pPr>
    </w:p>
  </w:footnote>
  <w:footnote w:id="7">
    <w:p w14:paraId="47603A2D"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Basic Principles on the Use of Force and Firearms by Law Enforcement Officials, Eighth United Nations Congress on the Prevention of Crime and the Treatment of Offenders, at preambular paragraph and Principle 20, Havana, 27 August to 7 September 1990, U.N. Doc. A/CONF.144/28/Rev.1 at 112 (1990) [</w:t>
      </w:r>
      <w:r w:rsidRPr="007B6F39">
        <w:rPr>
          <w:rFonts w:ascii="Times New Roman" w:hAnsi="Times New Roman"/>
          <w:i/>
        </w:rPr>
        <w:t>hereinafter</w:t>
      </w:r>
      <w:r w:rsidRPr="007B6F39">
        <w:rPr>
          <w:rFonts w:ascii="Times New Roman" w:hAnsi="Times New Roman"/>
        </w:rPr>
        <w:t xml:space="preserve"> Basic Principles]; Code of Conduct for Law Enforcement Officials, Art. 2 G.A. res. 34/169, annex, 34 U.N. GAOR Supp. (No. 46) at 186, U.N. Doc. A/34/46 (1979) [</w:t>
      </w:r>
      <w:r w:rsidRPr="007B6F39">
        <w:rPr>
          <w:rFonts w:ascii="Times New Roman" w:hAnsi="Times New Roman"/>
          <w:i/>
        </w:rPr>
        <w:t>hereinafter</w:t>
      </w:r>
      <w:r w:rsidRPr="007B6F39">
        <w:rPr>
          <w:rFonts w:ascii="Times New Roman" w:hAnsi="Times New Roman"/>
        </w:rPr>
        <w:t xml:space="preserve"> Code of Conduct].</w:t>
      </w:r>
    </w:p>
    <w:p w14:paraId="51A49DBF" w14:textId="77777777" w:rsidR="00A61B5F" w:rsidRPr="007B6F39" w:rsidRDefault="00A61B5F" w:rsidP="00E17FE1">
      <w:pPr>
        <w:pStyle w:val="FootnoteText"/>
        <w:rPr>
          <w:rFonts w:ascii="Times New Roman" w:hAnsi="Times New Roman"/>
        </w:rPr>
      </w:pPr>
    </w:p>
  </w:footnote>
  <w:footnote w:id="8">
    <w:p w14:paraId="4248CE72" w14:textId="6357516C" w:rsidR="00A61B5F" w:rsidRPr="007B6F39" w:rsidRDefault="00A61B5F" w:rsidP="0020047C">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Specifically noting violence against categories of victims, including journalists and human rights defenders, retaliation against witnesses, violence against women, including domestic violence, the hazing of armed forces conscripts, violence against children, violence against persons on the basis of their sexual orientation or gender identity, violence against persons with disabilities. General Comment No. 35, Art. 9, ¶ 9 (CCPR/C/GC/35). We would add violence against persons on the basis of their race or ethnicity. The Human Rights Committee has also expressed particular concern over the failure to properly enforce SALW bans on persons with a history of domestic violence. Concluding Observations: United States of America ¶ 10 (CCPR/C/USA/CO/4).</w:t>
      </w:r>
    </w:p>
    <w:p w14:paraId="7E24C21A" w14:textId="77777777" w:rsidR="00A61B5F" w:rsidRPr="007B6F39" w:rsidRDefault="00A61B5F" w:rsidP="0020047C">
      <w:pPr>
        <w:pStyle w:val="FootnoteText"/>
        <w:rPr>
          <w:rFonts w:ascii="Times New Roman" w:hAnsi="Times New Roman"/>
        </w:rPr>
      </w:pPr>
    </w:p>
  </w:footnote>
  <w:footnote w:id="9">
    <w:p w14:paraId="06DB4801" w14:textId="6701AF5E" w:rsidR="00A61B5F" w:rsidRPr="007B6F39" w:rsidRDefault="00A61B5F">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See, e.g., Concluding observations: Dominican Republic ¶ 13 (CCPR/C/DOM/CO/5); Concluding observations: Armenia ¶ 13 (CCPR/C/ARM/CO/2); Concluding observations: Kenya ¶ 11 (CCPR/C/KEN/CO/3); Concluding observations: Indonesia ¶ 16 (CCPR/C/IDN/CO/1).</w:t>
      </w:r>
    </w:p>
    <w:p w14:paraId="489C5A46" w14:textId="77777777" w:rsidR="00A61B5F" w:rsidRPr="001E4FE8" w:rsidRDefault="00A61B5F">
      <w:pPr>
        <w:pStyle w:val="FootnoteText"/>
        <w:rPr>
          <w:rFonts w:ascii="Times New Roman" w:hAnsi="Times New Roman"/>
        </w:rPr>
      </w:pPr>
    </w:p>
  </w:footnote>
  <w:footnote w:id="10">
    <w:p w14:paraId="633765B7" w14:textId="27DB7819" w:rsidR="00A61B5F" w:rsidRPr="007B6F39" w:rsidRDefault="00A61B5F" w:rsidP="0020047C">
      <w:pPr>
        <w:pStyle w:val="FootnoteText"/>
        <w:rPr>
          <w:rFonts w:ascii="Times New Roman" w:hAnsi="Times New Roman"/>
        </w:rPr>
      </w:pPr>
      <w:r w:rsidRPr="007B6F39">
        <w:rPr>
          <w:rStyle w:val="FootnoteReference"/>
          <w:rFonts w:ascii="Times New Roman" w:hAnsi="Times New Roman"/>
        </w:rPr>
        <w:footnoteRef/>
      </w:r>
      <w:r w:rsidRPr="00DD095E">
        <w:rPr>
          <w:rFonts w:ascii="Times New Roman" w:hAnsi="Times New Roman"/>
        </w:rPr>
        <w:t xml:space="preserve"> General Comment No. 35, Art. 9, ¶ 9 (CCPR/C/GC/35); 613/1995, </w:t>
      </w:r>
      <w:r w:rsidRPr="00DD095E">
        <w:rPr>
          <w:rFonts w:ascii="Times New Roman" w:hAnsi="Times New Roman"/>
          <w:i/>
        </w:rPr>
        <w:t>Leehong v. Jamaica</w:t>
      </w:r>
      <w:r w:rsidRPr="00DD095E">
        <w:rPr>
          <w:rFonts w:ascii="Times New Roman" w:hAnsi="Times New Roman"/>
        </w:rPr>
        <w:t xml:space="preserve">, paras. 9.3; </w:t>
      </w:r>
      <w:r w:rsidRPr="00A61B5F">
        <w:rPr>
          <w:rFonts w:ascii="Times New Roman" w:hAnsi="Times New Roman"/>
        </w:rPr>
        <w:t xml:space="preserve">Concluding </w:t>
      </w:r>
      <w:r w:rsidRPr="00E1116A">
        <w:rPr>
          <w:rFonts w:ascii="Times New Roman" w:hAnsi="Times New Roman"/>
        </w:rPr>
        <w:t>o</w:t>
      </w:r>
      <w:r w:rsidRPr="00AF34ED">
        <w:rPr>
          <w:rFonts w:ascii="Times New Roman" w:hAnsi="Times New Roman"/>
        </w:rPr>
        <w:t>bservations</w:t>
      </w:r>
      <w:r w:rsidRPr="007B6F39">
        <w:rPr>
          <w:rFonts w:ascii="Times New Roman" w:hAnsi="Times New Roman"/>
        </w:rPr>
        <w:t xml:space="preserve">: United States of America ¶ 10 (CCPR/C/USA/CO/4). </w:t>
      </w:r>
    </w:p>
    <w:p w14:paraId="5F460A80" w14:textId="77777777" w:rsidR="00A61B5F" w:rsidRPr="007B6F39" w:rsidRDefault="00A61B5F" w:rsidP="0020047C">
      <w:pPr>
        <w:pStyle w:val="FootnoteText"/>
        <w:rPr>
          <w:rFonts w:ascii="Times New Roman" w:hAnsi="Times New Roman"/>
        </w:rPr>
      </w:pPr>
    </w:p>
  </w:footnote>
  <w:footnote w:id="11">
    <w:p w14:paraId="65D21C3C" w14:textId="1F81EF93" w:rsidR="00A61B5F" w:rsidRPr="007B6F39" w:rsidRDefault="00A61B5F" w:rsidP="0020047C">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Human Rights Commission, Prevention of Human Rights Violations Committed with Small Arms and Light Weapons, endorsed by Sub-Com. on the Promotion and Protection of Human Rights res. 2006/22, U.N. Doc A/HRC/Sub.1/58/L.11/Add.1 at 3 (24 Aug. 2006) [</w:t>
      </w:r>
      <w:r w:rsidRPr="007B6F39">
        <w:rPr>
          <w:rFonts w:ascii="Times New Roman" w:hAnsi="Times New Roman"/>
          <w:i/>
        </w:rPr>
        <w:t>hereinafter</w:t>
      </w:r>
      <w:r w:rsidRPr="007B6F39">
        <w:rPr>
          <w:rFonts w:ascii="Times New Roman" w:hAnsi="Times New Roman"/>
        </w:rPr>
        <w:t xml:space="preserve"> SALW Principles] (“[r]eaffirming the importance of the right to life as a fundamental principle of international human rights law . . . .”). </w:t>
      </w:r>
    </w:p>
    <w:p w14:paraId="48920582" w14:textId="77777777" w:rsidR="00A61B5F" w:rsidRPr="007B6F39" w:rsidRDefault="00A61B5F" w:rsidP="0020047C">
      <w:pPr>
        <w:pStyle w:val="FootnoteText"/>
        <w:rPr>
          <w:rFonts w:ascii="Times New Roman" w:hAnsi="Times New Roman"/>
        </w:rPr>
      </w:pPr>
    </w:p>
  </w:footnote>
  <w:footnote w:id="12">
    <w:p w14:paraId="3ABC2E91" w14:textId="3A24258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Ms. Barbara Frey, Sub-Commission on the Promotion and Protection of Human Rights, Prevention of human rights violations committed with small arms and light weapons, Principle 1, comm. b U.N. Doc. E/CN.4/Sub.2/2005/35 (2005) [</w:t>
      </w:r>
      <w:r w:rsidRPr="007B6F39">
        <w:rPr>
          <w:rFonts w:ascii="Times New Roman" w:hAnsi="Times New Roman"/>
          <w:i/>
        </w:rPr>
        <w:t>hereinafter</w:t>
      </w:r>
      <w:r w:rsidRPr="007B6F39">
        <w:rPr>
          <w:rFonts w:ascii="Times New Roman" w:hAnsi="Times New Roman"/>
        </w:rPr>
        <w:t xml:space="preserve"> Annotated SALW Principles] (expounding the various sources of each principle through the rapporteur’s commentary).</w:t>
      </w:r>
    </w:p>
    <w:p w14:paraId="60533469" w14:textId="77777777" w:rsidR="00A61B5F" w:rsidRPr="007B6F39" w:rsidRDefault="00A61B5F" w:rsidP="00E17FE1">
      <w:pPr>
        <w:pStyle w:val="FootnoteText"/>
        <w:rPr>
          <w:rFonts w:ascii="Times New Roman" w:hAnsi="Times New Roman"/>
        </w:rPr>
      </w:pPr>
    </w:p>
  </w:footnote>
  <w:footnote w:id="13">
    <w:p w14:paraId="730E81C6"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Id.</w:t>
      </w:r>
      <w:r w:rsidRPr="007B6F39">
        <w:rPr>
          <w:rFonts w:ascii="Times New Roman" w:hAnsi="Times New Roman"/>
        </w:rPr>
        <w:t xml:space="preserve"> at 45–46 (considering state agents’ obligations, states’ due diligence obligations, and the issue of transfers of small arms and light weapons).</w:t>
      </w:r>
    </w:p>
    <w:p w14:paraId="0E957CC6" w14:textId="77777777" w:rsidR="00A61B5F" w:rsidRPr="007B6F39" w:rsidRDefault="00A61B5F" w:rsidP="00E17FE1">
      <w:pPr>
        <w:pStyle w:val="FootnoteText"/>
        <w:rPr>
          <w:rFonts w:ascii="Times New Roman" w:hAnsi="Times New Roman"/>
        </w:rPr>
      </w:pPr>
    </w:p>
  </w:footnote>
  <w:footnote w:id="14">
    <w:p w14:paraId="17E06484" w14:textId="2767C904"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1, </w:t>
      </w:r>
      <w:r w:rsidRPr="007B6F39">
        <w:rPr>
          <w:rFonts w:ascii="Times New Roman" w:hAnsi="Times New Roman"/>
          <w:i/>
        </w:rPr>
        <w:t>supra</w:t>
      </w:r>
      <w:r w:rsidRPr="007B6F39">
        <w:rPr>
          <w:rFonts w:ascii="Times New Roman" w:hAnsi="Times New Roman"/>
        </w:rPr>
        <w:t xml:space="preserve"> note 11.</w:t>
      </w:r>
    </w:p>
    <w:p w14:paraId="167CD25B" w14:textId="77777777" w:rsidR="00A61B5F" w:rsidRPr="007B6F39" w:rsidRDefault="00A61B5F" w:rsidP="00E17FE1">
      <w:pPr>
        <w:pStyle w:val="FootnoteText"/>
        <w:rPr>
          <w:rFonts w:ascii="Times New Roman" w:hAnsi="Times New Roman"/>
        </w:rPr>
      </w:pPr>
    </w:p>
  </w:footnote>
  <w:footnote w:id="15">
    <w:p w14:paraId="5069880F" w14:textId="2395AB50" w:rsidR="00A61B5F" w:rsidRPr="007B6F39" w:rsidRDefault="00A61B5F" w:rsidP="006D7034">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Concluding observations: Dominican Republic ¶ 13 (CCPR/C/DOM/CO/5); Concluding observations: Armenia ¶ 13 (CCPR/C/ARM/CO/2); Concluding observations: Kenya ¶ 11 (CCPR/C/KEN/CO/3); Concluding observations: United States of America ¶ 11 (CCPR/C/USA/CO/4); Concluding observations: Indonesia ¶ 16 (CCPR/C/IDN/CO/1); Concluding observations: Mozambique ¶ 11 (CCPR/C/MOZ/CO/1); Concluding observations: Bolivia ¶ 15 (CCPR/C/BOL/CO/3); Concluding observations: Nepal ¶ 10 (CCPR/C/NPL/CO/2); Concluding observations: Sudan ¶ 22 (CCPR/C/SDN/CO/4); Concluding observations: Israel ¶ 13 (CCPR/C/ISR/CO/4); Concluding observations: Haiti ¶ 10 (CCPR/C/HTI/CO/1).</w:t>
      </w:r>
    </w:p>
    <w:p w14:paraId="4D46B736" w14:textId="7B958D33" w:rsidR="00A61B5F" w:rsidRPr="007B6F39" w:rsidRDefault="00A61B5F" w:rsidP="006D7034">
      <w:pPr>
        <w:pStyle w:val="FootnoteText"/>
        <w:rPr>
          <w:rFonts w:ascii="Times New Roman" w:hAnsi="Times New Roman"/>
        </w:rPr>
      </w:pPr>
      <w:r w:rsidRPr="007B6F39">
        <w:rPr>
          <w:rFonts w:ascii="Times New Roman" w:hAnsi="Times New Roman"/>
        </w:rPr>
        <w:t xml:space="preserve"> </w:t>
      </w:r>
    </w:p>
  </w:footnote>
  <w:footnote w:id="16">
    <w:p w14:paraId="6D549368" w14:textId="7A02DCAD"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Code of Conduct, Art. 3, G.A., </w:t>
      </w:r>
      <w:r w:rsidRPr="007B6F39">
        <w:rPr>
          <w:rFonts w:ascii="Times New Roman" w:hAnsi="Times New Roman"/>
          <w:i/>
        </w:rPr>
        <w:t>supra</w:t>
      </w:r>
      <w:r w:rsidRPr="007B6F39">
        <w:rPr>
          <w:rFonts w:ascii="Times New Roman" w:hAnsi="Times New Roman"/>
        </w:rPr>
        <w:t xml:space="preserve"> note 7.</w:t>
      </w:r>
    </w:p>
    <w:p w14:paraId="60A7F1E4" w14:textId="77777777" w:rsidR="00A61B5F" w:rsidRPr="007B6F39" w:rsidRDefault="00A61B5F" w:rsidP="00AC0263">
      <w:pPr>
        <w:pStyle w:val="FootnoteText"/>
        <w:rPr>
          <w:rFonts w:ascii="Times New Roman" w:hAnsi="Times New Roman"/>
        </w:rPr>
      </w:pPr>
    </w:p>
  </w:footnote>
  <w:footnote w:id="17">
    <w:p w14:paraId="25F7B470" w14:textId="6835F3CE" w:rsidR="00A61B5F" w:rsidRPr="007B6F39" w:rsidRDefault="00A61B5F" w:rsidP="00AC0263">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9, </w:t>
      </w:r>
      <w:r w:rsidRPr="007B6F39">
        <w:rPr>
          <w:rFonts w:ascii="Times New Roman" w:hAnsi="Times New Roman"/>
          <w:i/>
        </w:rPr>
        <w:t>supra</w:t>
      </w:r>
      <w:r w:rsidRPr="007B6F39">
        <w:rPr>
          <w:rFonts w:ascii="Times New Roman" w:hAnsi="Times New Roman"/>
        </w:rPr>
        <w:t xml:space="preserve"> note 11; </w:t>
      </w:r>
      <w:r w:rsidRPr="007B6F39">
        <w:rPr>
          <w:rFonts w:ascii="Times New Roman" w:hAnsi="Times New Roman"/>
          <w:i/>
        </w:rPr>
        <w:t>see also</w:t>
      </w:r>
      <w:r w:rsidRPr="007B6F39">
        <w:rPr>
          <w:rFonts w:ascii="Times New Roman" w:hAnsi="Times New Roman"/>
        </w:rPr>
        <w:t xml:space="preserve"> Code of Conduct, </w:t>
      </w:r>
      <w:r w:rsidRPr="007B6F39">
        <w:rPr>
          <w:rFonts w:ascii="Times New Roman" w:hAnsi="Times New Roman"/>
          <w:i/>
        </w:rPr>
        <w:t>supra</w:t>
      </w:r>
      <w:r w:rsidRPr="007B6F39">
        <w:rPr>
          <w:rFonts w:ascii="Times New Roman" w:hAnsi="Times New Roman"/>
        </w:rPr>
        <w:t xml:space="preserve"> note 7, at Art. 8 (discussing need for reporting and reviewing mechanisms); Basic Principles 22–26, </w:t>
      </w:r>
      <w:r w:rsidRPr="007B6F39">
        <w:rPr>
          <w:rFonts w:ascii="Times New Roman" w:hAnsi="Times New Roman"/>
          <w:i/>
        </w:rPr>
        <w:t>supra</w:t>
      </w:r>
      <w:r w:rsidRPr="007B6F39">
        <w:rPr>
          <w:rFonts w:ascii="Times New Roman" w:hAnsi="Times New Roman"/>
        </w:rPr>
        <w:t xml:space="preserve"> note 7 (same); and Principles on the Effective Prevention and Investigation of Extra-Legal, Arbitrary and Summary Executions</w:t>
      </w:r>
      <w:r w:rsidR="00D65CA5">
        <w:rPr>
          <w:rFonts w:ascii="Times New Roman" w:hAnsi="Times New Roman"/>
        </w:rPr>
        <w:t xml:space="preserve"> [hereinafter, Death Investigation Principles]</w:t>
      </w:r>
      <w:r w:rsidRPr="007B6F39">
        <w:rPr>
          <w:rFonts w:ascii="Times New Roman" w:hAnsi="Times New Roman"/>
        </w:rPr>
        <w:t>, recommended by Economic and Social Council res. 1989/65 of 24 May 1989, available at http://www2.ohchr.org/english/law/executions.htm (requiring a thorough, prompt and impartial investigation of all suspected cases of extra-legal, arbitrary and summary executions). These requirements are further developed by the Human Rights Committee: Concluding observations: Jamaica ¶ 16 (CCPR/C/JAM/CO/3); Concluding observations: Dominican Republic ¶ 14 (CCPR/C/DOM/CO/5); Concluding observations: Armenia ¶ 12 (CCPR/C/ARM/CO/2); Concluding observations: Kenya ¶ 11, ¶ 13 (CCPR/C/KEN/CO/3); Concluding observations: Philippines ¶ 14 (CCPR/C/PHL/CO/4); Concluding observations: United States of America ¶ 11 (CCPR/C/USA/CO/4); Concluding observations: Indonesia ¶ 16 (CCPR/C/IDN/CO/1); Concluding observations: Mozambique ¶ 11 (CCPR/C/MOZ/CO/1); Concluding observations: Djibouti ¶ 15 (CCPR/C/DJI/CO/1); Concluding observations: Bolivia ¶ 15 (CCPR/C/BOL/CO/3); Concluding observations: Nepal ¶ 10 (CCPR/C/NPL/CO/2); Concluding observations: Sudan ¶ 22 (CCPR/C/SDN/CO/4); Concluding observations: Malawi ¶ 13 (CCPR/C/MWI/CO/1/Add.1); Concluding observations: Israel ¶ 13 (CCPR/C/ISR/CO/4); Concluding observations: Haiti ¶ 10 (CCPR/C/HTI/CO/1).</w:t>
      </w:r>
    </w:p>
    <w:p w14:paraId="2AD1E2CA" w14:textId="77777777" w:rsidR="00A61B5F" w:rsidRPr="007B6F39" w:rsidRDefault="00A61B5F" w:rsidP="00AC0263">
      <w:pPr>
        <w:pStyle w:val="FootnoteText"/>
        <w:rPr>
          <w:rFonts w:ascii="Times New Roman" w:hAnsi="Times New Roman"/>
        </w:rPr>
      </w:pPr>
    </w:p>
  </w:footnote>
  <w:footnote w:id="18">
    <w:p w14:paraId="5458E5D3" w14:textId="521107F9" w:rsidR="00A61B5F" w:rsidRPr="00A61B5F" w:rsidRDefault="00A61B5F" w:rsidP="008A762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2 </w:t>
      </w:r>
      <w:r w:rsidRPr="007B6F39">
        <w:rPr>
          <w:rFonts w:ascii="Times New Roman" w:hAnsi="Times New Roman"/>
          <w:i/>
        </w:rPr>
        <w:t>supra</w:t>
      </w:r>
      <w:r w:rsidRPr="007B6F39">
        <w:rPr>
          <w:rFonts w:ascii="Times New Roman" w:hAnsi="Times New Roman"/>
        </w:rPr>
        <w:t xml:space="preserve"> note 11; </w:t>
      </w:r>
      <w:r w:rsidRPr="001E4FE8">
        <w:rPr>
          <w:rFonts w:ascii="Times New Roman" w:hAnsi="Times New Roman"/>
          <w:i/>
        </w:rPr>
        <w:t>see also</w:t>
      </w:r>
      <w:r w:rsidRPr="001E4FE8">
        <w:rPr>
          <w:rFonts w:ascii="Times New Roman" w:hAnsi="Times New Roman"/>
        </w:rPr>
        <w:t xml:space="preserve"> Basic</w:t>
      </w:r>
      <w:r w:rsidRPr="007B6F39">
        <w:rPr>
          <w:rFonts w:ascii="Times New Roman" w:hAnsi="Times New Roman"/>
        </w:rPr>
        <w:t xml:space="preserve"> Principle 1</w:t>
      </w:r>
      <w:r w:rsidRPr="00DD095E">
        <w:rPr>
          <w:rFonts w:ascii="Times New Roman" w:hAnsi="Times New Roman"/>
        </w:rPr>
        <w:t xml:space="preserve">, </w:t>
      </w:r>
      <w:r w:rsidRPr="00DD095E">
        <w:rPr>
          <w:rFonts w:ascii="Times New Roman" w:hAnsi="Times New Roman"/>
          <w:i/>
        </w:rPr>
        <w:t>supra</w:t>
      </w:r>
      <w:r w:rsidRPr="00DD095E">
        <w:rPr>
          <w:rFonts w:ascii="Times New Roman" w:hAnsi="Times New Roman"/>
        </w:rPr>
        <w:t xml:space="preserve"> note</w:t>
      </w:r>
      <w:r w:rsidRPr="00A61B5F">
        <w:rPr>
          <w:rFonts w:ascii="Times New Roman" w:hAnsi="Times New Roman"/>
        </w:rPr>
        <w:t xml:space="preserve"> 7.</w:t>
      </w:r>
    </w:p>
    <w:p w14:paraId="7175A764" w14:textId="77777777" w:rsidR="00A61B5F" w:rsidRPr="00E1116A" w:rsidRDefault="00A61B5F" w:rsidP="008A7621">
      <w:pPr>
        <w:pStyle w:val="FootnoteText"/>
        <w:rPr>
          <w:rFonts w:ascii="Times New Roman" w:hAnsi="Times New Roman"/>
        </w:rPr>
      </w:pPr>
    </w:p>
  </w:footnote>
  <w:footnote w:id="19">
    <w:p w14:paraId="49A39C11" w14:textId="339B0CAC" w:rsidR="00A61B5F" w:rsidRPr="007B6F39" w:rsidRDefault="00A61B5F" w:rsidP="008A7621">
      <w:pPr>
        <w:pStyle w:val="FootnoteText"/>
        <w:rPr>
          <w:rFonts w:ascii="Times New Roman" w:hAnsi="Times New Roman"/>
        </w:rPr>
      </w:pPr>
      <w:r w:rsidRPr="00AF34ED">
        <w:rPr>
          <w:rStyle w:val="FootnoteReference"/>
          <w:rFonts w:ascii="Times New Roman" w:hAnsi="Times New Roman"/>
        </w:rPr>
        <w:footnoteRef/>
      </w:r>
      <w:r w:rsidRPr="00AF34ED">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3, </w:t>
      </w:r>
      <w:r w:rsidRPr="007B6F39">
        <w:rPr>
          <w:rFonts w:ascii="Times New Roman" w:hAnsi="Times New Roman"/>
          <w:i/>
        </w:rPr>
        <w:t>supra</w:t>
      </w:r>
      <w:r w:rsidRPr="007B6F39">
        <w:rPr>
          <w:rFonts w:ascii="Times New Roman" w:hAnsi="Times New Roman"/>
        </w:rPr>
        <w:t xml:space="preserve"> note 11; </w:t>
      </w:r>
      <w:r w:rsidRPr="007B6F39">
        <w:rPr>
          <w:rFonts w:ascii="Times New Roman" w:hAnsi="Times New Roman"/>
          <w:i/>
        </w:rPr>
        <w:t>see also</w:t>
      </w:r>
      <w:r w:rsidRPr="007B6F39">
        <w:rPr>
          <w:rFonts w:ascii="Times New Roman" w:hAnsi="Times New Roman"/>
        </w:rPr>
        <w:t xml:space="preserve"> </w:t>
      </w:r>
      <w:r w:rsidR="00D65CA5">
        <w:rPr>
          <w:rFonts w:ascii="Times New Roman" w:hAnsi="Times New Roman"/>
        </w:rPr>
        <w:t xml:space="preserve">Death Investigation Principles, </w:t>
      </w:r>
      <w:r w:rsidR="00D65CA5">
        <w:rPr>
          <w:rFonts w:ascii="Times New Roman" w:hAnsi="Times New Roman"/>
          <w:i/>
        </w:rPr>
        <w:t>supra</w:t>
      </w:r>
      <w:r w:rsidR="00D65CA5">
        <w:rPr>
          <w:rFonts w:ascii="Times New Roman" w:hAnsi="Times New Roman"/>
        </w:rPr>
        <w:t xml:space="preserve"> note 17</w:t>
      </w:r>
      <w:r w:rsidR="00AE4029">
        <w:rPr>
          <w:rFonts w:ascii="Times New Roman" w:hAnsi="Times New Roman"/>
        </w:rPr>
        <w:t>, article 2</w:t>
      </w:r>
      <w:r w:rsidRPr="007B6F39">
        <w:rPr>
          <w:rFonts w:ascii="Times New Roman" w:hAnsi="Times New Roman"/>
        </w:rPr>
        <w:t>.</w:t>
      </w:r>
    </w:p>
    <w:p w14:paraId="24A71204" w14:textId="77777777" w:rsidR="00A61B5F" w:rsidRPr="007B6F39" w:rsidRDefault="00A61B5F" w:rsidP="008A7621">
      <w:pPr>
        <w:pStyle w:val="FootnoteText"/>
        <w:rPr>
          <w:rFonts w:ascii="Times New Roman" w:hAnsi="Times New Roman"/>
        </w:rPr>
      </w:pPr>
    </w:p>
  </w:footnote>
  <w:footnote w:id="20">
    <w:p w14:paraId="386AF520" w14:textId="70174796" w:rsidR="00A61B5F" w:rsidRPr="007B6F39" w:rsidRDefault="00A61B5F" w:rsidP="008A762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4, </w:t>
      </w:r>
      <w:r w:rsidRPr="007B6F39">
        <w:rPr>
          <w:rFonts w:ascii="Times New Roman" w:hAnsi="Times New Roman"/>
          <w:i/>
        </w:rPr>
        <w:t>supra</w:t>
      </w:r>
      <w:r w:rsidRPr="007B6F39">
        <w:rPr>
          <w:rFonts w:ascii="Times New Roman" w:hAnsi="Times New Roman"/>
        </w:rPr>
        <w:t xml:space="preserve"> note11; </w:t>
      </w:r>
      <w:r w:rsidRPr="007B6F39">
        <w:rPr>
          <w:rFonts w:ascii="Times New Roman" w:hAnsi="Times New Roman"/>
          <w:i/>
        </w:rPr>
        <w:t>see also</w:t>
      </w:r>
      <w:r w:rsidRPr="007B6F39">
        <w:rPr>
          <w:rFonts w:ascii="Times New Roman" w:hAnsi="Times New Roman"/>
        </w:rPr>
        <w:t xml:space="preserve"> UN Programme of Action to Prevent, Combat and Eradicate the Illicit Trade in Small Arms and Light Weapons in All Its Aspects, UN Document A/CONF.192/15 (2006) (discussing requirement of “adequate  and detailed  standards and procedures relating to the management and security of their stocks of these weapons”).</w:t>
      </w:r>
    </w:p>
    <w:p w14:paraId="7A4AA603" w14:textId="77777777" w:rsidR="00A61B5F" w:rsidRPr="007B6F39" w:rsidRDefault="00A61B5F" w:rsidP="008A7621">
      <w:pPr>
        <w:pStyle w:val="FootnoteText"/>
        <w:rPr>
          <w:rFonts w:ascii="Times New Roman" w:hAnsi="Times New Roman"/>
        </w:rPr>
      </w:pPr>
    </w:p>
  </w:footnote>
  <w:footnote w:id="21">
    <w:p w14:paraId="1CCFB5AE" w14:textId="656A8C21" w:rsidR="00A61B5F" w:rsidRPr="007B6F39" w:rsidRDefault="00A61B5F" w:rsidP="008A762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Principles 5–7, </w:t>
      </w:r>
      <w:r w:rsidRPr="007B6F39">
        <w:rPr>
          <w:rFonts w:ascii="Times New Roman" w:hAnsi="Times New Roman"/>
          <w:i/>
        </w:rPr>
        <w:t>supra</w:t>
      </w:r>
      <w:r w:rsidRPr="007B6F39">
        <w:rPr>
          <w:rFonts w:ascii="Times New Roman" w:hAnsi="Times New Roman"/>
        </w:rPr>
        <w:t xml:space="preserve"> note 11. The Human Rights Committee has consistently mandated that security personnel be trained in accordance with the United Nations Basic Principles, and that the Principles be reflected in domestic laws regulating security force conduct </w:t>
      </w:r>
      <w:r w:rsidRPr="007B6F39">
        <w:rPr>
          <w:rFonts w:ascii="Times New Roman" w:hAnsi="Times New Roman"/>
          <w:i/>
        </w:rPr>
        <w:t xml:space="preserve">supra </w:t>
      </w:r>
      <w:r w:rsidRPr="007B6F39">
        <w:rPr>
          <w:rFonts w:ascii="Times New Roman" w:hAnsi="Times New Roman"/>
        </w:rPr>
        <w:t>note 7. Concluding observations: Dominican Republic ¶ 13 (CCPR/C/DOM/CO/5); Concluding observations: Armenia ¶ 13 (CCPR/C/ARM/CO/2); Concluding observations: United States of America ¶ 11 (CCPR/C/USA/CO/4); Concluding observations: Indonesia ¶ 16 (CCPR/C/IDN/CO/1); Concluding observations: Mozambique ¶ 11 (CCPR/C/MOZ/CO/1); Concluding observations: Kenya ¶ 11 (CCPR/C/KEN/CO/3); Concluding observations: Djibouti ¶ 15 (CCPR/C/DJI/CO/1); Concluding observations: Bolivia ¶ 15 (CCPR/C/BOL/CO/3); Concluding observations: Nepal ¶ 10 (CCPR/C/NPL/CO/2); Concluding observations: Sudan ¶ 22 (CCPR/C/SDN/CO/4); Concluding observations: Malawi ¶ 13 (CCPR/C/MWI/CO/1/Add.1); Concluding observations: Israel ¶ 13 (CCPR/C/ISR/CO/4); Concluding observations: Haiti ¶ 10 (CCPR/C/HTI/CO/1).</w:t>
      </w:r>
    </w:p>
    <w:p w14:paraId="67799FF6" w14:textId="77777777" w:rsidR="00A61B5F" w:rsidRPr="007B6F39" w:rsidRDefault="00A61B5F" w:rsidP="008A7621">
      <w:pPr>
        <w:pStyle w:val="FootnoteText"/>
        <w:rPr>
          <w:rFonts w:ascii="Times New Roman" w:hAnsi="Times New Roman"/>
        </w:rPr>
      </w:pPr>
    </w:p>
  </w:footnote>
  <w:footnote w:id="22">
    <w:p w14:paraId="3FFA92B5" w14:textId="249F2C25" w:rsidR="00A61B5F" w:rsidRPr="007B6F39" w:rsidRDefault="00A61B5F" w:rsidP="008A762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Annotated SALW Principle 6, comms. a and e, </w:t>
      </w:r>
      <w:r w:rsidRPr="007B6F39">
        <w:rPr>
          <w:rFonts w:ascii="Times New Roman" w:hAnsi="Times New Roman"/>
          <w:i/>
        </w:rPr>
        <w:t>supra</w:t>
      </w:r>
      <w:r w:rsidRPr="007B6F39">
        <w:rPr>
          <w:rFonts w:ascii="Times New Roman" w:hAnsi="Times New Roman"/>
        </w:rPr>
        <w:t xml:space="preserve"> note 1</w:t>
      </w:r>
      <w:r w:rsidR="00AE4029">
        <w:rPr>
          <w:rFonts w:ascii="Times New Roman" w:hAnsi="Times New Roman"/>
        </w:rPr>
        <w:t>2</w:t>
      </w:r>
      <w:r w:rsidRPr="001E4FE8">
        <w:rPr>
          <w:rFonts w:ascii="Times New Roman" w:hAnsi="Times New Roman"/>
        </w:rPr>
        <w:fldChar w:fldCharType="begin"/>
      </w:r>
      <w:r w:rsidRPr="007B6F39">
        <w:rPr>
          <w:rFonts w:ascii="Times New Roman" w:hAnsi="Times New Roman"/>
        </w:rPr>
        <w:instrText xml:space="preserve"> NOTEREF _Ref284802217 \h  \* MERGEFORMAT </w:instrText>
      </w:r>
      <w:r w:rsidRPr="001E4FE8">
        <w:rPr>
          <w:rFonts w:ascii="Times New Roman" w:hAnsi="Times New Roman"/>
        </w:rPr>
      </w:r>
      <w:r w:rsidRPr="001E4FE8">
        <w:rPr>
          <w:rFonts w:ascii="Times New Roman" w:hAnsi="Times New Roman"/>
        </w:rPr>
        <w:fldChar w:fldCharType="end"/>
      </w:r>
      <w:r w:rsidRPr="007B6F39">
        <w:rPr>
          <w:rFonts w:ascii="Times New Roman" w:hAnsi="Times New Roman"/>
        </w:rPr>
        <w:t xml:space="preserve">; </w:t>
      </w:r>
      <w:r w:rsidRPr="007B6F39">
        <w:rPr>
          <w:rFonts w:ascii="Times New Roman" w:hAnsi="Times New Roman"/>
          <w:i/>
        </w:rPr>
        <w:t>see also</w:t>
      </w:r>
      <w:r w:rsidRPr="007B6F39">
        <w:rPr>
          <w:rFonts w:ascii="Times New Roman" w:hAnsi="Times New Roman"/>
        </w:rPr>
        <w:t xml:space="preserve"> Basic Principle 20, </w:t>
      </w:r>
      <w:r w:rsidRPr="007B6F39">
        <w:rPr>
          <w:rFonts w:ascii="Times New Roman" w:hAnsi="Times New Roman"/>
          <w:i/>
        </w:rPr>
        <w:t>supra</w:t>
      </w:r>
      <w:r w:rsidRPr="007B6F39">
        <w:rPr>
          <w:rFonts w:ascii="Times New Roman" w:hAnsi="Times New Roman"/>
        </w:rPr>
        <w:t xml:space="preserve"> note 7 (emphasizing both human rights norms and alternatives to lethal force). Concluding observations: Dominican Republic ¶ 13 (CCPR/C/DOM/CO/5); Concluding observations: Kenya ¶ 11 (CCPR/C/KEN/CO/3); Concluding observations: Djibouti ¶ 15 (CCPR/C/DJI/CO/1); Concluding observations: Bolivia ¶ 15 (CCPR/C/BOL/CO/3); Concluding observations: Malawi ¶ 13 (CCPR/C/MWI/CO/1/Add.1); Concluding observations: Haiti ¶ 10 (CCPR/C/HTI/CO/1). The Human Rights Committee has also requested compliance with the Code of Conduct, </w:t>
      </w:r>
      <w:r w:rsidRPr="007B6F39">
        <w:rPr>
          <w:rFonts w:ascii="Times New Roman" w:hAnsi="Times New Roman"/>
          <w:i/>
        </w:rPr>
        <w:t xml:space="preserve">supra </w:t>
      </w:r>
      <w:r w:rsidRPr="007B6F39">
        <w:rPr>
          <w:rFonts w:ascii="Times New Roman" w:hAnsi="Times New Roman"/>
        </w:rPr>
        <w:t xml:space="preserve">note 7, as a necessary means to prevent SALW violations of ICCPR article 6. Concluding observations: Nepal ¶ 10 (CCPR/C/NPL/CO/2). </w:t>
      </w:r>
    </w:p>
    <w:p w14:paraId="0ADB0AA4" w14:textId="77777777" w:rsidR="00A61B5F" w:rsidRPr="007B6F39" w:rsidRDefault="00A61B5F" w:rsidP="008A7621">
      <w:pPr>
        <w:pStyle w:val="FootnoteText"/>
        <w:rPr>
          <w:rFonts w:ascii="Times New Roman" w:hAnsi="Times New Roman"/>
        </w:rPr>
      </w:pPr>
    </w:p>
  </w:footnote>
  <w:footnote w:id="23">
    <w:p w14:paraId="50F61867" w14:textId="18D30FB9" w:rsidR="00A61B5F" w:rsidRPr="007B6F39" w:rsidRDefault="00A61B5F" w:rsidP="00AC0263">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ICCPR, </w:t>
      </w:r>
      <w:r w:rsidRPr="007B6F39">
        <w:rPr>
          <w:rFonts w:ascii="Times New Roman" w:hAnsi="Times New Roman"/>
          <w:i/>
        </w:rPr>
        <w:t>supra</w:t>
      </w:r>
      <w:r w:rsidRPr="007B6F39">
        <w:rPr>
          <w:rFonts w:ascii="Times New Roman" w:hAnsi="Times New Roman"/>
        </w:rPr>
        <w:t xml:space="preserve"> note 1, Art. 2 (requiring broadly that a state not only “respect” but also “ensure” the Covenant rights of “all individuals within its territory and subject to its jurisdiction”).</w:t>
      </w:r>
    </w:p>
    <w:p w14:paraId="0C130A07" w14:textId="77777777" w:rsidR="00A61B5F" w:rsidRPr="007B6F39" w:rsidRDefault="00A61B5F" w:rsidP="00E17FE1">
      <w:pPr>
        <w:pStyle w:val="FootnoteText"/>
        <w:rPr>
          <w:rFonts w:ascii="Times New Roman" w:hAnsi="Times New Roman"/>
        </w:rPr>
      </w:pPr>
    </w:p>
  </w:footnote>
  <w:footnote w:id="24">
    <w:p w14:paraId="51746384" w14:textId="74FAFD9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 xml:space="preserve">See </w:t>
      </w:r>
      <w:r w:rsidRPr="007B6F39">
        <w:rPr>
          <w:rFonts w:ascii="Times New Roman" w:hAnsi="Times New Roman"/>
        </w:rPr>
        <w:t xml:space="preserve">HRC Comment 31, </w:t>
      </w:r>
      <w:r w:rsidRPr="007B6F39">
        <w:rPr>
          <w:rFonts w:ascii="Times New Roman" w:hAnsi="Times New Roman"/>
          <w:i/>
        </w:rPr>
        <w:t>supra</w:t>
      </w:r>
      <w:r w:rsidRPr="007B6F39">
        <w:rPr>
          <w:rFonts w:ascii="Times New Roman" w:hAnsi="Times New Roman"/>
        </w:rPr>
        <w:t xml:space="preserve"> note 6, at ¶ 2 (noting that “every State Party has a legal interest in the performance by every other State Party of its obligations”).</w:t>
      </w:r>
    </w:p>
    <w:p w14:paraId="791AA8E6" w14:textId="77777777" w:rsidR="00A61B5F" w:rsidRPr="007B6F39" w:rsidRDefault="00A61B5F" w:rsidP="00E17FE1">
      <w:pPr>
        <w:pStyle w:val="FootnoteText"/>
        <w:rPr>
          <w:rFonts w:ascii="Times New Roman" w:hAnsi="Times New Roman"/>
        </w:rPr>
      </w:pPr>
    </w:p>
  </w:footnote>
  <w:footnote w:id="25">
    <w:p w14:paraId="0ECE799E"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 id.</w:t>
      </w:r>
      <w:r w:rsidRPr="007B6F39">
        <w:rPr>
          <w:rFonts w:ascii="Times New Roman" w:hAnsi="Times New Roman"/>
        </w:rPr>
        <w:t xml:space="preserve"> at ¶ 8 (finding that states’ “positive obligations” require protection “against acts committed by private persons or entities”).</w:t>
      </w:r>
    </w:p>
    <w:p w14:paraId="221C51D5" w14:textId="77777777" w:rsidR="00A61B5F" w:rsidRPr="007B6F39" w:rsidRDefault="00A61B5F" w:rsidP="00E17FE1">
      <w:pPr>
        <w:pStyle w:val="FootnoteText"/>
        <w:rPr>
          <w:rFonts w:ascii="Times New Roman" w:hAnsi="Times New Roman"/>
        </w:rPr>
      </w:pPr>
    </w:p>
  </w:footnote>
  <w:footnote w:id="26">
    <w:p w14:paraId="30A8B028" w14:textId="59A4C060" w:rsidR="00A61B5F" w:rsidRPr="007B6F39" w:rsidRDefault="00A61B5F">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Human Rights Council, Resolution 29/2015 ¶ 2 (A/HRC/29/L.18) (2015). </w:t>
      </w:r>
    </w:p>
    <w:p w14:paraId="4C7872C2" w14:textId="77777777" w:rsidR="00A61B5F" w:rsidRPr="007B6F39" w:rsidRDefault="00A61B5F">
      <w:pPr>
        <w:pStyle w:val="FootnoteText"/>
        <w:rPr>
          <w:rFonts w:ascii="Times New Roman" w:hAnsi="Times New Roman"/>
        </w:rPr>
      </w:pPr>
    </w:p>
  </w:footnote>
  <w:footnote w:id="27">
    <w:p w14:paraId="6EF28BCA" w14:textId="5B5C3FD0" w:rsidR="00A61B5F" w:rsidRPr="007B6F39" w:rsidRDefault="00A61B5F" w:rsidP="008A762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 supra</w:t>
      </w:r>
      <w:r w:rsidRPr="007B6F39">
        <w:rPr>
          <w:rFonts w:ascii="Times New Roman" w:hAnsi="Times New Roman"/>
        </w:rPr>
        <w:t xml:space="preserve"> notes 11–15 and accompanying text.</w:t>
      </w:r>
    </w:p>
    <w:p w14:paraId="69E9B90B" w14:textId="77777777" w:rsidR="00A61B5F" w:rsidRPr="007B6F39" w:rsidRDefault="00A61B5F" w:rsidP="008A7621">
      <w:pPr>
        <w:pStyle w:val="FootnoteText"/>
        <w:rPr>
          <w:rFonts w:ascii="Times New Roman" w:hAnsi="Times New Roman"/>
        </w:rPr>
      </w:pPr>
    </w:p>
  </w:footnote>
  <w:footnote w:id="28">
    <w:p w14:paraId="3955D86F" w14:textId="7CA4ABD8"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HRC Comment 6, </w:t>
      </w:r>
      <w:r w:rsidRPr="007B6F39">
        <w:rPr>
          <w:rFonts w:ascii="Times New Roman" w:hAnsi="Times New Roman"/>
          <w:i/>
        </w:rPr>
        <w:t>supra</w:t>
      </w:r>
      <w:r w:rsidRPr="007B6F39">
        <w:rPr>
          <w:rFonts w:ascii="Times New Roman" w:hAnsi="Times New Roman"/>
        </w:rPr>
        <w:t xml:space="preserve"> note 5, at ¶ 3; Human Rights Committee, General Comment 18, Non-discrimination (Thirty-seventh session, 1989), ¶ 9, Compilation of General Comments and General Recommendations Adopted by Human Rights Treaty Bodies, U.N. Doc. HRI/GEN/1/Rev.1 at 26 (1994); Human Rights Committee, General Comment 27, Freedom of movement (Art.12), ¶ 6, U.N. Doc CCPR/C/21/Rev.1/Add.9 (1999).</w:t>
      </w:r>
    </w:p>
    <w:p w14:paraId="2D5CE2C8" w14:textId="77777777" w:rsidR="00A61B5F" w:rsidRPr="007B6F39" w:rsidRDefault="00A61B5F" w:rsidP="00E17FE1">
      <w:pPr>
        <w:pStyle w:val="FootnoteText"/>
        <w:rPr>
          <w:rFonts w:ascii="Times New Roman" w:hAnsi="Times New Roman"/>
        </w:rPr>
      </w:pPr>
    </w:p>
  </w:footnote>
  <w:footnote w:id="29">
    <w:p w14:paraId="335F637A" w14:textId="35C609EA" w:rsidR="00A61B5F" w:rsidRPr="007B6F39" w:rsidRDefault="00A61B5F" w:rsidP="003F56A6">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Concluding observations: Yemen ¶ 16 (CCPR/C/YEM/CO/5); Concluding observations: Angola ¶ 12 (CCPR/C/AGO/CO/1); Concluding observations: Kenya ¶ 11 (CCPR/C/KEN/CO/3); Concluding observations: Philippines ¶ 14 (CCPR/C/PHL/CO/4); Concluding observations: United States of America ¶ 10 (CCPR/C/USA/CO/4). </w:t>
      </w:r>
    </w:p>
    <w:p w14:paraId="2B394DC7" w14:textId="77777777" w:rsidR="00A61B5F" w:rsidRPr="007B6F39" w:rsidRDefault="00A61B5F" w:rsidP="003F56A6">
      <w:pPr>
        <w:pStyle w:val="FootnoteText"/>
        <w:rPr>
          <w:rFonts w:ascii="Times New Roman" w:hAnsi="Times New Roman"/>
        </w:rPr>
      </w:pPr>
    </w:p>
  </w:footnote>
  <w:footnote w:id="30">
    <w:p w14:paraId="5F74DEEF"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lang w:val="es-MX"/>
        </w:rPr>
        <w:t xml:space="preserve"> </w:t>
      </w:r>
      <w:r w:rsidRPr="007B6F39">
        <w:rPr>
          <w:rFonts w:ascii="Times New Roman" w:hAnsi="Times New Roman"/>
          <w:i/>
          <w:lang w:val="es-MX"/>
        </w:rPr>
        <w:t>Jimenez Vaca v. Colombia</w:t>
      </w:r>
      <w:r w:rsidRPr="007B6F39">
        <w:rPr>
          <w:rFonts w:ascii="Times New Roman" w:hAnsi="Times New Roman"/>
          <w:lang w:val="es-MX"/>
        </w:rPr>
        <w:t xml:space="preserve">, Commc’n No. 859/1999, ¶¶ 7.3, 9, U.N. Doc. </w:t>
      </w:r>
      <w:r w:rsidRPr="007B6F39">
        <w:rPr>
          <w:rFonts w:ascii="Times New Roman" w:hAnsi="Times New Roman"/>
        </w:rPr>
        <w:t>CCPR/C/74/D/859/1999 (Mar. 22, 2002) (finding a violation of Article 6 where the state failed to prevent attempted murder by private actors).</w:t>
      </w:r>
    </w:p>
  </w:footnote>
  <w:footnote w:id="31">
    <w:p w14:paraId="09771FF7" w14:textId="77777777" w:rsidR="00A61B5F" w:rsidRPr="007B6F39" w:rsidRDefault="00A61B5F" w:rsidP="00E17FE1">
      <w:pPr>
        <w:pStyle w:val="FootnoteText"/>
        <w:rPr>
          <w:rFonts w:ascii="Times New Roman" w:hAnsi="Times New Roman"/>
        </w:rPr>
      </w:pPr>
    </w:p>
    <w:p w14:paraId="21994D38"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General recommendation No. 19 – Violence Against Women ¶ 9 (11th session, 1992) (“States may also be responsible for private acts if they fail to act with due diligence to prevent violations of rights . . . .”).</w:t>
      </w:r>
    </w:p>
    <w:p w14:paraId="11342162" w14:textId="77777777" w:rsidR="00A61B5F" w:rsidRPr="007B6F39" w:rsidRDefault="00A61B5F" w:rsidP="00E17FE1">
      <w:pPr>
        <w:pStyle w:val="FootnoteText"/>
        <w:rPr>
          <w:rFonts w:ascii="Times New Roman" w:hAnsi="Times New Roman"/>
        </w:rPr>
      </w:pPr>
    </w:p>
  </w:footnote>
  <w:footnote w:id="32">
    <w:p w14:paraId="17F15D62"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 L.K. v. The Netherlands</w:t>
      </w:r>
      <w:r w:rsidRPr="007B6F39">
        <w:rPr>
          <w:rFonts w:ascii="Times New Roman" w:hAnsi="Times New Roman"/>
        </w:rPr>
        <w:t>, Comm’n No. 4/1991 (CERD/C/42/D/4/1991) (finding that “it is incumbent upon the State to investigate with due diligence and expedition” racial threats, “especially when they are made in public and by a group ); Concluding Observations on United Arab Emirates, U.N. Doc A/50/18, at 570 (recommending "that  the State  party  show  the  utmost diligence  in  preventing acts  of  ill-treatment . . and take all appropriate measures to ensure” workers are not discriminated).</w:t>
      </w:r>
    </w:p>
    <w:p w14:paraId="21983598" w14:textId="77777777" w:rsidR="00A61B5F" w:rsidRPr="007B6F39" w:rsidRDefault="00A61B5F" w:rsidP="00E17FE1">
      <w:pPr>
        <w:pStyle w:val="FootnoteText"/>
        <w:rPr>
          <w:rFonts w:ascii="Times New Roman" w:hAnsi="Times New Roman"/>
        </w:rPr>
      </w:pPr>
    </w:p>
  </w:footnote>
  <w:footnote w:id="33">
    <w:p w14:paraId="674CDC83"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Philip Alston, Civil and Political Rights, Including the Questions of Disappearances and Summary Executions, U.N. Doc. E/CN.4/2006/53, ¶ 47 (“States have a legal duty to exercise “due diligence” in protecting the lives of individuals from attacks by criminals, including terrorists, armed robbers, looters, and drug dealers.”).</w:t>
      </w:r>
    </w:p>
    <w:p w14:paraId="0AB474B2" w14:textId="77777777" w:rsidR="00A61B5F" w:rsidRPr="007B6F39" w:rsidRDefault="00A61B5F" w:rsidP="00E17FE1">
      <w:pPr>
        <w:pStyle w:val="FootnoteText"/>
        <w:rPr>
          <w:rFonts w:ascii="Times New Roman" w:hAnsi="Times New Roman"/>
        </w:rPr>
      </w:pPr>
    </w:p>
  </w:footnote>
  <w:footnote w:id="34">
    <w:p w14:paraId="47ED81BE" w14:textId="37A3D014"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John Cerone, </w:t>
      </w:r>
      <w:r w:rsidRPr="007B6F39">
        <w:rPr>
          <w:rFonts w:ascii="Times New Roman" w:hAnsi="Times New Roman"/>
          <w:i/>
        </w:rPr>
        <w:t>The Human Rights Framework Applicable to Trafficking in Persons and its Incorporation into UNMIK Regulation 2001/4</w:t>
      </w:r>
      <w:r w:rsidRPr="007B6F39">
        <w:rPr>
          <w:rFonts w:ascii="Times New Roman" w:hAnsi="Times New Roman"/>
        </w:rPr>
        <w:t xml:space="preserve">, 7 </w:t>
      </w:r>
      <w:r w:rsidRPr="007B6F39">
        <w:rPr>
          <w:rFonts w:ascii="Times New Roman" w:hAnsi="Times New Roman"/>
          <w:iCs/>
          <w:smallCaps/>
        </w:rPr>
        <w:t>International Peacekeeping: The Yearbook of International Peace Operations</w:t>
      </w:r>
      <w:r w:rsidRPr="007B6F39">
        <w:rPr>
          <w:rFonts w:ascii="Times New Roman" w:hAnsi="Times New Roman"/>
        </w:rPr>
        <w:t xml:space="preserve"> 55-61 (2002) (discussing the Responsibility of States for Internationally Wrongful Acts and international jurisprudence).</w:t>
      </w:r>
    </w:p>
    <w:p w14:paraId="7D972EE3" w14:textId="77777777" w:rsidR="00A61B5F" w:rsidRPr="007B6F39" w:rsidRDefault="00A61B5F" w:rsidP="00E17FE1">
      <w:pPr>
        <w:pStyle w:val="FootnoteText"/>
        <w:rPr>
          <w:rFonts w:ascii="Times New Roman" w:hAnsi="Times New Roman"/>
        </w:rPr>
      </w:pPr>
    </w:p>
  </w:footnote>
  <w:footnote w:id="35">
    <w:p w14:paraId="2BEEA4A4" w14:textId="2F4DB528"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Responsibility of States for Internationally Wrongful Acts, Art. 7, G.A. Res. 56/83, U.N. Doc. A/Res/56/83 (Jan. 28, 2002) [</w:t>
      </w:r>
      <w:r w:rsidRPr="007B6F39">
        <w:rPr>
          <w:rFonts w:ascii="Times New Roman" w:hAnsi="Times New Roman"/>
          <w:i/>
        </w:rPr>
        <w:t>hereinafter</w:t>
      </w:r>
      <w:r w:rsidRPr="007B6F39">
        <w:rPr>
          <w:rFonts w:ascii="Times New Roman" w:hAnsi="Times New Roman"/>
        </w:rPr>
        <w:t xml:space="preserve"> Responsibility of States], Art. 8 (emphasis added). The Human Rights Committee accordingly determined that in order to fulfill its treaty obligations, the State of Israel must ensure “prompt, thorough, effective, independent and impartial investigations…into all incidents involving the use of firearms by law enforcement officers…</w:t>
      </w:r>
      <w:r w:rsidRPr="007B6F39">
        <w:rPr>
          <w:rFonts w:ascii="Times New Roman" w:hAnsi="Times New Roman"/>
          <w:i/>
        </w:rPr>
        <w:t>including…private security personnel contracted by the State party’s authorities</w:t>
      </w:r>
      <w:r w:rsidRPr="007B6F39">
        <w:rPr>
          <w:rFonts w:ascii="Times New Roman" w:hAnsi="Times New Roman"/>
        </w:rPr>
        <w:t xml:space="preserve">” Concluding observations: Israel ¶ 13 (CCPR/C/12R/CO/4) (emphasis added). </w:t>
      </w:r>
    </w:p>
    <w:p w14:paraId="7D2EE9E3" w14:textId="77777777" w:rsidR="00A61B5F" w:rsidRPr="007B6F39" w:rsidRDefault="00A61B5F" w:rsidP="00E17FE1">
      <w:pPr>
        <w:pStyle w:val="FootnoteText"/>
        <w:rPr>
          <w:rFonts w:ascii="Times New Roman" w:hAnsi="Times New Roman"/>
        </w:rPr>
      </w:pPr>
    </w:p>
  </w:footnote>
  <w:footnote w:id="36">
    <w:p w14:paraId="0BCFA028" w14:textId="6D6EB3F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Responsibility of States, supra note 36 at Art. 11 (emphasis added).</w:t>
      </w:r>
    </w:p>
    <w:p w14:paraId="373FC738" w14:textId="77777777" w:rsidR="00A61B5F" w:rsidRPr="007B6F39" w:rsidRDefault="00A61B5F" w:rsidP="00E17FE1">
      <w:pPr>
        <w:pStyle w:val="FootnoteText"/>
        <w:rPr>
          <w:rFonts w:ascii="Times New Roman" w:hAnsi="Times New Roman"/>
        </w:rPr>
      </w:pPr>
    </w:p>
  </w:footnote>
  <w:footnote w:id="37">
    <w:p w14:paraId="24CA7B06"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Id.</w:t>
      </w:r>
      <w:r w:rsidRPr="007B6F39">
        <w:rPr>
          <w:rFonts w:ascii="Times New Roman" w:hAnsi="Times New Roman"/>
        </w:rPr>
        <w:t xml:space="preserve"> at Art. 5 (emphasis added).</w:t>
      </w:r>
    </w:p>
    <w:p w14:paraId="06DE5A31" w14:textId="77777777" w:rsidR="00A61B5F" w:rsidRPr="007B6F39" w:rsidRDefault="00A61B5F" w:rsidP="00E17FE1">
      <w:pPr>
        <w:pStyle w:val="FootnoteText"/>
        <w:rPr>
          <w:rFonts w:ascii="Times New Roman" w:hAnsi="Times New Roman"/>
        </w:rPr>
      </w:pPr>
    </w:p>
  </w:footnote>
  <w:footnote w:id="38">
    <w:p w14:paraId="1B36C872"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Riofrio Massacre</w:t>
      </w:r>
      <w:r w:rsidRPr="007B6F39">
        <w:rPr>
          <w:rFonts w:ascii="Times New Roman" w:hAnsi="Times New Roman"/>
        </w:rPr>
        <w:t>, Inter-American Commission on Human Rights, Report No. 62/01, Case 11.654, COLOMBIA, April 6, 2001, ¶ 57.</w:t>
      </w:r>
    </w:p>
    <w:p w14:paraId="1FB46B33" w14:textId="77777777" w:rsidR="00A61B5F" w:rsidRPr="007B6F39" w:rsidRDefault="00A61B5F" w:rsidP="00E17FE1">
      <w:pPr>
        <w:pStyle w:val="FootnoteText"/>
        <w:rPr>
          <w:rFonts w:ascii="Times New Roman" w:hAnsi="Times New Roman"/>
        </w:rPr>
      </w:pPr>
    </w:p>
  </w:footnote>
  <w:footnote w:id="39">
    <w:p w14:paraId="67813654" w14:textId="2EBBD50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Frey, </w:t>
      </w:r>
      <w:r w:rsidRPr="007B6F39">
        <w:rPr>
          <w:rFonts w:ascii="Times New Roman" w:hAnsi="Times New Roman"/>
          <w:i/>
        </w:rPr>
        <w:t>supra</w:t>
      </w:r>
      <w:r w:rsidRPr="007B6F39">
        <w:rPr>
          <w:rFonts w:ascii="Times New Roman" w:hAnsi="Times New Roman"/>
        </w:rPr>
        <w:t xml:space="preserve"> note 2, at 33–34 (describing the standard); Cerone, </w:t>
      </w:r>
      <w:r w:rsidRPr="007B6F39">
        <w:rPr>
          <w:rFonts w:ascii="Times New Roman" w:hAnsi="Times New Roman"/>
          <w:i/>
        </w:rPr>
        <w:t>supra</w:t>
      </w:r>
      <w:r w:rsidR="0078656D">
        <w:rPr>
          <w:rFonts w:ascii="Times New Roman" w:hAnsi="Times New Roman"/>
        </w:rPr>
        <w:t xml:space="preserve"> note 34</w:t>
      </w:r>
      <w:bookmarkStart w:id="5" w:name="_GoBack"/>
      <w:bookmarkEnd w:id="5"/>
      <w:r w:rsidRPr="007B6F39">
        <w:rPr>
          <w:rFonts w:ascii="Times New Roman" w:hAnsi="Times New Roman"/>
        </w:rPr>
        <w:t>, at 61–68 (showing the wide acceptability of the standard in “reports of UN special rapporteurs, UN special representatives, and the Secretary-General; comments, views, and concluding observations of human rights treaty bodies; reports on expert group meetings; resolutions of the Commission on Human Rights and the Economic and Social Council; Declarations by the General Assembly, and the writings of publicists.”) (citations omitted).</w:t>
      </w:r>
    </w:p>
    <w:p w14:paraId="630E1432" w14:textId="77777777" w:rsidR="00A61B5F" w:rsidRPr="007B6F39" w:rsidRDefault="00A61B5F" w:rsidP="00E17FE1">
      <w:pPr>
        <w:pStyle w:val="FootnoteText"/>
        <w:rPr>
          <w:rFonts w:ascii="Times New Roman" w:hAnsi="Times New Roman"/>
        </w:rPr>
      </w:pPr>
    </w:p>
  </w:footnote>
  <w:footnote w:id="40">
    <w:p w14:paraId="2E29C0A5"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Velásquez-Rodriguez case</w:t>
      </w:r>
      <w:r w:rsidRPr="007B6F39">
        <w:rPr>
          <w:rFonts w:ascii="Times New Roman" w:hAnsi="Times New Roman"/>
        </w:rPr>
        <w:t>, Judgment of July 29, 1988, Inter-Am.Ct.H.R. (Ser. C) No. 4, ¶ 172 (1988).</w:t>
      </w:r>
    </w:p>
    <w:p w14:paraId="12D044CC" w14:textId="77777777" w:rsidR="00A61B5F" w:rsidRPr="007B6F39" w:rsidRDefault="00A61B5F" w:rsidP="00E17FE1">
      <w:pPr>
        <w:pStyle w:val="FootnoteText"/>
        <w:rPr>
          <w:rFonts w:ascii="Times New Roman" w:hAnsi="Times New Roman"/>
        </w:rPr>
      </w:pPr>
    </w:p>
  </w:footnote>
  <w:footnote w:id="41">
    <w:p w14:paraId="5AEC0B31" w14:textId="41E113DB"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Annotated SALW Principle 10 comm. a., </w:t>
      </w:r>
      <w:r w:rsidRPr="007B6F39">
        <w:rPr>
          <w:rFonts w:ascii="Times New Roman" w:hAnsi="Times New Roman"/>
          <w:i/>
        </w:rPr>
        <w:t>supra</w:t>
      </w:r>
      <w:r w:rsidRPr="007B6F39">
        <w:rPr>
          <w:rFonts w:ascii="Times New Roman" w:hAnsi="Times New Roman"/>
        </w:rPr>
        <w:t xml:space="preserve"> note 1</w:t>
      </w:r>
      <w:r w:rsidR="00AE4029">
        <w:rPr>
          <w:rFonts w:ascii="Times New Roman" w:hAnsi="Times New Roman"/>
        </w:rPr>
        <w:t>2</w:t>
      </w:r>
      <w:r w:rsidRPr="001E4FE8">
        <w:rPr>
          <w:rFonts w:ascii="Times New Roman" w:hAnsi="Times New Roman"/>
        </w:rPr>
        <w:fldChar w:fldCharType="begin"/>
      </w:r>
      <w:r w:rsidRPr="007B6F39">
        <w:rPr>
          <w:rFonts w:ascii="Times New Roman" w:hAnsi="Times New Roman"/>
        </w:rPr>
        <w:instrText xml:space="preserve"> NOTEREF _Ref284802217 \h  \* MERGEFORMAT </w:instrText>
      </w:r>
      <w:r w:rsidRPr="001E4FE8">
        <w:rPr>
          <w:rFonts w:ascii="Times New Roman" w:hAnsi="Times New Roman"/>
        </w:rPr>
      </w:r>
      <w:r w:rsidRPr="001E4FE8">
        <w:rPr>
          <w:rFonts w:ascii="Times New Roman" w:hAnsi="Times New Roman"/>
        </w:rPr>
        <w:fldChar w:fldCharType="end"/>
      </w:r>
      <w:r w:rsidRPr="007B6F39">
        <w:rPr>
          <w:rFonts w:ascii="Times New Roman" w:hAnsi="Times New Roman"/>
        </w:rPr>
        <w:t>.</w:t>
      </w:r>
    </w:p>
    <w:p w14:paraId="2C7642C6" w14:textId="77777777" w:rsidR="00A61B5F" w:rsidRPr="007B6F39" w:rsidRDefault="00A61B5F" w:rsidP="00E17FE1">
      <w:pPr>
        <w:pStyle w:val="FootnoteText"/>
        <w:rPr>
          <w:rFonts w:ascii="Times New Roman" w:hAnsi="Times New Roman"/>
        </w:rPr>
      </w:pPr>
    </w:p>
  </w:footnote>
  <w:footnote w:id="42">
    <w:p w14:paraId="4FEC75F4" w14:textId="26427DC1"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10, </w:t>
      </w:r>
      <w:r w:rsidRPr="007B6F39">
        <w:rPr>
          <w:rFonts w:ascii="Times New Roman" w:hAnsi="Times New Roman"/>
          <w:i/>
        </w:rPr>
        <w:t>supra</w:t>
      </w:r>
      <w:r w:rsidRPr="007B6F39">
        <w:rPr>
          <w:rFonts w:ascii="Times New Roman" w:hAnsi="Times New Roman"/>
        </w:rPr>
        <w:t xml:space="preserve"> note 11.</w:t>
      </w:r>
    </w:p>
    <w:p w14:paraId="3D75EB2E" w14:textId="77777777" w:rsidR="00A61B5F" w:rsidRPr="007B6F39" w:rsidRDefault="00A61B5F" w:rsidP="00E17FE1">
      <w:pPr>
        <w:pStyle w:val="FootnoteText"/>
        <w:rPr>
          <w:rFonts w:ascii="Times New Roman" w:hAnsi="Times New Roman"/>
        </w:rPr>
      </w:pPr>
    </w:p>
  </w:footnote>
  <w:footnote w:id="43">
    <w:p w14:paraId="6FCC1FDF" w14:textId="5FDF14CD"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11, </w:t>
      </w:r>
      <w:r w:rsidRPr="007B6F39">
        <w:rPr>
          <w:rFonts w:ascii="Times New Roman" w:hAnsi="Times New Roman"/>
          <w:i/>
        </w:rPr>
        <w:t>supra</w:t>
      </w:r>
      <w:r w:rsidRPr="007B6F39">
        <w:rPr>
          <w:rFonts w:ascii="Times New Roman" w:hAnsi="Times New Roman"/>
        </w:rPr>
        <w:t xml:space="preserve"> note 11.</w:t>
      </w:r>
    </w:p>
    <w:p w14:paraId="04EF97E4" w14:textId="77777777" w:rsidR="00A61B5F" w:rsidRPr="007B6F39" w:rsidRDefault="00A61B5F" w:rsidP="00E17FE1">
      <w:pPr>
        <w:pStyle w:val="FootnoteText"/>
        <w:rPr>
          <w:rFonts w:ascii="Times New Roman" w:hAnsi="Times New Roman"/>
        </w:rPr>
      </w:pPr>
    </w:p>
  </w:footnote>
  <w:footnote w:id="44">
    <w:p w14:paraId="76A2AC43" w14:textId="0C2DF3D6"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12, </w:t>
      </w:r>
      <w:r w:rsidRPr="007B6F39">
        <w:rPr>
          <w:rFonts w:ascii="Times New Roman" w:hAnsi="Times New Roman"/>
          <w:i/>
        </w:rPr>
        <w:t>supra</w:t>
      </w:r>
      <w:r w:rsidRPr="007B6F39">
        <w:rPr>
          <w:rFonts w:ascii="Times New Roman" w:hAnsi="Times New Roman"/>
        </w:rPr>
        <w:t xml:space="preserve"> note 11.</w:t>
      </w:r>
    </w:p>
    <w:p w14:paraId="59B78D82" w14:textId="77777777" w:rsidR="00A61B5F" w:rsidRPr="007B6F39" w:rsidRDefault="00A61B5F" w:rsidP="00E17FE1">
      <w:pPr>
        <w:pStyle w:val="FootnoteText"/>
        <w:rPr>
          <w:rFonts w:ascii="Times New Roman" w:hAnsi="Times New Roman"/>
        </w:rPr>
      </w:pPr>
    </w:p>
  </w:footnote>
  <w:footnote w:id="45">
    <w:p w14:paraId="71BCA823" w14:textId="59F019C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13, </w:t>
      </w:r>
      <w:r w:rsidRPr="007B6F39">
        <w:rPr>
          <w:rFonts w:ascii="Times New Roman" w:hAnsi="Times New Roman"/>
          <w:i/>
        </w:rPr>
        <w:t>supra</w:t>
      </w:r>
      <w:r w:rsidRPr="007B6F39">
        <w:rPr>
          <w:rFonts w:ascii="Times New Roman" w:hAnsi="Times New Roman"/>
        </w:rPr>
        <w:t xml:space="preserve"> note 11. Concluding observations: Yemen ¶ 16 (CCPR/C/YEM/CO/5); Concluding observations: Philippines ¶ 14 (CCPR/C/PHL/CO/4).</w:t>
      </w:r>
    </w:p>
    <w:p w14:paraId="6D8B46D7" w14:textId="77777777" w:rsidR="00A61B5F" w:rsidRPr="007B6F39" w:rsidRDefault="00A61B5F" w:rsidP="00E17FE1">
      <w:pPr>
        <w:pStyle w:val="FootnoteText"/>
        <w:rPr>
          <w:rFonts w:ascii="Times New Roman" w:hAnsi="Times New Roman"/>
        </w:rPr>
      </w:pPr>
    </w:p>
  </w:footnote>
  <w:footnote w:id="46">
    <w:p w14:paraId="2B156A3F" w14:textId="2F90094B" w:rsidR="00A61B5F" w:rsidRPr="007B6F39" w:rsidRDefault="00A61B5F" w:rsidP="000C27D9">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Concluding observations: Yemen ¶ 16 (CCPR/C/YEM/CO/5); Concluding observations: Angola  ¶ 12 (CCPR/C/AGO/CO/1).</w:t>
      </w:r>
    </w:p>
    <w:p w14:paraId="12637A75" w14:textId="77777777" w:rsidR="00A61B5F" w:rsidRPr="007B6F39" w:rsidRDefault="00A61B5F" w:rsidP="000C27D9">
      <w:pPr>
        <w:pStyle w:val="FootnoteText"/>
        <w:rPr>
          <w:rFonts w:ascii="Times New Roman" w:hAnsi="Times New Roman"/>
        </w:rPr>
      </w:pPr>
    </w:p>
  </w:footnote>
  <w:footnote w:id="47">
    <w:p w14:paraId="13299753" w14:textId="4380B4E1"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Frey, </w:t>
      </w:r>
      <w:r w:rsidRPr="007B6F39">
        <w:rPr>
          <w:rFonts w:ascii="Times New Roman" w:hAnsi="Times New Roman"/>
          <w:i/>
        </w:rPr>
        <w:t>supra</w:t>
      </w:r>
      <w:r w:rsidRPr="007B6F39">
        <w:rPr>
          <w:rFonts w:ascii="Times New Roman" w:hAnsi="Times New Roman"/>
        </w:rPr>
        <w:t xml:space="preserve"> note 2, at 34.</w:t>
      </w:r>
    </w:p>
    <w:p w14:paraId="3D9F1050" w14:textId="77777777" w:rsidR="00A61B5F" w:rsidRPr="007B6F39" w:rsidRDefault="00A61B5F" w:rsidP="00E17FE1">
      <w:pPr>
        <w:pStyle w:val="FootnoteText"/>
        <w:rPr>
          <w:rFonts w:ascii="Times New Roman" w:hAnsi="Times New Roman"/>
        </w:rPr>
      </w:pPr>
    </w:p>
  </w:footnote>
  <w:footnote w:id="48">
    <w:p w14:paraId="1A4199A4" w14:textId="2DD8F2A5"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ICCPR, </w:t>
      </w:r>
      <w:r w:rsidRPr="007B6F39">
        <w:rPr>
          <w:rFonts w:ascii="Times New Roman" w:hAnsi="Times New Roman"/>
          <w:i/>
        </w:rPr>
        <w:t>supra</w:t>
      </w:r>
      <w:r w:rsidRPr="007B6F39">
        <w:rPr>
          <w:rFonts w:ascii="Times New Roman" w:hAnsi="Times New Roman"/>
        </w:rPr>
        <w:t xml:space="preserve"> note 1, at Art. 2 ¶ 1.</w:t>
      </w:r>
    </w:p>
    <w:p w14:paraId="61AFF47B" w14:textId="77777777" w:rsidR="00A61B5F" w:rsidRPr="007B6F39" w:rsidRDefault="00A61B5F" w:rsidP="00E17FE1">
      <w:pPr>
        <w:pStyle w:val="FootnoteText"/>
        <w:rPr>
          <w:rFonts w:ascii="Times New Roman" w:hAnsi="Times New Roman"/>
        </w:rPr>
      </w:pPr>
    </w:p>
  </w:footnote>
  <w:footnote w:id="49">
    <w:p w14:paraId="3642EC99"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lang w:val="es-MX"/>
        </w:rPr>
        <w:t xml:space="preserve"> </w:t>
      </w:r>
      <w:r w:rsidRPr="007B6F39">
        <w:rPr>
          <w:rFonts w:ascii="Times New Roman" w:hAnsi="Times New Roman"/>
          <w:i/>
          <w:lang w:val="es-MX"/>
        </w:rPr>
        <w:t>See</w:t>
      </w:r>
      <w:r w:rsidRPr="007B6F39">
        <w:rPr>
          <w:rFonts w:ascii="Times New Roman" w:hAnsi="Times New Roman"/>
          <w:lang w:val="es-MX"/>
        </w:rPr>
        <w:t xml:space="preserve"> </w:t>
      </w:r>
      <w:r w:rsidRPr="007B6F39">
        <w:rPr>
          <w:rFonts w:ascii="Times New Roman" w:hAnsi="Times New Roman"/>
          <w:i/>
          <w:lang w:val="es-MX"/>
        </w:rPr>
        <w:t>Jimenez Vaca v. Colombia</w:t>
      </w:r>
      <w:r w:rsidRPr="007B6F39">
        <w:rPr>
          <w:rFonts w:ascii="Times New Roman" w:hAnsi="Times New Roman"/>
          <w:lang w:val="es-MX"/>
        </w:rPr>
        <w:t xml:space="preserve">, Commc’n No. 859/1999, ¶¶ 2.1–2.15, U.N. Doc. </w:t>
      </w:r>
      <w:r w:rsidRPr="007B6F39">
        <w:rPr>
          <w:rFonts w:ascii="Times New Roman" w:hAnsi="Times New Roman"/>
        </w:rPr>
        <w:t>CCPR/C/74/D/859/1999 (Mar. 22, 2002).</w:t>
      </w:r>
    </w:p>
    <w:p w14:paraId="407B8239" w14:textId="77777777" w:rsidR="00A61B5F" w:rsidRPr="007B6F39" w:rsidRDefault="00A61B5F" w:rsidP="00E17FE1">
      <w:pPr>
        <w:pStyle w:val="FootnoteText"/>
        <w:rPr>
          <w:rFonts w:ascii="Times New Roman" w:hAnsi="Times New Roman"/>
        </w:rPr>
      </w:pPr>
    </w:p>
  </w:footnote>
  <w:footnote w:id="50">
    <w:p w14:paraId="5D3F99F9" w14:textId="77777777"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Id.</w:t>
      </w:r>
      <w:r w:rsidRPr="007B6F39">
        <w:rPr>
          <w:rFonts w:ascii="Times New Roman" w:hAnsi="Times New Roman"/>
        </w:rPr>
        <w:t xml:space="preserve"> at ¶¶ 7.1–7.2; </w:t>
      </w:r>
      <w:r w:rsidRPr="007B6F39">
        <w:rPr>
          <w:rFonts w:ascii="Times New Roman" w:hAnsi="Times New Roman"/>
          <w:i/>
        </w:rPr>
        <w:t>see also</w:t>
      </w:r>
      <w:r w:rsidRPr="007B6F39">
        <w:rPr>
          <w:rFonts w:ascii="Times New Roman" w:hAnsi="Times New Roman"/>
        </w:rPr>
        <w:t xml:space="preserve"> </w:t>
      </w:r>
      <w:r w:rsidRPr="007B6F39">
        <w:rPr>
          <w:rFonts w:ascii="Times New Roman" w:hAnsi="Times New Roman"/>
          <w:i/>
        </w:rPr>
        <w:t>Case Concerning Military and Paramilitary Activities in and Against Nicaragua (Nicar. v.  U.S.A.)</w:t>
      </w:r>
      <w:r w:rsidRPr="007B6F39">
        <w:rPr>
          <w:rFonts w:ascii="Times New Roman" w:hAnsi="Times New Roman"/>
        </w:rPr>
        <w:t>, 1986 I.C.J. 14, 130, 148 (Jun. 27, 1986) (finding the U.S. responsible for encouraging violations of humanitarian law by other parties when the “encouragement was offered to persons in circumstances where the commission of such acts was likely or foreseeable,” though the violations were not “imputable” to the U.S.).</w:t>
      </w:r>
    </w:p>
    <w:p w14:paraId="6C02DA6B" w14:textId="77777777" w:rsidR="00A61B5F" w:rsidRPr="007B6F39" w:rsidRDefault="00A61B5F" w:rsidP="00E17FE1">
      <w:pPr>
        <w:pStyle w:val="FootnoteText"/>
        <w:rPr>
          <w:rFonts w:ascii="Times New Roman" w:hAnsi="Times New Roman"/>
        </w:rPr>
      </w:pPr>
    </w:p>
  </w:footnote>
  <w:footnote w:id="51">
    <w:p w14:paraId="665C1EB2" w14:textId="6B19DA9B" w:rsidR="00A61B5F" w:rsidRPr="007B6F39" w:rsidRDefault="00A61B5F" w:rsidP="008B0047">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Concluding observations: Kenya ¶ 11 (CCPR/C/KEN/CO/3); Concluding observations: Philippines ¶ 14 (CCPR/C/PHL/CO/4).</w:t>
      </w:r>
    </w:p>
    <w:p w14:paraId="6A8C835C" w14:textId="77777777" w:rsidR="00A61B5F" w:rsidRPr="007B6F39" w:rsidRDefault="00A61B5F" w:rsidP="008B0047">
      <w:pPr>
        <w:pStyle w:val="FootnoteText"/>
        <w:rPr>
          <w:rFonts w:ascii="Times New Roman" w:hAnsi="Times New Roman"/>
        </w:rPr>
      </w:pPr>
    </w:p>
  </w:footnote>
  <w:footnote w:id="52">
    <w:p w14:paraId="77127963" w14:textId="7C8FC1FC" w:rsidR="00A61B5F" w:rsidRPr="007B6F39" w:rsidRDefault="00A61B5F" w:rsidP="008B0047">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Concluding observations: United States of America ¶ 10 (CCPR/C/USA/CO/4).</w:t>
      </w:r>
    </w:p>
    <w:p w14:paraId="2B985D54" w14:textId="77777777" w:rsidR="00A61B5F" w:rsidRPr="007B6F39" w:rsidRDefault="00A61B5F" w:rsidP="008B0047">
      <w:pPr>
        <w:pStyle w:val="FootnoteText"/>
        <w:rPr>
          <w:rFonts w:ascii="Times New Roman" w:hAnsi="Times New Roman"/>
        </w:rPr>
      </w:pPr>
    </w:p>
  </w:footnote>
  <w:footnote w:id="53">
    <w:p w14:paraId="44822977" w14:textId="59E45B0D"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Frey, </w:t>
      </w:r>
      <w:r w:rsidRPr="007B6F39">
        <w:rPr>
          <w:rFonts w:ascii="Times New Roman" w:hAnsi="Times New Roman"/>
          <w:i/>
        </w:rPr>
        <w:t>supra</w:t>
      </w:r>
      <w:r w:rsidRPr="007B6F39">
        <w:rPr>
          <w:rFonts w:ascii="Times New Roman" w:hAnsi="Times New Roman"/>
        </w:rPr>
        <w:t xml:space="preserve"> note 2, at 51.</w:t>
      </w:r>
    </w:p>
    <w:p w14:paraId="507D97F7" w14:textId="77777777" w:rsidR="00A61B5F" w:rsidRPr="007B6F39" w:rsidRDefault="00A61B5F" w:rsidP="00E17FE1">
      <w:pPr>
        <w:pStyle w:val="FootnoteText"/>
        <w:rPr>
          <w:rFonts w:ascii="Times New Roman" w:hAnsi="Times New Roman"/>
        </w:rPr>
      </w:pPr>
    </w:p>
  </w:footnote>
  <w:footnote w:id="54">
    <w:p w14:paraId="7D3BC17C" w14:textId="2850A1A0"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ICCPR, </w:t>
      </w:r>
      <w:r w:rsidRPr="007B6F39">
        <w:rPr>
          <w:rFonts w:ascii="Times New Roman" w:hAnsi="Times New Roman"/>
          <w:i/>
        </w:rPr>
        <w:t>supra</w:t>
      </w:r>
      <w:r w:rsidRPr="007B6F39">
        <w:rPr>
          <w:rFonts w:ascii="Times New Roman" w:hAnsi="Times New Roman"/>
        </w:rPr>
        <w:t xml:space="preserve"> note 1, at Art. 2 ¶ 1.</w:t>
      </w:r>
    </w:p>
    <w:p w14:paraId="787A9B51" w14:textId="77777777" w:rsidR="00A61B5F" w:rsidRPr="007B6F39" w:rsidRDefault="00A61B5F" w:rsidP="00E17FE1">
      <w:pPr>
        <w:pStyle w:val="FootnoteText"/>
        <w:rPr>
          <w:rFonts w:ascii="Times New Roman" w:hAnsi="Times New Roman"/>
        </w:rPr>
      </w:pPr>
    </w:p>
  </w:footnote>
  <w:footnote w:id="55">
    <w:p w14:paraId="12A57A93" w14:textId="389A8D3C"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 xml:space="preserve">See </w:t>
      </w:r>
      <w:r w:rsidRPr="007B6F39">
        <w:rPr>
          <w:rFonts w:ascii="Times New Roman" w:hAnsi="Times New Roman"/>
        </w:rPr>
        <w:t xml:space="preserve">HRC Comment 31, </w:t>
      </w:r>
      <w:r w:rsidRPr="007B6F39">
        <w:rPr>
          <w:rFonts w:ascii="Times New Roman" w:hAnsi="Times New Roman"/>
          <w:i/>
        </w:rPr>
        <w:t>supra</w:t>
      </w:r>
      <w:r w:rsidRPr="007B6F39">
        <w:rPr>
          <w:rFonts w:ascii="Times New Roman" w:hAnsi="Times New Roman"/>
        </w:rPr>
        <w:t xml:space="preserve"> note 6, at ¶ 8.</w:t>
      </w:r>
    </w:p>
    <w:p w14:paraId="715C0E86" w14:textId="77777777" w:rsidR="00A61B5F" w:rsidRPr="007B6F39" w:rsidRDefault="00A61B5F" w:rsidP="00E17FE1">
      <w:pPr>
        <w:pStyle w:val="FootnoteText"/>
        <w:rPr>
          <w:rFonts w:ascii="Times New Roman" w:hAnsi="Times New Roman"/>
        </w:rPr>
      </w:pPr>
    </w:p>
  </w:footnote>
  <w:footnote w:id="56">
    <w:p w14:paraId="73A62290" w14:textId="420AE24B"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Id.</w:t>
      </w:r>
      <w:r w:rsidRPr="007B6F39">
        <w:rPr>
          <w:rFonts w:ascii="Times New Roman" w:hAnsi="Times New Roman"/>
        </w:rPr>
        <w:t xml:space="preserve"> at ¶ 10 (“This means that a State party must respect and ensure the rights laid down in the Covenant to anyone within the power or effective control of that State Party, </w:t>
      </w:r>
      <w:r w:rsidRPr="007B6F39">
        <w:rPr>
          <w:rFonts w:ascii="Times New Roman" w:hAnsi="Times New Roman"/>
          <w:i/>
        </w:rPr>
        <w:t>even if not situated within the territory of the State Party</w:t>
      </w:r>
      <w:r w:rsidRPr="007B6F39">
        <w:rPr>
          <w:rFonts w:ascii="Times New Roman" w:hAnsi="Times New Roman"/>
        </w:rPr>
        <w:t xml:space="preserve">.”) (emphasis added). Concluding observations: United States of America ¶4 (CCPR/C/USA/CO/4) (obligating the State party to “Interpret the Covenant in good faith … and review its legal position so as to acknowledge the extraterritorial application of the Covenant under circumstances, as outlined, inter alia, in the Committees general comment No. 31 (2004) on the nature of the general legal obligation imposed on States parties to the Covenant.”). Concluding observations: Germany ¶ 16 (CCPR/C/DEU/CO/6) (encouraging State party to hold business enterprises domiciled in the territory or jurisdiction of the State party accountable to the human rights standards laid out in the Covenant). </w:t>
      </w:r>
    </w:p>
    <w:p w14:paraId="4788E021" w14:textId="77777777" w:rsidR="00A61B5F" w:rsidRPr="007B6F39" w:rsidRDefault="00A61B5F" w:rsidP="00E17FE1">
      <w:pPr>
        <w:pStyle w:val="FootnoteText"/>
        <w:rPr>
          <w:rFonts w:ascii="Times New Roman" w:hAnsi="Times New Roman"/>
        </w:rPr>
      </w:pPr>
    </w:p>
  </w:footnote>
  <w:footnote w:id="57">
    <w:p w14:paraId="690B2887" w14:textId="6EDD49F8"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HRC Comment 31, </w:t>
      </w:r>
      <w:r w:rsidRPr="007B6F39">
        <w:rPr>
          <w:rFonts w:ascii="Times New Roman" w:hAnsi="Times New Roman"/>
          <w:i/>
        </w:rPr>
        <w:t xml:space="preserve">supra </w:t>
      </w:r>
      <w:r w:rsidRPr="007B6F39">
        <w:rPr>
          <w:rFonts w:ascii="Times New Roman" w:hAnsi="Times New Roman"/>
        </w:rPr>
        <w:t xml:space="preserve">note 6, at ¶ 8. </w:t>
      </w:r>
    </w:p>
    <w:p w14:paraId="6C1EBB60" w14:textId="77777777" w:rsidR="00A61B5F" w:rsidRPr="007B6F39" w:rsidRDefault="00A61B5F" w:rsidP="00E17FE1">
      <w:pPr>
        <w:pStyle w:val="FootnoteText"/>
        <w:rPr>
          <w:rFonts w:ascii="Times New Roman" w:hAnsi="Times New Roman"/>
        </w:rPr>
      </w:pPr>
    </w:p>
  </w:footnote>
  <w:footnote w:id="58">
    <w:p w14:paraId="4E96B1C7" w14:textId="233B91CB" w:rsidR="00A61B5F" w:rsidRPr="001E4FE8" w:rsidRDefault="00A61B5F">
      <w:pPr>
        <w:pStyle w:val="FootnoteText"/>
        <w:rPr>
          <w:rFonts w:ascii="Times New Roman" w:hAnsi="Times New Roman"/>
        </w:rPr>
      </w:pPr>
      <w:r w:rsidRPr="001E4FE8">
        <w:rPr>
          <w:rStyle w:val="FootnoteReference"/>
          <w:rFonts w:ascii="Times New Roman" w:hAnsi="Times New Roman"/>
        </w:rPr>
        <w:footnoteRef/>
      </w:r>
      <w:r w:rsidRPr="001E4FE8">
        <w:rPr>
          <w:rFonts w:ascii="Times New Roman" w:hAnsi="Times New Roman"/>
        </w:rPr>
        <w:t xml:space="preserve"> Arms Trade Treaty, Art 6.</w:t>
      </w:r>
      <w:r>
        <w:rPr>
          <w:rFonts w:ascii="Times New Roman" w:hAnsi="Times New Roman"/>
        </w:rPr>
        <w:t xml:space="preserve"> April 2, 2013</w:t>
      </w:r>
      <w:r w:rsidRPr="007B6F39">
        <w:rPr>
          <w:rFonts w:ascii="Times New Roman" w:hAnsi="Times New Roman"/>
        </w:rPr>
        <w:t xml:space="preserve">, </w:t>
      </w:r>
      <w:r w:rsidR="00E1116A">
        <w:rPr>
          <w:rFonts w:ascii="Times New Roman" w:hAnsi="Times New Roman"/>
        </w:rPr>
        <w:t>I-52373</w:t>
      </w:r>
      <w:r w:rsidRPr="007B6F39">
        <w:rPr>
          <w:rFonts w:ascii="Times New Roman" w:hAnsi="Times New Roman"/>
        </w:rPr>
        <w:t>.</w:t>
      </w:r>
    </w:p>
  </w:footnote>
  <w:footnote w:id="59">
    <w:p w14:paraId="69C32302" w14:textId="77777777" w:rsidR="00A61B5F" w:rsidRDefault="00A61B5F">
      <w:pPr>
        <w:pStyle w:val="FootnoteText"/>
        <w:rPr>
          <w:rFonts w:ascii="Times New Roman" w:hAnsi="Times New Roman"/>
        </w:rPr>
      </w:pPr>
    </w:p>
    <w:p w14:paraId="3E09A10C" w14:textId="119FF7F3" w:rsidR="00A61B5F" w:rsidRPr="001E4FE8" w:rsidRDefault="00A61B5F">
      <w:pPr>
        <w:pStyle w:val="FootnoteText"/>
        <w:rPr>
          <w:rFonts w:ascii="Times New Roman" w:hAnsi="Times New Roman"/>
        </w:rPr>
      </w:pPr>
      <w:r w:rsidRPr="001E4FE8">
        <w:rPr>
          <w:rStyle w:val="FootnoteReference"/>
          <w:rFonts w:ascii="Times New Roman" w:hAnsi="Times New Roman"/>
        </w:rPr>
        <w:footnoteRef/>
      </w:r>
      <w:r w:rsidRPr="001E4FE8">
        <w:rPr>
          <w:rFonts w:ascii="Times New Roman" w:hAnsi="Times New Roman"/>
        </w:rPr>
        <w:t xml:space="preserve"> </w:t>
      </w:r>
      <w:r w:rsidRPr="001E4FE8">
        <w:rPr>
          <w:rFonts w:ascii="Times New Roman" w:hAnsi="Times New Roman"/>
          <w:i/>
        </w:rPr>
        <w:t>Id</w:t>
      </w:r>
      <w:r w:rsidRPr="001E4FE8">
        <w:rPr>
          <w:rFonts w:ascii="Times New Roman" w:hAnsi="Times New Roman"/>
        </w:rPr>
        <w:t>. Art. 7.</w:t>
      </w:r>
    </w:p>
  </w:footnote>
  <w:footnote w:id="60">
    <w:p w14:paraId="7E230593" w14:textId="77777777" w:rsidR="00A61B5F" w:rsidRDefault="00A61B5F">
      <w:pPr>
        <w:pStyle w:val="FootnoteText"/>
        <w:rPr>
          <w:rFonts w:ascii="Times New Roman" w:hAnsi="Times New Roman"/>
        </w:rPr>
      </w:pPr>
    </w:p>
    <w:p w14:paraId="3138D48B" w14:textId="6EE5E322" w:rsidR="00A61B5F" w:rsidRPr="001E4FE8" w:rsidRDefault="00A61B5F">
      <w:pPr>
        <w:pStyle w:val="FootnoteText"/>
        <w:rPr>
          <w:rFonts w:ascii="Times New Roman" w:hAnsi="Times New Roman"/>
        </w:rPr>
      </w:pPr>
      <w:r w:rsidRPr="001E4FE8">
        <w:rPr>
          <w:rStyle w:val="FootnoteReference"/>
          <w:rFonts w:ascii="Times New Roman" w:hAnsi="Times New Roman"/>
        </w:rPr>
        <w:footnoteRef/>
      </w:r>
      <w:r w:rsidRPr="001E4FE8">
        <w:rPr>
          <w:rFonts w:ascii="Times New Roman" w:hAnsi="Times New Roman"/>
        </w:rPr>
        <w:t xml:space="preserve"> </w:t>
      </w:r>
      <w:r w:rsidRPr="001E4FE8">
        <w:rPr>
          <w:rFonts w:ascii="Times New Roman" w:hAnsi="Times New Roman"/>
          <w:i/>
        </w:rPr>
        <w:t>Id</w:t>
      </w:r>
      <w:r w:rsidRPr="001E4FE8">
        <w:rPr>
          <w:rFonts w:ascii="Times New Roman" w:hAnsi="Times New Roman"/>
        </w:rPr>
        <w:t>.</w:t>
      </w:r>
    </w:p>
  </w:footnote>
  <w:footnote w:id="61">
    <w:p w14:paraId="2099D04A" w14:textId="77777777" w:rsidR="00A61B5F" w:rsidRDefault="00A61B5F" w:rsidP="00E17FE1">
      <w:pPr>
        <w:pStyle w:val="FootnoteText"/>
        <w:rPr>
          <w:rFonts w:ascii="Times New Roman" w:hAnsi="Times New Roman"/>
        </w:rPr>
      </w:pPr>
    </w:p>
    <w:p w14:paraId="36A940A2" w14:textId="2885ED8C" w:rsidR="00A61B5F" w:rsidRPr="007B6F39" w:rsidRDefault="00A61B5F" w:rsidP="00E17FE1">
      <w:pPr>
        <w:pStyle w:val="FootnoteText"/>
        <w:rPr>
          <w:rFonts w:ascii="Times New Roman" w:hAnsi="Times New Roman"/>
        </w:rPr>
      </w:pPr>
      <w:r w:rsidRPr="007B6F39">
        <w:rPr>
          <w:rStyle w:val="FootnoteReference"/>
          <w:rFonts w:ascii="Times New Roman" w:hAnsi="Times New Roman"/>
        </w:rPr>
        <w:footnoteRef/>
      </w:r>
      <w:r w:rsidRPr="007B6F39">
        <w:rPr>
          <w:rFonts w:ascii="Times New Roman" w:hAnsi="Times New Roman"/>
        </w:rPr>
        <w:t xml:space="preserve"> </w:t>
      </w:r>
      <w:r w:rsidRPr="007B6F39">
        <w:rPr>
          <w:rFonts w:ascii="Times New Roman" w:hAnsi="Times New Roman"/>
          <w:i/>
        </w:rPr>
        <w:t>See</w:t>
      </w:r>
      <w:r w:rsidRPr="007B6F39">
        <w:rPr>
          <w:rFonts w:ascii="Times New Roman" w:hAnsi="Times New Roman"/>
        </w:rPr>
        <w:t xml:space="preserve"> SALW Principle 14, </w:t>
      </w:r>
      <w:r w:rsidRPr="007B6F39">
        <w:rPr>
          <w:rFonts w:ascii="Times New Roman" w:hAnsi="Times New Roman"/>
          <w:i/>
        </w:rPr>
        <w:t>supra</w:t>
      </w:r>
      <w:r w:rsidRPr="007B6F39">
        <w:rPr>
          <w:rFonts w:ascii="Times New Roman" w:hAnsi="Times New Roman"/>
        </w:rPr>
        <w:t xml:space="preserve"> note </w:t>
      </w:r>
      <w:r>
        <w:rPr>
          <w:rFonts w:ascii="Times New Roman" w:hAnsi="Times New Roman"/>
        </w:rPr>
        <w:t>11</w:t>
      </w:r>
      <w:r w:rsidRPr="007B6F39">
        <w:rPr>
          <w:rFonts w:ascii="Times New Roman" w:hAnsi="Times New Roman"/>
        </w:rPr>
        <w:t>.</w:t>
      </w:r>
    </w:p>
    <w:p w14:paraId="16215082" w14:textId="77777777" w:rsidR="00A61B5F" w:rsidRPr="00A61B5F" w:rsidRDefault="00A61B5F" w:rsidP="00E17FE1">
      <w:pPr>
        <w:pStyle w:val="FootnoteText"/>
        <w:rPr>
          <w:rFonts w:ascii="Times New Roman" w:hAnsi="Times New Roman"/>
        </w:rPr>
      </w:pPr>
    </w:p>
  </w:footnote>
  <w:footnote w:id="62">
    <w:p w14:paraId="171A53E9" w14:textId="34F6D5F2" w:rsidR="00A61B5F" w:rsidRPr="007B6F39" w:rsidRDefault="00A61B5F" w:rsidP="00E17FE1">
      <w:pPr>
        <w:pStyle w:val="FootnoteText"/>
        <w:rPr>
          <w:rFonts w:ascii="Times New Roman" w:hAnsi="Times New Roman"/>
        </w:rPr>
      </w:pPr>
      <w:r w:rsidRPr="00A61B5F">
        <w:rPr>
          <w:rStyle w:val="FootnoteReference"/>
          <w:rFonts w:ascii="Times New Roman" w:hAnsi="Times New Roman"/>
        </w:rPr>
        <w:footnoteRef/>
      </w:r>
      <w:r w:rsidRPr="00A61B5F">
        <w:rPr>
          <w:rFonts w:ascii="Times New Roman" w:hAnsi="Times New Roman"/>
        </w:rPr>
        <w:t xml:space="preserve"> </w:t>
      </w:r>
      <w:r w:rsidRPr="00A61B5F">
        <w:rPr>
          <w:rFonts w:ascii="Times New Roman" w:hAnsi="Times New Roman"/>
          <w:i/>
        </w:rPr>
        <w:t>See</w:t>
      </w:r>
      <w:r w:rsidRPr="00A61B5F">
        <w:rPr>
          <w:rFonts w:ascii="Times New Roman" w:hAnsi="Times New Roman"/>
        </w:rPr>
        <w:t xml:space="preserve"> SALW Principle 15, </w:t>
      </w:r>
      <w:r w:rsidRPr="00A61B5F">
        <w:rPr>
          <w:rFonts w:ascii="Times New Roman" w:hAnsi="Times New Roman"/>
          <w:i/>
        </w:rPr>
        <w:t>supra</w:t>
      </w:r>
      <w:r w:rsidRPr="00A61B5F">
        <w:rPr>
          <w:rFonts w:ascii="Times New Roman" w:hAnsi="Times New Roman"/>
        </w:rPr>
        <w:t xml:space="preserve"> note </w:t>
      </w:r>
      <w:r>
        <w:rPr>
          <w:rFonts w:ascii="Times New Roman" w:hAnsi="Times New Roman"/>
        </w:rPr>
        <w:t>11</w:t>
      </w:r>
      <w:r w:rsidRPr="007B6F39">
        <w:rPr>
          <w:rFonts w:ascii="Times New Roman" w:hAnsi="Times New Roman"/>
        </w:rPr>
        <w:t>.</w:t>
      </w:r>
    </w:p>
    <w:p w14:paraId="6811CC76" w14:textId="77777777" w:rsidR="00A61B5F" w:rsidRPr="00A61B5F" w:rsidRDefault="00A61B5F" w:rsidP="00E17FE1">
      <w:pPr>
        <w:pStyle w:val="FootnoteText"/>
        <w:rPr>
          <w:rFonts w:ascii="Times New Roman" w:hAnsi="Times New Roman"/>
        </w:rPr>
      </w:pPr>
    </w:p>
  </w:footnote>
  <w:footnote w:id="63">
    <w:p w14:paraId="0DDDBB43" w14:textId="6CE55A39" w:rsidR="00A61B5F" w:rsidRPr="007B6F39" w:rsidRDefault="00A61B5F" w:rsidP="00E17FE1">
      <w:pPr>
        <w:pStyle w:val="FootnoteText"/>
        <w:rPr>
          <w:rFonts w:ascii="Times New Roman" w:hAnsi="Times New Roman"/>
        </w:rPr>
      </w:pPr>
      <w:r w:rsidRPr="00E1116A">
        <w:rPr>
          <w:rStyle w:val="FootnoteReference"/>
          <w:rFonts w:ascii="Times New Roman" w:hAnsi="Times New Roman"/>
        </w:rPr>
        <w:footnoteRef/>
      </w:r>
      <w:r w:rsidRPr="00E1116A">
        <w:rPr>
          <w:rFonts w:ascii="Times New Roman" w:hAnsi="Times New Roman"/>
        </w:rPr>
        <w:t xml:space="preserve"> </w:t>
      </w:r>
      <w:r w:rsidRPr="00E1116A">
        <w:rPr>
          <w:rFonts w:ascii="Times New Roman" w:hAnsi="Times New Roman"/>
          <w:i/>
        </w:rPr>
        <w:t>See</w:t>
      </w:r>
      <w:r w:rsidRPr="00E1116A">
        <w:rPr>
          <w:rFonts w:ascii="Times New Roman" w:hAnsi="Times New Roman"/>
        </w:rPr>
        <w:t xml:space="preserve"> Frey, </w:t>
      </w:r>
      <w:r w:rsidRPr="00AF34ED">
        <w:rPr>
          <w:rFonts w:ascii="Times New Roman" w:hAnsi="Times New Roman"/>
          <w:i/>
        </w:rPr>
        <w:t>supra</w:t>
      </w:r>
      <w:r w:rsidRPr="007B6F39">
        <w:rPr>
          <w:rFonts w:ascii="Times New Roman" w:hAnsi="Times New Roman"/>
        </w:rPr>
        <w:t xml:space="preserve"> note 2, at 51–53 (explaining each element).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960" w14:textId="31CDEE8D" w:rsidR="00A61B5F" w:rsidRDefault="00A61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542D7"/>
    <w:multiLevelType w:val="hybridMultilevel"/>
    <w:tmpl w:val="AB5A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5071C"/>
    <w:multiLevelType w:val="hybridMultilevel"/>
    <w:tmpl w:val="F2924F2C"/>
    <w:lvl w:ilvl="0" w:tplc="9A0C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9B"/>
    <w:rsid w:val="00007F2C"/>
    <w:rsid w:val="00026F50"/>
    <w:rsid w:val="00037D6A"/>
    <w:rsid w:val="000509F1"/>
    <w:rsid w:val="00064817"/>
    <w:rsid w:val="00071653"/>
    <w:rsid w:val="00077587"/>
    <w:rsid w:val="000B4AF2"/>
    <w:rsid w:val="000C27D9"/>
    <w:rsid w:val="00112F16"/>
    <w:rsid w:val="00162067"/>
    <w:rsid w:val="001E4FE8"/>
    <w:rsid w:val="001F3163"/>
    <w:rsid w:val="0020047C"/>
    <w:rsid w:val="002153A6"/>
    <w:rsid w:val="0021625B"/>
    <w:rsid w:val="0024120A"/>
    <w:rsid w:val="002608A8"/>
    <w:rsid w:val="00266E92"/>
    <w:rsid w:val="00274DB8"/>
    <w:rsid w:val="00276C9B"/>
    <w:rsid w:val="0027752F"/>
    <w:rsid w:val="0028040F"/>
    <w:rsid w:val="00283940"/>
    <w:rsid w:val="002C2BB7"/>
    <w:rsid w:val="00352512"/>
    <w:rsid w:val="00357207"/>
    <w:rsid w:val="00361F9D"/>
    <w:rsid w:val="00365C17"/>
    <w:rsid w:val="00367D59"/>
    <w:rsid w:val="003B0BE5"/>
    <w:rsid w:val="003C4BC0"/>
    <w:rsid w:val="003C7ED7"/>
    <w:rsid w:val="003F1827"/>
    <w:rsid w:val="003F56A6"/>
    <w:rsid w:val="00414558"/>
    <w:rsid w:val="004317F1"/>
    <w:rsid w:val="0047140A"/>
    <w:rsid w:val="00484873"/>
    <w:rsid w:val="004867D4"/>
    <w:rsid w:val="004943E1"/>
    <w:rsid w:val="004F00AB"/>
    <w:rsid w:val="00522956"/>
    <w:rsid w:val="00552B81"/>
    <w:rsid w:val="00557BE5"/>
    <w:rsid w:val="0056179F"/>
    <w:rsid w:val="0059545D"/>
    <w:rsid w:val="005C2814"/>
    <w:rsid w:val="005C6AD0"/>
    <w:rsid w:val="005D6F5E"/>
    <w:rsid w:val="00636C0E"/>
    <w:rsid w:val="006751DC"/>
    <w:rsid w:val="0068290A"/>
    <w:rsid w:val="006A052A"/>
    <w:rsid w:val="006C77E7"/>
    <w:rsid w:val="006D7034"/>
    <w:rsid w:val="006F356F"/>
    <w:rsid w:val="00700082"/>
    <w:rsid w:val="00703028"/>
    <w:rsid w:val="00725896"/>
    <w:rsid w:val="00726756"/>
    <w:rsid w:val="00747306"/>
    <w:rsid w:val="00757AAE"/>
    <w:rsid w:val="00763C8E"/>
    <w:rsid w:val="0078656D"/>
    <w:rsid w:val="007B6F39"/>
    <w:rsid w:val="007E2ED2"/>
    <w:rsid w:val="00802F2B"/>
    <w:rsid w:val="008113C4"/>
    <w:rsid w:val="00821E96"/>
    <w:rsid w:val="00832F3E"/>
    <w:rsid w:val="008A2205"/>
    <w:rsid w:val="008A7621"/>
    <w:rsid w:val="008B0047"/>
    <w:rsid w:val="008B2E70"/>
    <w:rsid w:val="008C491D"/>
    <w:rsid w:val="008F0B47"/>
    <w:rsid w:val="00912243"/>
    <w:rsid w:val="00924B65"/>
    <w:rsid w:val="00935E04"/>
    <w:rsid w:val="00947CB0"/>
    <w:rsid w:val="00984275"/>
    <w:rsid w:val="009E367C"/>
    <w:rsid w:val="00A03273"/>
    <w:rsid w:val="00A240F7"/>
    <w:rsid w:val="00A32030"/>
    <w:rsid w:val="00A3734D"/>
    <w:rsid w:val="00A41B9C"/>
    <w:rsid w:val="00A6174A"/>
    <w:rsid w:val="00A61B5F"/>
    <w:rsid w:val="00AC0263"/>
    <w:rsid w:val="00AC0E2A"/>
    <w:rsid w:val="00AC1EA6"/>
    <w:rsid w:val="00AC2250"/>
    <w:rsid w:val="00AD0D24"/>
    <w:rsid w:val="00AE26CF"/>
    <w:rsid w:val="00AE4029"/>
    <w:rsid w:val="00AF34ED"/>
    <w:rsid w:val="00B22925"/>
    <w:rsid w:val="00B85213"/>
    <w:rsid w:val="00B95A8D"/>
    <w:rsid w:val="00BE3FB1"/>
    <w:rsid w:val="00BE67E6"/>
    <w:rsid w:val="00BE6F68"/>
    <w:rsid w:val="00C0609D"/>
    <w:rsid w:val="00C30155"/>
    <w:rsid w:val="00C35D7C"/>
    <w:rsid w:val="00C44809"/>
    <w:rsid w:val="00C56628"/>
    <w:rsid w:val="00C57782"/>
    <w:rsid w:val="00CE0CBA"/>
    <w:rsid w:val="00CF6045"/>
    <w:rsid w:val="00D25904"/>
    <w:rsid w:val="00D366F8"/>
    <w:rsid w:val="00D64EE6"/>
    <w:rsid w:val="00D650EA"/>
    <w:rsid w:val="00D65CA5"/>
    <w:rsid w:val="00DD095E"/>
    <w:rsid w:val="00DE769B"/>
    <w:rsid w:val="00E1116A"/>
    <w:rsid w:val="00E17FE1"/>
    <w:rsid w:val="00E60323"/>
    <w:rsid w:val="00E66172"/>
    <w:rsid w:val="00E66314"/>
    <w:rsid w:val="00E73262"/>
    <w:rsid w:val="00E95291"/>
    <w:rsid w:val="00EB6E63"/>
    <w:rsid w:val="00EC08BA"/>
    <w:rsid w:val="00ED001A"/>
    <w:rsid w:val="00EF6749"/>
    <w:rsid w:val="00F203D1"/>
    <w:rsid w:val="00F23B5F"/>
    <w:rsid w:val="00F27E0A"/>
    <w:rsid w:val="00F57011"/>
    <w:rsid w:val="00F600E3"/>
    <w:rsid w:val="00F742ED"/>
    <w:rsid w:val="00F9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8282B"/>
  <w14:defaultImageDpi w14:val="300"/>
  <w15:docId w15:val="{15A8FC0F-B470-4006-8AB7-B86F2D5E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E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17FE1"/>
    <w:pPr>
      <w:spacing w:after="0" w:line="240" w:lineRule="auto"/>
    </w:pPr>
    <w:rPr>
      <w:sz w:val="20"/>
      <w:szCs w:val="20"/>
    </w:rPr>
  </w:style>
  <w:style w:type="character" w:customStyle="1" w:styleId="FootnoteTextChar">
    <w:name w:val="Footnote Text Char"/>
    <w:basedOn w:val="DefaultParagraphFont"/>
    <w:link w:val="FootnoteText"/>
    <w:uiPriority w:val="99"/>
    <w:rsid w:val="00E17FE1"/>
    <w:rPr>
      <w:rFonts w:ascii="Calibri" w:eastAsia="Calibri" w:hAnsi="Calibri" w:cs="Times New Roman"/>
      <w:sz w:val="20"/>
      <w:szCs w:val="20"/>
    </w:rPr>
  </w:style>
  <w:style w:type="character" w:styleId="FootnoteReference">
    <w:name w:val="footnote reference"/>
    <w:basedOn w:val="DefaultParagraphFont"/>
    <w:uiPriority w:val="99"/>
    <w:semiHidden/>
    <w:rsid w:val="00E17FE1"/>
    <w:rPr>
      <w:rFonts w:cs="Times New Roman"/>
      <w:vertAlign w:val="superscript"/>
    </w:rPr>
  </w:style>
  <w:style w:type="character" w:customStyle="1" w:styleId="apple-style-span">
    <w:name w:val="apple-style-span"/>
    <w:basedOn w:val="DefaultParagraphFont"/>
    <w:uiPriority w:val="99"/>
    <w:rsid w:val="00E17FE1"/>
    <w:rPr>
      <w:rFonts w:cs="Times New Roman"/>
    </w:rPr>
  </w:style>
  <w:style w:type="character" w:customStyle="1" w:styleId="apple-converted-space">
    <w:name w:val="apple-converted-space"/>
    <w:basedOn w:val="DefaultParagraphFont"/>
    <w:uiPriority w:val="99"/>
    <w:rsid w:val="00E17FE1"/>
    <w:rPr>
      <w:rFonts w:cs="Times New Roman"/>
    </w:rPr>
  </w:style>
  <w:style w:type="paragraph" w:styleId="Footer">
    <w:name w:val="footer"/>
    <w:basedOn w:val="Normal"/>
    <w:link w:val="FooterChar"/>
    <w:uiPriority w:val="99"/>
    <w:rsid w:val="00E1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E1"/>
    <w:rPr>
      <w:rFonts w:ascii="Calibri" w:eastAsia="Calibri" w:hAnsi="Calibri" w:cs="Times New Roman"/>
      <w:sz w:val="22"/>
      <w:szCs w:val="22"/>
    </w:rPr>
  </w:style>
  <w:style w:type="character" w:styleId="PageNumber">
    <w:name w:val="page number"/>
    <w:basedOn w:val="DefaultParagraphFont"/>
    <w:uiPriority w:val="99"/>
    <w:rsid w:val="00E17FE1"/>
    <w:rPr>
      <w:rFonts w:cs="Times New Roman"/>
    </w:rPr>
  </w:style>
  <w:style w:type="paragraph" w:styleId="BalloonText">
    <w:name w:val="Balloon Text"/>
    <w:basedOn w:val="Normal"/>
    <w:link w:val="BalloonTextChar"/>
    <w:uiPriority w:val="99"/>
    <w:semiHidden/>
    <w:unhideWhenUsed/>
    <w:rsid w:val="00E17F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FE1"/>
    <w:rPr>
      <w:rFonts w:ascii="Lucida Grande" w:eastAsia="Calibri" w:hAnsi="Lucida Grande" w:cs="Lucida Grande"/>
      <w:sz w:val="18"/>
      <w:szCs w:val="18"/>
    </w:rPr>
  </w:style>
  <w:style w:type="paragraph" w:styleId="Header">
    <w:name w:val="header"/>
    <w:basedOn w:val="Normal"/>
    <w:link w:val="HeaderChar"/>
    <w:uiPriority w:val="99"/>
    <w:unhideWhenUsed/>
    <w:rsid w:val="00BE3F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3FB1"/>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F56A6"/>
    <w:rPr>
      <w:sz w:val="18"/>
      <w:szCs w:val="18"/>
    </w:rPr>
  </w:style>
  <w:style w:type="paragraph" w:styleId="CommentText">
    <w:name w:val="annotation text"/>
    <w:basedOn w:val="Normal"/>
    <w:link w:val="CommentTextChar"/>
    <w:uiPriority w:val="99"/>
    <w:semiHidden/>
    <w:unhideWhenUsed/>
    <w:rsid w:val="003F56A6"/>
    <w:pPr>
      <w:spacing w:line="240" w:lineRule="auto"/>
    </w:pPr>
    <w:rPr>
      <w:sz w:val="24"/>
      <w:szCs w:val="24"/>
    </w:rPr>
  </w:style>
  <w:style w:type="character" w:customStyle="1" w:styleId="CommentTextChar">
    <w:name w:val="Comment Text Char"/>
    <w:basedOn w:val="DefaultParagraphFont"/>
    <w:link w:val="CommentText"/>
    <w:uiPriority w:val="99"/>
    <w:semiHidden/>
    <w:rsid w:val="003F56A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F56A6"/>
    <w:rPr>
      <w:b/>
      <w:bCs/>
      <w:sz w:val="20"/>
      <w:szCs w:val="20"/>
    </w:rPr>
  </w:style>
  <w:style w:type="character" w:customStyle="1" w:styleId="CommentSubjectChar">
    <w:name w:val="Comment Subject Char"/>
    <w:basedOn w:val="CommentTextChar"/>
    <w:link w:val="CommentSubject"/>
    <w:uiPriority w:val="99"/>
    <w:semiHidden/>
    <w:rsid w:val="003F56A6"/>
    <w:rPr>
      <w:rFonts w:ascii="Calibri" w:eastAsia="Calibri" w:hAnsi="Calibri" w:cs="Times New Roman"/>
      <w:b/>
      <w:bCs/>
      <w:sz w:val="20"/>
      <w:szCs w:val="20"/>
    </w:rPr>
  </w:style>
  <w:style w:type="character" w:customStyle="1" w:styleId="FootnoteTextChar1">
    <w:name w:val="Footnote Text Char1"/>
    <w:uiPriority w:val="99"/>
    <w:semiHidden/>
    <w:locked/>
    <w:rsid w:val="0027752F"/>
    <w:rPr>
      <w:rFonts w:ascii="Calibri" w:eastAsia="Times New Roman" w:hAnsi="Calibri" w:cs="Times New Roman"/>
    </w:rPr>
  </w:style>
  <w:style w:type="paragraph" w:styleId="ListParagraph">
    <w:name w:val="List Paragraph"/>
    <w:basedOn w:val="Normal"/>
    <w:uiPriority w:val="34"/>
    <w:qFormat/>
    <w:rsid w:val="00EC08BA"/>
    <w:pPr>
      <w:ind w:left="720"/>
      <w:contextualSpacing/>
    </w:pPr>
  </w:style>
  <w:style w:type="paragraph" w:styleId="Revision">
    <w:name w:val="Revision"/>
    <w:hidden/>
    <w:uiPriority w:val="99"/>
    <w:semiHidden/>
    <w:rsid w:val="00636C0E"/>
    <w:rPr>
      <w:rFonts w:ascii="Calibri" w:eastAsia="Calibri" w:hAnsi="Calibri" w:cs="Times New Roman"/>
      <w:sz w:val="22"/>
      <w:szCs w:val="22"/>
    </w:rPr>
  </w:style>
  <w:style w:type="character" w:styleId="Hyperlink">
    <w:name w:val="Hyperlink"/>
    <w:basedOn w:val="DefaultParagraphFont"/>
    <w:uiPriority w:val="99"/>
    <w:unhideWhenUsed/>
    <w:rsid w:val="00C56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1E892-D584-4006-8142-20F7E3557362}"/>
</file>

<file path=customXml/itemProps2.xml><?xml version="1.0" encoding="utf-8"?>
<ds:datastoreItem xmlns:ds="http://schemas.openxmlformats.org/officeDocument/2006/customXml" ds:itemID="{847A03B7-9F3B-4928-BA31-C7D209A7B507}"/>
</file>

<file path=customXml/itemProps3.xml><?xml version="1.0" encoding="utf-8"?>
<ds:datastoreItem xmlns:ds="http://schemas.openxmlformats.org/officeDocument/2006/customXml" ds:itemID="{F757A607-03E6-4442-AC78-F58BDB15C3E6}"/>
</file>

<file path=customXml/itemProps4.xml><?xml version="1.0" encoding="utf-8"?>
<ds:datastoreItem xmlns:ds="http://schemas.openxmlformats.org/officeDocument/2006/customXml" ds:itemID="{32E5CCF5-1663-424A-A8C3-4965DA84A061}"/>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Committee on Concluding Observations - University of Minesota</dc:title>
  <dc:subject/>
  <dc:creator>Laura Matson</dc:creator>
  <cp:keywords/>
  <dc:description/>
  <cp:lastModifiedBy>Barbara A Frey</cp:lastModifiedBy>
  <cp:revision>2</cp:revision>
  <cp:lastPrinted>2015-07-09T16:39:00Z</cp:lastPrinted>
  <dcterms:created xsi:type="dcterms:W3CDTF">2015-07-10T20:36:00Z</dcterms:created>
  <dcterms:modified xsi:type="dcterms:W3CDTF">2015-07-10T20:36:00Z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