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84" w:rsidRPr="00685F0A" w:rsidRDefault="00184C84" w:rsidP="00685F0A">
      <w:bookmarkStart w:id="0" w:name="_GoBack"/>
      <w:bookmarkEnd w:id="0"/>
      <w:r w:rsidRPr="00685F0A">
        <w:rPr>
          <w:noProof/>
          <w:lang w:val="fr-FR" w:eastAsia="fr-FR"/>
        </w:rPr>
        <w:drawing>
          <wp:inline distT="0" distB="0" distL="0" distR="0">
            <wp:extent cx="1054100" cy="1054100"/>
            <wp:effectExtent l="19050" t="0" r="0" b="0"/>
            <wp:docPr id="5" name="Picture 2" descr="Q:\Policy and Communication\Production Coordinator\Logos\MRG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olicy and Communication\Production Coordinator\Logos\MRG_logo_cmyk.PNG"/>
                    <pic:cNvPicPr>
                      <a:picLocks noChangeAspect="1" noChangeArrowheads="1"/>
                    </pic:cNvPicPr>
                  </pic:nvPicPr>
                  <pic:blipFill>
                    <a:blip r:embed="rId9" cstate="print"/>
                    <a:srcRect/>
                    <a:stretch>
                      <a:fillRect/>
                    </a:stretch>
                  </pic:blipFill>
                  <pic:spPr bwMode="auto">
                    <a:xfrm>
                      <a:off x="0" y="0"/>
                      <a:ext cx="1054100" cy="1054100"/>
                    </a:xfrm>
                    <a:prstGeom prst="rect">
                      <a:avLst/>
                    </a:prstGeom>
                    <a:noFill/>
                    <a:ln w="9525">
                      <a:noFill/>
                      <a:miter lim="800000"/>
                      <a:headEnd/>
                      <a:tailEnd/>
                    </a:ln>
                  </pic:spPr>
                </pic:pic>
              </a:graphicData>
            </a:graphic>
          </wp:inline>
        </w:drawing>
      </w:r>
    </w:p>
    <w:p w:rsidR="00184C84" w:rsidRPr="00685F0A" w:rsidRDefault="00184C84" w:rsidP="00685F0A"/>
    <w:p w:rsidR="00184C84" w:rsidRPr="00685F0A" w:rsidRDefault="00184C84" w:rsidP="00685F0A">
      <w:pPr>
        <w:jc w:val="center"/>
        <w:rPr>
          <w:rFonts w:ascii="Garamond" w:hAnsi="Garamond"/>
          <w:b/>
          <w:sz w:val="24"/>
          <w:szCs w:val="24"/>
        </w:rPr>
      </w:pPr>
      <w:r w:rsidRPr="00685F0A">
        <w:rPr>
          <w:rFonts w:ascii="Garamond" w:hAnsi="Garamond"/>
          <w:b/>
          <w:sz w:val="24"/>
          <w:szCs w:val="24"/>
        </w:rPr>
        <w:t>MINORITY RIGHTS GROUP INTERNATIONAL</w:t>
      </w:r>
    </w:p>
    <w:p w:rsidR="00685F0A" w:rsidRPr="00685F0A" w:rsidRDefault="00685F0A" w:rsidP="00685F0A">
      <w:pPr>
        <w:jc w:val="center"/>
        <w:rPr>
          <w:rFonts w:ascii="Garamond" w:hAnsi="Garamond"/>
          <w:b/>
          <w:sz w:val="24"/>
          <w:szCs w:val="24"/>
        </w:rPr>
      </w:pPr>
    </w:p>
    <w:p w:rsidR="00685F0A" w:rsidRPr="00685F0A" w:rsidRDefault="00685F0A" w:rsidP="00685F0A">
      <w:pPr>
        <w:jc w:val="center"/>
        <w:rPr>
          <w:rFonts w:ascii="Garamond" w:hAnsi="Garamond"/>
          <w:b/>
          <w:sz w:val="24"/>
          <w:szCs w:val="24"/>
        </w:rPr>
      </w:pPr>
      <w:r w:rsidRPr="00685F0A">
        <w:rPr>
          <w:rFonts w:ascii="Garamond" w:hAnsi="Garamond"/>
          <w:b/>
          <w:sz w:val="24"/>
          <w:szCs w:val="24"/>
        </w:rPr>
        <w:t>Contribution to the General Discussion on the preparation for General Comment No.36 Article 6 of the ICCPR: Right to life</w:t>
      </w:r>
    </w:p>
    <w:p w:rsidR="00685F0A" w:rsidRPr="00685F0A" w:rsidRDefault="00685F0A" w:rsidP="00685F0A">
      <w:pPr>
        <w:jc w:val="center"/>
        <w:rPr>
          <w:rFonts w:ascii="Garamond" w:hAnsi="Garamond"/>
          <w:b/>
          <w:sz w:val="24"/>
          <w:szCs w:val="24"/>
        </w:rPr>
      </w:pPr>
    </w:p>
    <w:p w:rsidR="00184C84" w:rsidRPr="00685F0A" w:rsidRDefault="00184C84" w:rsidP="00685F0A">
      <w:pPr>
        <w:jc w:val="center"/>
        <w:rPr>
          <w:rFonts w:ascii="Garamond" w:hAnsi="Garamond"/>
          <w:b/>
          <w:sz w:val="24"/>
          <w:szCs w:val="24"/>
        </w:rPr>
      </w:pPr>
      <w:r w:rsidRPr="00685F0A">
        <w:rPr>
          <w:rFonts w:ascii="Garamond" w:hAnsi="Garamond"/>
          <w:b/>
          <w:sz w:val="24"/>
          <w:szCs w:val="24"/>
        </w:rPr>
        <w:t>Human Rights Committee</w:t>
      </w:r>
    </w:p>
    <w:p w:rsidR="00184C84" w:rsidRPr="00685F0A" w:rsidRDefault="00685F0A" w:rsidP="00685F0A">
      <w:pPr>
        <w:jc w:val="center"/>
        <w:rPr>
          <w:rFonts w:ascii="Garamond" w:hAnsi="Garamond"/>
          <w:b/>
          <w:sz w:val="24"/>
          <w:szCs w:val="24"/>
        </w:rPr>
      </w:pPr>
      <w:r w:rsidRPr="00685F0A">
        <w:rPr>
          <w:rFonts w:ascii="Garamond" w:hAnsi="Garamond"/>
          <w:b/>
          <w:sz w:val="24"/>
          <w:szCs w:val="24"/>
        </w:rPr>
        <w:t>July 2015</w:t>
      </w:r>
    </w:p>
    <w:p w:rsidR="00685F0A" w:rsidRPr="00C42A2E" w:rsidRDefault="00685F0A" w:rsidP="00685F0A"/>
    <w:p w:rsidR="00685F0A" w:rsidRPr="00C42A2E" w:rsidRDefault="00B36688" w:rsidP="00685F0A">
      <w:pPr>
        <w:jc w:val="both"/>
      </w:pPr>
      <w:r>
        <w:rPr>
          <w:noProof/>
          <w:lang w:val="fr-FR" w:eastAsia="fr-FR"/>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269875</wp:posOffset>
                </wp:positionV>
                <wp:extent cx="5772150" cy="1600200"/>
                <wp:effectExtent l="0" t="0" r="1905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21.25pt;width:454.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"/>
            </w:pict>
          </mc:Fallback>
        </mc:AlternateContent>
      </w:r>
    </w:p>
    <w:p w:rsidR="00685F0A" w:rsidRPr="005E3C26" w:rsidRDefault="00685F0A" w:rsidP="00685F0A">
      <w:pPr>
        <w:ind w:left="567" w:right="521"/>
        <w:jc w:val="both"/>
        <w:rPr>
          <w:rFonts w:ascii="Garamond" w:hAnsi="Garamond"/>
          <w:sz w:val="24"/>
          <w:szCs w:val="24"/>
        </w:rPr>
      </w:pPr>
      <w:r w:rsidRPr="005E3C26">
        <w:rPr>
          <w:rFonts w:ascii="Garamond" w:hAnsi="Garamond"/>
          <w:sz w:val="24"/>
          <w:szCs w:val="24"/>
        </w:rPr>
        <w:t>Minority Rights Group International (MRG) is an international non-governmental organisation working to secure the rights of ethnic, religious and linguistic minorities and indigenous peoples worldwide, and to promote cooperation and understanding between communities. MRG works with over 150 organisations in nearly 50 countries. MRG has consultative status with the United Nations Economic and Social Council, observer status with the African Commission on Human and Peoples’ Rights, and is a civil society organisation registered with the Organization of American States.</w:t>
      </w:r>
    </w:p>
    <w:p w:rsidR="00685F0A" w:rsidRPr="009B25D5" w:rsidRDefault="00685F0A" w:rsidP="00685F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szCs w:val="24"/>
        </w:rPr>
      </w:pPr>
    </w:p>
    <w:p w:rsidR="00184C84" w:rsidRDefault="00184C84" w:rsidP="00060432">
      <w:pPr>
        <w:spacing w:line="360" w:lineRule="auto"/>
        <w:ind w:left="426" w:hanging="284"/>
        <w:rPr>
          <w:rFonts w:ascii="Arial" w:hAnsi="Arial" w:cs="Arial"/>
          <w:sz w:val="24"/>
          <w:szCs w:val="24"/>
        </w:rPr>
      </w:pPr>
    </w:p>
    <w:p w:rsidR="00F10701" w:rsidRDefault="00F10701" w:rsidP="00060432">
      <w:pPr>
        <w:spacing w:line="360" w:lineRule="auto"/>
        <w:ind w:left="426" w:hanging="284"/>
        <w:rPr>
          <w:rFonts w:ascii="Arial" w:hAnsi="Arial" w:cs="Arial"/>
          <w:sz w:val="24"/>
          <w:szCs w:val="24"/>
        </w:rPr>
      </w:pPr>
    </w:p>
    <w:p w:rsidR="00FC1BDA" w:rsidRDefault="00FC1BDA" w:rsidP="00060432">
      <w:pPr>
        <w:spacing w:line="360" w:lineRule="auto"/>
        <w:ind w:left="426" w:hanging="284"/>
        <w:rPr>
          <w:rFonts w:ascii="Arial" w:hAnsi="Arial" w:cs="Arial"/>
          <w:sz w:val="24"/>
          <w:szCs w:val="24"/>
        </w:rPr>
      </w:pPr>
    </w:p>
    <w:p w:rsidR="00FC1BDA" w:rsidRPr="006C0AB3" w:rsidRDefault="00FC1BDA" w:rsidP="00FC1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aramond" w:hAnsi="Garamond"/>
          <w:szCs w:val="24"/>
        </w:rPr>
      </w:pPr>
      <w:r w:rsidRPr="006C0AB3">
        <w:rPr>
          <w:rFonts w:ascii="Garamond" w:hAnsi="Garamond"/>
          <w:szCs w:val="24"/>
        </w:rPr>
        <w:t>54 Commercial Street,</w:t>
      </w:r>
    </w:p>
    <w:p w:rsidR="00FC1BDA" w:rsidRPr="006C0AB3" w:rsidRDefault="00FC1BDA" w:rsidP="00FC1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aramond" w:hAnsi="Garamond"/>
          <w:szCs w:val="24"/>
        </w:rPr>
      </w:pPr>
      <w:r w:rsidRPr="006C0AB3">
        <w:rPr>
          <w:rFonts w:ascii="Garamond" w:hAnsi="Garamond"/>
          <w:szCs w:val="24"/>
        </w:rPr>
        <w:t>London E1 6LT</w:t>
      </w:r>
    </w:p>
    <w:p w:rsidR="00FC1BDA" w:rsidRPr="006C0AB3" w:rsidRDefault="00FC1BDA" w:rsidP="00FC1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aramond" w:hAnsi="Garamond"/>
          <w:szCs w:val="24"/>
        </w:rPr>
      </w:pPr>
      <w:r w:rsidRPr="006C0AB3">
        <w:rPr>
          <w:rFonts w:ascii="Garamond" w:hAnsi="Garamond"/>
          <w:szCs w:val="24"/>
        </w:rPr>
        <w:t>United Kingdom</w:t>
      </w:r>
    </w:p>
    <w:p w:rsidR="00FC1BDA" w:rsidRPr="006C0AB3" w:rsidRDefault="00FC1BDA" w:rsidP="00FC1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aramond" w:hAnsi="Garamond"/>
          <w:szCs w:val="24"/>
        </w:rPr>
      </w:pPr>
      <w:r w:rsidRPr="006C0AB3">
        <w:rPr>
          <w:rFonts w:ascii="Garamond" w:hAnsi="Garamond"/>
          <w:szCs w:val="24"/>
        </w:rPr>
        <w:t>Tel: +44 (</w:t>
      </w:r>
      <w:proofErr w:type="gramStart"/>
      <w:r w:rsidRPr="006C0AB3">
        <w:rPr>
          <w:rFonts w:ascii="Garamond" w:hAnsi="Garamond"/>
          <w:szCs w:val="24"/>
        </w:rPr>
        <w:t>0)20</w:t>
      </w:r>
      <w:proofErr w:type="gramEnd"/>
      <w:r w:rsidRPr="006C0AB3">
        <w:rPr>
          <w:rFonts w:ascii="Garamond" w:hAnsi="Garamond"/>
          <w:szCs w:val="24"/>
        </w:rPr>
        <w:t xml:space="preserve"> 7422 4200</w:t>
      </w:r>
    </w:p>
    <w:p w:rsidR="00FC1BDA" w:rsidRPr="006C0AB3" w:rsidRDefault="00FC1BDA" w:rsidP="00FC1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aramond" w:hAnsi="Garamond"/>
          <w:szCs w:val="24"/>
        </w:rPr>
      </w:pPr>
      <w:r w:rsidRPr="006C0AB3">
        <w:rPr>
          <w:rFonts w:ascii="Garamond" w:hAnsi="Garamond"/>
          <w:szCs w:val="24"/>
        </w:rPr>
        <w:t>Fax: +44 (</w:t>
      </w:r>
      <w:proofErr w:type="gramStart"/>
      <w:r w:rsidRPr="006C0AB3">
        <w:rPr>
          <w:rFonts w:ascii="Garamond" w:hAnsi="Garamond"/>
          <w:szCs w:val="24"/>
        </w:rPr>
        <w:t>0)20</w:t>
      </w:r>
      <w:proofErr w:type="gramEnd"/>
      <w:r w:rsidRPr="006C0AB3">
        <w:rPr>
          <w:rFonts w:ascii="Garamond" w:hAnsi="Garamond"/>
          <w:szCs w:val="24"/>
        </w:rPr>
        <w:t xml:space="preserve"> 7422 4201</w:t>
      </w:r>
    </w:p>
    <w:p w:rsidR="00FC1BDA" w:rsidRPr="006C0AB3" w:rsidRDefault="00FC1BDA" w:rsidP="00FC1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aramond" w:hAnsi="Garamond"/>
          <w:szCs w:val="24"/>
        </w:rPr>
      </w:pPr>
      <w:r w:rsidRPr="006C0AB3">
        <w:rPr>
          <w:rFonts w:ascii="Garamond" w:hAnsi="Garamond"/>
          <w:szCs w:val="24"/>
        </w:rPr>
        <w:t xml:space="preserve">Web: </w:t>
      </w:r>
      <w:hyperlink r:id="rId10" w:history="1">
        <w:r w:rsidRPr="006C0AB3">
          <w:rPr>
            <w:rStyle w:val="Lienhypertexte"/>
            <w:rFonts w:ascii="Garamond" w:hAnsi="Garamond"/>
            <w:szCs w:val="24"/>
          </w:rPr>
          <w:t>www.minorityrights.org</w:t>
        </w:r>
      </w:hyperlink>
    </w:p>
    <w:p w:rsidR="001628FE" w:rsidRDefault="001628FE" w:rsidP="00FC1BDA">
      <w:pPr>
        <w:rPr>
          <w:rFonts w:ascii="Garamond" w:hAnsi="Garamond"/>
          <w:sz w:val="24"/>
          <w:szCs w:val="24"/>
        </w:rPr>
      </w:pPr>
    </w:p>
    <w:p w:rsidR="001628FE" w:rsidRPr="001628FE" w:rsidRDefault="001628FE" w:rsidP="00FC1BDA">
      <w:pPr>
        <w:rPr>
          <w:rFonts w:ascii="Garamond" w:hAnsi="Garamond"/>
          <w:b/>
          <w:sz w:val="24"/>
          <w:szCs w:val="24"/>
          <w:u w:val="single"/>
        </w:rPr>
      </w:pPr>
      <w:r w:rsidRPr="001628FE">
        <w:rPr>
          <w:rFonts w:ascii="Garamond" w:hAnsi="Garamond"/>
          <w:b/>
          <w:sz w:val="24"/>
          <w:szCs w:val="24"/>
          <w:u w:val="single"/>
        </w:rPr>
        <w:lastRenderedPageBreak/>
        <w:t>INTRUDUCTION:</w:t>
      </w:r>
    </w:p>
    <w:p w:rsidR="00184C84" w:rsidRPr="00FC1BDA" w:rsidRDefault="00685F0A" w:rsidP="00FC1BDA">
      <w:pPr>
        <w:rPr>
          <w:rFonts w:ascii="Garamond" w:hAnsi="Garamond"/>
          <w:sz w:val="24"/>
          <w:szCs w:val="24"/>
        </w:rPr>
      </w:pPr>
      <w:r w:rsidRPr="00FC1BDA">
        <w:rPr>
          <w:rFonts w:ascii="Garamond" w:hAnsi="Garamond"/>
          <w:sz w:val="24"/>
          <w:szCs w:val="24"/>
        </w:rPr>
        <w:t xml:space="preserve">In order to contribute to the discussion over the </w:t>
      </w:r>
      <w:r w:rsidR="00FC1BDA" w:rsidRPr="00FC1BDA">
        <w:rPr>
          <w:rFonts w:ascii="Garamond" w:hAnsi="Garamond"/>
          <w:sz w:val="24"/>
          <w:szCs w:val="24"/>
        </w:rPr>
        <w:t xml:space="preserve">scope and nature of the duty to respect and ensure the right to life </w:t>
      </w:r>
      <w:r w:rsidRPr="00FC1BDA">
        <w:rPr>
          <w:rFonts w:ascii="Garamond" w:hAnsi="Garamond"/>
          <w:sz w:val="24"/>
          <w:szCs w:val="24"/>
        </w:rPr>
        <w:t xml:space="preserve">under the </w:t>
      </w:r>
      <w:r w:rsidR="00FC1BDA" w:rsidRPr="00FC1BDA">
        <w:rPr>
          <w:rFonts w:ascii="Garamond" w:hAnsi="Garamond"/>
          <w:sz w:val="24"/>
          <w:szCs w:val="24"/>
        </w:rPr>
        <w:t>International Covenant on Civil and Political Rights (ICCPR)</w:t>
      </w:r>
      <w:r w:rsidRPr="00FC1BDA">
        <w:rPr>
          <w:rFonts w:ascii="Garamond" w:hAnsi="Garamond"/>
          <w:sz w:val="24"/>
          <w:szCs w:val="24"/>
        </w:rPr>
        <w:t xml:space="preserve">, Minority Rights Group International (MRG) would like to share </w:t>
      </w:r>
      <w:r w:rsidR="00F10701">
        <w:rPr>
          <w:rFonts w:ascii="Garamond" w:hAnsi="Garamond"/>
          <w:sz w:val="24"/>
          <w:szCs w:val="24"/>
        </w:rPr>
        <w:t xml:space="preserve">with the Human Rights Committee </w:t>
      </w:r>
      <w:r w:rsidRPr="00FC1BDA">
        <w:rPr>
          <w:rFonts w:ascii="Garamond" w:hAnsi="Garamond"/>
          <w:sz w:val="24"/>
          <w:szCs w:val="24"/>
        </w:rPr>
        <w:t xml:space="preserve">an extract from its Submission on the Merits in </w:t>
      </w:r>
      <w:r w:rsidRPr="00FC1BDA">
        <w:rPr>
          <w:rFonts w:ascii="Garamond" w:hAnsi="Garamond"/>
          <w:i/>
          <w:sz w:val="24"/>
          <w:szCs w:val="24"/>
        </w:rPr>
        <w:t>African Commission on Human and Peoples' Rights v. Kenya</w:t>
      </w:r>
      <w:r w:rsidRPr="00FC1BDA">
        <w:rPr>
          <w:rFonts w:ascii="Garamond" w:hAnsi="Garamond"/>
          <w:sz w:val="24"/>
          <w:szCs w:val="24"/>
        </w:rPr>
        <w:t xml:space="preserve"> before the African Court of Human and Peoples' Rights</w:t>
      </w:r>
      <w:r w:rsidR="00AB7668">
        <w:rPr>
          <w:rFonts w:ascii="Garamond" w:hAnsi="Garamond"/>
          <w:sz w:val="24"/>
          <w:szCs w:val="24"/>
        </w:rPr>
        <w:t xml:space="preserve"> ('</w:t>
      </w:r>
      <w:proofErr w:type="spellStart"/>
      <w:r w:rsidR="00AB7668">
        <w:rPr>
          <w:rFonts w:ascii="Garamond" w:hAnsi="Garamond"/>
          <w:sz w:val="24"/>
          <w:szCs w:val="24"/>
        </w:rPr>
        <w:t>ACtHPR</w:t>
      </w:r>
      <w:proofErr w:type="spellEnd"/>
      <w:r w:rsidR="00AB7668">
        <w:rPr>
          <w:rFonts w:ascii="Garamond" w:hAnsi="Garamond"/>
          <w:sz w:val="24"/>
          <w:szCs w:val="24"/>
        </w:rPr>
        <w:t>')</w:t>
      </w:r>
      <w:r w:rsidR="00FC1BDA">
        <w:rPr>
          <w:rFonts w:ascii="Garamond" w:hAnsi="Garamond"/>
          <w:sz w:val="24"/>
          <w:szCs w:val="24"/>
        </w:rPr>
        <w:t>,</w:t>
      </w:r>
      <w:r w:rsidRPr="00FC1BDA">
        <w:rPr>
          <w:rFonts w:ascii="Garamond" w:hAnsi="Garamond"/>
          <w:sz w:val="24"/>
          <w:szCs w:val="24"/>
        </w:rPr>
        <w:t xml:space="preserve"> in which MRG was the lead complainant before the African Commission</w:t>
      </w:r>
      <w:r w:rsidR="00AB7668">
        <w:rPr>
          <w:rFonts w:ascii="Garamond" w:hAnsi="Garamond"/>
          <w:sz w:val="24"/>
          <w:szCs w:val="24"/>
        </w:rPr>
        <w:t xml:space="preserve"> on Human and Peoples' Rights ('ACHPR')</w:t>
      </w:r>
      <w:r w:rsidRPr="00FC1BDA">
        <w:rPr>
          <w:rFonts w:ascii="Garamond" w:hAnsi="Garamond"/>
          <w:sz w:val="24"/>
          <w:szCs w:val="24"/>
        </w:rPr>
        <w:t>.</w:t>
      </w:r>
      <w:r w:rsidR="001F53EF">
        <w:rPr>
          <w:rStyle w:val="Marquenotebasdepage"/>
          <w:rFonts w:ascii="Garamond" w:hAnsi="Garamond"/>
          <w:sz w:val="24"/>
          <w:szCs w:val="24"/>
        </w:rPr>
        <w:footnoteReference w:id="1"/>
      </w:r>
    </w:p>
    <w:p w:rsidR="00891BBB" w:rsidRDefault="00534B9D" w:rsidP="00534B9D">
      <w:pPr>
        <w:rPr>
          <w:rFonts w:ascii="Garamond" w:hAnsi="Garamond"/>
          <w:sz w:val="24"/>
          <w:szCs w:val="24"/>
        </w:rPr>
      </w:pPr>
      <w:r>
        <w:rPr>
          <w:rFonts w:ascii="Garamond" w:hAnsi="Garamond"/>
          <w:sz w:val="24"/>
          <w:szCs w:val="24"/>
        </w:rPr>
        <w:t xml:space="preserve">In this extract, MRG draws from the jurisprudence of regional human rights courts and </w:t>
      </w:r>
      <w:r w:rsidR="005D517B">
        <w:rPr>
          <w:rFonts w:ascii="Garamond" w:hAnsi="Garamond"/>
          <w:sz w:val="24"/>
          <w:szCs w:val="24"/>
        </w:rPr>
        <w:t xml:space="preserve">from the work of the </w:t>
      </w:r>
      <w:r w:rsidR="00AB7668">
        <w:rPr>
          <w:rFonts w:ascii="Garamond" w:hAnsi="Garamond"/>
          <w:sz w:val="24"/>
          <w:szCs w:val="24"/>
        </w:rPr>
        <w:t>Committee on Economic, Social and Cultural Rights ('CESCR')</w:t>
      </w:r>
      <w:r>
        <w:rPr>
          <w:rFonts w:ascii="Garamond" w:hAnsi="Garamond"/>
          <w:sz w:val="24"/>
          <w:szCs w:val="24"/>
        </w:rPr>
        <w:t xml:space="preserve"> to argue that right to livelihood is an integral part of right to life, and that this right implies </w:t>
      </w:r>
      <w:r w:rsidR="005D517B">
        <w:rPr>
          <w:rFonts w:ascii="Garamond" w:hAnsi="Garamond"/>
          <w:sz w:val="24"/>
          <w:szCs w:val="24"/>
        </w:rPr>
        <w:t xml:space="preserve">an obligation for states not to deprive </w:t>
      </w:r>
      <w:r w:rsidR="005D517B" w:rsidRPr="005D517B">
        <w:rPr>
          <w:rFonts w:ascii="Garamond" w:hAnsi="Garamond"/>
          <w:sz w:val="24"/>
          <w:szCs w:val="24"/>
        </w:rPr>
        <w:t xml:space="preserve">arbitrarily </w:t>
      </w:r>
      <w:r w:rsidR="005D517B">
        <w:rPr>
          <w:rFonts w:ascii="Garamond" w:hAnsi="Garamond"/>
          <w:sz w:val="24"/>
          <w:szCs w:val="24"/>
        </w:rPr>
        <w:t>a population</w:t>
      </w:r>
      <w:r w:rsidR="005D517B" w:rsidRPr="005D517B">
        <w:rPr>
          <w:rFonts w:ascii="Garamond" w:hAnsi="Garamond"/>
          <w:sz w:val="24"/>
          <w:szCs w:val="24"/>
        </w:rPr>
        <w:t xml:space="preserve"> of access to the necessary conditions for a life in dignity</w:t>
      </w:r>
      <w:r w:rsidR="005D517B">
        <w:rPr>
          <w:rFonts w:ascii="Garamond" w:hAnsi="Garamond"/>
          <w:sz w:val="24"/>
          <w:szCs w:val="24"/>
        </w:rPr>
        <w:t>.</w:t>
      </w:r>
      <w:r w:rsidR="00891BBB">
        <w:rPr>
          <w:rFonts w:ascii="Garamond" w:hAnsi="Garamond"/>
          <w:sz w:val="24"/>
          <w:szCs w:val="24"/>
        </w:rPr>
        <w:t xml:space="preserve"> </w:t>
      </w:r>
    </w:p>
    <w:p w:rsidR="00D60C33" w:rsidRDefault="00891BBB" w:rsidP="00534B9D">
      <w:pPr>
        <w:rPr>
          <w:rFonts w:ascii="Garamond" w:hAnsi="Garamond"/>
          <w:sz w:val="24"/>
          <w:szCs w:val="24"/>
        </w:rPr>
      </w:pPr>
      <w:r>
        <w:rPr>
          <w:rFonts w:ascii="Garamond" w:hAnsi="Garamond"/>
          <w:sz w:val="24"/>
          <w:szCs w:val="24"/>
        </w:rPr>
        <w:t xml:space="preserve">In particular, </w:t>
      </w:r>
      <w:r w:rsidR="00331931">
        <w:rPr>
          <w:rFonts w:ascii="Garamond" w:hAnsi="Garamond"/>
          <w:sz w:val="24"/>
          <w:szCs w:val="24"/>
        </w:rPr>
        <w:t xml:space="preserve">in the case before the </w:t>
      </w:r>
      <w:proofErr w:type="spellStart"/>
      <w:r w:rsidR="00AB7668">
        <w:rPr>
          <w:rFonts w:ascii="Garamond" w:hAnsi="Garamond"/>
          <w:sz w:val="24"/>
          <w:szCs w:val="24"/>
        </w:rPr>
        <w:t>ACtHPR</w:t>
      </w:r>
      <w:proofErr w:type="spellEnd"/>
      <w:r w:rsidR="00331931">
        <w:rPr>
          <w:rFonts w:ascii="Garamond" w:hAnsi="Garamond"/>
          <w:sz w:val="24"/>
          <w:szCs w:val="24"/>
        </w:rPr>
        <w:t xml:space="preserve"> detailed hereafter, </w:t>
      </w:r>
      <w:r>
        <w:rPr>
          <w:rFonts w:ascii="Garamond" w:hAnsi="Garamond"/>
          <w:sz w:val="24"/>
          <w:szCs w:val="24"/>
        </w:rPr>
        <w:t>MRG argues that forced evi</w:t>
      </w:r>
      <w:r w:rsidR="00D60C33">
        <w:rPr>
          <w:rFonts w:ascii="Garamond" w:hAnsi="Garamond"/>
          <w:sz w:val="24"/>
          <w:szCs w:val="24"/>
        </w:rPr>
        <w:t>ction of indigenous communities</w:t>
      </w:r>
      <w:r>
        <w:rPr>
          <w:rFonts w:ascii="Garamond" w:hAnsi="Garamond"/>
          <w:sz w:val="24"/>
          <w:szCs w:val="24"/>
        </w:rPr>
        <w:t xml:space="preserve"> from </w:t>
      </w:r>
      <w:r w:rsidR="00D60C33">
        <w:rPr>
          <w:rFonts w:ascii="Garamond" w:hAnsi="Garamond"/>
          <w:sz w:val="24"/>
          <w:szCs w:val="24"/>
        </w:rPr>
        <w:t>their</w:t>
      </w:r>
      <w:r>
        <w:rPr>
          <w:rFonts w:ascii="Garamond" w:hAnsi="Garamond"/>
          <w:sz w:val="24"/>
          <w:szCs w:val="24"/>
        </w:rPr>
        <w:t xml:space="preserve"> ancestral </w:t>
      </w:r>
      <w:r w:rsidR="00D60C33">
        <w:rPr>
          <w:rFonts w:ascii="Garamond" w:hAnsi="Garamond"/>
          <w:sz w:val="24"/>
          <w:szCs w:val="24"/>
        </w:rPr>
        <w:t>forest</w:t>
      </w:r>
      <w:r>
        <w:rPr>
          <w:rFonts w:ascii="Garamond" w:hAnsi="Garamond"/>
          <w:sz w:val="24"/>
          <w:szCs w:val="24"/>
        </w:rPr>
        <w:t xml:space="preserve">, </w:t>
      </w:r>
      <w:r w:rsidR="00331931">
        <w:rPr>
          <w:rFonts w:ascii="Garamond" w:hAnsi="Garamond"/>
          <w:sz w:val="24"/>
          <w:szCs w:val="24"/>
        </w:rPr>
        <w:t xml:space="preserve">which </w:t>
      </w:r>
      <w:r w:rsidR="00D60C33">
        <w:rPr>
          <w:rFonts w:ascii="Garamond" w:hAnsi="Garamond"/>
          <w:sz w:val="24"/>
          <w:szCs w:val="24"/>
        </w:rPr>
        <w:t xml:space="preserve">constituted their resource for food, shelter, traditional medicines and the </w:t>
      </w:r>
      <w:r w:rsidR="00F10701">
        <w:rPr>
          <w:rFonts w:ascii="Garamond" w:hAnsi="Garamond"/>
          <w:sz w:val="24"/>
          <w:szCs w:val="24"/>
        </w:rPr>
        <w:t>seat</w:t>
      </w:r>
      <w:r w:rsidR="00D60C33">
        <w:rPr>
          <w:rFonts w:ascii="Garamond" w:hAnsi="Garamond"/>
          <w:sz w:val="24"/>
          <w:szCs w:val="24"/>
        </w:rPr>
        <w:t xml:space="preserve"> of their cultural and religious rituals and ceremonies, amounts</w:t>
      </w:r>
      <w:r w:rsidR="00331931">
        <w:rPr>
          <w:rFonts w:ascii="Garamond" w:hAnsi="Garamond"/>
          <w:sz w:val="24"/>
          <w:szCs w:val="24"/>
        </w:rPr>
        <w:t xml:space="preserve"> to a violation of their right to life protected under the African Charter</w:t>
      </w:r>
      <w:r w:rsidR="00AB7668">
        <w:rPr>
          <w:rFonts w:ascii="Garamond" w:hAnsi="Garamond"/>
          <w:sz w:val="24"/>
          <w:szCs w:val="24"/>
        </w:rPr>
        <w:t xml:space="preserve"> on Human and Peoples' Rights</w:t>
      </w:r>
      <w:r w:rsidR="00331931">
        <w:rPr>
          <w:rFonts w:ascii="Garamond" w:hAnsi="Garamond"/>
          <w:sz w:val="24"/>
          <w:szCs w:val="24"/>
        </w:rPr>
        <w:t>.</w:t>
      </w:r>
      <w:r>
        <w:rPr>
          <w:rFonts w:ascii="Garamond" w:hAnsi="Garamond"/>
          <w:sz w:val="24"/>
          <w:szCs w:val="24"/>
        </w:rPr>
        <w:t xml:space="preserve"> </w:t>
      </w:r>
    </w:p>
    <w:p w:rsidR="00891BBB" w:rsidRDefault="00891BBB" w:rsidP="00534B9D">
      <w:pPr>
        <w:rPr>
          <w:rFonts w:ascii="Garamond" w:hAnsi="Garamond"/>
          <w:sz w:val="24"/>
          <w:szCs w:val="24"/>
        </w:rPr>
      </w:pPr>
      <w:r>
        <w:rPr>
          <w:rFonts w:ascii="Garamond" w:hAnsi="Garamond"/>
          <w:sz w:val="24"/>
          <w:szCs w:val="24"/>
        </w:rPr>
        <w:t xml:space="preserve">MRG argues that this </w:t>
      </w:r>
      <w:r w:rsidR="00D60C33">
        <w:rPr>
          <w:rFonts w:ascii="Garamond" w:hAnsi="Garamond"/>
          <w:sz w:val="24"/>
          <w:szCs w:val="24"/>
        </w:rPr>
        <w:t>interpretation</w:t>
      </w:r>
      <w:r w:rsidR="00331931">
        <w:rPr>
          <w:rFonts w:ascii="Garamond" w:hAnsi="Garamond"/>
          <w:sz w:val="24"/>
          <w:szCs w:val="24"/>
        </w:rPr>
        <w:t xml:space="preserve"> of right to life is in conformity with jurisprudence from the Inter-American Court for Human Rights</w:t>
      </w:r>
      <w:r w:rsidR="00AB7668">
        <w:rPr>
          <w:rFonts w:ascii="Garamond" w:hAnsi="Garamond"/>
          <w:sz w:val="24"/>
          <w:szCs w:val="24"/>
        </w:rPr>
        <w:t xml:space="preserve"> ('</w:t>
      </w:r>
      <w:proofErr w:type="spellStart"/>
      <w:r w:rsidR="00AB7668">
        <w:rPr>
          <w:rFonts w:ascii="Garamond" w:hAnsi="Garamond"/>
          <w:sz w:val="24"/>
          <w:szCs w:val="24"/>
        </w:rPr>
        <w:t>IACtHR</w:t>
      </w:r>
      <w:proofErr w:type="spellEnd"/>
      <w:r w:rsidR="00AB7668">
        <w:rPr>
          <w:rFonts w:ascii="Garamond" w:hAnsi="Garamond"/>
          <w:sz w:val="24"/>
          <w:szCs w:val="24"/>
        </w:rPr>
        <w:t>')</w:t>
      </w:r>
      <w:r w:rsidR="00331931">
        <w:rPr>
          <w:rFonts w:ascii="Garamond" w:hAnsi="Garamond"/>
          <w:sz w:val="24"/>
          <w:szCs w:val="24"/>
        </w:rPr>
        <w:t xml:space="preserve">, from the </w:t>
      </w:r>
      <w:r w:rsidR="00AB7668">
        <w:rPr>
          <w:rFonts w:ascii="Garamond" w:hAnsi="Garamond"/>
          <w:sz w:val="24"/>
          <w:szCs w:val="24"/>
        </w:rPr>
        <w:t>ACHPR</w:t>
      </w:r>
      <w:r w:rsidR="00331931">
        <w:rPr>
          <w:rFonts w:ascii="Garamond" w:hAnsi="Garamond"/>
          <w:sz w:val="24"/>
          <w:szCs w:val="24"/>
        </w:rPr>
        <w:t xml:space="preserve">, and with a general comment from </w:t>
      </w:r>
      <w:proofErr w:type="spellStart"/>
      <w:r w:rsidR="00331931">
        <w:rPr>
          <w:rFonts w:ascii="Garamond" w:hAnsi="Garamond"/>
          <w:sz w:val="24"/>
          <w:szCs w:val="24"/>
        </w:rPr>
        <w:t>the</w:t>
      </w:r>
      <w:r w:rsidR="00AB7668">
        <w:rPr>
          <w:rFonts w:ascii="Garamond" w:hAnsi="Garamond"/>
          <w:sz w:val="24"/>
          <w:szCs w:val="24"/>
        </w:rPr>
        <w:t>CESCR</w:t>
      </w:r>
      <w:proofErr w:type="spellEnd"/>
      <w:r w:rsidR="00D60C33">
        <w:rPr>
          <w:rFonts w:ascii="Garamond" w:hAnsi="Garamond"/>
          <w:sz w:val="24"/>
          <w:szCs w:val="24"/>
        </w:rPr>
        <w:t>.</w:t>
      </w:r>
    </w:p>
    <w:p w:rsidR="002A5FE3" w:rsidRDefault="00D60C33" w:rsidP="00534B9D">
      <w:pPr>
        <w:rPr>
          <w:rFonts w:ascii="Garamond" w:hAnsi="Garamond"/>
          <w:sz w:val="24"/>
          <w:szCs w:val="24"/>
        </w:rPr>
      </w:pPr>
      <w:r>
        <w:rPr>
          <w:rFonts w:ascii="Garamond" w:hAnsi="Garamond"/>
          <w:sz w:val="24"/>
          <w:szCs w:val="24"/>
        </w:rPr>
        <w:t>Indeed, the</w:t>
      </w:r>
      <w:r w:rsidR="00534B9D">
        <w:rPr>
          <w:rFonts w:ascii="Garamond" w:hAnsi="Garamond"/>
          <w:sz w:val="24"/>
          <w:szCs w:val="24"/>
        </w:rPr>
        <w:t xml:space="preserve"> </w:t>
      </w:r>
      <w:proofErr w:type="spellStart"/>
      <w:r w:rsidR="00AB7668">
        <w:rPr>
          <w:rFonts w:ascii="Garamond" w:hAnsi="Garamond"/>
          <w:sz w:val="24"/>
          <w:szCs w:val="24"/>
        </w:rPr>
        <w:t>IACtHR</w:t>
      </w:r>
      <w:proofErr w:type="spellEnd"/>
      <w:r w:rsidR="00534B9D">
        <w:rPr>
          <w:rFonts w:ascii="Garamond" w:hAnsi="Garamond"/>
          <w:sz w:val="24"/>
          <w:szCs w:val="24"/>
        </w:rPr>
        <w:t xml:space="preserve"> held in </w:t>
      </w:r>
      <w:proofErr w:type="spellStart"/>
      <w:r w:rsidR="00534B9D" w:rsidRPr="00534B9D">
        <w:rPr>
          <w:rFonts w:ascii="Garamond" w:hAnsi="Garamond"/>
          <w:i/>
          <w:sz w:val="24"/>
          <w:szCs w:val="24"/>
        </w:rPr>
        <w:t>Yakye</w:t>
      </w:r>
      <w:proofErr w:type="spellEnd"/>
      <w:r w:rsidR="00534B9D" w:rsidRPr="00534B9D">
        <w:rPr>
          <w:rFonts w:ascii="Garamond" w:hAnsi="Garamond"/>
          <w:i/>
          <w:sz w:val="24"/>
          <w:szCs w:val="24"/>
        </w:rPr>
        <w:t xml:space="preserve"> </w:t>
      </w:r>
      <w:proofErr w:type="spellStart"/>
      <w:r w:rsidR="00534B9D" w:rsidRPr="00534B9D">
        <w:rPr>
          <w:rFonts w:ascii="Garamond" w:hAnsi="Garamond"/>
          <w:i/>
          <w:sz w:val="24"/>
          <w:szCs w:val="24"/>
        </w:rPr>
        <w:t>Axa</w:t>
      </w:r>
      <w:proofErr w:type="spellEnd"/>
      <w:r w:rsidR="00534B9D" w:rsidRPr="00534B9D">
        <w:rPr>
          <w:rFonts w:ascii="Garamond" w:hAnsi="Garamond"/>
          <w:i/>
          <w:sz w:val="24"/>
          <w:szCs w:val="24"/>
        </w:rPr>
        <w:t xml:space="preserve"> Indigenous Community v. Paraguay</w:t>
      </w:r>
      <w:r w:rsidR="00534B9D" w:rsidRPr="00534B9D">
        <w:rPr>
          <w:rFonts w:ascii="Garamond" w:hAnsi="Garamond"/>
          <w:sz w:val="24"/>
          <w:szCs w:val="24"/>
        </w:rPr>
        <w:t xml:space="preserve"> </w:t>
      </w:r>
      <w:r w:rsidR="002A5FE3">
        <w:rPr>
          <w:rFonts w:ascii="Garamond" w:hAnsi="Garamond"/>
          <w:sz w:val="24"/>
          <w:szCs w:val="24"/>
        </w:rPr>
        <w:t>that:</w:t>
      </w:r>
    </w:p>
    <w:p w:rsidR="00534B9D" w:rsidRPr="002A5FE3" w:rsidRDefault="002A5FE3" w:rsidP="002A5FE3">
      <w:pPr>
        <w:ind w:left="851" w:right="521"/>
        <w:jc w:val="both"/>
        <w:rPr>
          <w:rFonts w:ascii="Garamond" w:hAnsi="Garamond"/>
        </w:rPr>
      </w:pPr>
      <w:r w:rsidRPr="002A5FE3">
        <w:rPr>
          <w:rFonts w:ascii="Garamond" w:hAnsi="Garamond"/>
        </w:rPr>
        <w:t>“</w:t>
      </w:r>
      <w:r w:rsidR="00534B9D" w:rsidRPr="002A5FE3">
        <w:rPr>
          <w:rFonts w:ascii="Garamond" w:hAnsi="Garamond"/>
        </w:rPr>
        <w:t>[</w:t>
      </w:r>
      <w:proofErr w:type="gramStart"/>
      <w:r w:rsidR="00534B9D" w:rsidRPr="002A5FE3">
        <w:rPr>
          <w:rFonts w:ascii="Garamond" w:hAnsi="Garamond"/>
        </w:rPr>
        <w:t>right</w:t>
      </w:r>
      <w:proofErr w:type="gramEnd"/>
      <w:r w:rsidR="00534B9D" w:rsidRPr="002A5FE3">
        <w:rPr>
          <w:rFonts w:ascii="Garamond" w:hAnsi="Garamond"/>
        </w:rPr>
        <w:t xml:space="preserve"> to life] includes not only the right of every human being not to be arbitrarily deprived of his life, but also the right that conditions that impede or obstruct access to a decent existence should not be generated. One of the obligations that the State must inescapably undertake as guarantor, to protect and ensure the right to life, is that of generating minimum living conditions that are compatible with the dignity of the human person and of not creating conditions that hinder or impede it.</w:t>
      </w:r>
      <w:r w:rsidRPr="002A5FE3">
        <w:rPr>
          <w:rFonts w:ascii="Garamond" w:hAnsi="Garamond"/>
        </w:rPr>
        <w:t>”</w:t>
      </w:r>
      <w:r w:rsidR="00534B9D" w:rsidRPr="002A5FE3">
        <w:rPr>
          <w:rStyle w:val="Marquenotebasdepage"/>
          <w:rFonts w:ascii="Garamond" w:hAnsi="Garamond"/>
        </w:rPr>
        <w:footnoteReference w:id="2"/>
      </w:r>
    </w:p>
    <w:p w:rsidR="002A5FE3" w:rsidRPr="002A5FE3" w:rsidRDefault="002A5FE3" w:rsidP="002A5FE3">
      <w:pPr>
        <w:rPr>
          <w:rFonts w:ascii="Garamond" w:hAnsi="Garamond"/>
          <w:sz w:val="24"/>
          <w:szCs w:val="24"/>
        </w:rPr>
      </w:pPr>
      <w:r>
        <w:rPr>
          <w:rFonts w:ascii="Garamond" w:hAnsi="Garamond"/>
          <w:sz w:val="24"/>
          <w:szCs w:val="24"/>
        </w:rPr>
        <w:t xml:space="preserve">The </w:t>
      </w:r>
      <w:r w:rsidR="00AB7668">
        <w:rPr>
          <w:rFonts w:ascii="Garamond" w:hAnsi="Garamond"/>
          <w:sz w:val="24"/>
          <w:szCs w:val="24"/>
        </w:rPr>
        <w:t>ACHPR</w:t>
      </w:r>
      <w:r>
        <w:rPr>
          <w:rFonts w:ascii="Garamond" w:hAnsi="Garamond"/>
          <w:sz w:val="24"/>
          <w:szCs w:val="24"/>
        </w:rPr>
        <w:t xml:space="preserve"> also found in </w:t>
      </w:r>
      <w:r w:rsidR="00AB7668" w:rsidRPr="00B36688">
        <w:rPr>
          <w:rFonts w:ascii="Garamond" w:hAnsi="Garamond"/>
          <w:i/>
          <w:sz w:val="24"/>
          <w:szCs w:val="24"/>
        </w:rPr>
        <w:t xml:space="preserve">Centre for Minority Rights Development and Minority Rights Group International on behalf of </w:t>
      </w:r>
      <w:proofErr w:type="spellStart"/>
      <w:r w:rsidR="00AB7668" w:rsidRPr="00B36688">
        <w:rPr>
          <w:rFonts w:ascii="Garamond" w:hAnsi="Garamond"/>
          <w:i/>
          <w:sz w:val="24"/>
          <w:szCs w:val="24"/>
        </w:rPr>
        <w:t>Endorois</w:t>
      </w:r>
      <w:proofErr w:type="spellEnd"/>
      <w:r w:rsidR="00AB7668" w:rsidRPr="00B36688">
        <w:rPr>
          <w:rFonts w:ascii="Garamond" w:hAnsi="Garamond"/>
          <w:i/>
          <w:sz w:val="24"/>
          <w:szCs w:val="24"/>
        </w:rPr>
        <w:t xml:space="preserve"> Welfare Council v Kenya</w:t>
      </w:r>
      <w:r w:rsidR="00AB7668" w:rsidRPr="00B36688">
        <w:rPr>
          <w:rFonts w:ascii="Garamond" w:hAnsi="Garamond"/>
          <w:sz w:val="24"/>
          <w:szCs w:val="24"/>
        </w:rPr>
        <w:t xml:space="preserve">, </w:t>
      </w:r>
      <w:r>
        <w:rPr>
          <w:rFonts w:ascii="Garamond" w:hAnsi="Garamond"/>
          <w:sz w:val="24"/>
          <w:szCs w:val="24"/>
        </w:rPr>
        <w:t>that:</w:t>
      </w:r>
    </w:p>
    <w:p w:rsidR="002A5FE3" w:rsidRPr="005D517B" w:rsidRDefault="002A5FE3" w:rsidP="005D517B">
      <w:pPr>
        <w:tabs>
          <w:tab w:val="left" w:pos="709"/>
        </w:tabs>
        <w:ind w:left="851" w:right="521"/>
        <w:jc w:val="both"/>
        <w:rPr>
          <w:rFonts w:ascii="Garamond" w:hAnsi="Garamond"/>
          <w:lang w:val="en-US"/>
        </w:rPr>
      </w:pPr>
      <w:r w:rsidRPr="002A5FE3">
        <w:rPr>
          <w:rFonts w:ascii="Garamond" w:hAnsi="Garamond"/>
          <w:lang w:val="en-US"/>
        </w:rPr>
        <w:t>“</w:t>
      </w:r>
      <w:proofErr w:type="gramStart"/>
      <w:r w:rsidRPr="002A5FE3">
        <w:rPr>
          <w:rFonts w:ascii="Garamond" w:hAnsi="Garamond"/>
          <w:lang w:val="en-US"/>
        </w:rPr>
        <w:t>the</w:t>
      </w:r>
      <w:proofErr w:type="gramEnd"/>
      <w:r w:rsidRPr="002A5FE3">
        <w:rPr>
          <w:rFonts w:ascii="Garamond" w:hAnsi="Garamond"/>
          <w:lang w:val="en-US"/>
        </w:rPr>
        <w:t xml:space="preserve"> fallout from forcibly dispossessing indigenous peoples from their ancestral land could amount to an Article 4 violation (right to life) if the living conditions of the community are incompatible with the principles of human dignity”</w:t>
      </w:r>
      <w:r w:rsidRPr="002A5FE3">
        <w:rPr>
          <w:rStyle w:val="Marquenotebasdepage"/>
          <w:rFonts w:ascii="Garamond" w:hAnsi="Garamond" w:cs="Arial"/>
          <w:lang w:val="en-US"/>
        </w:rPr>
        <w:footnoteReference w:id="3"/>
      </w:r>
      <w:r w:rsidRPr="002A5FE3">
        <w:rPr>
          <w:rFonts w:ascii="Garamond" w:hAnsi="Garamond"/>
          <w:lang w:val="en-US"/>
        </w:rPr>
        <w:t xml:space="preserve"> </w:t>
      </w:r>
    </w:p>
    <w:p w:rsidR="002A5FE3" w:rsidRPr="002A5FE3" w:rsidRDefault="002A5FE3" w:rsidP="002A5FE3">
      <w:pPr>
        <w:pStyle w:val="ColorfulList-Accent11"/>
        <w:spacing w:after="160" w:line="360" w:lineRule="auto"/>
        <w:ind w:left="0"/>
        <w:jc w:val="both"/>
        <w:rPr>
          <w:rFonts w:ascii="Garamond" w:hAnsi="Garamond" w:cs="Arial"/>
          <w:sz w:val="24"/>
          <w:szCs w:val="24"/>
        </w:rPr>
      </w:pPr>
      <w:r w:rsidRPr="002A5FE3">
        <w:rPr>
          <w:rFonts w:ascii="Garamond" w:hAnsi="Garamond" w:cs="Arial"/>
          <w:sz w:val="24"/>
          <w:szCs w:val="24"/>
        </w:rPr>
        <w:t xml:space="preserve">With regard to the possible effects of forced evictions, the </w:t>
      </w:r>
      <w:r w:rsidR="00AB7668">
        <w:rPr>
          <w:rFonts w:ascii="Garamond" w:hAnsi="Garamond" w:cs="Arial"/>
          <w:sz w:val="24"/>
          <w:szCs w:val="24"/>
        </w:rPr>
        <w:t>CESCR</w:t>
      </w:r>
      <w:r w:rsidRPr="002A5FE3">
        <w:rPr>
          <w:rFonts w:ascii="Garamond" w:hAnsi="Garamond" w:cs="Arial"/>
          <w:sz w:val="24"/>
          <w:szCs w:val="24"/>
        </w:rPr>
        <w:t xml:space="preserve"> has also clearly recognised the link between forced evictions and the right to life, stating</w:t>
      </w:r>
      <w:r w:rsidR="00F10701">
        <w:rPr>
          <w:rFonts w:ascii="Garamond" w:hAnsi="Garamond" w:cs="Arial"/>
          <w:sz w:val="24"/>
          <w:szCs w:val="24"/>
        </w:rPr>
        <w:t xml:space="preserve"> in its General Comment No. 7</w:t>
      </w:r>
      <w:r w:rsidRPr="002A5FE3">
        <w:rPr>
          <w:rFonts w:ascii="Garamond" w:hAnsi="Garamond" w:cs="Arial"/>
          <w:sz w:val="24"/>
          <w:szCs w:val="24"/>
        </w:rPr>
        <w:t>:</w:t>
      </w:r>
    </w:p>
    <w:p w:rsidR="002A5FE3" w:rsidRPr="005D517B" w:rsidRDefault="002A5FE3" w:rsidP="005D517B">
      <w:pPr>
        <w:ind w:left="851" w:right="521"/>
        <w:rPr>
          <w:rFonts w:ascii="Garamond" w:hAnsi="Garamond"/>
        </w:rPr>
      </w:pPr>
      <w:r w:rsidRPr="005D517B">
        <w:rPr>
          <w:rFonts w:ascii="Garamond" w:hAnsi="Garamond"/>
        </w:rPr>
        <w:lastRenderedPageBreak/>
        <w:t>“The practice of forced evictions is widespread and affects persons in both developed and developing countries. Owing to the interr</w:t>
      </w:r>
      <w:r w:rsidR="0011221F" w:rsidRPr="005D517B">
        <w:rPr>
          <w:rFonts w:ascii="Garamond" w:hAnsi="Garamond"/>
        </w:rPr>
        <w:t xml:space="preserve">elationship and </w:t>
      </w:r>
      <w:proofErr w:type="gramStart"/>
      <w:r w:rsidR="0011221F" w:rsidRPr="005D517B">
        <w:rPr>
          <w:rFonts w:ascii="Garamond" w:hAnsi="Garamond"/>
        </w:rPr>
        <w:t xml:space="preserve">interdependency </w:t>
      </w:r>
      <w:r w:rsidRPr="005D517B">
        <w:rPr>
          <w:rFonts w:ascii="Garamond" w:hAnsi="Garamond"/>
        </w:rPr>
        <w:t>which</w:t>
      </w:r>
      <w:proofErr w:type="gramEnd"/>
      <w:r w:rsidRPr="005D517B">
        <w:rPr>
          <w:rFonts w:ascii="Garamond" w:hAnsi="Garamond"/>
        </w:rPr>
        <w:t xml:space="preserve"> exist among all human rights, forced evictions frequently violate other human rights. Thus, while manifestly breaching the rights enshrined in the Covenant, the practice of forced evictions may also result in violations of civil and political rights, such as the right to life, the right to security of the person, the right to non-interference with privacy, family and home and the right to the peaceful enjoyment of possessions.”</w:t>
      </w:r>
      <w:r w:rsidRPr="005D517B">
        <w:rPr>
          <w:rStyle w:val="Marquenotebasdepage"/>
          <w:rFonts w:ascii="Garamond" w:hAnsi="Garamond" w:cs="Arial"/>
        </w:rPr>
        <w:footnoteReference w:id="4"/>
      </w:r>
    </w:p>
    <w:p w:rsidR="00184C84" w:rsidRPr="001628FE" w:rsidRDefault="001628FE" w:rsidP="00FC1BDA">
      <w:pPr>
        <w:rPr>
          <w:rFonts w:ascii="Garamond" w:hAnsi="Garamond"/>
          <w:sz w:val="24"/>
          <w:szCs w:val="24"/>
        </w:rPr>
      </w:pPr>
      <w:r>
        <w:rPr>
          <w:rFonts w:ascii="Garamond" w:hAnsi="Garamond"/>
          <w:sz w:val="24"/>
          <w:szCs w:val="24"/>
        </w:rPr>
        <w:t>In light of these developments in human rights law and jurisprudence, MRG calls on the Human Rights Committee to reflect in its General Comment the fact that the “</w:t>
      </w:r>
      <w:r w:rsidRPr="001628FE">
        <w:rPr>
          <w:rFonts w:ascii="Garamond" w:hAnsi="Garamond"/>
          <w:sz w:val="24"/>
          <w:szCs w:val="24"/>
        </w:rPr>
        <w:t>inherent right to life</w:t>
      </w:r>
      <w:r>
        <w:rPr>
          <w:rFonts w:ascii="Garamond" w:hAnsi="Garamond"/>
          <w:sz w:val="24"/>
          <w:szCs w:val="24"/>
        </w:rPr>
        <w:t>” that should be protected by law implies, beyond a pr</w:t>
      </w:r>
      <w:r w:rsidR="00F10701">
        <w:rPr>
          <w:rFonts w:ascii="Garamond" w:hAnsi="Garamond"/>
          <w:sz w:val="24"/>
          <w:szCs w:val="24"/>
        </w:rPr>
        <w:t>otection against arbitrary de</w:t>
      </w:r>
      <w:r>
        <w:rPr>
          <w:rFonts w:ascii="Garamond" w:hAnsi="Garamond"/>
          <w:sz w:val="24"/>
          <w:szCs w:val="24"/>
        </w:rPr>
        <w:t>privation</w:t>
      </w:r>
      <w:r w:rsidR="00F10701">
        <w:rPr>
          <w:rFonts w:ascii="Garamond" w:hAnsi="Garamond"/>
          <w:sz w:val="24"/>
          <w:szCs w:val="24"/>
        </w:rPr>
        <w:t>s of life, a protection against</w:t>
      </w:r>
      <w:r>
        <w:rPr>
          <w:rFonts w:ascii="Garamond" w:hAnsi="Garamond"/>
          <w:sz w:val="24"/>
          <w:szCs w:val="24"/>
        </w:rPr>
        <w:t xml:space="preserve"> an</w:t>
      </w:r>
      <w:r w:rsidR="00F10701">
        <w:rPr>
          <w:rFonts w:ascii="Garamond" w:hAnsi="Garamond"/>
          <w:sz w:val="24"/>
          <w:szCs w:val="24"/>
        </w:rPr>
        <w:t>y arbitrary deprivation of</w:t>
      </w:r>
      <w:r w:rsidRPr="005D517B">
        <w:rPr>
          <w:rFonts w:ascii="Garamond" w:hAnsi="Garamond"/>
          <w:sz w:val="24"/>
          <w:szCs w:val="24"/>
        </w:rPr>
        <w:t xml:space="preserve"> access to the necessary conditions for a life in dignity</w:t>
      </w:r>
      <w:r>
        <w:rPr>
          <w:rFonts w:ascii="Garamond" w:hAnsi="Garamond"/>
          <w:sz w:val="24"/>
          <w:szCs w:val="24"/>
        </w:rPr>
        <w:t>.</w:t>
      </w:r>
    </w:p>
    <w:p w:rsidR="00184C84" w:rsidRDefault="00184C84" w:rsidP="00FC1BDA">
      <w:pPr>
        <w:rPr>
          <w:rFonts w:ascii="Garamond" w:hAnsi="Garamond"/>
          <w:b/>
          <w:sz w:val="24"/>
          <w:szCs w:val="24"/>
        </w:rPr>
      </w:pPr>
    </w:p>
    <w:p w:rsidR="00B36688" w:rsidRDefault="00B36688" w:rsidP="00FC1BDA">
      <w:pPr>
        <w:rPr>
          <w:rFonts w:ascii="Garamond" w:hAnsi="Garamond"/>
          <w:b/>
          <w:sz w:val="24"/>
          <w:szCs w:val="24"/>
        </w:rPr>
      </w:pPr>
    </w:p>
    <w:p w:rsidR="00B36688" w:rsidRPr="00FC1BDA" w:rsidRDefault="00B36688" w:rsidP="00FC1BDA">
      <w:pPr>
        <w:rPr>
          <w:rFonts w:ascii="Garamond" w:hAnsi="Garamond"/>
          <w:b/>
          <w:sz w:val="24"/>
          <w:szCs w:val="24"/>
        </w:rPr>
      </w:pPr>
    </w:p>
    <w:p w:rsidR="00184C84" w:rsidRDefault="008253CD" w:rsidP="00F1070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967"/>
        </w:tabs>
        <w:rPr>
          <w:rFonts w:ascii="Garamond" w:hAnsi="Garamond"/>
          <w:b/>
          <w:sz w:val="24"/>
          <w:szCs w:val="24"/>
        </w:rPr>
      </w:pPr>
      <w:r>
        <w:rPr>
          <w:rFonts w:ascii="Garamond" w:hAnsi="Garamond"/>
          <w:b/>
          <w:sz w:val="24"/>
          <w:szCs w:val="24"/>
        </w:rPr>
        <w:t>BACKGROUND OF</w:t>
      </w:r>
      <w:r w:rsidR="00891BBB">
        <w:rPr>
          <w:rFonts w:ascii="Garamond" w:hAnsi="Garamond"/>
          <w:b/>
          <w:sz w:val="24"/>
          <w:szCs w:val="24"/>
        </w:rPr>
        <w:t xml:space="preserve"> THE CASE</w:t>
      </w:r>
      <w:r>
        <w:rPr>
          <w:rFonts w:ascii="Garamond" w:hAnsi="Garamond"/>
          <w:b/>
          <w:sz w:val="24"/>
          <w:szCs w:val="24"/>
        </w:rPr>
        <w:t xml:space="preserve"> DISCUSSED HEREAFTER</w:t>
      </w:r>
      <w:r w:rsidR="00891BBB">
        <w:rPr>
          <w:rFonts w:ascii="Garamond" w:hAnsi="Garamond"/>
          <w:b/>
          <w:sz w:val="24"/>
          <w:szCs w:val="24"/>
        </w:rPr>
        <w:t>:</w:t>
      </w:r>
      <w:r w:rsidR="00F10701">
        <w:rPr>
          <w:rFonts w:ascii="Garamond" w:hAnsi="Garamond"/>
          <w:b/>
          <w:sz w:val="24"/>
          <w:szCs w:val="24"/>
        </w:rPr>
        <w:tab/>
      </w:r>
    </w:p>
    <w:p w:rsidR="00891BBB" w:rsidRPr="00891BBB" w:rsidRDefault="00891BBB" w:rsidP="00F1070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sidRPr="00891BBB">
        <w:rPr>
          <w:rFonts w:ascii="Garamond" w:hAnsi="Garamond"/>
          <w:sz w:val="24"/>
          <w:szCs w:val="24"/>
        </w:rPr>
        <w:t xml:space="preserve">The </w:t>
      </w:r>
      <w:proofErr w:type="spellStart"/>
      <w:r w:rsidRPr="00891BBB">
        <w:rPr>
          <w:rFonts w:ascii="Garamond" w:hAnsi="Garamond"/>
          <w:sz w:val="24"/>
          <w:szCs w:val="24"/>
        </w:rPr>
        <w:t>Ogiek</w:t>
      </w:r>
      <w:proofErr w:type="spellEnd"/>
      <w:r w:rsidRPr="00891BBB">
        <w:rPr>
          <w:rFonts w:ascii="Garamond" w:hAnsi="Garamond"/>
          <w:sz w:val="24"/>
          <w:szCs w:val="24"/>
        </w:rPr>
        <w:t xml:space="preserve"> are one of the last remaining forest-dwelling communities and one of the most marginalised indigenous peoples in Kenya. The </w:t>
      </w:r>
      <w:proofErr w:type="spellStart"/>
      <w:r w:rsidRPr="00891BBB">
        <w:rPr>
          <w:rFonts w:ascii="Garamond" w:hAnsi="Garamond"/>
          <w:sz w:val="24"/>
          <w:szCs w:val="24"/>
        </w:rPr>
        <w:t>Ogiek</w:t>
      </w:r>
      <w:proofErr w:type="spellEnd"/>
      <w:r w:rsidRPr="00891BBB">
        <w:rPr>
          <w:rFonts w:ascii="Garamond" w:hAnsi="Garamond"/>
          <w:sz w:val="24"/>
          <w:szCs w:val="24"/>
        </w:rPr>
        <w:t xml:space="preserve"> allege violation of their rights to life, property, natural resources, development, religion and culture by the Kenyan government under the African Charter on Human and Peoples' Rights, to which Kenya is a party.</w:t>
      </w:r>
    </w:p>
    <w:p w:rsidR="00184C84" w:rsidRPr="008253CD" w:rsidRDefault="00891BBB" w:rsidP="00F1070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b/>
          <w:sz w:val="24"/>
          <w:szCs w:val="24"/>
        </w:rPr>
      </w:pPr>
      <w:r w:rsidRPr="00891BBB">
        <w:rPr>
          <w:rFonts w:ascii="Garamond" w:hAnsi="Garamond"/>
          <w:sz w:val="24"/>
          <w:szCs w:val="24"/>
        </w:rPr>
        <w:t>For many years they have either been evicted or repeatedly threatened with eviction from their ancestral land by the Kenyan Government.</w:t>
      </w:r>
      <w:r w:rsidR="008253CD" w:rsidRPr="008253CD">
        <w:rPr>
          <w:rFonts w:ascii="Garamond" w:hAnsi="Garamond"/>
          <w:sz w:val="24"/>
          <w:szCs w:val="24"/>
        </w:rPr>
        <w:t xml:space="preserve"> </w:t>
      </w:r>
      <w:r w:rsidR="008253CD" w:rsidRPr="00D60C33">
        <w:rPr>
          <w:rFonts w:ascii="Garamond" w:hAnsi="Garamond"/>
          <w:sz w:val="24"/>
          <w:szCs w:val="24"/>
        </w:rPr>
        <w:t xml:space="preserve">The </w:t>
      </w:r>
      <w:proofErr w:type="spellStart"/>
      <w:r w:rsidR="008253CD" w:rsidRPr="00D60C33">
        <w:rPr>
          <w:rFonts w:ascii="Garamond" w:hAnsi="Garamond"/>
          <w:sz w:val="24"/>
          <w:szCs w:val="24"/>
        </w:rPr>
        <w:t>Ogiek’s</w:t>
      </w:r>
      <w:proofErr w:type="spellEnd"/>
      <w:r w:rsidR="008253CD" w:rsidRPr="00D60C33">
        <w:rPr>
          <w:rFonts w:ascii="Garamond" w:hAnsi="Garamond"/>
          <w:sz w:val="24"/>
          <w:szCs w:val="24"/>
        </w:rPr>
        <w:t xml:space="preserve"> ancestral land in the Mau Forest provided them with a constant supply of food, in the form of game and honey.   It </w:t>
      </w:r>
      <w:r w:rsidR="008253CD">
        <w:rPr>
          <w:rFonts w:ascii="Garamond" w:hAnsi="Garamond"/>
          <w:sz w:val="24"/>
          <w:szCs w:val="24"/>
        </w:rPr>
        <w:t>also provided them with shelter</w:t>
      </w:r>
      <w:r w:rsidR="008253CD" w:rsidRPr="00D60C33">
        <w:rPr>
          <w:rFonts w:ascii="Garamond" w:hAnsi="Garamond"/>
          <w:sz w:val="24"/>
          <w:szCs w:val="24"/>
        </w:rPr>
        <w:t>, traditional medicines</w:t>
      </w:r>
      <w:proofErr w:type="gramStart"/>
      <w:r w:rsidR="008253CD" w:rsidRPr="00D60C33">
        <w:rPr>
          <w:rFonts w:ascii="Garamond" w:hAnsi="Garamond"/>
          <w:sz w:val="24"/>
          <w:szCs w:val="24"/>
        </w:rPr>
        <w:t>,  plants</w:t>
      </w:r>
      <w:proofErr w:type="gramEnd"/>
      <w:r w:rsidR="008253CD" w:rsidRPr="00D60C33">
        <w:rPr>
          <w:rFonts w:ascii="Garamond" w:hAnsi="Garamond"/>
          <w:sz w:val="24"/>
          <w:szCs w:val="24"/>
        </w:rPr>
        <w:t xml:space="preserve"> for traditional purposes , an area for cultural rituals and ceremonies, religious ceremonies,  and indeed for social organisation</w:t>
      </w:r>
      <w:r w:rsidR="008253CD">
        <w:rPr>
          <w:rFonts w:ascii="Garamond" w:hAnsi="Garamond"/>
          <w:sz w:val="24"/>
          <w:szCs w:val="24"/>
        </w:rPr>
        <w:t>.</w:t>
      </w:r>
    </w:p>
    <w:p w:rsidR="00184C84" w:rsidRDefault="00AB7668" w:rsidP="00F1070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Pr>
          <w:rFonts w:ascii="Garamond" w:hAnsi="Garamond"/>
          <w:sz w:val="24"/>
          <w:szCs w:val="24"/>
        </w:rPr>
        <w:t>MRG and t</w:t>
      </w:r>
      <w:r w:rsidR="00891BBB" w:rsidRPr="00891BBB">
        <w:rPr>
          <w:rFonts w:ascii="Garamond" w:hAnsi="Garamond"/>
          <w:sz w:val="24"/>
          <w:szCs w:val="24"/>
        </w:rPr>
        <w:t xml:space="preserve">he </w:t>
      </w:r>
      <w:proofErr w:type="spellStart"/>
      <w:r w:rsidR="00891BBB" w:rsidRPr="00891BBB">
        <w:rPr>
          <w:rFonts w:ascii="Garamond" w:hAnsi="Garamond"/>
          <w:sz w:val="24"/>
          <w:szCs w:val="24"/>
        </w:rPr>
        <w:t>Ogiek</w:t>
      </w:r>
      <w:proofErr w:type="spellEnd"/>
      <w:r w:rsidR="00891BBB" w:rsidRPr="00891BBB">
        <w:rPr>
          <w:rFonts w:ascii="Garamond" w:hAnsi="Garamond"/>
          <w:sz w:val="24"/>
          <w:szCs w:val="24"/>
        </w:rPr>
        <w:t xml:space="preserve"> community lodged a case at the ACHPR, challenging the Government’s gazetting and subsequent de-gazetting and excision of the </w:t>
      </w:r>
      <w:proofErr w:type="spellStart"/>
      <w:r w:rsidR="00891BBB" w:rsidRPr="00891BBB">
        <w:rPr>
          <w:rFonts w:ascii="Garamond" w:hAnsi="Garamond"/>
          <w:sz w:val="24"/>
          <w:szCs w:val="24"/>
        </w:rPr>
        <w:t>Ogiek</w:t>
      </w:r>
      <w:proofErr w:type="spellEnd"/>
      <w:r w:rsidR="00891BBB" w:rsidRPr="00891BBB">
        <w:rPr>
          <w:rFonts w:ascii="Garamond" w:hAnsi="Garamond"/>
          <w:sz w:val="24"/>
          <w:szCs w:val="24"/>
        </w:rPr>
        <w:t xml:space="preserve"> community from their land, their unlawful allocation of this land to other non-</w:t>
      </w:r>
      <w:proofErr w:type="spellStart"/>
      <w:r w:rsidR="00891BBB" w:rsidRPr="00891BBB">
        <w:rPr>
          <w:rFonts w:ascii="Garamond" w:hAnsi="Garamond"/>
          <w:sz w:val="24"/>
          <w:szCs w:val="24"/>
        </w:rPr>
        <w:t>Ogiek</w:t>
      </w:r>
      <w:proofErr w:type="spellEnd"/>
      <w:r w:rsidR="00891BBB" w:rsidRPr="00891BBB">
        <w:rPr>
          <w:rFonts w:ascii="Garamond" w:hAnsi="Garamond"/>
          <w:sz w:val="24"/>
          <w:szCs w:val="24"/>
        </w:rPr>
        <w:t xml:space="preserve"> individuals, and continuous threats of further eviction.</w:t>
      </w:r>
      <w:r>
        <w:rPr>
          <w:rFonts w:ascii="Garamond" w:hAnsi="Garamond"/>
          <w:sz w:val="24"/>
          <w:szCs w:val="24"/>
        </w:rPr>
        <w:t xml:space="preserve">  The case was referred by the ACHPR to the </w:t>
      </w:r>
      <w:proofErr w:type="spellStart"/>
      <w:r>
        <w:rPr>
          <w:rFonts w:ascii="Garamond" w:hAnsi="Garamond"/>
          <w:sz w:val="24"/>
          <w:szCs w:val="24"/>
        </w:rPr>
        <w:t>ACtHPR</w:t>
      </w:r>
      <w:proofErr w:type="spellEnd"/>
      <w:r>
        <w:rPr>
          <w:rFonts w:ascii="Garamond" w:hAnsi="Garamond"/>
          <w:sz w:val="24"/>
          <w:szCs w:val="24"/>
        </w:rPr>
        <w:t xml:space="preserve"> in 2012, on the basis that it evinced serious and mass human rights violations.  </w:t>
      </w:r>
    </w:p>
    <w:p w:rsidR="008253CD" w:rsidRPr="00891BBB" w:rsidRDefault="00AB7668" w:rsidP="00F1070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sz w:val="24"/>
          <w:szCs w:val="24"/>
        </w:rPr>
      </w:pPr>
      <w:r>
        <w:rPr>
          <w:rFonts w:ascii="Garamond" w:hAnsi="Garamond"/>
          <w:sz w:val="24"/>
          <w:szCs w:val="24"/>
        </w:rPr>
        <w:t xml:space="preserve">The Applicant's merits submissions before the </w:t>
      </w:r>
      <w:proofErr w:type="spellStart"/>
      <w:r>
        <w:rPr>
          <w:rFonts w:ascii="Garamond" w:hAnsi="Garamond"/>
          <w:sz w:val="24"/>
          <w:szCs w:val="24"/>
        </w:rPr>
        <w:t>ACtHPR</w:t>
      </w:r>
      <w:proofErr w:type="spellEnd"/>
      <w:r>
        <w:rPr>
          <w:rFonts w:ascii="Garamond" w:hAnsi="Garamond"/>
          <w:sz w:val="24"/>
          <w:szCs w:val="24"/>
        </w:rPr>
        <w:t xml:space="preserve">, </w:t>
      </w:r>
      <w:r w:rsidRPr="00B36688">
        <w:rPr>
          <w:rFonts w:ascii="Garamond" w:hAnsi="Garamond"/>
          <w:i/>
          <w:sz w:val="24"/>
          <w:szCs w:val="24"/>
        </w:rPr>
        <w:t>inter alia</w:t>
      </w:r>
      <w:r>
        <w:rPr>
          <w:rFonts w:ascii="Garamond" w:hAnsi="Garamond"/>
          <w:sz w:val="24"/>
          <w:szCs w:val="24"/>
        </w:rPr>
        <w:t xml:space="preserve">, </w:t>
      </w:r>
      <w:r w:rsidR="008253CD">
        <w:rPr>
          <w:rFonts w:ascii="Garamond" w:hAnsi="Garamond"/>
          <w:sz w:val="24"/>
          <w:szCs w:val="24"/>
        </w:rPr>
        <w:t>claim</w:t>
      </w:r>
      <w:r>
        <w:rPr>
          <w:rFonts w:ascii="Garamond" w:hAnsi="Garamond"/>
          <w:sz w:val="24"/>
          <w:szCs w:val="24"/>
        </w:rPr>
        <w:t>ed</w:t>
      </w:r>
      <w:r w:rsidR="008253CD">
        <w:rPr>
          <w:rFonts w:ascii="Garamond" w:hAnsi="Garamond"/>
          <w:sz w:val="24"/>
          <w:szCs w:val="24"/>
        </w:rPr>
        <w:t xml:space="preserve"> that the right to life of the </w:t>
      </w:r>
      <w:proofErr w:type="spellStart"/>
      <w:r w:rsidR="008253CD">
        <w:rPr>
          <w:rFonts w:ascii="Garamond" w:hAnsi="Garamond"/>
          <w:sz w:val="24"/>
          <w:szCs w:val="24"/>
        </w:rPr>
        <w:t>Ogiek</w:t>
      </w:r>
      <w:proofErr w:type="spellEnd"/>
      <w:r w:rsidR="008253CD">
        <w:rPr>
          <w:rFonts w:ascii="Garamond" w:hAnsi="Garamond"/>
          <w:sz w:val="24"/>
          <w:szCs w:val="24"/>
        </w:rPr>
        <w:t xml:space="preserve"> communities had been violated by Kenya through these forced evictions.</w:t>
      </w:r>
      <w:r>
        <w:rPr>
          <w:rFonts w:ascii="Garamond" w:hAnsi="Garamond"/>
          <w:sz w:val="24"/>
          <w:szCs w:val="24"/>
        </w:rPr>
        <w:t xml:space="preserve">  The </w:t>
      </w:r>
      <w:proofErr w:type="gramStart"/>
      <w:r>
        <w:rPr>
          <w:rFonts w:ascii="Garamond" w:hAnsi="Garamond"/>
          <w:sz w:val="24"/>
          <w:szCs w:val="24"/>
        </w:rPr>
        <w:t xml:space="preserve">case was heard by the </w:t>
      </w:r>
      <w:proofErr w:type="spellStart"/>
      <w:r>
        <w:rPr>
          <w:rFonts w:ascii="Garamond" w:hAnsi="Garamond"/>
          <w:sz w:val="24"/>
          <w:szCs w:val="24"/>
        </w:rPr>
        <w:t>ACtHPR</w:t>
      </w:r>
      <w:proofErr w:type="spellEnd"/>
      <w:proofErr w:type="gramEnd"/>
      <w:r>
        <w:rPr>
          <w:rFonts w:ascii="Garamond" w:hAnsi="Garamond"/>
          <w:sz w:val="24"/>
          <w:szCs w:val="24"/>
        </w:rPr>
        <w:t xml:space="preserve"> in November 2014 and judgment is hoped for 2015. </w:t>
      </w:r>
    </w:p>
    <w:p w:rsidR="00AB7668" w:rsidRDefault="00AB7668">
      <w:pPr>
        <w:rPr>
          <w:rFonts w:ascii="Garamond" w:hAnsi="Garamond"/>
          <w:b/>
          <w:sz w:val="24"/>
          <w:szCs w:val="24"/>
        </w:rPr>
      </w:pPr>
    </w:p>
    <w:p w:rsidR="00184C84" w:rsidRPr="00FC1BDA" w:rsidRDefault="00184C84" w:rsidP="00FC1BDA">
      <w:pPr>
        <w:rPr>
          <w:rFonts w:ascii="Garamond" w:hAnsi="Garamond"/>
          <w:b/>
          <w:sz w:val="24"/>
          <w:szCs w:val="24"/>
        </w:rPr>
      </w:pPr>
    </w:p>
    <w:p w:rsidR="001628FE" w:rsidRPr="001628FE" w:rsidRDefault="001628FE" w:rsidP="001628FE">
      <w:pPr>
        <w:pStyle w:val="Sansinterligne"/>
        <w:pBdr>
          <w:top w:val="single" w:sz="4" w:space="1" w:color="auto"/>
          <w:left w:val="single" w:sz="4" w:space="4" w:color="auto"/>
          <w:bottom w:val="single" w:sz="4" w:space="1" w:color="auto"/>
          <w:right w:val="single" w:sz="4" w:space="4" w:color="auto"/>
        </w:pBdr>
        <w:jc w:val="center"/>
        <w:rPr>
          <w:rFonts w:ascii="Garamond" w:hAnsi="Garamond"/>
          <w:b/>
          <w:sz w:val="26"/>
          <w:szCs w:val="26"/>
        </w:rPr>
      </w:pPr>
      <w:r w:rsidRPr="001628FE">
        <w:rPr>
          <w:rFonts w:ascii="Garamond" w:hAnsi="Garamond"/>
          <w:b/>
          <w:sz w:val="26"/>
          <w:szCs w:val="26"/>
        </w:rPr>
        <w:lastRenderedPageBreak/>
        <w:t>Extract from Minority Rights Group International’s Submission on the Merits</w:t>
      </w:r>
    </w:p>
    <w:p w:rsidR="00F10701" w:rsidRDefault="001628FE" w:rsidP="001628FE">
      <w:pPr>
        <w:pStyle w:val="Sansinterligne"/>
        <w:pBdr>
          <w:top w:val="single" w:sz="4" w:space="1" w:color="auto"/>
          <w:left w:val="single" w:sz="4" w:space="4" w:color="auto"/>
          <w:bottom w:val="single" w:sz="4" w:space="1" w:color="auto"/>
          <w:right w:val="single" w:sz="4" w:space="4" w:color="auto"/>
        </w:pBdr>
        <w:jc w:val="center"/>
        <w:rPr>
          <w:rFonts w:ascii="Garamond" w:hAnsi="Garamond"/>
          <w:b/>
          <w:i/>
          <w:sz w:val="26"/>
          <w:szCs w:val="26"/>
        </w:rPr>
      </w:pPr>
      <w:r w:rsidRPr="001628FE">
        <w:rPr>
          <w:rFonts w:ascii="Garamond" w:hAnsi="Garamond"/>
          <w:b/>
          <w:i/>
          <w:sz w:val="26"/>
          <w:szCs w:val="26"/>
        </w:rPr>
        <w:t>African Commission on Human and Peoples' Rights v. Kenya</w:t>
      </w:r>
      <w:r w:rsidR="00F10701">
        <w:rPr>
          <w:rFonts w:ascii="Garamond" w:hAnsi="Garamond"/>
          <w:b/>
          <w:i/>
          <w:sz w:val="26"/>
          <w:szCs w:val="26"/>
        </w:rPr>
        <w:t xml:space="preserve"> </w:t>
      </w:r>
    </w:p>
    <w:p w:rsidR="001628FE" w:rsidRPr="001628FE" w:rsidRDefault="00F10701" w:rsidP="001628FE">
      <w:pPr>
        <w:pStyle w:val="Sansinterligne"/>
        <w:pBdr>
          <w:top w:val="single" w:sz="4" w:space="1" w:color="auto"/>
          <w:left w:val="single" w:sz="4" w:space="4" w:color="auto"/>
          <w:bottom w:val="single" w:sz="4" w:space="1" w:color="auto"/>
          <w:right w:val="single" w:sz="4" w:space="4" w:color="auto"/>
        </w:pBdr>
        <w:jc w:val="center"/>
        <w:rPr>
          <w:rFonts w:ascii="Garamond" w:hAnsi="Garamond"/>
          <w:b/>
          <w:sz w:val="26"/>
          <w:szCs w:val="26"/>
        </w:rPr>
      </w:pPr>
      <w:r>
        <w:rPr>
          <w:rFonts w:ascii="Garamond" w:hAnsi="Garamond"/>
          <w:b/>
          <w:i/>
          <w:sz w:val="26"/>
          <w:szCs w:val="26"/>
        </w:rPr>
        <w:t>(Application 006/2012)</w:t>
      </w:r>
    </w:p>
    <w:p w:rsidR="00184C84" w:rsidRPr="001628FE" w:rsidRDefault="00F10701" w:rsidP="001628FE">
      <w:pPr>
        <w:pStyle w:val="Sansinterligne"/>
        <w:pBdr>
          <w:top w:val="single" w:sz="4" w:space="1" w:color="auto"/>
          <w:left w:val="single" w:sz="4" w:space="4" w:color="auto"/>
          <w:bottom w:val="single" w:sz="4" w:space="1" w:color="auto"/>
          <w:right w:val="single" w:sz="4" w:space="4" w:color="auto"/>
        </w:pBdr>
        <w:jc w:val="center"/>
        <w:rPr>
          <w:rFonts w:ascii="Garamond" w:hAnsi="Garamond"/>
          <w:b/>
          <w:sz w:val="26"/>
          <w:szCs w:val="26"/>
        </w:rPr>
      </w:pPr>
      <w:r>
        <w:rPr>
          <w:rFonts w:ascii="Garamond" w:hAnsi="Garamond"/>
          <w:b/>
          <w:sz w:val="26"/>
          <w:szCs w:val="26"/>
        </w:rPr>
        <w:t>African Court on</w:t>
      </w:r>
      <w:r w:rsidR="001628FE" w:rsidRPr="001628FE">
        <w:rPr>
          <w:rFonts w:ascii="Garamond" w:hAnsi="Garamond"/>
          <w:b/>
          <w:sz w:val="26"/>
          <w:szCs w:val="26"/>
        </w:rPr>
        <w:t xml:space="preserve"> Human and Peoples' Rights</w:t>
      </w:r>
    </w:p>
    <w:p w:rsidR="00184C84" w:rsidRPr="001628FE" w:rsidRDefault="001628FE" w:rsidP="001628FE">
      <w:pPr>
        <w:pStyle w:val="Sansinterligne"/>
        <w:pBdr>
          <w:top w:val="single" w:sz="4" w:space="1" w:color="auto"/>
          <w:left w:val="single" w:sz="4" w:space="4" w:color="auto"/>
          <w:bottom w:val="single" w:sz="4" w:space="1" w:color="auto"/>
          <w:right w:val="single" w:sz="4" w:space="4" w:color="auto"/>
        </w:pBdr>
        <w:jc w:val="center"/>
        <w:rPr>
          <w:rFonts w:ascii="Garamond" w:hAnsi="Garamond"/>
          <w:b/>
          <w:sz w:val="26"/>
          <w:szCs w:val="26"/>
        </w:rPr>
      </w:pPr>
      <w:r w:rsidRPr="001628FE">
        <w:rPr>
          <w:rFonts w:ascii="Garamond" w:hAnsi="Garamond"/>
          <w:b/>
          <w:sz w:val="26"/>
          <w:szCs w:val="26"/>
        </w:rPr>
        <w:t>November 2014</w:t>
      </w:r>
    </w:p>
    <w:p w:rsidR="00184C84" w:rsidRDefault="00184C84" w:rsidP="00184C84">
      <w:pPr>
        <w:spacing w:line="360" w:lineRule="auto"/>
        <w:rPr>
          <w:rFonts w:ascii="Arial" w:hAnsi="Arial" w:cs="Arial"/>
          <w:b/>
          <w:sz w:val="24"/>
          <w:szCs w:val="24"/>
        </w:rPr>
      </w:pPr>
    </w:p>
    <w:p w:rsidR="00060432" w:rsidRPr="00B12064" w:rsidRDefault="00060432" w:rsidP="00060432">
      <w:pPr>
        <w:spacing w:line="360" w:lineRule="auto"/>
        <w:ind w:left="426" w:hanging="284"/>
        <w:rPr>
          <w:rFonts w:ascii="Arial" w:hAnsi="Arial" w:cs="Arial"/>
          <w:b/>
          <w:sz w:val="24"/>
          <w:szCs w:val="24"/>
        </w:rPr>
      </w:pPr>
      <w:r>
        <w:rPr>
          <w:rFonts w:ascii="Arial" w:hAnsi="Arial" w:cs="Arial"/>
          <w:b/>
          <w:sz w:val="24"/>
          <w:szCs w:val="24"/>
        </w:rPr>
        <w:t xml:space="preserve">9. </w:t>
      </w:r>
      <w:r w:rsidRPr="00B12064">
        <w:rPr>
          <w:rFonts w:ascii="Arial" w:hAnsi="Arial" w:cs="Arial"/>
          <w:b/>
          <w:sz w:val="24"/>
          <w:szCs w:val="24"/>
        </w:rPr>
        <w:t>VIOLATION OF ARTICLE 4: THE RIGHT TO LIFE</w:t>
      </w: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Article 4 provides as follows:</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autoSpaceDE w:val="0"/>
        <w:autoSpaceDN w:val="0"/>
        <w:adjustRightInd w:val="0"/>
        <w:spacing w:line="360" w:lineRule="auto"/>
        <w:ind w:left="426"/>
        <w:rPr>
          <w:rFonts w:ascii="Arial" w:eastAsia="Calibri" w:hAnsi="Arial" w:cs="Arial"/>
          <w:bCs/>
          <w:i/>
          <w:sz w:val="24"/>
          <w:szCs w:val="24"/>
        </w:rPr>
      </w:pPr>
      <w:r>
        <w:rPr>
          <w:rFonts w:ascii="Arial" w:eastAsia="Calibri" w:hAnsi="Arial" w:cs="Arial"/>
          <w:bCs/>
          <w:i/>
          <w:sz w:val="24"/>
          <w:szCs w:val="24"/>
        </w:rPr>
        <w:t>“</w:t>
      </w:r>
      <w:r w:rsidRPr="00C715E4">
        <w:rPr>
          <w:rFonts w:ascii="Arial" w:eastAsia="Calibri" w:hAnsi="Arial" w:cs="Arial"/>
          <w:bCs/>
          <w:i/>
          <w:sz w:val="24"/>
          <w:szCs w:val="24"/>
        </w:rPr>
        <w:t xml:space="preserve">Human beings are inviolable. Every human being shall be entitled to respect for </w:t>
      </w:r>
      <w:proofErr w:type="gramStart"/>
      <w:r w:rsidRPr="00C715E4">
        <w:rPr>
          <w:rFonts w:ascii="Arial" w:eastAsia="Calibri" w:hAnsi="Arial" w:cs="Arial"/>
          <w:bCs/>
          <w:i/>
          <w:sz w:val="24"/>
          <w:szCs w:val="24"/>
        </w:rPr>
        <w:t>his</w:t>
      </w:r>
      <w:proofErr w:type="gramEnd"/>
      <w:r w:rsidRPr="00C715E4">
        <w:rPr>
          <w:rFonts w:ascii="Arial" w:eastAsia="Calibri" w:hAnsi="Arial" w:cs="Arial"/>
          <w:bCs/>
          <w:i/>
          <w:sz w:val="24"/>
          <w:szCs w:val="24"/>
        </w:rPr>
        <w:t xml:space="preserve"> life and the integrity of his person. No one may be arbitrarily deprived of this right.</w:t>
      </w:r>
      <w:r>
        <w:rPr>
          <w:rFonts w:ascii="Arial" w:eastAsia="Calibri" w:hAnsi="Arial" w:cs="Arial"/>
          <w:bCs/>
          <w:i/>
          <w:sz w:val="24"/>
          <w:szCs w:val="24"/>
        </w:rPr>
        <w:t>”</w:t>
      </w:r>
    </w:p>
    <w:p w:rsidR="00060432" w:rsidRPr="002E3B73" w:rsidRDefault="00060432" w:rsidP="00060432">
      <w:pPr>
        <w:pStyle w:val="ColorfulList-Accent11"/>
        <w:autoSpaceDE w:val="0"/>
        <w:autoSpaceDN w:val="0"/>
        <w:adjustRightInd w:val="0"/>
        <w:spacing w:line="360" w:lineRule="auto"/>
        <w:ind w:left="426" w:hanging="284"/>
        <w:rPr>
          <w:rFonts w:ascii="Arial" w:eastAsia="Calibri" w:hAnsi="Arial" w:cs="Arial"/>
          <w:bCs/>
          <w:i/>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It is submitted that the </w:t>
      </w:r>
      <w:proofErr w:type="spellStart"/>
      <w:r w:rsidRPr="00C715E4">
        <w:rPr>
          <w:rFonts w:ascii="Arial" w:hAnsi="Arial" w:cs="Arial"/>
          <w:sz w:val="24"/>
          <w:szCs w:val="24"/>
        </w:rPr>
        <w:t>Ogiek's</w:t>
      </w:r>
      <w:proofErr w:type="spellEnd"/>
      <w:r w:rsidRPr="00C715E4">
        <w:rPr>
          <w:rFonts w:ascii="Arial" w:hAnsi="Arial" w:cs="Arial"/>
          <w:sz w:val="24"/>
          <w:szCs w:val="24"/>
        </w:rPr>
        <w:t xml:space="preserve"> right to life has been violated as a result of the </w:t>
      </w:r>
      <w:r>
        <w:rPr>
          <w:rFonts w:ascii="Arial" w:hAnsi="Arial" w:cs="Arial"/>
          <w:sz w:val="24"/>
          <w:szCs w:val="24"/>
        </w:rPr>
        <w:t>Respondent State</w:t>
      </w:r>
      <w:r w:rsidRPr="00C715E4">
        <w:rPr>
          <w:rFonts w:ascii="Arial" w:hAnsi="Arial" w:cs="Arial"/>
          <w:sz w:val="24"/>
          <w:szCs w:val="24"/>
        </w:rPr>
        <w:t xml:space="preserve"> evicting them from the Mau Forest, the continued logging and clearance operations with the permission of the authorities, the parcelling and distribution of land in the Mau Forest to leading members of the Government and its political allies, and the failure to take any positive measures to protect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way of life, thus threatening their very existence.</w:t>
      </w:r>
      <w:r>
        <w:rPr>
          <w:rStyle w:val="Marquenotebasdepage"/>
          <w:rFonts w:ascii="Arial" w:hAnsi="Arial"/>
        </w:rPr>
        <w:footnoteReference w:id="5"/>
      </w:r>
      <w:r w:rsidRPr="00C715E4">
        <w:rPr>
          <w:rFonts w:ascii="Arial" w:hAnsi="Arial" w:cs="Arial"/>
          <w:sz w:val="24"/>
          <w:szCs w:val="24"/>
        </w:rPr>
        <w:t xml:space="preserve">  </w:t>
      </w:r>
    </w:p>
    <w:p w:rsidR="00060432" w:rsidRPr="002E3B73" w:rsidRDefault="00060432" w:rsidP="00060432">
      <w:pPr>
        <w:pStyle w:val="just"/>
        <w:numPr>
          <w:ilvl w:val="0"/>
          <w:numId w:val="1"/>
        </w:numPr>
        <w:tabs>
          <w:tab w:val="num" w:pos="720"/>
        </w:tabs>
        <w:spacing w:line="360" w:lineRule="auto"/>
        <w:ind w:left="426" w:hanging="284"/>
        <w:rPr>
          <w:rFonts w:ascii="Arial" w:hAnsi="Arial" w:cs="Arial"/>
        </w:rPr>
      </w:pPr>
      <w:r w:rsidRPr="00C715E4">
        <w:rPr>
          <w:rFonts w:ascii="Arial" w:hAnsi="Arial" w:cs="Arial"/>
          <w:lang w:val="en-GB"/>
        </w:rPr>
        <w:t xml:space="preserve">In light of the central and singular importance of the Mau's resources for the sustainability of the </w:t>
      </w:r>
      <w:proofErr w:type="spellStart"/>
      <w:r w:rsidRPr="00C715E4">
        <w:rPr>
          <w:rFonts w:ascii="Arial" w:hAnsi="Arial" w:cs="Arial"/>
          <w:lang w:val="en-GB"/>
        </w:rPr>
        <w:t>Ogiek's</w:t>
      </w:r>
      <w:proofErr w:type="spellEnd"/>
      <w:r w:rsidRPr="00C715E4">
        <w:rPr>
          <w:rFonts w:ascii="Arial" w:hAnsi="Arial" w:cs="Arial"/>
          <w:lang w:val="en-GB"/>
        </w:rPr>
        <w:t xml:space="preserve"> hunter-gatherer way of life, it is submitted that the </w:t>
      </w:r>
      <w:proofErr w:type="spellStart"/>
      <w:r w:rsidRPr="00C715E4">
        <w:rPr>
          <w:rFonts w:ascii="Arial" w:hAnsi="Arial" w:cs="Arial"/>
          <w:lang w:val="en-GB"/>
        </w:rPr>
        <w:t>Ogiek's</w:t>
      </w:r>
      <w:proofErr w:type="spellEnd"/>
      <w:r>
        <w:rPr>
          <w:rFonts w:ascii="Arial" w:hAnsi="Arial" w:cs="Arial"/>
          <w:lang w:val="en-GB"/>
        </w:rPr>
        <w:t xml:space="preserve"> right to life under Article 4</w:t>
      </w:r>
      <w:r w:rsidRPr="00C715E4">
        <w:rPr>
          <w:rFonts w:ascii="Arial" w:hAnsi="Arial" w:cs="Arial"/>
          <w:lang w:val="en-GB"/>
        </w:rPr>
        <w:t xml:space="preserve"> has been and continues to be interfered with</w:t>
      </w:r>
      <w:r>
        <w:rPr>
          <w:rFonts w:ascii="Arial" w:hAnsi="Arial" w:cs="Arial"/>
          <w:lang w:val="en-GB"/>
        </w:rPr>
        <w:t>,</w:t>
      </w:r>
      <w:r w:rsidRPr="00C715E4">
        <w:rPr>
          <w:rFonts w:ascii="Arial" w:hAnsi="Arial" w:cs="Arial"/>
          <w:lang w:val="en-GB"/>
        </w:rPr>
        <w:t xml:space="preserve"> </w:t>
      </w:r>
      <w:r>
        <w:rPr>
          <w:rFonts w:ascii="Arial" w:hAnsi="Arial" w:cs="Arial"/>
          <w:lang w:val="en-GB"/>
        </w:rPr>
        <w:t>by the Respondent State arbitrarily depriving them of access to the necessary conditions for a life in dignity,</w:t>
      </w:r>
      <w:r w:rsidRPr="00C715E4">
        <w:rPr>
          <w:rFonts w:ascii="Arial" w:hAnsi="Arial" w:cs="Arial"/>
        </w:rPr>
        <w:t xml:space="preserve"> in the name of sustainability and/or environmental necessity, as well as in order to parcel up and distribute forest land to third parties (including political allies)</w:t>
      </w:r>
      <w:r w:rsidRPr="00C715E4">
        <w:rPr>
          <w:rStyle w:val="Marquenotebasdepage"/>
          <w:rFonts w:ascii="Arial" w:hAnsi="Arial" w:cs="Arial"/>
        </w:rPr>
        <w:footnoteReference w:id="6"/>
      </w:r>
      <w:r w:rsidRPr="00C715E4">
        <w:rPr>
          <w:rFonts w:ascii="Arial" w:hAnsi="Arial" w:cs="Arial"/>
          <w:lang w:val="en-GB"/>
        </w:rPr>
        <w:t>.  Any such interference should be strictly proportionate to the aim of such use of the Mau Forest, which it is not.</w:t>
      </w:r>
    </w:p>
    <w:p w:rsidR="00060432" w:rsidRDefault="00060432" w:rsidP="00060432">
      <w:pPr>
        <w:pStyle w:val="just"/>
        <w:spacing w:line="360" w:lineRule="auto"/>
        <w:ind w:left="426" w:hanging="284"/>
        <w:rPr>
          <w:rFonts w:ascii="Arial" w:hAnsi="Arial" w:cs="Arial"/>
        </w:rPr>
      </w:pPr>
    </w:p>
    <w:p w:rsidR="001628FE" w:rsidRDefault="001628FE" w:rsidP="00060432">
      <w:pPr>
        <w:pStyle w:val="just"/>
        <w:spacing w:line="360" w:lineRule="auto"/>
        <w:ind w:left="426" w:hanging="284"/>
        <w:rPr>
          <w:rFonts w:ascii="Arial" w:hAnsi="Arial" w:cs="Arial"/>
        </w:rPr>
      </w:pPr>
    </w:p>
    <w:p w:rsidR="001628FE" w:rsidRPr="002E3B73" w:rsidRDefault="001628FE" w:rsidP="00060432">
      <w:pPr>
        <w:pStyle w:val="just"/>
        <w:spacing w:line="360" w:lineRule="auto"/>
        <w:ind w:left="426" w:hanging="284"/>
        <w:rPr>
          <w:rFonts w:ascii="Arial" w:hAnsi="Arial" w:cs="Arial"/>
        </w:rPr>
      </w:pPr>
    </w:p>
    <w:p w:rsidR="00060432" w:rsidRPr="002E3B73" w:rsidRDefault="00060432" w:rsidP="00060432">
      <w:pPr>
        <w:spacing w:line="360" w:lineRule="auto"/>
        <w:ind w:left="426" w:hanging="284"/>
        <w:jc w:val="both"/>
        <w:rPr>
          <w:rFonts w:ascii="Arial" w:hAnsi="Arial" w:cs="Arial"/>
          <w:b/>
          <w:sz w:val="24"/>
          <w:szCs w:val="24"/>
        </w:rPr>
      </w:pPr>
      <w:r w:rsidRPr="00C715E4">
        <w:rPr>
          <w:rFonts w:ascii="Arial" w:hAnsi="Arial" w:cs="Arial"/>
          <w:b/>
          <w:sz w:val="24"/>
          <w:szCs w:val="24"/>
        </w:rPr>
        <w:t>The scope of the right to life</w:t>
      </w: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The right to life is the first human right, the one on which the enjoyment of all others depends.</w:t>
      </w:r>
      <w:r w:rsidRPr="00C715E4">
        <w:rPr>
          <w:rStyle w:val="Marquenotebasdepage"/>
          <w:rFonts w:ascii="Arial" w:hAnsi="Arial" w:cs="Arial"/>
        </w:rPr>
        <w:footnoteReference w:id="7"/>
      </w:r>
      <w:r w:rsidRPr="00C715E4">
        <w:rPr>
          <w:rFonts w:ascii="Arial" w:hAnsi="Arial" w:cs="Arial"/>
          <w:sz w:val="24"/>
          <w:szCs w:val="24"/>
        </w:rPr>
        <w:t xml:space="preserve">  The African Commission has emphasised this in its jurisprudence, stating</w:t>
      </w:r>
    </w:p>
    <w:p w:rsidR="00060432" w:rsidRPr="002E3B73" w:rsidRDefault="00060432" w:rsidP="00060432">
      <w:pPr>
        <w:spacing w:line="360" w:lineRule="auto"/>
        <w:ind w:left="426"/>
        <w:jc w:val="both"/>
        <w:rPr>
          <w:rFonts w:ascii="Arial" w:hAnsi="Arial" w:cs="Arial"/>
          <w:i/>
          <w:sz w:val="24"/>
          <w:szCs w:val="24"/>
        </w:rPr>
      </w:pPr>
      <w:r w:rsidRPr="00C715E4">
        <w:rPr>
          <w:rFonts w:ascii="Arial" w:hAnsi="Arial" w:cs="Arial"/>
          <w:i/>
          <w:sz w:val="24"/>
          <w:szCs w:val="24"/>
        </w:rPr>
        <w:t>“The right to life is the fulcrum of all other rights.  It is the fountain through which other rights flow”</w:t>
      </w:r>
      <w:r w:rsidRPr="00C715E4">
        <w:rPr>
          <w:rStyle w:val="Marquenotebasdepage"/>
          <w:rFonts w:ascii="Arial" w:hAnsi="Arial" w:cs="Arial"/>
          <w:i/>
        </w:rPr>
        <w:footnoteReference w:id="8"/>
      </w: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Although the right to life does not fall within the group rights protected in Part II of the Charter, Part I includes rights and duties applying to individuals and groups alike.</w:t>
      </w:r>
      <w:r w:rsidRPr="00C715E4">
        <w:rPr>
          <w:rStyle w:val="Marquenotebasdepage"/>
          <w:rFonts w:ascii="Arial" w:hAnsi="Arial" w:cs="Arial"/>
        </w:rPr>
        <w:footnoteReference w:id="9"/>
      </w:r>
      <w:r w:rsidRPr="00C715E4">
        <w:rPr>
          <w:rFonts w:ascii="Arial" w:hAnsi="Arial" w:cs="Arial"/>
          <w:sz w:val="24"/>
          <w:szCs w:val="24"/>
        </w:rPr>
        <w:t xml:space="preserve">  So, any </w:t>
      </w:r>
      <w:proofErr w:type="gramStart"/>
      <w:r w:rsidRPr="00C715E4">
        <w:rPr>
          <w:rFonts w:ascii="Arial" w:hAnsi="Arial" w:cs="Arial"/>
          <w:sz w:val="24"/>
          <w:szCs w:val="24"/>
        </w:rPr>
        <w:t>act which</w:t>
      </w:r>
      <w:proofErr w:type="gramEnd"/>
      <w:r w:rsidRPr="00C715E4">
        <w:rPr>
          <w:rFonts w:ascii="Arial" w:hAnsi="Arial" w:cs="Arial"/>
          <w:sz w:val="24"/>
          <w:szCs w:val="24"/>
        </w:rPr>
        <w:t xml:space="preserve"> amounts to disrespect for the life and integrity of a person or group of persons, or an arbitrary denial of that right, will result in a violation of Article 4.</w:t>
      </w:r>
      <w:r w:rsidRPr="00C715E4">
        <w:rPr>
          <w:rStyle w:val="Marquenotebasdepage"/>
          <w:rFonts w:ascii="Arial" w:hAnsi="Arial" w:cs="Arial"/>
        </w:rPr>
        <w:footnoteReference w:id="10"/>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The right to life under the African Charter sets itself apart from the right to life as protected by other international treaties and covenants, in that it does not specifically lay down any exception to the right.</w:t>
      </w:r>
      <w:r w:rsidRPr="00C715E4">
        <w:rPr>
          <w:rStyle w:val="Marquenotebasdepage"/>
          <w:rFonts w:ascii="Arial" w:hAnsi="Arial" w:cs="Arial"/>
        </w:rPr>
        <w:footnoteReference w:id="11"/>
      </w:r>
      <w:r w:rsidRPr="00C715E4">
        <w:rPr>
          <w:rFonts w:ascii="Arial" w:hAnsi="Arial" w:cs="Arial"/>
          <w:sz w:val="24"/>
          <w:szCs w:val="24"/>
        </w:rPr>
        <w:t xml:space="preserve">  However, in providing that “no one may be arbitrarily deprived of this right”, it may be concluded that a person </w:t>
      </w:r>
      <w:r w:rsidRPr="00C715E4">
        <w:rPr>
          <w:rFonts w:ascii="Arial" w:hAnsi="Arial" w:cs="Arial"/>
          <w:sz w:val="24"/>
          <w:szCs w:val="24"/>
        </w:rPr>
        <w:lastRenderedPageBreak/>
        <w:t>may be deprived of this right provided it is not done in an arbitrary fashion.</w:t>
      </w:r>
      <w:r w:rsidRPr="00C715E4">
        <w:rPr>
          <w:rStyle w:val="Marquenotebasdepage"/>
          <w:rFonts w:ascii="Arial" w:hAnsi="Arial" w:cs="Arial"/>
        </w:rPr>
        <w:footnoteReference w:id="12"/>
      </w:r>
      <w:r w:rsidRPr="00C715E4">
        <w:rPr>
          <w:rFonts w:ascii="Arial" w:hAnsi="Arial" w:cs="Arial"/>
          <w:sz w:val="24"/>
          <w:szCs w:val="24"/>
        </w:rPr>
        <w:t xml:space="preserve">  The scope of this provision therefore turns on the meaning of the word “arbitrarily”.</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The International Court of Justice has </w:t>
      </w:r>
      <w:proofErr w:type="gramStart"/>
      <w:r w:rsidRPr="00C715E4">
        <w:rPr>
          <w:rFonts w:ascii="Arial" w:hAnsi="Arial" w:cs="Arial"/>
          <w:sz w:val="24"/>
          <w:szCs w:val="24"/>
        </w:rPr>
        <w:t>stated that</w:t>
      </w:r>
      <w:proofErr w:type="gramEnd"/>
      <w:r w:rsidRPr="00C715E4">
        <w:rPr>
          <w:rFonts w:ascii="Arial" w:hAnsi="Arial" w:cs="Arial"/>
          <w:sz w:val="24"/>
          <w:szCs w:val="24"/>
        </w:rPr>
        <w:t xml:space="preserve"> </w:t>
      </w:r>
      <w:r w:rsidRPr="006108A8">
        <w:rPr>
          <w:rFonts w:ascii="Arial" w:hAnsi="Arial" w:cs="Arial"/>
          <w:i/>
          <w:sz w:val="24"/>
          <w:szCs w:val="24"/>
        </w:rPr>
        <w:t>“Arbitrariness is not so much something opposed to a rule of law, as opposed to the rule of law.... It is a wilful disregard of law, an act which shocks, or at least surprises, a sense of juridical propriety”.</w:t>
      </w:r>
      <w:r w:rsidRPr="006108A8">
        <w:rPr>
          <w:rStyle w:val="Marquenotebasdepage"/>
          <w:rFonts w:ascii="Arial" w:hAnsi="Arial" w:cs="Arial"/>
          <w:i/>
        </w:rPr>
        <w:footnoteReference w:id="13"/>
      </w:r>
      <w:r w:rsidRPr="006108A8">
        <w:rPr>
          <w:rFonts w:ascii="Arial" w:hAnsi="Arial" w:cs="Arial"/>
          <w:i/>
          <w:sz w:val="24"/>
          <w:szCs w:val="24"/>
        </w:rPr>
        <w:t xml:space="preserve">  </w:t>
      </w:r>
      <w:r w:rsidRPr="00C715E4">
        <w:rPr>
          <w:rFonts w:ascii="Arial" w:hAnsi="Arial" w:cs="Arial"/>
          <w:sz w:val="24"/>
          <w:szCs w:val="24"/>
        </w:rPr>
        <w:t xml:space="preserve">The concept of arbitrariness would therefore seem to be </w:t>
      </w:r>
      <w:proofErr w:type="gramStart"/>
      <w:r w:rsidRPr="00C715E4">
        <w:rPr>
          <w:rFonts w:ascii="Arial" w:hAnsi="Arial" w:cs="Arial"/>
          <w:sz w:val="24"/>
          <w:szCs w:val="24"/>
        </w:rPr>
        <w:t>something which</w:t>
      </w:r>
      <w:proofErr w:type="gramEnd"/>
      <w:r w:rsidRPr="00C715E4">
        <w:rPr>
          <w:rFonts w:ascii="Arial" w:hAnsi="Arial" w:cs="Arial"/>
          <w:sz w:val="24"/>
          <w:szCs w:val="24"/>
        </w:rPr>
        <w:t xml:space="preserve"> involves injustice or inequity, and something more than just being illegal.  This is further supported by Article 29 (2) of the Universal Declaration of Human Rights, which only allows limitations on rights and freedoms if they are </w:t>
      </w:r>
      <w:r w:rsidRPr="00C715E4">
        <w:rPr>
          <w:rFonts w:ascii="Arial" w:hAnsi="Arial" w:cs="Arial"/>
          <w:i/>
          <w:sz w:val="24"/>
          <w:szCs w:val="24"/>
        </w:rPr>
        <w:t>“determined by law solely for the purpose of securing due recognition and respect for the rights and freedoms of others and of meeting the just requirements of morality, public order and the general welfare in a democratic society”.</w:t>
      </w:r>
      <w:r w:rsidRPr="00C715E4">
        <w:rPr>
          <w:rFonts w:ascii="Arial" w:hAnsi="Arial" w:cs="Arial"/>
          <w:sz w:val="24"/>
          <w:szCs w:val="24"/>
        </w:rPr>
        <w:t xml:space="preserve"> </w:t>
      </w:r>
    </w:p>
    <w:p w:rsidR="00060432" w:rsidRPr="002E3B73" w:rsidRDefault="00060432" w:rsidP="00060432">
      <w:pPr>
        <w:pStyle w:val="ColorfulList-Accent11"/>
        <w:spacing w:line="360" w:lineRule="auto"/>
        <w:ind w:left="426" w:hanging="284"/>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The right to life is the supreme right from which no derogation is permitted even in times of public emergency.</w:t>
      </w:r>
      <w:r w:rsidRPr="00C715E4">
        <w:rPr>
          <w:rStyle w:val="Marquenotebasdepage"/>
          <w:rFonts w:ascii="Arial" w:hAnsi="Arial" w:cs="Arial"/>
        </w:rPr>
        <w:footnoteReference w:id="14"/>
      </w:r>
      <w:r w:rsidRPr="00C715E4">
        <w:rPr>
          <w:rFonts w:ascii="Arial" w:hAnsi="Arial" w:cs="Arial"/>
          <w:sz w:val="24"/>
          <w:szCs w:val="24"/>
        </w:rPr>
        <w:t xml:space="preserve">  This approach has been repeatedly confirmed by the Commission in its jurisprudence, and specifically in relation to the rights of indigenous peoples in the </w:t>
      </w:r>
      <w:proofErr w:type="spellStart"/>
      <w:r w:rsidRPr="00C715E4">
        <w:rPr>
          <w:rFonts w:ascii="Arial" w:hAnsi="Arial" w:cs="Arial"/>
          <w:i/>
          <w:sz w:val="24"/>
          <w:szCs w:val="24"/>
        </w:rPr>
        <w:t>Endorois</w:t>
      </w:r>
      <w:proofErr w:type="spellEnd"/>
      <w:r w:rsidRPr="00C715E4">
        <w:rPr>
          <w:rFonts w:ascii="Arial" w:hAnsi="Arial" w:cs="Arial"/>
          <w:sz w:val="24"/>
          <w:szCs w:val="24"/>
        </w:rPr>
        <w:t xml:space="preserve"> decision: </w:t>
      </w:r>
    </w:p>
    <w:p w:rsidR="00060432" w:rsidRPr="002E3B73" w:rsidRDefault="00060432" w:rsidP="00060432">
      <w:pPr>
        <w:pStyle w:val="ColorfulList-Accent11"/>
        <w:spacing w:line="360" w:lineRule="auto"/>
        <w:ind w:left="426" w:hanging="284"/>
        <w:rPr>
          <w:rFonts w:ascii="Arial" w:hAnsi="Arial" w:cs="Arial"/>
          <w:sz w:val="24"/>
          <w:szCs w:val="24"/>
        </w:rPr>
      </w:pPr>
    </w:p>
    <w:p w:rsidR="00060432" w:rsidRPr="002E3B73" w:rsidRDefault="00060432" w:rsidP="00060432">
      <w:pPr>
        <w:pStyle w:val="ColorfulList-Accent11"/>
        <w:spacing w:line="360" w:lineRule="auto"/>
        <w:ind w:left="426"/>
        <w:jc w:val="both"/>
        <w:rPr>
          <w:rFonts w:ascii="Arial" w:hAnsi="Arial" w:cs="Arial"/>
          <w:i/>
          <w:sz w:val="24"/>
          <w:szCs w:val="24"/>
          <w:lang w:val="en-US"/>
        </w:rPr>
      </w:pPr>
      <w:r w:rsidRPr="00C715E4">
        <w:rPr>
          <w:rFonts w:ascii="Arial" w:hAnsi="Arial" w:cs="Arial"/>
          <w:i/>
          <w:sz w:val="24"/>
          <w:szCs w:val="24"/>
          <w:lang w:val="en-US"/>
        </w:rPr>
        <w:t>“The African Commission notes that the link to the right to life, in paragraph 219 above, is particularly notable, as it is a non-</w:t>
      </w:r>
      <w:proofErr w:type="spellStart"/>
      <w:r w:rsidRPr="00C715E4">
        <w:rPr>
          <w:rFonts w:ascii="Arial" w:hAnsi="Arial" w:cs="Arial"/>
          <w:i/>
          <w:sz w:val="24"/>
          <w:szCs w:val="24"/>
          <w:lang w:val="en-US"/>
        </w:rPr>
        <w:t>derogable</w:t>
      </w:r>
      <w:proofErr w:type="spellEnd"/>
      <w:r w:rsidRPr="00C715E4">
        <w:rPr>
          <w:rFonts w:ascii="Arial" w:hAnsi="Arial" w:cs="Arial"/>
          <w:i/>
          <w:sz w:val="24"/>
          <w:szCs w:val="24"/>
          <w:lang w:val="en-US"/>
        </w:rPr>
        <w:t xml:space="preserve"> right under international law.”</w:t>
      </w:r>
      <w:r w:rsidRPr="00C715E4">
        <w:rPr>
          <w:rStyle w:val="Marquenotebasdepage"/>
          <w:rFonts w:ascii="Arial" w:hAnsi="Arial" w:cs="Arial"/>
          <w:i/>
          <w:lang w:val="en-US"/>
        </w:rPr>
        <w:footnoteReference w:id="15"/>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tabs>
          <w:tab w:val="left" w:pos="426"/>
        </w:tabs>
        <w:spacing w:line="360" w:lineRule="auto"/>
        <w:ind w:left="426" w:hanging="284"/>
        <w:jc w:val="both"/>
        <w:rPr>
          <w:rFonts w:ascii="Arial" w:hAnsi="Arial" w:cs="Arial"/>
          <w:b/>
          <w:sz w:val="24"/>
          <w:szCs w:val="24"/>
        </w:rPr>
      </w:pPr>
      <w:r w:rsidRPr="00C715E4">
        <w:rPr>
          <w:rFonts w:ascii="Arial" w:hAnsi="Arial" w:cs="Arial"/>
          <w:b/>
          <w:sz w:val="24"/>
          <w:szCs w:val="24"/>
        </w:rPr>
        <w:lastRenderedPageBreak/>
        <w:t>Rights and Obligations under Article 4</w:t>
      </w: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As the first human right, it follows that the right to life under the African Charter, expansively interpreted, can give an effective content to all guaranteed rights – economic, civil, political, social and cultural.</w:t>
      </w:r>
      <w:r w:rsidRPr="00C715E4">
        <w:rPr>
          <w:rStyle w:val="Marquenotebasdepage"/>
          <w:rFonts w:ascii="Arial" w:hAnsi="Arial" w:cs="Arial"/>
        </w:rPr>
        <w:footnoteReference w:id="16"/>
      </w:r>
      <w:r w:rsidRPr="00C715E4">
        <w:rPr>
          <w:rFonts w:ascii="Arial" w:hAnsi="Arial" w:cs="Arial"/>
          <w:sz w:val="24"/>
          <w:szCs w:val="24"/>
        </w:rPr>
        <w:t xml:space="preserve">  Therefore, it may be considered both as a civil right and as an economic and social right.</w:t>
      </w:r>
      <w:r w:rsidRPr="00C715E4">
        <w:rPr>
          <w:rStyle w:val="Marquenotebasdepage"/>
          <w:rFonts w:ascii="Arial" w:hAnsi="Arial" w:cs="Arial"/>
        </w:rPr>
        <w:footnoteReference w:id="17"/>
      </w:r>
      <w:r w:rsidRPr="00C715E4">
        <w:rPr>
          <w:rFonts w:ascii="Arial" w:hAnsi="Arial" w:cs="Arial"/>
          <w:sz w:val="24"/>
          <w:szCs w:val="24"/>
        </w:rPr>
        <w:t xml:space="preserve">  As a civil right, it imposes an obligation on states to refrain from any infringement of this right or to prevent its possible infringement by a third party.  As an economic and social right, it entails a positive obligation to ensure an adequate standard of living.</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This approach has been confirmed by the African Commission in the </w:t>
      </w:r>
      <w:proofErr w:type="spellStart"/>
      <w:r w:rsidRPr="00C715E4">
        <w:rPr>
          <w:rFonts w:ascii="Arial" w:hAnsi="Arial" w:cs="Arial"/>
          <w:i/>
          <w:sz w:val="24"/>
          <w:szCs w:val="24"/>
        </w:rPr>
        <w:t>Endorois</w:t>
      </w:r>
      <w:proofErr w:type="spellEnd"/>
      <w:r w:rsidRPr="00C715E4">
        <w:rPr>
          <w:rFonts w:ascii="Arial" w:hAnsi="Arial" w:cs="Arial"/>
          <w:i/>
          <w:sz w:val="24"/>
          <w:szCs w:val="24"/>
        </w:rPr>
        <w:t xml:space="preserve"> </w:t>
      </w:r>
      <w:r w:rsidRPr="00C715E4">
        <w:rPr>
          <w:rFonts w:ascii="Arial" w:hAnsi="Arial" w:cs="Arial"/>
          <w:sz w:val="24"/>
          <w:szCs w:val="24"/>
        </w:rPr>
        <w:t>decision which, although it did not consider a violation of Article 4 of the Charter, found the following:</w:t>
      </w:r>
    </w:p>
    <w:p w:rsidR="00060432" w:rsidRPr="002E3B73" w:rsidRDefault="00060432" w:rsidP="00060432">
      <w:pPr>
        <w:pStyle w:val="ColorfulList-Accent11"/>
        <w:spacing w:line="360" w:lineRule="auto"/>
        <w:ind w:left="426" w:hanging="284"/>
        <w:jc w:val="both"/>
        <w:rPr>
          <w:rFonts w:ascii="Arial" w:hAnsi="Arial" w:cs="Arial"/>
          <w:i/>
          <w:sz w:val="24"/>
          <w:szCs w:val="24"/>
        </w:rPr>
      </w:pPr>
    </w:p>
    <w:p w:rsidR="00060432" w:rsidRPr="002E3B73" w:rsidRDefault="00060432" w:rsidP="00060432">
      <w:pPr>
        <w:pStyle w:val="ColorfulList-Accent11"/>
        <w:spacing w:line="360" w:lineRule="auto"/>
        <w:ind w:left="426"/>
        <w:jc w:val="both"/>
        <w:rPr>
          <w:rFonts w:ascii="Arial" w:hAnsi="Arial" w:cs="Arial"/>
          <w:i/>
          <w:sz w:val="24"/>
          <w:szCs w:val="24"/>
        </w:rPr>
      </w:pPr>
      <w:r w:rsidRPr="00C715E4">
        <w:rPr>
          <w:rFonts w:ascii="Arial" w:hAnsi="Arial" w:cs="Arial"/>
          <w:i/>
          <w:sz w:val="24"/>
          <w:szCs w:val="24"/>
        </w:rPr>
        <w:t>“One of the obligations that the State must inescapably undertake as guarantor to protect and ensure the right to life is that of generating minimum living conditions that are compatible with the dignity of the human person and of not creating conditions that hinder or impede it.  In this regard, the State has the duty to take positive, concrete measures geared towards fulfilment of the right to a decent life, especially in the case of persons who are vulnerable and at risk, whose care becomes a high priority</w:t>
      </w:r>
      <w:r w:rsidRPr="00C715E4">
        <w:rPr>
          <w:rStyle w:val="Marquenotebasdepage"/>
          <w:rFonts w:ascii="Arial" w:hAnsi="Arial" w:cs="Arial"/>
          <w:i/>
        </w:rPr>
        <w:footnoteReference w:id="18"/>
      </w:r>
      <w:r w:rsidRPr="00C715E4">
        <w:rPr>
          <w:rFonts w:ascii="Arial" w:hAnsi="Arial" w:cs="Arial"/>
          <w:i/>
          <w:sz w:val="24"/>
          <w:szCs w:val="24"/>
        </w:rPr>
        <w:t>”.</w:t>
      </w:r>
    </w:p>
    <w:p w:rsidR="00060432" w:rsidRPr="002E3B73" w:rsidRDefault="00060432" w:rsidP="00060432">
      <w:pPr>
        <w:pStyle w:val="ColorfulList-Accent11"/>
        <w:spacing w:line="360" w:lineRule="auto"/>
        <w:ind w:left="426" w:hanging="284"/>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lastRenderedPageBreak/>
        <w:t xml:space="preserve">This approach was similarly adopted by the Commission in its decision in the </w:t>
      </w:r>
      <w:proofErr w:type="spellStart"/>
      <w:r w:rsidRPr="00FE7EB7">
        <w:rPr>
          <w:rFonts w:ascii="Arial" w:hAnsi="Arial" w:cs="Arial"/>
          <w:i/>
          <w:sz w:val="24"/>
          <w:szCs w:val="24"/>
        </w:rPr>
        <w:t>Ogoni</w:t>
      </w:r>
      <w:proofErr w:type="spellEnd"/>
      <w:r w:rsidRPr="00C715E4">
        <w:rPr>
          <w:rFonts w:ascii="Arial" w:hAnsi="Arial" w:cs="Arial"/>
          <w:sz w:val="24"/>
          <w:szCs w:val="24"/>
        </w:rPr>
        <w:t xml:space="preserve"> case</w:t>
      </w:r>
      <w:r w:rsidRPr="00C715E4">
        <w:rPr>
          <w:rStyle w:val="Marquenotebasdepage"/>
          <w:rFonts w:ascii="Arial" w:hAnsi="Arial" w:cs="Arial"/>
        </w:rPr>
        <w:footnoteReference w:id="19"/>
      </w:r>
      <w:r w:rsidRPr="00C715E4">
        <w:rPr>
          <w:rFonts w:ascii="Arial" w:hAnsi="Arial" w:cs="Arial"/>
          <w:sz w:val="24"/>
          <w:szCs w:val="24"/>
        </w:rPr>
        <w:t xml:space="preserve">, in which the Commission considered the right to life in a wider context.  The case concerned the environmental pollution of the </w:t>
      </w:r>
      <w:proofErr w:type="spellStart"/>
      <w:r w:rsidRPr="00C715E4">
        <w:rPr>
          <w:rFonts w:ascii="Arial" w:hAnsi="Arial" w:cs="Arial"/>
          <w:sz w:val="24"/>
          <w:szCs w:val="24"/>
        </w:rPr>
        <w:t>Ogoni</w:t>
      </w:r>
      <w:proofErr w:type="spellEnd"/>
      <w:r w:rsidRPr="00C715E4">
        <w:rPr>
          <w:rFonts w:ascii="Arial" w:hAnsi="Arial" w:cs="Arial"/>
          <w:sz w:val="24"/>
          <w:szCs w:val="24"/>
        </w:rPr>
        <w:t xml:space="preserve"> territory in Nigeria.  The Commission stated that Article 4 implied a right to food, which required the Nigerian Government to protect existing food sources from (amongst other things) environmental pollution:</w:t>
      </w:r>
    </w:p>
    <w:p w:rsidR="00060432" w:rsidRPr="002E3B73" w:rsidRDefault="00060432" w:rsidP="00060432">
      <w:pPr>
        <w:pStyle w:val="ColorfulList-Accent11"/>
        <w:autoSpaceDE w:val="0"/>
        <w:autoSpaceDN w:val="0"/>
        <w:adjustRightInd w:val="0"/>
        <w:spacing w:after="0" w:line="360" w:lineRule="auto"/>
        <w:ind w:left="426" w:hanging="284"/>
        <w:rPr>
          <w:rFonts w:ascii="Arial" w:hAnsi="Arial" w:cs="Arial"/>
          <w:color w:val="000000"/>
          <w:sz w:val="24"/>
          <w:szCs w:val="24"/>
        </w:rPr>
      </w:pPr>
    </w:p>
    <w:p w:rsidR="00060432" w:rsidRPr="002E3B73" w:rsidRDefault="00060432" w:rsidP="00060432">
      <w:pPr>
        <w:pStyle w:val="ColorfulList-Accent11"/>
        <w:autoSpaceDE w:val="0"/>
        <w:autoSpaceDN w:val="0"/>
        <w:adjustRightInd w:val="0"/>
        <w:spacing w:after="0" w:line="360" w:lineRule="auto"/>
        <w:ind w:left="426"/>
        <w:jc w:val="both"/>
        <w:rPr>
          <w:rFonts w:ascii="Arial" w:hAnsi="Arial" w:cs="Arial"/>
          <w:i/>
          <w:color w:val="000000"/>
          <w:sz w:val="24"/>
          <w:szCs w:val="24"/>
        </w:rPr>
      </w:pPr>
      <w:r w:rsidRPr="00C715E4">
        <w:rPr>
          <w:rFonts w:ascii="Arial" w:hAnsi="Arial" w:cs="Arial"/>
          <w:i/>
          <w:color w:val="000000"/>
          <w:sz w:val="24"/>
          <w:szCs w:val="24"/>
        </w:rPr>
        <w:t xml:space="preserve">“The communication argues that the right to food is implicit in the African Charter, in such provisions as the right to life (Article 4), the right to health (Article 16) and the right to economic, social and cultural development (Article 22).  By its violation of these rights, the Nigerian Government trampled upon not only the explicitly protected rights but also upon the right to food implicitly guaranteed. </w:t>
      </w:r>
    </w:p>
    <w:p w:rsidR="00060432" w:rsidRPr="002E3B73" w:rsidRDefault="00060432" w:rsidP="00060432">
      <w:pPr>
        <w:spacing w:line="360" w:lineRule="auto"/>
        <w:ind w:left="426" w:hanging="284"/>
        <w:jc w:val="both"/>
        <w:rPr>
          <w:rFonts w:ascii="Arial" w:hAnsi="Arial" w:cs="Arial"/>
          <w:i/>
          <w:sz w:val="24"/>
          <w:szCs w:val="24"/>
        </w:rPr>
      </w:pPr>
    </w:p>
    <w:p w:rsidR="00060432" w:rsidRPr="002E3B73" w:rsidRDefault="00060432" w:rsidP="00060432">
      <w:pPr>
        <w:spacing w:line="360" w:lineRule="auto"/>
        <w:ind w:left="426"/>
        <w:jc w:val="both"/>
        <w:rPr>
          <w:rFonts w:ascii="Arial" w:hAnsi="Arial" w:cs="Arial"/>
          <w:i/>
          <w:sz w:val="24"/>
          <w:szCs w:val="24"/>
        </w:rPr>
      </w:pPr>
      <w:r w:rsidRPr="00C715E4">
        <w:rPr>
          <w:rFonts w:ascii="Arial" w:hAnsi="Arial" w:cs="Arial"/>
          <w:i/>
          <w:sz w:val="24"/>
          <w:szCs w:val="24"/>
        </w:rPr>
        <w:t>The right to food is inseparably linked to the dignity of human beings and is therefore essential for the enjoyment and fulfilment of such other rights as health, education, work and political participation.  The African Charter and international law require and bind Nigeria to protect and improve existing food sources and to ensure access to adequate food for all citizens.”</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The finding of a violation based on environmental degradation and its threat to, and destruction of, </w:t>
      </w:r>
      <w:proofErr w:type="spellStart"/>
      <w:r w:rsidRPr="00C715E4">
        <w:rPr>
          <w:rFonts w:ascii="Arial" w:hAnsi="Arial" w:cs="Arial"/>
          <w:sz w:val="24"/>
          <w:szCs w:val="24"/>
        </w:rPr>
        <w:t>Ogoni</w:t>
      </w:r>
      <w:proofErr w:type="spellEnd"/>
      <w:r w:rsidRPr="00C715E4">
        <w:rPr>
          <w:rFonts w:ascii="Arial" w:hAnsi="Arial" w:cs="Arial"/>
          <w:sz w:val="24"/>
          <w:szCs w:val="24"/>
        </w:rPr>
        <w:t xml:space="preserve"> sources of livelihood was a positive step forward by </w:t>
      </w:r>
      <w:proofErr w:type="gramStart"/>
      <w:r w:rsidRPr="00C715E4">
        <w:rPr>
          <w:rFonts w:ascii="Arial" w:hAnsi="Arial" w:cs="Arial"/>
          <w:sz w:val="24"/>
          <w:szCs w:val="24"/>
        </w:rPr>
        <w:t>the</w:t>
      </w:r>
      <w:proofErr w:type="gramEnd"/>
      <w:r w:rsidRPr="00C715E4">
        <w:rPr>
          <w:rFonts w:ascii="Arial" w:hAnsi="Arial" w:cs="Arial"/>
          <w:sz w:val="24"/>
          <w:szCs w:val="24"/>
        </w:rPr>
        <w:t xml:space="preserve"> African Commission in the purposive interpretation of the right to life, marking a departure from other earlier decisions in which violations of the right to life were primarily based on summary executions, arrests and detention without trial, and the death penalty.  </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The approach has also been reflected in the African Charter on the Rights and Welfare of the Child, Article 5 of which protects the right of the child to </w:t>
      </w:r>
      <w:r w:rsidRPr="00C715E4">
        <w:rPr>
          <w:rFonts w:ascii="Arial" w:hAnsi="Arial" w:cs="Arial"/>
          <w:sz w:val="24"/>
          <w:szCs w:val="24"/>
        </w:rPr>
        <w:lastRenderedPageBreak/>
        <w:t>survival and development.  This means both the right not to be sentenced to death but also the right to be provided with adequate resources to survive.</w:t>
      </w:r>
      <w:r w:rsidRPr="00C715E4">
        <w:rPr>
          <w:rStyle w:val="Marquenotebasdepage"/>
          <w:rFonts w:ascii="Arial" w:hAnsi="Arial" w:cs="Arial"/>
        </w:rPr>
        <w:footnoteReference w:id="20"/>
      </w:r>
    </w:p>
    <w:p w:rsidR="00060432" w:rsidRPr="002E3B73" w:rsidRDefault="00060432" w:rsidP="00060432">
      <w:pPr>
        <w:pStyle w:val="ColorfulList-Accent11"/>
        <w:spacing w:line="360" w:lineRule="auto"/>
        <w:ind w:left="426" w:hanging="284"/>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Indeed the UN </w:t>
      </w:r>
      <w:r>
        <w:rPr>
          <w:rFonts w:ascii="Arial" w:hAnsi="Arial" w:cs="Arial"/>
          <w:sz w:val="24"/>
          <w:szCs w:val="24"/>
        </w:rPr>
        <w:t>HRC</w:t>
      </w:r>
      <w:r w:rsidRPr="00C715E4">
        <w:rPr>
          <w:rFonts w:ascii="Arial" w:hAnsi="Arial" w:cs="Arial"/>
          <w:sz w:val="24"/>
          <w:szCs w:val="24"/>
        </w:rPr>
        <w:t xml:space="preserve"> has also stated “</w:t>
      </w:r>
      <w:r w:rsidRPr="00D44DFA">
        <w:rPr>
          <w:rFonts w:ascii="Arial" w:hAnsi="Arial" w:cs="Arial"/>
          <w:i/>
          <w:sz w:val="24"/>
          <w:szCs w:val="24"/>
        </w:rPr>
        <w:t>The right to life has been too often narrowly interpreted.  The expression "inherent right to life" cannot properly be understood in a restrictive manner, and the protection of this right requires that States adopt positive measures.”</w:t>
      </w:r>
      <w:r w:rsidRPr="00C715E4">
        <w:rPr>
          <w:rStyle w:val="Marquenotebasdepage"/>
          <w:rFonts w:ascii="Arial" w:hAnsi="Arial" w:cs="Arial"/>
        </w:rPr>
        <w:footnoteReference w:id="21"/>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Default="00060432" w:rsidP="00060432">
      <w:pPr>
        <w:pStyle w:val="ColorfulList-Accent11"/>
        <w:spacing w:line="360" w:lineRule="auto"/>
        <w:ind w:left="426" w:hanging="284"/>
        <w:jc w:val="both"/>
        <w:rPr>
          <w:rFonts w:ascii="Arial" w:hAnsi="Arial" w:cs="Arial"/>
          <w:b/>
          <w:sz w:val="24"/>
          <w:szCs w:val="24"/>
        </w:rPr>
      </w:pPr>
    </w:p>
    <w:p w:rsidR="00060432" w:rsidRPr="002E3B73" w:rsidRDefault="00060432" w:rsidP="00060432">
      <w:pPr>
        <w:pStyle w:val="ColorfulList-Accent11"/>
        <w:spacing w:line="360" w:lineRule="auto"/>
        <w:ind w:left="426" w:hanging="284"/>
        <w:jc w:val="both"/>
        <w:rPr>
          <w:rFonts w:ascii="Arial" w:hAnsi="Arial" w:cs="Arial"/>
          <w:b/>
          <w:sz w:val="24"/>
          <w:szCs w:val="24"/>
        </w:rPr>
      </w:pPr>
      <w:r w:rsidRPr="00C715E4">
        <w:rPr>
          <w:rFonts w:ascii="Arial" w:hAnsi="Arial" w:cs="Arial"/>
          <w:b/>
          <w:sz w:val="24"/>
          <w:szCs w:val="24"/>
        </w:rPr>
        <w:t xml:space="preserve">The right to integrity of person &amp; livelihood </w:t>
      </w:r>
    </w:p>
    <w:p w:rsidR="00060432" w:rsidRPr="002E3B73" w:rsidRDefault="00060432" w:rsidP="00060432">
      <w:pPr>
        <w:pStyle w:val="ColorfulList-Accent11"/>
        <w:spacing w:line="360" w:lineRule="auto"/>
        <w:ind w:left="426" w:hanging="284"/>
        <w:jc w:val="both"/>
        <w:rPr>
          <w:rFonts w:ascii="Arial" w:hAnsi="Arial" w:cs="Arial"/>
          <w:b/>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As stated above, the right to life under Article 4 provides that “</w:t>
      </w:r>
      <w:r w:rsidRPr="00C715E4">
        <w:rPr>
          <w:rFonts w:ascii="Arial" w:eastAsia="Calibri" w:hAnsi="Arial" w:cs="Arial"/>
          <w:bCs/>
          <w:sz w:val="24"/>
          <w:szCs w:val="24"/>
        </w:rPr>
        <w:t>Every human being shall be entitled to respect for his life and the integrity of his person”.</w:t>
      </w:r>
      <w:r w:rsidRPr="00C715E4">
        <w:rPr>
          <w:rFonts w:ascii="Arial" w:eastAsia="Calibri" w:hAnsi="Arial" w:cs="Arial"/>
          <w:bCs/>
          <w:i/>
          <w:sz w:val="24"/>
          <w:szCs w:val="24"/>
        </w:rPr>
        <w:t xml:space="preserve">  </w:t>
      </w:r>
      <w:r w:rsidRPr="00C715E4">
        <w:rPr>
          <w:rFonts w:ascii="Arial" w:eastAsia="Calibri" w:hAnsi="Arial" w:cs="Arial"/>
          <w:bCs/>
          <w:sz w:val="24"/>
          <w:szCs w:val="24"/>
        </w:rPr>
        <w:t>Accordingly, it is widely accepted that a</w:t>
      </w:r>
      <w:r w:rsidRPr="00C715E4">
        <w:rPr>
          <w:rFonts w:ascii="Arial" w:hAnsi="Arial" w:cs="Arial"/>
          <w:sz w:val="24"/>
          <w:szCs w:val="24"/>
        </w:rPr>
        <w:t xml:space="preserve"> violation of the right to life can take place even where there has been no deprivation of life.  The Commission has clearly established this in its jurisprudence:</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spacing w:line="360" w:lineRule="auto"/>
        <w:ind w:left="426"/>
        <w:jc w:val="both"/>
        <w:rPr>
          <w:rFonts w:ascii="Arial" w:hAnsi="Arial" w:cs="Arial"/>
          <w:i/>
          <w:sz w:val="24"/>
          <w:szCs w:val="24"/>
        </w:rPr>
      </w:pPr>
      <w:r w:rsidRPr="00C715E4">
        <w:rPr>
          <w:rFonts w:ascii="Arial" w:hAnsi="Arial" w:cs="Arial"/>
          <w:i/>
          <w:sz w:val="24"/>
          <w:szCs w:val="24"/>
        </w:rPr>
        <w:t>“It would be a narrow interpretation of this right [to life] to think that it can only be violated when one is deprived of it.  It cannot be said that the right to respect for one’s life and the dignity</w:t>
      </w:r>
      <w:r w:rsidRPr="00C715E4">
        <w:rPr>
          <w:rStyle w:val="Marquenotebasdepage"/>
          <w:rFonts w:ascii="Arial" w:hAnsi="Arial" w:cs="Arial"/>
          <w:i/>
        </w:rPr>
        <w:footnoteReference w:id="22"/>
      </w:r>
      <w:r w:rsidRPr="00C715E4">
        <w:rPr>
          <w:rFonts w:ascii="Arial" w:hAnsi="Arial" w:cs="Arial"/>
          <w:i/>
          <w:sz w:val="24"/>
          <w:szCs w:val="24"/>
        </w:rPr>
        <w:t xml:space="preserve"> of his person, which this Article guarantees, would be protected in a case of constant fear and/or threats, as experienced by [the complainant]. </w:t>
      </w:r>
      <w:r w:rsidRPr="00C715E4">
        <w:rPr>
          <w:rStyle w:val="Marquenotebasdepage"/>
          <w:rFonts w:ascii="Arial" w:hAnsi="Arial" w:cs="Arial"/>
          <w:i/>
        </w:rPr>
        <w:footnoteReference w:id="23"/>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In this context, it is worth further examining the concept of the right to integrity of person.  The right can be broken down into two aspects: the right to physical </w:t>
      </w:r>
      <w:r w:rsidRPr="00C715E4">
        <w:rPr>
          <w:rFonts w:ascii="Arial" w:hAnsi="Arial" w:cs="Arial"/>
          <w:sz w:val="24"/>
          <w:szCs w:val="24"/>
        </w:rPr>
        <w:lastRenderedPageBreak/>
        <w:t>integrity, and the right to moral integrity.</w:t>
      </w:r>
      <w:r w:rsidRPr="00C715E4">
        <w:rPr>
          <w:rStyle w:val="Marquenotebasdepage"/>
          <w:rFonts w:ascii="Arial" w:hAnsi="Arial" w:cs="Arial"/>
        </w:rPr>
        <w:footnoteReference w:id="24"/>
      </w:r>
      <w:r w:rsidRPr="00C715E4">
        <w:rPr>
          <w:rFonts w:ascii="Arial" w:hAnsi="Arial" w:cs="Arial"/>
          <w:sz w:val="24"/>
          <w:szCs w:val="24"/>
        </w:rPr>
        <w:t xml:space="preserve">  The former is generally interpreted as a right to the protection of the body from any violation not freely consented to, such as mutilation.</w:t>
      </w:r>
      <w:r w:rsidRPr="00C715E4">
        <w:rPr>
          <w:rStyle w:val="Marquenotebasdepage"/>
          <w:rFonts w:ascii="Arial" w:hAnsi="Arial" w:cs="Arial"/>
        </w:rPr>
        <w:footnoteReference w:id="25"/>
      </w:r>
      <w:r w:rsidRPr="00C715E4">
        <w:rPr>
          <w:rFonts w:ascii="Arial" w:hAnsi="Arial" w:cs="Arial"/>
          <w:sz w:val="24"/>
          <w:szCs w:val="24"/>
        </w:rPr>
        <w:t xml:space="preserve">  The right to moral integrity, meanwhile, is based on both an objective element – reputation – and also on a subjective element – honour.</w:t>
      </w:r>
      <w:r w:rsidRPr="00C715E4">
        <w:rPr>
          <w:rStyle w:val="Marquenotebasdepage"/>
          <w:rFonts w:ascii="Arial" w:hAnsi="Arial" w:cs="Arial"/>
        </w:rPr>
        <w:footnoteReference w:id="26"/>
      </w:r>
      <w:r w:rsidRPr="00C715E4">
        <w:rPr>
          <w:rFonts w:ascii="Arial" w:hAnsi="Arial" w:cs="Arial"/>
          <w:sz w:val="24"/>
          <w:szCs w:val="24"/>
        </w:rPr>
        <w:t xml:space="preserve">  The right can also be interpreted as a right to respect for what lies at the root of moral being, for example, his culture: implying a link with Article 17 of the African Charter</w:t>
      </w:r>
      <w:r>
        <w:rPr>
          <w:rStyle w:val="Marquenotebasdepage"/>
          <w:rFonts w:ascii="Arial" w:hAnsi="Arial"/>
        </w:rPr>
        <w:footnoteReference w:id="27"/>
      </w:r>
      <w:r w:rsidRPr="00C715E4">
        <w:rPr>
          <w:rFonts w:ascii="Arial" w:hAnsi="Arial" w:cs="Arial"/>
          <w:sz w:val="24"/>
          <w:szCs w:val="24"/>
        </w:rPr>
        <w:t xml:space="preserve">.  Such a purposive interpretation of Article 4, combining a reading of the Charter’s provisions on the right to life and the right to culture, is entirely in line with the Commission’s approach in similar cases, for example, the </w:t>
      </w:r>
      <w:proofErr w:type="spellStart"/>
      <w:r w:rsidRPr="00C715E4">
        <w:rPr>
          <w:rFonts w:ascii="Arial" w:hAnsi="Arial" w:cs="Arial"/>
          <w:sz w:val="24"/>
          <w:szCs w:val="24"/>
        </w:rPr>
        <w:t>Ogoni</w:t>
      </w:r>
      <w:proofErr w:type="spellEnd"/>
      <w:r w:rsidRPr="00C715E4">
        <w:rPr>
          <w:rFonts w:ascii="Arial" w:hAnsi="Arial" w:cs="Arial"/>
          <w:sz w:val="24"/>
          <w:szCs w:val="24"/>
        </w:rPr>
        <w:t xml:space="preserve"> case, in which it stated:</w:t>
      </w:r>
    </w:p>
    <w:p w:rsidR="00060432" w:rsidRPr="002E3B73" w:rsidRDefault="00060432" w:rsidP="00060432">
      <w:pPr>
        <w:pStyle w:val="ColorfulList-Accent11"/>
        <w:autoSpaceDE w:val="0"/>
        <w:autoSpaceDN w:val="0"/>
        <w:adjustRightInd w:val="0"/>
        <w:spacing w:after="0" w:line="360" w:lineRule="auto"/>
        <w:ind w:left="426" w:hanging="284"/>
        <w:jc w:val="both"/>
        <w:rPr>
          <w:rFonts w:ascii="Arial" w:hAnsi="Arial" w:cs="Arial"/>
          <w:sz w:val="24"/>
          <w:szCs w:val="24"/>
        </w:rPr>
      </w:pPr>
    </w:p>
    <w:p w:rsidR="00060432" w:rsidRPr="002E3B73" w:rsidRDefault="00060432" w:rsidP="00060432">
      <w:pPr>
        <w:pStyle w:val="ColorfulList-Accent11"/>
        <w:autoSpaceDE w:val="0"/>
        <w:autoSpaceDN w:val="0"/>
        <w:adjustRightInd w:val="0"/>
        <w:spacing w:after="0" w:line="360" w:lineRule="auto"/>
        <w:ind w:left="426"/>
        <w:jc w:val="both"/>
        <w:rPr>
          <w:rFonts w:ascii="Arial" w:hAnsi="Arial" w:cs="Arial"/>
          <w:i/>
          <w:sz w:val="24"/>
          <w:szCs w:val="24"/>
        </w:rPr>
      </w:pPr>
      <w:r w:rsidRPr="00C715E4">
        <w:rPr>
          <w:rFonts w:ascii="Arial" w:hAnsi="Arial" w:cs="Arial"/>
          <w:i/>
          <w:sz w:val="24"/>
          <w:szCs w:val="24"/>
        </w:rPr>
        <w:t>“The uniqueness of the African situation and the special qualities of the African Charter on Human and Peoples' Rights imposes upon the African Commission an important task.  International law and human rights must be responsive to African circumstances.  Clearly, collective rights, environmental rights, and economic and social rights are essential elements of human rights in Africa. The African Commission will apply any of the diverse rights contained in the African Charter.”</w:t>
      </w:r>
      <w:r w:rsidRPr="00C715E4">
        <w:rPr>
          <w:rStyle w:val="Marquenotebasdepage"/>
          <w:rFonts w:ascii="Arial" w:hAnsi="Arial" w:cs="Arial"/>
          <w:i/>
        </w:rPr>
        <w:footnoteReference w:id="28"/>
      </w:r>
    </w:p>
    <w:p w:rsidR="00060432" w:rsidRPr="002E3B73" w:rsidRDefault="00060432" w:rsidP="00060432">
      <w:pPr>
        <w:pStyle w:val="ColorfulList-Accent11"/>
        <w:autoSpaceDE w:val="0"/>
        <w:autoSpaceDN w:val="0"/>
        <w:adjustRightInd w:val="0"/>
        <w:spacing w:after="0" w:line="360" w:lineRule="auto"/>
        <w:ind w:left="426" w:hanging="284"/>
        <w:jc w:val="both"/>
        <w:rPr>
          <w:rFonts w:ascii="Arial" w:hAnsi="Arial" w:cs="Arial"/>
          <w:i/>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This approach has been strictly followed by the </w:t>
      </w:r>
      <w:proofErr w:type="spellStart"/>
      <w:r>
        <w:rPr>
          <w:rFonts w:ascii="Arial" w:hAnsi="Arial" w:cs="Arial"/>
          <w:sz w:val="24"/>
          <w:szCs w:val="24"/>
        </w:rPr>
        <w:t>IACtHR</w:t>
      </w:r>
      <w:proofErr w:type="spellEnd"/>
      <w:r w:rsidRPr="00C715E4">
        <w:rPr>
          <w:rFonts w:ascii="Arial" w:hAnsi="Arial" w:cs="Arial"/>
          <w:sz w:val="24"/>
          <w:szCs w:val="24"/>
        </w:rPr>
        <w:t xml:space="preserve">, which has found a violation of the right to life under the </w:t>
      </w:r>
      <w:r>
        <w:rPr>
          <w:rFonts w:ascii="Arial" w:hAnsi="Arial" w:cs="Arial"/>
          <w:sz w:val="24"/>
          <w:szCs w:val="24"/>
        </w:rPr>
        <w:t>ACHR</w:t>
      </w:r>
      <w:r w:rsidRPr="00C715E4">
        <w:rPr>
          <w:rFonts w:ascii="Arial" w:hAnsi="Arial" w:cs="Arial"/>
          <w:sz w:val="24"/>
          <w:szCs w:val="24"/>
        </w:rPr>
        <w:t xml:space="preserve"> in a number of cases concerning denial of indigenous peoples’ rights over their ancestral land.  In </w:t>
      </w:r>
      <w:proofErr w:type="spellStart"/>
      <w:r w:rsidRPr="00C715E4">
        <w:rPr>
          <w:rFonts w:ascii="Arial" w:hAnsi="Arial" w:cs="Arial"/>
          <w:i/>
          <w:sz w:val="24"/>
          <w:szCs w:val="24"/>
        </w:rPr>
        <w:t>Yakye</w:t>
      </w:r>
      <w:proofErr w:type="spellEnd"/>
      <w:r w:rsidRPr="00C715E4">
        <w:rPr>
          <w:rFonts w:ascii="Arial" w:hAnsi="Arial" w:cs="Arial"/>
          <w:i/>
          <w:sz w:val="24"/>
          <w:szCs w:val="24"/>
        </w:rPr>
        <w:t xml:space="preserve"> </w:t>
      </w:r>
      <w:proofErr w:type="spellStart"/>
      <w:r w:rsidRPr="00C715E4">
        <w:rPr>
          <w:rFonts w:ascii="Arial" w:hAnsi="Arial" w:cs="Arial"/>
          <w:i/>
          <w:sz w:val="24"/>
          <w:szCs w:val="24"/>
        </w:rPr>
        <w:t>Axa</w:t>
      </w:r>
      <w:proofErr w:type="spellEnd"/>
      <w:r w:rsidRPr="00C715E4">
        <w:rPr>
          <w:rFonts w:ascii="Arial" w:hAnsi="Arial" w:cs="Arial"/>
          <w:i/>
          <w:sz w:val="24"/>
          <w:szCs w:val="24"/>
        </w:rPr>
        <w:t xml:space="preserve"> Indigenous Community v Paraguay</w:t>
      </w:r>
      <w:r w:rsidRPr="00C715E4">
        <w:rPr>
          <w:rFonts w:ascii="Arial" w:hAnsi="Arial" w:cs="Arial"/>
          <w:sz w:val="24"/>
          <w:szCs w:val="24"/>
        </w:rPr>
        <w:t xml:space="preserve">, the Court found that </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spacing w:line="360" w:lineRule="auto"/>
        <w:ind w:left="426"/>
        <w:jc w:val="both"/>
        <w:rPr>
          <w:rFonts w:ascii="Arial" w:hAnsi="Arial" w:cs="Arial"/>
          <w:sz w:val="24"/>
          <w:szCs w:val="24"/>
        </w:rPr>
      </w:pPr>
      <w:r w:rsidRPr="00C715E4">
        <w:rPr>
          <w:rFonts w:ascii="Arial" w:eastAsia="Times New Roman" w:hAnsi="Arial" w:cs="Arial"/>
          <w:i/>
          <w:sz w:val="24"/>
          <w:szCs w:val="24"/>
        </w:rPr>
        <w:lastRenderedPageBreak/>
        <w:t>“Although restrictions may be permissible, states must be aware that in the case of indigenous property such limitations could affect other basic rights, such as the right to cultural identity and to the very survival of the indigenous communities and their members’.</w:t>
      </w:r>
      <w:r w:rsidRPr="00C715E4">
        <w:rPr>
          <w:rStyle w:val="Marquenotebasdepage"/>
          <w:rFonts w:ascii="Arial" w:hAnsi="Arial" w:cs="Arial"/>
        </w:rPr>
        <w:footnoteReference w:id="29"/>
      </w:r>
      <w:r w:rsidRPr="00C715E4">
        <w:rPr>
          <w:rFonts w:ascii="Arial" w:hAnsi="Arial" w:cs="Arial"/>
          <w:sz w:val="24"/>
          <w:szCs w:val="24"/>
        </w:rPr>
        <w:t xml:space="preserve">  </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Finding a violation of the right to life, the Court reasoned as follows: </w:t>
      </w:r>
    </w:p>
    <w:p w:rsidR="00060432" w:rsidRPr="002E3B73" w:rsidRDefault="00060432" w:rsidP="00060432">
      <w:pPr>
        <w:pStyle w:val="ColorfulList-Accent11"/>
        <w:spacing w:line="360" w:lineRule="auto"/>
        <w:ind w:left="426" w:hanging="284"/>
        <w:jc w:val="both"/>
        <w:rPr>
          <w:rFonts w:ascii="Arial" w:eastAsia="Times New Roman" w:hAnsi="Arial" w:cs="Arial"/>
          <w:i/>
          <w:sz w:val="24"/>
          <w:szCs w:val="24"/>
        </w:rPr>
      </w:pPr>
    </w:p>
    <w:p w:rsidR="00060432" w:rsidRPr="005D517B" w:rsidRDefault="00060432" w:rsidP="00060432">
      <w:pPr>
        <w:pStyle w:val="ColorfulList-Accent11"/>
        <w:spacing w:line="360" w:lineRule="auto"/>
        <w:ind w:left="426"/>
        <w:jc w:val="both"/>
        <w:rPr>
          <w:rFonts w:ascii="Arial" w:eastAsia="Times New Roman" w:hAnsi="Arial" w:cs="Arial"/>
          <w:sz w:val="24"/>
          <w:szCs w:val="24"/>
        </w:rPr>
      </w:pPr>
      <w:r w:rsidRPr="00C715E4">
        <w:rPr>
          <w:rFonts w:ascii="Arial" w:eastAsia="Times New Roman" w:hAnsi="Arial" w:cs="Arial"/>
          <w:i/>
          <w:sz w:val="24"/>
          <w:szCs w:val="24"/>
        </w:rPr>
        <w:t xml:space="preserve">“The right to life is crucial in the American Convention, for which reason realization of the other rights </w:t>
      </w:r>
      <w:r w:rsidRPr="005D517B">
        <w:rPr>
          <w:rFonts w:ascii="Arial" w:eastAsia="Times New Roman" w:hAnsi="Arial" w:cs="Arial"/>
          <w:i/>
          <w:sz w:val="24"/>
          <w:szCs w:val="24"/>
        </w:rPr>
        <w:t>depends on protection of this one. When the right to life is not respected, all the other rights disappear, because the person entitled to them ceases to exist... Essentially, this right includes not only the right of every human being not to be arbitrarily deprived of his life, but also the right that conditions that impede or obstruct access to a decent existence should not be generated.</w:t>
      </w:r>
      <w:r w:rsidRPr="005D517B">
        <w:rPr>
          <w:rStyle w:val="Marquenotebasdepage"/>
          <w:rFonts w:ascii="Arial" w:eastAsia="Times New Roman" w:hAnsi="Arial" w:cs="Arial"/>
          <w:i/>
        </w:rPr>
        <w:footnoteReference w:id="30"/>
      </w:r>
    </w:p>
    <w:p w:rsidR="00060432" w:rsidRPr="005D517B" w:rsidRDefault="00060432" w:rsidP="00060432">
      <w:pPr>
        <w:pStyle w:val="ColorfulList-Accent11"/>
        <w:spacing w:line="360" w:lineRule="auto"/>
        <w:ind w:left="426" w:hanging="284"/>
        <w:jc w:val="both"/>
        <w:rPr>
          <w:rFonts w:ascii="Arial" w:hAnsi="Arial" w:cs="Arial"/>
          <w:sz w:val="24"/>
          <w:szCs w:val="24"/>
        </w:rPr>
      </w:pPr>
    </w:p>
    <w:p w:rsidR="00060432" w:rsidRPr="005D517B" w:rsidRDefault="00060432" w:rsidP="00060432">
      <w:pPr>
        <w:pStyle w:val="ColorfulList-Accent11"/>
        <w:spacing w:line="360" w:lineRule="auto"/>
        <w:ind w:left="426"/>
        <w:jc w:val="both"/>
        <w:rPr>
          <w:rFonts w:ascii="Arial" w:eastAsia="Times New Roman" w:hAnsi="Arial" w:cs="Arial"/>
          <w:i/>
          <w:sz w:val="24"/>
          <w:szCs w:val="24"/>
        </w:rPr>
      </w:pPr>
      <w:r w:rsidRPr="005D517B">
        <w:rPr>
          <w:rFonts w:ascii="Arial" w:eastAsia="Times New Roman" w:hAnsi="Arial" w:cs="Arial"/>
          <w:i/>
          <w:sz w:val="24"/>
          <w:szCs w:val="24"/>
        </w:rPr>
        <w:t xml:space="preserve">One of the obligations that the State must inescapably undertake as guarantor, to protect and ensure the right to life, is that of generating minimum living conditions that are compatible with the dignity of the human person and of not creating conditions that hinder or impede it. In this regard, the State has the duty to take positive, concrete measures geared toward </w:t>
      </w:r>
      <w:proofErr w:type="spellStart"/>
      <w:r w:rsidRPr="005D517B">
        <w:rPr>
          <w:rFonts w:ascii="Arial" w:eastAsia="Times New Roman" w:hAnsi="Arial" w:cs="Arial"/>
          <w:i/>
          <w:sz w:val="24"/>
          <w:szCs w:val="24"/>
        </w:rPr>
        <w:t>fulfillment</w:t>
      </w:r>
      <w:proofErr w:type="spellEnd"/>
      <w:r w:rsidRPr="005D517B">
        <w:rPr>
          <w:rFonts w:ascii="Arial" w:eastAsia="Times New Roman" w:hAnsi="Arial" w:cs="Arial"/>
          <w:i/>
          <w:sz w:val="24"/>
          <w:szCs w:val="24"/>
        </w:rPr>
        <w:t xml:space="preserve"> of the right to a decent life, especially in the case of persons who are vulnerable and at risk, whose care becomes a high priority.”</w:t>
      </w:r>
      <w:r w:rsidRPr="005D517B">
        <w:rPr>
          <w:rStyle w:val="Marquenotebasdepage"/>
          <w:rFonts w:ascii="Arial" w:eastAsia="Times New Roman" w:hAnsi="Arial" w:cs="Arial"/>
          <w:i/>
        </w:rPr>
        <w:footnoteReference w:id="31"/>
      </w:r>
    </w:p>
    <w:p w:rsidR="00060432" w:rsidRPr="005D517B"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spacing w:line="360" w:lineRule="auto"/>
        <w:ind w:left="426"/>
        <w:jc w:val="both"/>
        <w:rPr>
          <w:rFonts w:ascii="Arial" w:hAnsi="Arial" w:cs="Arial"/>
          <w:i/>
          <w:sz w:val="24"/>
          <w:szCs w:val="24"/>
        </w:rPr>
      </w:pPr>
      <w:r w:rsidRPr="005D517B">
        <w:rPr>
          <w:rFonts w:ascii="Arial" w:hAnsi="Arial" w:cs="Arial"/>
          <w:sz w:val="24"/>
          <w:szCs w:val="24"/>
        </w:rPr>
        <w:t>The Community was held to have been deprived of the “</w:t>
      </w:r>
      <w:r w:rsidRPr="005D517B">
        <w:rPr>
          <w:rFonts w:ascii="Arial" w:hAnsi="Arial" w:cs="Arial"/>
          <w:i/>
          <w:sz w:val="24"/>
          <w:szCs w:val="24"/>
        </w:rPr>
        <w:t>possibility of access to their traditional means of subsistence, as well as to use and enjoyment of the natural resources necessary to obtain clean water</w:t>
      </w:r>
      <w:r w:rsidRPr="00C715E4">
        <w:rPr>
          <w:rFonts w:ascii="Arial" w:hAnsi="Arial" w:cs="Arial"/>
          <w:i/>
          <w:sz w:val="24"/>
          <w:szCs w:val="24"/>
        </w:rPr>
        <w:t xml:space="preserve"> and to practice traditional medicine to prevent and cure illnesses.  Furthermore, the State has not taken the necessary positive measures to ensure that the members of the </w:t>
      </w:r>
      <w:proofErr w:type="spellStart"/>
      <w:r w:rsidRPr="00C715E4">
        <w:rPr>
          <w:rFonts w:ascii="Arial" w:hAnsi="Arial" w:cs="Arial"/>
          <w:i/>
          <w:sz w:val="24"/>
          <w:szCs w:val="24"/>
        </w:rPr>
        <w:t>Yakye</w:t>
      </w:r>
      <w:proofErr w:type="spellEnd"/>
      <w:r w:rsidRPr="00C715E4">
        <w:rPr>
          <w:rFonts w:ascii="Arial" w:hAnsi="Arial" w:cs="Arial"/>
          <w:i/>
          <w:sz w:val="24"/>
          <w:szCs w:val="24"/>
        </w:rPr>
        <w:t xml:space="preserve"> </w:t>
      </w:r>
      <w:proofErr w:type="spellStart"/>
      <w:r w:rsidRPr="00C715E4">
        <w:rPr>
          <w:rFonts w:ascii="Arial" w:hAnsi="Arial" w:cs="Arial"/>
          <w:i/>
          <w:sz w:val="24"/>
          <w:szCs w:val="24"/>
        </w:rPr>
        <w:t>Axa</w:t>
      </w:r>
      <w:proofErr w:type="spellEnd"/>
      <w:r w:rsidRPr="00C715E4">
        <w:rPr>
          <w:rFonts w:ascii="Arial" w:hAnsi="Arial" w:cs="Arial"/>
          <w:i/>
          <w:sz w:val="24"/>
          <w:szCs w:val="24"/>
        </w:rPr>
        <w:t xml:space="preserve"> </w:t>
      </w:r>
      <w:r w:rsidRPr="00C715E4">
        <w:rPr>
          <w:rFonts w:ascii="Arial" w:hAnsi="Arial" w:cs="Arial"/>
          <w:i/>
          <w:sz w:val="24"/>
          <w:szCs w:val="24"/>
        </w:rPr>
        <w:lastRenderedPageBreak/>
        <w:t>Community, during the period in which they have been without territory, have living conditions that are compatible with their dignity.”</w:t>
      </w:r>
      <w:r w:rsidRPr="00C715E4">
        <w:rPr>
          <w:rStyle w:val="Marquenotebasdepage"/>
          <w:rFonts w:ascii="Arial" w:hAnsi="Arial" w:cs="Arial"/>
          <w:i/>
        </w:rPr>
        <w:footnoteReference w:id="32"/>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This approach was echoed in the case of </w:t>
      </w:r>
      <w:hyperlink r:id="rId11" w:history="1">
        <w:proofErr w:type="spellStart"/>
        <w:r w:rsidRPr="00B12064">
          <w:rPr>
            <w:rStyle w:val="Lienhypertexte"/>
            <w:rFonts w:ascii="Arial" w:hAnsi="Arial" w:cs="Arial"/>
            <w:i/>
            <w:sz w:val="24"/>
            <w:szCs w:val="24"/>
          </w:rPr>
          <w:t>Sawhoyamaxa</w:t>
        </w:r>
        <w:proofErr w:type="spellEnd"/>
        <w:r w:rsidRPr="00B12064">
          <w:rPr>
            <w:rStyle w:val="Lienhypertexte"/>
            <w:rFonts w:ascii="Arial" w:hAnsi="Arial" w:cs="Arial"/>
            <w:i/>
            <w:sz w:val="24"/>
            <w:szCs w:val="24"/>
          </w:rPr>
          <w:t xml:space="preserve"> Indigenous Community v. Paraguay</w:t>
        </w:r>
      </w:hyperlink>
      <w:r w:rsidRPr="00C715E4">
        <w:rPr>
          <w:rStyle w:val="Marquenotebasdepage"/>
          <w:rFonts w:ascii="Arial" w:hAnsi="Arial" w:cs="Arial"/>
          <w:i/>
        </w:rPr>
        <w:footnoteReference w:id="33"/>
      </w:r>
      <w:r w:rsidRPr="00C715E4">
        <w:rPr>
          <w:rFonts w:ascii="Arial" w:hAnsi="Arial" w:cs="Arial"/>
          <w:i/>
          <w:sz w:val="24"/>
          <w:szCs w:val="24"/>
        </w:rPr>
        <w:t xml:space="preserve">, </w:t>
      </w:r>
      <w:r w:rsidRPr="00C715E4">
        <w:rPr>
          <w:rFonts w:ascii="Arial" w:hAnsi="Arial" w:cs="Arial"/>
          <w:sz w:val="24"/>
          <w:szCs w:val="24"/>
        </w:rPr>
        <w:t>in which it stated</w:t>
      </w:r>
      <w:r w:rsidRPr="00C715E4">
        <w:rPr>
          <w:rFonts w:ascii="Arial" w:hAnsi="Arial" w:cs="Arial"/>
          <w:i/>
          <w:sz w:val="24"/>
          <w:szCs w:val="24"/>
        </w:rPr>
        <w:t xml:space="preserve"> “States </w:t>
      </w:r>
      <w:r w:rsidRPr="00C715E4">
        <w:rPr>
          <w:rFonts w:ascii="Arial" w:eastAsia="Times New Roman" w:hAnsi="Arial" w:cs="Arial"/>
          <w:i/>
          <w:sz w:val="24"/>
          <w:szCs w:val="24"/>
        </w:rPr>
        <w:t>must adopt any measures that may be necessary to create an adequate statutory framework to discourage any threat to the right to life; to establish an effective system of administration of justice able to investigate, punish and repair any deprivation of lives by state agents, or by individuals; and to protect the right of not being prevented from access to conditions that may guarantee a decent life, which entails the adoption of positive measures to prevent the breach of such right”</w:t>
      </w:r>
      <w:r w:rsidRPr="00C715E4">
        <w:rPr>
          <w:rStyle w:val="Marquenotebasdepage"/>
          <w:rFonts w:ascii="Arial" w:eastAsia="Times New Roman" w:hAnsi="Arial" w:cs="Arial"/>
          <w:i/>
        </w:rPr>
        <w:footnoteReference w:id="34"/>
      </w:r>
      <w:r w:rsidRPr="00C715E4">
        <w:rPr>
          <w:rFonts w:ascii="Arial" w:eastAsia="Times New Roman" w:hAnsi="Arial" w:cs="Arial"/>
          <w:i/>
          <w:sz w:val="24"/>
          <w:szCs w:val="24"/>
        </w:rPr>
        <w:t xml:space="preserve"> . . .’ </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Further, in </w:t>
      </w:r>
      <w:proofErr w:type="spellStart"/>
      <w:r w:rsidRPr="00C715E4">
        <w:rPr>
          <w:rFonts w:ascii="Arial" w:hAnsi="Arial" w:cs="Arial"/>
          <w:i/>
          <w:sz w:val="24"/>
          <w:szCs w:val="24"/>
        </w:rPr>
        <w:t>Xákmok</w:t>
      </w:r>
      <w:proofErr w:type="spellEnd"/>
      <w:r w:rsidRPr="00C715E4">
        <w:rPr>
          <w:rFonts w:ascii="Arial" w:hAnsi="Arial" w:cs="Arial"/>
          <w:i/>
          <w:sz w:val="24"/>
          <w:szCs w:val="24"/>
        </w:rPr>
        <w:t xml:space="preserve"> </w:t>
      </w:r>
      <w:proofErr w:type="spellStart"/>
      <w:r w:rsidRPr="00C715E4">
        <w:rPr>
          <w:rFonts w:ascii="Arial" w:hAnsi="Arial" w:cs="Arial"/>
          <w:i/>
          <w:sz w:val="24"/>
          <w:szCs w:val="24"/>
        </w:rPr>
        <w:t>Kásek</w:t>
      </w:r>
      <w:proofErr w:type="spellEnd"/>
      <w:r w:rsidRPr="00C715E4">
        <w:rPr>
          <w:rFonts w:ascii="Arial" w:hAnsi="Arial" w:cs="Arial"/>
          <w:i/>
          <w:sz w:val="24"/>
          <w:szCs w:val="24"/>
        </w:rPr>
        <w:t xml:space="preserve"> Indigenous Community v Paraguay</w:t>
      </w:r>
      <w:r w:rsidRPr="00C715E4">
        <w:rPr>
          <w:rFonts w:ascii="Arial" w:hAnsi="Arial" w:cs="Arial"/>
          <w:sz w:val="24"/>
          <w:szCs w:val="24"/>
        </w:rPr>
        <w:t xml:space="preserve">, the Court found a violation of the right to life in relation to the living conditions of the </w:t>
      </w:r>
      <w:proofErr w:type="spellStart"/>
      <w:r w:rsidRPr="00C715E4">
        <w:rPr>
          <w:rFonts w:ascii="Arial" w:hAnsi="Arial" w:cs="Arial"/>
          <w:sz w:val="24"/>
          <w:szCs w:val="24"/>
        </w:rPr>
        <w:t>Xákmok</w:t>
      </w:r>
      <w:proofErr w:type="spellEnd"/>
      <w:r w:rsidRPr="00C715E4">
        <w:rPr>
          <w:rFonts w:ascii="Arial" w:hAnsi="Arial" w:cs="Arial"/>
          <w:sz w:val="24"/>
          <w:szCs w:val="24"/>
        </w:rPr>
        <w:t xml:space="preserve"> </w:t>
      </w:r>
      <w:proofErr w:type="spellStart"/>
      <w:r w:rsidRPr="00C715E4">
        <w:rPr>
          <w:rFonts w:ascii="Arial" w:hAnsi="Arial" w:cs="Arial"/>
          <w:sz w:val="24"/>
          <w:szCs w:val="24"/>
        </w:rPr>
        <w:t>Kásek</w:t>
      </w:r>
      <w:proofErr w:type="spellEnd"/>
      <w:r w:rsidRPr="00C715E4">
        <w:rPr>
          <w:rFonts w:ascii="Arial" w:hAnsi="Arial" w:cs="Arial"/>
          <w:sz w:val="24"/>
          <w:szCs w:val="24"/>
        </w:rPr>
        <w:t>, including the lack of water, food and medical treatment, linking this situation to the community’s lack of access to lands and inability to provide for and support themselves, according to their ancestral traditions and cultural patterns.</w:t>
      </w:r>
      <w:r w:rsidRPr="00C715E4">
        <w:rPr>
          <w:rStyle w:val="Marquenotebasdepage"/>
          <w:rFonts w:ascii="Arial" w:hAnsi="Arial" w:cs="Arial"/>
        </w:rPr>
        <w:footnoteReference w:id="35"/>
      </w:r>
    </w:p>
    <w:p w:rsidR="00060432" w:rsidRPr="002E3B73" w:rsidRDefault="00060432" w:rsidP="00060432">
      <w:pPr>
        <w:pStyle w:val="ColorfulList-Accent11"/>
        <w:spacing w:line="360" w:lineRule="auto"/>
        <w:ind w:left="426" w:hanging="284"/>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This approach, incorporating aspects of indigenous community’s livelihood within the right to life and human dignity, has been firmly endorsed by the African Commission in the </w:t>
      </w:r>
      <w:proofErr w:type="spellStart"/>
      <w:r w:rsidRPr="009E71F7">
        <w:rPr>
          <w:rFonts w:ascii="Arial" w:hAnsi="Arial" w:cs="Arial"/>
          <w:i/>
          <w:sz w:val="24"/>
          <w:szCs w:val="24"/>
        </w:rPr>
        <w:t>Endorois</w:t>
      </w:r>
      <w:proofErr w:type="spellEnd"/>
      <w:r w:rsidRPr="00C715E4">
        <w:rPr>
          <w:rFonts w:ascii="Arial" w:hAnsi="Arial" w:cs="Arial"/>
          <w:sz w:val="24"/>
          <w:szCs w:val="24"/>
        </w:rPr>
        <w:t xml:space="preserve"> decision, which referred to the decision in </w:t>
      </w:r>
      <w:proofErr w:type="spellStart"/>
      <w:r w:rsidRPr="00C715E4">
        <w:rPr>
          <w:rFonts w:ascii="Arial" w:hAnsi="Arial" w:cs="Arial"/>
          <w:i/>
          <w:sz w:val="24"/>
          <w:szCs w:val="24"/>
          <w:lang w:val="en-US"/>
        </w:rPr>
        <w:t>Yakye</w:t>
      </w:r>
      <w:proofErr w:type="spellEnd"/>
      <w:r w:rsidRPr="00C715E4">
        <w:rPr>
          <w:rFonts w:ascii="Arial" w:hAnsi="Arial" w:cs="Arial"/>
          <w:i/>
          <w:sz w:val="24"/>
          <w:szCs w:val="24"/>
          <w:lang w:val="en-US"/>
        </w:rPr>
        <w:t xml:space="preserve"> </w:t>
      </w:r>
      <w:proofErr w:type="spellStart"/>
      <w:r w:rsidRPr="00C715E4">
        <w:rPr>
          <w:rFonts w:ascii="Arial" w:hAnsi="Arial" w:cs="Arial"/>
          <w:i/>
          <w:sz w:val="24"/>
          <w:szCs w:val="24"/>
          <w:lang w:val="en-US"/>
        </w:rPr>
        <w:t>Axa</w:t>
      </w:r>
      <w:proofErr w:type="spellEnd"/>
      <w:r w:rsidRPr="00C715E4">
        <w:rPr>
          <w:rFonts w:ascii="Arial" w:hAnsi="Arial" w:cs="Arial"/>
          <w:i/>
          <w:sz w:val="24"/>
          <w:szCs w:val="24"/>
          <w:lang w:val="en-US"/>
        </w:rPr>
        <w:t xml:space="preserve"> v Paraguay:</w:t>
      </w:r>
    </w:p>
    <w:p w:rsidR="00060432" w:rsidRPr="002E3B73" w:rsidRDefault="00060432" w:rsidP="00060432">
      <w:pPr>
        <w:pStyle w:val="ColorfulList-Accent11"/>
        <w:spacing w:line="360" w:lineRule="auto"/>
        <w:ind w:left="426" w:hanging="284"/>
        <w:rPr>
          <w:rFonts w:ascii="Arial" w:hAnsi="Arial" w:cs="Arial"/>
          <w:sz w:val="24"/>
          <w:szCs w:val="24"/>
          <w:lang w:val="en-US"/>
        </w:rPr>
      </w:pPr>
    </w:p>
    <w:p w:rsidR="00060432" w:rsidRPr="005D517B" w:rsidRDefault="00060432" w:rsidP="00060432">
      <w:pPr>
        <w:pStyle w:val="ColorfulList-Accent11"/>
        <w:spacing w:line="360" w:lineRule="auto"/>
        <w:ind w:left="426"/>
        <w:jc w:val="both"/>
        <w:rPr>
          <w:rFonts w:ascii="Arial" w:hAnsi="Arial" w:cs="Arial"/>
          <w:sz w:val="24"/>
          <w:szCs w:val="24"/>
          <w:lang w:val="en-US"/>
        </w:rPr>
      </w:pPr>
      <w:r w:rsidRPr="005D517B">
        <w:rPr>
          <w:rFonts w:ascii="Arial" w:hAnsi="Arial" w:cs="Arial"/>
          <w:i/>
          <w:sz w:val="24"/>
          <w:szCs w:val="24"/>
          <w:lang w:val="en-US"/>
        </w:rPr>
        <w:t xml:space="preserve">“The Court found that the fallout from forcibly dispossessing indigenous peoples from their ancestral land could amount to an Article 4 violation (right to life) if the </w:t>
      </w:r>
      <w:r w:rsidRPr="005D517B">
        <w:rPr>
          <w:rFonts w:ascii="Arial" w:hAnsi="Arial" w:cs="Arial"/>
          <w:i/>
          <w:sz w:val="24"/>
          <w:szCs w:val="24"/>
          <w:lang w:val="en-US"/>
        </w:rPr>
        <w:lastRenderedPageBreak/>
        <w:t>living conditions of the community are incompatible with the principles of human dignity”</w:t>
      </w:r>
      <w:r w:rsidRPr="005D517B">
        <w:rPr>
          <w:rStyle w:val="Marquenotebasdepage"/>
          <w:rFonts w:ascii="Arial" w:hAnsi="Arial" w:cs="Arial"/>
          <w:i/>
          <w:lang w:val="en-US"/>
        </w:rPr>
        <w:footnoteReference w:id="36"/>
      </w:r>
      <w:r w:rsidRPr="005D517B">
        <w:rPr>
          <w:rFonts w:ascii="Arial" w:hAnsi="Arial" w:cs="Arial"/>
          <w:sz w:val="24"/>
          <w:szCs w:val="24"/>
          <w:lang w:val="en-US"/>
        </w:rPr>
        <w:t xml:space="preserve"> </w:t>
      </w:r>
    </w:p>
    <w:p w:rsidR="00060432" w:rsidRPr="005D517B" w:rsidRDefault="00060432" w:rsidP="00060432">
      <w:pPr>
        <w:pStyle w:val="ColorfulList-Accent11"/>
        <w:spacing w:line="360" w:lineRule="auto"/>
        <w:ind w:left="426" w:hanging="284"/>
        <w:jc w:val="both"/>
        <w:rPr>
          <w:rFonts w:ascii="Arial" w:hAnsi="Arial" w:cs="Arial"/>
          <w:sz w:val="24"/>
          <w:szCs w:val="24"/>
        </w:rPr>
      </w:pPr>
    </w:p>
    <w:p w:rsidR="00060432" w:rsidRPr="005D517B"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5D517B">
        <w:rPr>
          <w:rFonts w:ascii="Arial" w:hAnsi="Arial" w:cs="Arial"/>
          <w:sz w:val="24"/>
          <w:szCs w:val="24"/>
        </w:rPr>
        <w:t>The CESCR has clearly recognised the link between forced evictions and the right to life, stating:</w:t>
      </w:r>
    </w:p>
    <w:p w:rsidR="00060432" w:rsidRPr="002E3B73" w:rsidRDefault="00060432" w:rsidP="00060432">
      <w:pPr>
        <w:spacing w:after="160" w:line="360" w:lineRule="auto"/>
        <w:ind w:left="426"/>
        <w:jc w:val="both"/>
        <w:rPr>
          <w:rFonts w:ascii="Arial" w:hAnsi="Arial" w:cs="Arial"/>
          <w:i/>
          <w:sz w:val="24"/>
          <w:szCs w:val="24"/>
        </w:rPr>
      </w:pPr>
      <w:r w:rsidRPr="005D517B">
        <w:rPr>
          <w:rFonts w:ascii="Arial" w:hAnsi="Arial" w:cs="Arial"/>
          <w:i/>
          <w:sz w:val="24"/>
          <w:szCs w:val="24"/>
        </w:rPr>
        <w:t xml:space="preserve">“The practice of forced evictions is widespread and affects persons in both developed and developing countries. Owing to the interrelationship and </w:t>
      </w:r>
      <w:proofErr w:type="gramStart"/>
      <w:r w:rsidRPr="005D517B">
        <w:rPr>
          <w:rFonts w:ascii="Arial" w:hAnsi="Arial" w:cs="Arial"/>
          <w:i/>
          <w:sz w:val="24"/>
          <w:szCs w:val="24"/>
        </w:rPr>
        <w:t>interdependency which</w:t>
      </w:r>
      <w:proofErr w:type="gramEnd"/>
      <w:r w:rsidRPr="005D517B">
        <w:rPr>
          <w:rFonts w:ascii="Arial" w:hAnsi="Arial" w:cs="Arial"/>
          <w:i/>
          <w:sz w:val="24"/>
          <w:szCs w:val="24"/>
        </w:rPr>
        <w:t xml:space="preserve"> exist among all human rights, forced evictions frequently violate other human rights. Thus, while manifestly breaching the rights enshrined in the Covenant, the practice of forced evictions may also result in violations of civil and political rights, such as the right to life, the right</w:t>
      </w:r>
      <w:r w:rsidRPr="00C715E4">
        <w:rPr>
          <w:rFonts w:ascii="Arial" w:hAnsi="Arial" w:cs="Arial"/>
          <w:i/>
          <w:sz w:val="24"/>
          <w:szCs w:val="24"/>
        </w:rPr>
        <w:t xml:space="preserve"> to security of the person, the right to non-interference with privacy, family and home and the right to the peaceful enjoyment of possessions.”</w:t>
      </w:r>
      <w:r w:rsidRPr="00C715E4">
        <w:rPr>
          <w:rStyle w:val="Marquenotebasdepage"/>
          <w:rFonts w:ascii="Arial" w:hAnsi="Arial" w:cs="Arial"/>
          <w:i/>
        </w:rPr>
        <w:footnoteReference w:id="37"/>
      </w: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Further, in the </w:t>
      </w:r>
      <w:proofErr w:type="spellStart"/>
      <w:r w:rsidRPr="009E71F7">
        <w:rPr>
          <w:rFonts w:ascii="Arial" w:hAnsi="Arial" w:cs="Arial"/>
          <w:i/>
          <w:sz w:val="24"/>
          <w:szCs w:val="24"/>
        </w:rPr>
        <w:t>Ogoni</w:t>
      </w:r>
      <w:proofErr w:type="spellEnd"/>
      <w:r w:rsidRPr="00C715E4">
        <w:rPr>
          <w:rFonts w:ascii="Arial" w:hAnsi="Arial" w:cs="Arial"/>
          <w:sz w:val="24"/>
          <w:szCs w:val="24"/>
        </w:rPr>
        <w:t xml:space="preserve"> case, finding a violation of Article 4, the Commission held:</w:t>
      </w:r>
    </w:p>
    <w:p w:rsidR="00060432" w:rsidRDefault="00060432" w:rsidP="00060432">
      <w:pPr>
        <w:pStyle w:val="ColorfulList-Accent11"/>
        <w:spacing w:line="360" w:lineRule="auto"/>
        <w:ind w:left="426" w:hanging="284"/>
        <w:jc w:val="both"/>
        <w:rPr>
          <w:rFonts w:ascii="Arial" w:hAnsi="Arial" w:cs="Arial"/>
          <w:sz w:val="24"/>
          <w:szCs w:val="24"/>
        </w:rPr>
      </w:pPr>
    </w:p>
    <w:p w:rsidR="00B36688" w:rsidRPr="00B36688" w:rsidRDefault="00060432" w:rsidP="00B36688">
      <w:pPr>
        <w:pStyle w:val="ColorfulList-Accent11"/>
        <w:spacing w:line="360" w:lineRule="auto"/>
        <w:ind w:left="426"/>
        <w:jc w:val="both"/>
        <w:rPr>
          <w:rFonts w:ascii="Arial" w:hAnsi="Arial" w:cs="Arial"/>
          <w:sz w:val="24"/>
          <w:szCs w:val="24"/>
        </w:rPr>
      </w:pPr>
      <w:r w:rsidRPr="009E71F7">
        <w:rPr>
          <w:rFonts w:ascii="Arial" w:hAnsi="Arial" w:cs="Arial"/>
          <w:i/>
          <w:sz w:val="24"/>
          <w:szCs w:val="24"/>
        </w:rPr>
        <w:t xml:space="preserve">“The survival of the </w:t>
      </w:r>
      <w:proofErr w:type="spellStart"/>
      <w:r w:rsidRPr="009E71F7">
        <w:rPr>
          <w:rFonts w:ascii="Arial" w:hAnsi="Arial" w:cs="Arial"/>
          <w:i/>
          <w:sz w:val="24"/>
          <w:szCs w:val="24"/>
        </w:rPr>
        <w:t>Ogonis</w:t>
      </w:r>
      <w:proofErr w:type="spellEnd"/>
      <w:r w:rsidRPr="009E71F7">
        <w:rPr>
          <w:rFonts w:ascii="Arial" w:hAnsi="Arial" w:cs="Arial"/>
          <w:i/>
          <w:sz w:val="24"/>
          <w:szCs w:val="24"/>
        </w:rPr>
        <w:t xml:space="preserve"> depended on their land and farms that were destroyed by the direct involvement of the Government.  These and similar brutalities not only persecuted individuals in </w:t>
      </w:r>
      <w:proofErr w:type="spellStart"/>
      <w:r w:rsidRPr="009E71F7">
        <w:rPr>
          <w:rFonts w:ascii="Arial" w:hAnsi="Arial" w:cs="Arial"/>
          <w:i/>
          <w:sz w:val="24"/>
          <w:szCs w:val="24"/>
        </w:rPr>
        <w:t>Ogoniland</w:t>
      </w:r>
      <w:proofErr w:type="spellEnd"/>
      <w:r w:rsidRPr="009E71F7">
        <w:rPr>
          <w:rFonts w:ascii="Arial" w:hAnsi="Arial" w:cs="Arial"/>
          <w:i/>
          <w:sz w:val="24"/>
          <w:szCs w:val="24"/>
        </w:rPr>
        <w:t xml:space="preserve"> but also the whole of the </w:t>
      </w:r>
      <w:proofErr w:type="spellStart"/>
      <w:r w:rsidRPr="009E71F7">
        <w:rPr>
          <w:rFonts w:ascii="Arial" w:hAnsi="Arial" w:cs="Arial"/>
          <w:i/>
          <w:sz w:val="24"/>
          <w:szCs w:val="24"/>
        </w:rPr>
        <w:t>Ogoni</w:t>
      </w:r>
      <w:proofErr w:type="spellEnd"/>
      <w:r w:rsidRPr="009E71F7">
        <w:rPr>
          <w:rFonts w:ascii="Arial" w:hAnsi="Arial" w:cs="Arial"/>
          <w:i/>
          <w:sz w:val="24"/>
          <w:szCs w:val="24"/>
        </w:rPr>
        <w:t xml:space="preserve"> Community as a whole</w:t>
      </w:r>
      <w:r w:rsidRPr="00C715E4">
        <w:rPr>
          <w:rFonts w:ascii="Arial" w:hAnsi="Arial" w:cs="Arial"/>
          <w:sz w:val="24"/>
          <w:szCs w:val="24"/>
        </w:rPr>
        <w:t>.”</w:t>
      </w:r>
      <w:r w:rsidRPr="00C715E4">
        <w:rPr>
          <w:rStyle w:val="Marquenotebasdepage"/>
          <w:rFonts w:ascii="Arial" w:hAnsi="Arial" w:cs="Arial"/>
        </w:rPr>
        <w:footnoteReference w:id="38"/>
      </w:r>
    </w:p>
    <w:p w:rsidR="00060432" w:rsidRPr="002E3B73" w:rsidRDefault="00060432" w:rsidP="00060432">
      <w:pPr>
        <w:autoSpaceDE w:val="0"/>
        <w:autoSpaceDN w:val="0"/>
        <w:adjustRightInd w:val="0"/>
        <w:spacing w:after="0" w:line="360" w:lineRule="auto"/>
        <w:ind w:left="426" w:hanging="284"/>
        <w:rPr>
          <w:rFonts w:ascii="Arial" w:hAnsi="Arial" w:cs="Arial"/>
          <w:b/>
          <w:sz w:val="24"/>
          <w:szCs w:val="24"/>
        </w:rPr>
      </w:pPr>
      <w:r w:rsidRPr="00C715E4">
        <w:rPr>
          <w:rFonts w:ascii="Arial" w:hAnsi="Arial" w:cs="Arial"/>
          <w:b/>
          <w:sz w:val="24"/>
          <w:szCs w:val="24"/>
        </w:rPr>
        <w:t>Violation of Article 4</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1628FE"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It is well established that, in common with other hunter-gatherer communities,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w:t>
      </w:r>
      <w:r w:rsidRPr="001628FE">
        <w:rPr>
          <w:rFonts w:ascii="Arial" w:hAnsi="Arial" w:cs="Arial"/>
          <w:sz w:val="24"/>
          <w:szCs w:val="24"/>
        </w:rPr>
        <w:t>relied upon their ancestral land in the Mau Forest to support their livelihoods, particular way of life and indeed their very existence.</w:t>
      </w:r>
      <w:r w:rsidRPr="001628FE">
        <w:rPr>
          <w:rStyle w:val="Marquenotebasdepage"/>
          <w:rFonts w:ascii="Arial" w:hAnsi="Arial" w:cs="Arial"/>
        </w:rPr>
        <w:footnoteReference w:id="39"/>
      </w:r>
      <w:r w:rsidRPr="001628FE">
        <w:rPr>
          <w:rFonts w:ascii="Arial" w:hAnsi="Arial" w:cs="Arial"/>
          <w:sz w:val="24"/>
          <w:szCs w:val="24"/>
        </w:rPr>
        <w:t xml:space="preserve">  </w:t>
      </w:r>
    </w:p>
    <w:p w:rsidR="00060432" w:rsidRPr="001628FE"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1628FE">
        <w:rPr>
          <w:rFonts w:ascii="Arial" w:hAnsi="Arial" w:cs="Arial"/>
          <w:sz w:val="24"/>
          <w:szCs w:val="24"/>
        </w:rPr>
        <w:t xml:space="preserve">The </w:t>
      </w:r>
      <w:proofErr w:type="spellStart"/>
      <w:r w:rsidRPr="001628FE">
        <w:rPr>
          <w:rFonts w:ascii="Arial" w:hAnsi="Arial" w:cs="Arial"/>
          <w:sz w:val="24"/>
          <w:szCs w:val="24"/>
        </w:rPr>
        <w:t>Ogiek’s</w:t>
      </w:r>
      <w:proofErr w:type="spellEnd"/>
      <w:r w:rsidRPr="001628FE">
        <w:rPr>
          <w:rFonts w:ascii="Arial" w:hAnsi="Arial" w:cs="Arial"/>
          <w:sz w:val="24"/>
          <w:szCs w:val="24"/>
        </w:rPr>
        <w:t xml:space="preserve"> ancestral land in the Mau Forest provided them with a constant supply of food, in the form of game and honey. </w:t>
      </w:r>
      <w:r w:rsidRPr="001628FE">
        <w:rPr>
          <w:rStyle w:val="Marquenotebasdepage"/>
          <w:rFonts w:ascii="Arial" w:hAnsi="Arial" w:cs="Arial"/>
        </w:rPr>
        <w:footnoteReference w:id="40"/>
      </w:r>
      <w:r w:rsidRPr="001628FE">
        <w:rPr>
          <w:rFonts w:ascii="Arial" w:hAnsi="Arial" w:cs="Arial"/>
          <w:sz w:val="24"/>
          <w:szCs w:val="24"/>
        </w:rPr>
        <w:t xml:space="preserve"> It also provided them with shelter</w:t>
      </w:r>
      <w:r w:rsidRPr="001628FE">
        <w:rPr>
          <w:rStyle w:val="Marquenotebasdepage"/>
          <w:rFonts w:ascii="Arial" w:hAnsi="Arial" w:cs="Arial"/>
        </w:rPr>
        <w:footnoteReference w:id="41"/>
      </w:r>
      <w:r w:rsidRPr="001628FE">
        <w:rPr>
          <w:rFonts w:ascii="Arial" w:hAnsi="Arial" w:cs="Arial"/>
          <w:sz w:val="24"/>
          <w:szCs w:val="24"/>
        </w:rPr>
        <w:t>, traditional medicines,</w:t>
      </w:r>
      <w:r w:rsidRPr="001628FE">
        <w:rPr>
          <w:rStyle w:val="Marquenotebasdepage"/>
          <w:rFonts w:ascii="Arial" w:hAnsi="Arial" w:cs="Arial"/>
        </w:rPr>
        <w:footnoteReference w:id="42"/>
      </w:r>
      <w:r w:rsidRPr="001628FE">
        <w:rPr>
          <w:rFonts w:ascii="Arial" w:hAnsi="Arial" w:cs="Arial"/>
          <w:sz w:val="24"/>
          <w:szCs w:val="24"/>
        </w:rPr>
        <w:t xml:space="preserve"> plants for traditional purposes</w:t>
      </w:r>
      <w:r w:rsidRPr="001628FE">
        <w:rPr>
          <w:rStyle w:val="Marquenotebasdepage"/>
          <w:rFonts w:ascii="Arial" w:hAnsi="Arial" w:cs="Arial"/>
        </w:rPr>
        <w:footnoteReference w:id="43"/>
      </w:r>
      <w:r w:rsidRPr="001628FE">
        <w:rPr>
          <w:rFonts w:ascii="Arial" w:hAnsi="Arial" w:cs="Arial"/>
          <w:sz w:val="24"/>
          <w:szCs w:val="24"/>
        </w:rPr>
        <w:t>, an area for cultural rituals and ceremonies, religious ceremonies,</w:t>
      </w:r>
      <w:r w:rsidRPr="001628FE">
        <w:rPr>
          <w:rStyle w:val="Marquenotebasdepage"/>
          <w:rFonts w:ascii="Arial" w:hAnsi="Arial" w:cs="Arial"/>
        </w:rPr>
        <w:footnoteReference w:id="44"/>
      </w:r>
      <w:r w:rsidRPr="001628FE">
        <w:rPr>
          <w:rFonts w:ascii="Arial" w:hAnsi="Arial" w:cs="Arial"/>
          <w:sz w:val="24"/>
          <w:szCs w:val="24"/>
        </w:rPr>
        <w:t xml:space="preserve"> and indeed for social organisation.</w:t>
      </w:r>
      <w:r w:rsidRPr="001628FE">
        <w:rPr>
          <w:rStyle w:val="Marquenotebasdepage"/>
          <w:rFonts w:ascii="Arial" w:hAnsi="Arial" w:cs="Arial"/>
        </w:rPr>
        <w:footnoteReference w:id="45"/>
      </w:r>
      <w:r w:rsidRPr="001628FE">
        <w:rPr>
          <w:rFonts w:ascii="Arial" w:hAnsi="Arial" w:cs="Arial"/>
          <w:sz w:val="24"/>
          <w:szCs w:val="24"/>
        </w:rPr>
        <w:t xml:space="preserve">  Indeed, the Respondent State acknowledges this intimate relationship: “Any destruction</w:t>
      </w:r>
      <w:r w:rsidRPr="00C715E4">
        <w:rPr>
          <w:rFonts w:ascii="Arial" w:hAnsi="Arial" w:cs="Arial"/>
          <w:sz w:val="24"/>
          <w:szCs w:val="24"/>
        </w:rPr>
        <w:t xml:space="preserve"> to this [Mau Forest] ecosystem will impact on the right to life of... the </w:t>
      </w:r>
      <w:proofErr w:type="spellStart"/>
      <w:r w:rsidRPr="00C715E4">
        <w:rPr>
          <w:rFonts w:ascii="Arial" w:hAnsi="Arial" w:cs="Arial"/>
          <w:sz w:val="24"/>
          <w:szCs w:val="24"/>
        </w:rPr>
        <w:t>Ogieks</w:t>
      </w:r>
      <w:proofErr w:type="spellEnd"/>
      <w:r w:rsidRPr="00C715E4">
        <w:rPr>
          <w:rStyle w:val="Marquenotebasdepage"/>
          <w:rFonts w:ascii="Arial" w:hAnsi="Arial" w:cs="Arial"/>
        </w:rPr>
        <w:footnoteReference w:id="46"/>
      </w:r>
      <w:r w:rsidRPr="00C715E4">
        <w:rPr>
          <w:rFonts w:ascii="Arial" w:hAnsi="Arial" w:cs="Arial"/>
          <w:sz w:val="24"/>
          <w:szCs w:val="24"/>
        </w:rPr>
        <w:t>”.</w:t>
      </w:r>
      <w:r w:rsidRPr="00C715E4">
        <w:rPr>
          <w:rStyle w:val="Marquenotebasdepage"/>
          <w:rFonts w:ascii="Arial" w:hAnsi="Arial" w:cs="Arial"/>
        </w:rPr>
        <w:footnoteReference w:id="47"/>
      </w:r>
    </w:p>
    <w:p w:rsidR="00060432" w:rsidRPr="002E3B73" w:rsidRDefault="00060432" w:rsidP="00060432">
      <w:pPr>
        <w:pStyle w:val="ColorfulList-Accent11"/>
        <w:spacing w:line="360" w:lineRule="auto"/>
        <w:ind w:left="426" w:hanging="284"/>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The African Commission’s Working Group on Indigenous Populations/ Communities has recognised the central role that access to ancestral lands plays in the maintenance of a certain way of life.  Firstly, in relation to the </w:t>
      </w:r>
      <w:proofErr w:type="spellStart"/>
      <w:r w:rsidRPr="00C715E4">
        <w:rPr>
          <w:rFonts w:ascii="Arial" w:hAnsi="Arial" w:cs="Arial"/>
          <w:sz w:val="24"/>
          <w:szCs w:val="24"/>
        </w:rPr>
        <w:t>Ogiek</w:t>
      </w:r>
      <w:proofErr w:type="spellEnd"/>
      <w:r w:rsidRPr="00C715E4">
        <w:rPr>
          <w:rFonts w:ascii="Arial" w:hAnsi="Arial" w:cs="Arial"/>
          <w:sz w:val="24"/>
          <w:szCs w:val="24"/>
        </w:rPr>
        <w:t>, it has found</w:t>
      </w:r>
    </w:p>
    <w:p w:rsidR="00060432" w:rsidRPr="002E3B73" w:rsidRDefault="00060432" w:rsidP="00060432">
      <w:pPr>
        <w:pStyle w:val="ColorfulList-Accent11"/>
        <w:autoSpaceDE w:val="0"/>
        <w:autoSpaceDN w:val="0"/>
        <w:adjustRightInd w:val="0"/>
        <w:spacing w:after="0" w:line="360" w:lineRule="auto"/>
        <w:ind w:left="426" w:hanging="284"/>
        <w:jc w:val="both"/>
        <w:rPr>
          <w:rFonts w:ascii="Arial" w:hAnsi="Arial" w:cs="Arial"/>
          <w:i/>
          <w:color w:val="141414"/>
          <w:sz w:val="24"/>
          <w:szCs w:val="24"/>
        </w:rPr>
      </w:pPr>
    </w:p>
    <w:p w:rsidR="00060432" w:rsidRPr="002E3B73" w:rsidRDefault="00060432" w:rsidP="00060432">
      <w:pPr>
        <w:pStyle w:val="ColorfulList-Accent11"/>
        <w:autoSpaceDE w:val="0"/>
        <w:autoSpaceDN w:val="0"/>
        <w:adjustRightInd w:val="0"/>
        <w:spacing w:after="0" w:line="360" w:lineRule="auto"/>
        <w:ind w:left="426"/>
        <w:jc w:val="both"/>
        <w:rPr>
          <w:rFonts w:ascii="Arial" w:hAnsi="Arial" w:cs="Arial"/>
          <w:i/>
          <w:color w:val="141414"/>
          <w:sz w:val="24"/>
          <w:szCs w:val="24"/>
        </w:rPr>
      </w:pPr>
      <w:r w:rsidRPr="00C715E4">
        <w:rPr>
          <w:rFonts w:ascii="Arial" w:hAnsi="Arial" w:cs="Arial"/>
          <w:i/>
          <w:color w:val="141414"/>
          <w:sz w:val="24"/>
          <w:szCs w:val="24"/>
        </w:rPr>
        <w:t xml:space="preserve">“While some </w:t>
      </w:r>
      <w:proofErr w:type="spellStart"/>
      <w:r w:rsidRPr="00C715E4">
        <w:rPr>
          <w:rFonts w:ascii="Arial" w:hAnsi="Arial" w:cs="Arial"/>
          <w:i/>
          <w:color w:val="141414"/>
          <w:sz w:val="24"/>
          <w:szCs w:val="24"/>
        </w:rPr>
        <w:t>Ogiek</w:t>
      </w:r>
      <w:proofErr w:type="spellEnd"/>
      <w:r w:rsidRPr="00C715E4">
        <w:rPr>
          <w:rFonts w:ascii="Arial" w:hAnsi="Arial" w:cs="Arial"/>
          <w:i/>
          <w:color w:val="141414"/>
          <w:sz w:val="24"/>
          <w:szCs w:val="24"/>
        </w:rPr>
        <w:t xml:space="preserve"> have taken up agriculture and some are livestock keepers, a large number of those who depend upon foraging and hunting have been left without any means of livelihood by the eviction. Some of the gazetted area </w:t>
      </w:r>
      <w:proofErr w:type="gramStart"/>
      <w:r w:rsidRPr="00C715E4">
        <w:rPr>
          <w:rFonts w:ascii="Arial" w:hAnsi="Arial" w:cs="Arial"/>
          <w:i/>
          <w:color w:val="141414"/>
          <w:sz w:val="24"/>
          <w:szCs w:val="24"/>
        </w:rPr>
        <w:t>is claimed to be protected</w:t>
      </w:r>
      <w:proofErr w:type="gramEnd"/>
      <w:r w:rsidRPr="00C715E4">
        <w:rPr>
          <w:rFonts w:ascii="Arial" w:hAnsi="Arial" w:cs="Arial"/>
          <w:i/>
          <w:color w:val="141414"/>
          <w:sz w:val="24"/>
          <w:szCs w:val="24"/>
        </w:rPr>
        <w:t xml:space="preserve"> for the customary territorial and foraging rights of the </w:t>
      </w:r>
      <w:proofErr w:type="spellStart"/>
      <w:r w:rsidRPr="00C715E4">
        <w:rPr>
          <w:rFonts w:ascii="Arial" w:hAnsi="Arial" w:cs="Arial"/>
          <w:i/>
          <w:color w:val="141414"/>
          <w:sz w:val="24"/>
          <w:szCs w:val="24"/>
        </w:rPr>
        <w:lastRenderedPageBreak/>
        <w:t>Ogiek</w:t>
      </w:r>
      <w:proofErr w:type="spellEnd"/>
      <w:r w:rsidRPr="00C715E4">
        <w:rPr>
          <w:rFonts w:ascii="Arial" w:hAnsi="Arial" w:cs="Arial"/>
          <w:i/>
          <w:color w:val="141414"/>
          <w:sz w:val="24"/>
          <w:szCs w:val="24"/>
        </w:rPr>
        <w:t xml:space="preserve">, yet the </w:t>
      </w:r>
      <w:proofErr w:type="spellStart"/>
      <w:r w:rsidRPr="00C715E4">
        <w:rPr>
          <w:rFonts w:ascii="Arial" w:hAnsi="Arial" w:cs="Arial"/>
          <w:i/>
          <w:color w:val="141414"/>
          <w:sz w:val="24"/>
          <w:szCs w:val="24"/>
        </w:rPr>
        <w:t>Ogiek</w:t>
      </w:r>
      <w:proofErr w:type="spellEnd"/>
      <w:r w:rsidRPr="00C715E4">
        <w:rPr>
          <w:rFonts w:ascii="Arial" w:hAnsi="Arial" w:cs="Arial"/>
          <w:i/>
          <w:color w:val="141414"/>
          <w:sz w:val="24"/>
          <w:szCs w:val="24"/>
        </w:rPr>
        <w:t xml:space="preserve"> are kept away from the area. At the same time, no effort has gone into protecting the area against possible encroachment and logging. Instead, the government has allocated some of the forest to outsiders to be used for other purposes.</w:t>
      </w:r>
      <w:r>
        <w:rPr>
          <w:rFonts w:ascii="Arial" w:hAnsi="Arial" w:cs="Arial"/>
          <w:i/>
          <w:color w:val="141414"/>
          <w:sz w:val="24"/>
          <w:szCs w:val="24"/>
        </w:rPr>
        <w:t>”</w:t>
      </w:r>
      <w:r w:rsidRPr="00C715E4">
        <w:rPr>
          <w:rStyle w:val="Marquenotebasdepage"/>
          <w:rFonts w:ascii="Arial" w:hAnsi="Arial" w:cs="Arial"/>
          <w:i/>
          <w:color w:val="141414"/>
        </w:rPr>
        <w:footnoteReference w:id="48"/>
      </w:r>
      <w:r w:rsidRPr="00C715E4">
        <w:rPr>
          <w:rFonts w:ascii="Arial" w:hAnsi="Arial" w:cs="Arial"/>
          <w:i/>
          <w:color w:val="141414"/>
          <w:sz w:val="24"/>
          <w:szCs w:val="24"/>
        </w:rPr>
        <w:t xml:space="preserve"> </w:t>
      </w:r>
    </w:p>
    <w:p w:rsidR="00060432" w:rsidRPr="002E3B73" w:rsidRDefault="00060432" w:rsidP="00060432">
      <w:pPr>
        <w:pStyle w:val="ColorfulList-Accent11"/>
        <w:spacing w:line="360" w:lineRule="auto"/>
        <w:ind w:left="426" w:hanging="284"/>
        <w:rPr>
          <w:rFonts w:ascii="Arial" w:hAnsi="Arial" w:cs="Arial"/>
          <w:sz w:val="24"/>
          <w:szCs w:val="24"/>
        </w:rPr>
      </w:pPr>
    </w:p>
    <w:p w:rsidR="00060432" w:rsidRPr="002E3B73" w:rsidRDefault="00060432" w:rsidP="00060432">
      <w:pPr>
        <w:pStyle w:val="ColorfulList-Accent11"/>
        <w:numPr>
          <w:ilvl w:val="0"/>
          <w:numId w:val="1"/>
        </w:numPr>
        <w:autoSpaceDE w:val="0"/>
        <w:autoSpaceDN w:val="0"/>
        <w:adjustRightInd w:val="0"/>
        <w:spacing w:after="0" w:line="360" w:lineRule="auto"/>
        <w:ind w:left="426" w:hanging="284"/>
        <w:jc w:val="both"/>
        <w:rPr>
          <w:rFonts w:ascii="Arial" w:hAnsi="Arial" w:cs="Arial"/>
          <w:color w:val="141414"/>
          <w:sz w:val="24"/>
          <w:szCs w:val="24"/>
        </w:rPr>
      </w:pPr>
      <w:r w:rsidRPr="00C715E4">
        <w:rPr>
          <w:rFonts w:ascii="Arial" w:hAnsi="Arial" w:cs="Arial"/>
          <w:sz w:val="24"/>
          <w:szCs w:val="24"/>
        </w:rPr>
        <w:t xml:space="preserve">Further, in relation to indigenous peoples more generally, the Working Group has stated that indigenous peoples’ </w:t>
      </w:r>
      <w:r w:rsidRPr="00C715E4">
        <w:rPr>
          <w:rFonts w:ascii="Arial" w:hAnsi="Arial" w:cs="Arial"/>
          <w:color w:val="141414"/>
          <w:sz w:val="24"/>
          <w:szCs w:val="24"/>
        </w:rPr>
        <w:t>“very existence and way of life is under threat”</w:t>
      </w:r>
      <w:r w:rsidRPr="00C715E4">
        <w:rPr>
          <w:rStyle w:val="Marquenotebasdepage"/>
          <w:rFonts w:ascii="Arial" w:hAnsi="Arial" w:cs="Arial"/>
          <w:color w:val="141414"/>
        </w:rPr>
        <w:footnoteReference w:id="49"/>
      </w:r>
      <w:r w:rsidRPr="00C715E4">
        <w:rPr>
          <w:rFonts w:ascii="Arial" w:hAnsi="Arial" w:cs="Arial"/>
          <w:color w:val="141414"/>
          <w:sz w:val="24"/>
          <w:szCs w:val="24"/>
        </w:rPr>
        <w:t xml:space="preserve"> “whose cultures and ways of life are subject to discrimination and contempt and whose very existence is under threat of extinction.”</w:t>
      </w:r>
      <w:r w:rsidRPr="00C715E4">
        <w:rPr>
          <w:rStyle w:val="Marquenotebasdepage"/>
          <w:rFonts w:ascii="Arial" w:hAnsi="Arial" w:cs="Arial"/>
          <w:color w:val="141414"/>
        </w:rPr>
        <w:footnoteReference w:id="50"/>
      </w:r>
      <w:r w:rsidRPr="00C715E4">
        <w:rPr>
          <w:rFonts w:ascii="Arial" w:hAnsi="Arial" w:cs="Arial"/>
          <w:color w:val="141414"/>
          <w:sz w:val="24"/>
          <w:szCs w:val="24"/>
        </w:rPr>
        <w:t xml:space="preserve">  It further found that</w:t>
      </w:r>
    </w:p>
    <w:p w:rsidR="00060432" w:rsidRPr="002E3B73" w:rsidRDefault="00060432" w:rsidP="00060432">
      <w:pPr>
        <w:pStyle w:val="ColorfulList-Accent11"/>
        <w:autoSpaceDE w:val="0"/>
        <w:autoSpaceDN w:val="0"/>
        <w:adjustRightInd w:val="0"/>
        <w:spacing w:after="0" w:line="360" w:lineRule="auto"/>
        <w:ind w:left="426" w:hanging="284"/>
        <w:jc w:val="both"/>
        <w:rPr>
          <w:rFonts w:ascii="Arial" w:hAnsi="Arial" w:cs="Arial"/>
          <w:color w:val="141414"/>
          <w:sz w:val="24"/>
          <w:szCs w:val="24"/>
        </w:rPr>
      </w:pPr>
    </w:p>
    <w:p w:rsidR="00060432" w:rsidRPr="002E3B73" w:rsidRDefault="00060432" w:rsidP="00060432">
      <w:pPr>
        <w:pStyle w:val="ColorfulList-Accent11"/>
        <w:autoSpaceDE w:val="0"/>
        <w:autoSpaceDN w:val="0"/>
        <w:adjustRightInd w:val="0"/>
        <w:spacing w:after="0" w:line="360" w:lineRule="auto"/>
        <w:ind w:left="426"/>
        <w:jc w:val="both"/>
        <w:rPr>
          <w:rFonts w:ascii="Arial" w:hAnsi="Arial" w:cs="Arial"/>
          <w:i/>
          <w:color w:val="141414"/>
          <w:sz w:val="24"/>
          <w:szCs w:val="24"/>
        </w:rPr>
      </w:pPr>
      <w:r w:rsidRPr="00C715E4">
        <w:rPr>
          <w:rFonts w:ascii="Arial" w:hAnsi="Arial" w:cs="Arial"/>
          <w:i/>
          <w:color w:val="141414"/>
          <w:sz w:val="24"/>
          <w:szCs w:val="24"/>
        </w:rPr>
        <w:t>“The land alienation and dispossession and dismissal of their customary rights to land and other natural resources has led to an undermining of the knowledge systems through which indigenous peoples have sustained life for centuries and it has led to a negation of their livelihood systems and deprivation of their means. This is seriously threatening the continued existence of indigenous peoples and is rapidly turning them into the most destitute and poverty stricken</w:t>
      </w:r>
      <w:r>
        <w:rPr>
          <w:rFonts w:ascii="Arial" w:hAnsi="Arial" w:cs="Arial"/>
          <w:i/>
          <w:color w:val="141414"/>
          <w:sz w:val="24"/>
          <w:szCs w:val="24"/>
        </w:rPr>
        <w:t>.</w:t>
      </w:r>
      <w:r w:rsidRPr="00C715E4">
        <w:rPr>
          <w:rFonts w:ascii="Arial" w:hAnsi="Arial" w:cs="Arial"/>
          <w:i/>
          <w:color w:val="141414"/>
          <w:sz w:val="24"/>
          <w:szCs w:val="24"/>
        </w:rPr>
        <w:t>”</w:t>
      </w:r>
      <w:r w:rsidRPr="00C715E4">
        <w:rPr>
          <w:rStyle w:val="Marquenotebasdepage"/>
          <w:rFonts w:ascii="Arial" w:hAnsi="Arial" w:cs="Arial"/>
          <w:i/>
          <w:color w:val="141414"/>
        </w:rPr>
        <w:footnoteReference w:id="51"/>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In </w:t>
      </w:r>
      <w:proofErr w:type="spellStart"/>
      <w:r w:rsidRPr="00C715E4">
        <w:rPr>
          <w:rFonts w:ascii="Arial" w:hAnsi="Arial" w:cs="Arial"/>
          <w:i/>
          <w:sz w:val="24"/>
          <w:szCs w:val="24"/>
        </w:rPr>
        <w:t>Saramaka</w:t>
      </w:r>
      <w:proofErr w:type="spellEnd"/>
      <w:r w:rsidRPr="00C715E4">
        <w:rPr>
          <w:rFonts w:ascii="Arial" w:hAnsi="Arial" w:cs="Arial"/>
          <w:i/>
          <w:sz w:val="24"/>
          <w:szCs w:val="24"/>
        </w:rPr>
        <w:t xml:space="preserve"> </w:t>
      </w:r>
      <w:r>
        <w:rPr>
          <w:rFonts w:ascii="Arial" w:hAnsi="Arial" w:cs="Arial"/>
          <w:i/>
          <w:sz w:val="24"/>
          <w:szCs w:val="24"/>
        </w:rPr>
        <w:t xml:space="preserve">People </w:t>
      </w:r>
      <w:r w:rsidRPr="00C715E4">
        <w:rPr>
          <w:rFonts w:ascii="Arial" w:hAnsi="Arial" w:cs="Arial"/>
          <w:i/>
          <w:sz w:val="24"/>
          <w:szCs w:val="24"/>
        </w:rPr>
        <w:t>v Suriname</w:t>
      </w:r>
      <w:r w:rsidRPr="00C715E4">
        <w:rPr>
          <w:rFonts w:ascii="Arial" w:hAnsi="Arial" w:cs="Arial"/>
          <w:sz w:val="24"/>
          <w:szCs w:val="24"/>
        </w:rPr>
        <w:t xml:space="preserve">, the </w:t>
      </w:r>
      <w:proofErr w:type="spellStart"/>
      <w:r>
        <w:rPr>
          <w:rFonts w:ascii="Arial" w:hAnsi="Arial" w:cs="Arial"/>
          <w:sz w:val="24"/>
          <w:szCs w:val="24"/>
        </w:rPr>
        <w:t>IACtHR</w:t>
      </w:r>
      <w:proofErr w:type="spellEnd"/>
      <w:r w:rsidRPr="00C715E4">
        <w:rPr>
          <w:rFonts w:ascii="Arial" w:hAnsi="Arial" w:cs="Arial"/>
          <w:sz w:val="24"/>
          <w:szCs w:val="24"/>
        </w:rPr>
        <w:t xml:space="preserve"> recognised this relationship, stating:</w:t>
      </w:r>
    </w:p>
    <w:p w:rsidR="00060432" w:rsidRPr="002E3B73" w:rsidRDefault="00060432" w:rsidP="00060432">
      <w:pPr>
        <w:pStyle w:val="ColorfulList-Accent11"/>
        <w:spacing w:line="360" w:lineRule="auto"/>
        <w:ind w:left="426" w:hanging="284"/>
        <w:jc w:val="both"/>
        <w:rPr>
          <w:rFonts w:ascii="Arial" w:hAnsi="Arial" w:cs="Arial"/>
          <w:sz w:val="24"/>
          <w:szCs w:val="24"/>
        </w:rPr>
      </w:pPr>
    </w:p>
    <w:p w:rsidR="00060432" w:rsidRPr="002E3B73" w:rsidRDefault="00060432" w:rsidP="00060432">
      <w:pPr>
        <w:pStyle w:val="ColorfulList-Accent11"/>
        <w:spacing w:line="360" w:lineRule="auto"/>
        <w:ind w:left="426"/>
        <w:jc w:val="both"/>
        <w:rPr>
          <w:rFonts w:ascii="Arial" w:hAnsi="Arial" w:cs="Arial"/>
          <w:i/>
          <w:sz w:val="24"/>
          <w:szCs w:val="24"/>
        </w:rPr>
      </w:pPr>
      <w:r w:rsidRPr="00C715E4">
        <w:rPr>
          <w:rFonts w:ascii="Arial" w:hAnsi="Arial" w:cs="Arial"/>
          <w:i/>
          <w:sz w:val="24"/>
          <w:szCs w:val="24"/>
        </w:rPr>
        <w:t xml:space="preserve">“In order to guarantee that restrictions to the property rights of the members of the </w:t>
      </w:r>
      <w:proofErr w:type="spellStart"/>
      <w:r w:rsidRPr="00C715E4">
        <w:rPr>
          <w:rFonts w:ascii="Arial" w:hAnsi="Arial" w:cs="Arial"/>
          <w:i/>
          <w:sz w:val="24"/>
          <w:szCs w:val="24"/>
        </w:rPr>
        <w:t>Saramaka</w:t>
      </w:r>
      <w:proofErr w:type="spellEnd"/>
      <w:r w:rsidRPr="00C715E4">
        <w:rPr>
          <w:rFonts w:ascii="Arial" w:hAnsi="Arial" w:cs="Arial"/>
          <w:i/>
          <w:sz w:val="24"/>
          <w:szCs w:val="24"/>
        </w:rPr>
        <w:t xml:space="preserve"> people by the issuance of concessions within their territory does not amount to a denial of their survival as a tribal people, the State must abide by the following three safeguards: First, the State must ensure the effective participation of the members of the </w:t>
      </w:r>
      <w:proofErr w:type="spellStart"/>
      <w:r w:rsidRPr="00C715E4">
        <w:rPr>
          <w:rFonts w:ascii="Arial" w:hAnsi="Arial" w:cs="Arial"/>
          <w:i/>
          <w:sz w:val="24"/>
          <w:szCs w:val="24"/>
        </w:rPr>
        <w:t>Saramaka</w:t>
      </w:r>
      <w:proofErr w:type="spellEnd"/>
      <w:r w:rsidRPr="00C715E4">
        <w:rPr>
          <w:rFonts w:ascii="Arial" w:hAnsi="Arial" w:cs="Arial"/>
          <w:i/>
          <w:sz w:val="24"/>
          <w:szCs w:val="24"/>
        </w:rPr>
        <w:t xml:space="preserve"> people, in conformity with their customs and traditions, regarding any development, investment, exploration or extraction plan (hereinafter “development or investment plan”) within </w:t>
      </w:r>
      <w:proofErr w:type="spellStart"/>
      <w:r w:rsidRPr="00C715E4">
        <w:rPr>
          <w:rFonts w:ascii="Arial" w:hAnsi="Arial" w:cs="Arial"/>
          <w:i/>
          <w:sz w:val="24"/>
          <w:szCs w:val="24"/>
        </w:rPr>
        <w:t>Saramaka</w:t>
      </w:r>
      <w:proofErr w:type="spellEnd"/>
      <w:r w:rsidRPr="00C715E4">
        <w:rPr>
          <w:rFonts w:ascii="Arial" w:hAnsi="Arial" w:cs="Arial"/>
          <w:i/>
          <w:sz w:val="24"/>
          <w:szCs w:val="24"/>
        </w:rPr>
        <w:t xml:space="preserve"> </w:t>
      </w:r>
      <w:r w:rsidRPr="00C715E4">
        <w:rPr>
          <w:rFonts w:ascii="Arial" w:hAnsi="Arial" w:cs="Arial"/>
          <w:i/>
          <w:sz w:val="24"/>
          <w:szCs w:val="24"/>
        </w:rPr>
        <w:lastRenderedPageBreak/>
        <w:t xml:space="preserve">territory. Second, the State must guarantee that the </w:t>
      </w:r>
      <w:proofErr w:type="spellStart"/>
      <w:r w:rsidRPr="00C715E4">
        <w:rPr>
          <w:rFonts w:ascii="Arial" w:hAnsi="Arial" w:cs="Arial"/>
          <w:i/>
          <w:sz w:val="24"/>
          <w:szCs w:val="24"/>
        </w:rPr>
        <w:t>Saramakas</w:t>
      </w:r>
      <w:proofErr w:type="spellEnd"/>
      <w:r w:rsidRPr="00C715E4">
        <w:rPr>
          <w:rFonts w:ascii="Arial" w:hAnsi="Arial" w:cs="Arial"/>
          <w:i/>
          <w:sz w:val="24"/>
          <w:szCs w:val="24"/>
        </w:rPr>
        <w:t xml:space="preserve"> will receive a reasonable benefit from any such plan within their territory. Thirdly, the State must ensure that no concession will be issued within </w:t>
      </w:r>
      <w:proofErr w:type="spellStart"/>
      <w:r w:rsidRPr="00C715E4">
        <w:rPr>
          <w:rFonts w:ascii="Arial" w:hAnsi="Arial" w:cs="Arial"/>
          <w:i/>
          <w:sz w:val="24"/>
          <w:szCs w:val="24"/>
        </w:rPr>
        <w:t>Saramaka</w:t>
      </w:r>
      <w:proofErr w:type="spellEnd"/>
      <w:r w:rsidRPr="00C715E4">
        <w:rPr>
          <w:rFonts w:ascii="Arial" w:hAnsi="Arial" w:cs="Arial"/>
          <w:i/>
          <w:sz w:val="24"/>
          <w:szCs w:val="24"/>
        </w:rPr>
        <w:t xml:space="preserve"> territory unless and until independent and technically capable entities, with the State’s supervision, perform a prior environmental and social impact assessment. </w:t>
      </w:r>
      <w:r w:rsidRPr="00C715E4">
        <w:rPr>
          <w:rFonts w:ascii="Arial" w:hAnsi="Arial" w:cs="Arial"/>
          <w:i/>
          <w:sz w:val="24"/>
          <w:szCs w:val="24"/>
          <w:u w:val="single"/>
        </w:rPr>
        <w:t xml:space="preserve">These safeguards are intended to preserve, protect and guarantee the special relationship that the members of the </w:t>
      </w:r>
      <w:proofErr w:type="spellStart"/>
      <w:r w:rsidRPr="00C715E4">
        <w:rPr>
          <w:rFonts w:ascii="Arial" w:hAnsi="Arial" w:cs="Arial"/>
          <w:i/>
          <w:sz w:val="24"/>
          <w:szCs w:val="24"/>
          <w:u w:val="single"/>
        </w:rPr>
        <w:t>Saramaka</w:t>
      </w:r>
      <w:proofErr w:type="spellEnd"/>
      <w:r w:rsidRPr="00C715E4">
        <w:rPr>
          <w:rFonts w:ascii="Arial" w:hAnsi="Arial" w:cs="Arial"/>
          <w:i/>
          <w:sz w:val="24"/>
          <w:szCs w:val="24"/>
          <w:u w:val="single"/>
        </w:rPr>
        <w:t xml:space="preserve"> community have with their territory, which in turn ensures their survival as a tribal people.”</w:t>
      </w:r>
      <w:r w:rsidRPr="00C715E4">
        <w:rPr>
          <w:rStyle w:val="Marquenotebasdepage"/>
          <w:rFonts w:ascii="Arial" w:hAnsi="Arial" w:cs="Arial"/>
          <w:i/>
          <w:u w:val="single"/>
        </w:rPr>
        <w:footnoteReference w:id="52"/>
      </w:r>
    </w:p>
    <w:p w:rsidR="00060432" w:rsidRPr="002E3B73" w:rsidRDefault="00060432" w:rsidP="00060432">
      <w:pPr>
        <w:pStyle w:val="just"/>
        <w:spacing w:line="360" w:lineRule="auto"/>
        <w:ind w:left="426" w:hanging="284"/>
        <w:rPr>
          <w:rFonts w:ascii="Arial" w:hAnsi="Arial" w:cs="Arial"/>
        </w:rPr>
      </w:pPr>
    </w:p>
    <w:p w:rsidR="00060432" w:rsidRPr="002E3B73" w:rsidRDefault="00060432" w:rsidP="00060432">
      <w:pPr>
        <w:pStyle w:val="just"/>
        <w:numPr>
          <w:ilvl w:val="0"/>
          <w:numId w:val="1"/>
        </w:numPr>
        <w:tabs>
          <w:tab w:val="num" w:pos="720"/>
        </w:tabs>
        <w:spacing w:line="360" w:lineRule="auto"/>
        <w:ind w:left="426" w:hanging="284"/>
        <w:rPr>
          <w:rFonts w:ascii="Arial" w:hAnsi="Arial" w:cs="Arial"/>
        </w:rPr>
      </w:pPr>
      <w:r w:rsidRPr="00C715E4">
        <w:rPr>
          <w:rFonts w:ascii="Arial" w:hAnsi="Arial" w:cs="Arial"/>
        </w:rPr>
        <w:t xml:space="preserve">As </w:t>
      </w:r>
      <w:r w:rsidRPr="00BA3494">
        <w:rPr>
          <w:rFonts w:ascii="Arial" w:hAnsi="Arial" w:cs="Arial"/>
        </w:rPr>
        <w:t xml:space="preserve">stated at paragraph 386 above, the </w:t>
      </w:r>
      <w:r>
        <w:rPr>
          <w:rFonts w:ascii="Arial" w:hAnsi="Arial" w:cs="Arial"/>
        </w:rPr>
        <w:t>Respondent State</w:t>
      </w:r>
      <w:r w:rsidRPr="00C715E4">
        <w:rPr>
          <w:rFonts w:ascii="Arial" w:hAnsi="Arial" w:cs="Arial"/>
        </w:rPr>
        <w:t xml:space="preserve"> is under a duty not just to refrain from any action which might infringe the right to life, but also to take positive, concrete measures geared towards the </w:t>
      </w:r>
      <w:proofErr w:type="spellStart"/>
      <w:r w:rsidRPr="00C715E4">
        <w:rPr>
          <w:rFonts w:ascii="Arial" w:hAnsi="Arial" w:cs="Arial"/>
        </w:rPr>
        <w:t>fulfilment</w:t>
      </w:r>
      <w:proofErr w:type="spellEnd"/>
      <w:r w:rsidRPr="00C715E4">
        <w:rPr>
          <w:rFonts w:ascii="Arial" w:hAnsi="Arial" w:cs="Arial"/>
        </w:rPr>
        <w:t xml:space="preserve"> of the right to a decent life.  </w:t>
      </w:r>
    </w:p>
    <w:p w:rsidR="00060432" w:rsidRPr="002E3B73" w:rsidRDefault="00060432" w:rsidP="00060432">
      <w:pPr>
        <w:pStyle w:val="just"/>
        <w:spacing w:line="360" w:lineRule="auto"/>
        <w:ind w:left="426" w:hanging="284"/>
        <w:rPr>
          <w:rFonts w:ascii="Arial" w:hAnsi="Arial" w:cs="Arial"/>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It is submitted that the </w:t>
      </w:r>
      <w:r>
        <w:rPr>
          <w:rFonts w:ascii="Arial" w:hAnsi="Arial" w:cs="Arial"/>
          <w:sz w:val="24"/>
          <w:szCs w:val="24"/>
        </w:rPr>
        <w:t>Respondent State</w:t>
      </w:r>
      <w:r w:rsidRPr="00C715E4">
        <w:rPr>
          <w:rFonts w:ascii="Arial" w:hAnsi="Arial" w:cs="Arial"/>
          <w:sz w:val="24"/>
          <w:szCs w:val="24"/>
        </w:rPr>
        <w:t xml:space="preserve">’s removal of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from their ancestral, cultural home, and subsequent limited access to these lands, threatens to destroy the way of life of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community.</w:t>
      </w:r>
      <w:r w:rsidRPr="00C715E4">
        <w:rPr>
          <w:rStyle w:val="Marquenotebasdepage"/>
          <w:rFonts w:ascii="Arial" w:hAnsi="Arial" w:cs="Arial"/>
        </w:rPr>
        <w:footnoteReference w:id="53"/>
      </w:r>
      <w:r w:rsidRPr="00C715E4">
        <w:rPr>
          <w:rFonts w:ascii="Arial" w:hAnsi="Arial" w:cs="Arial"/>
          <w:sz w:val="24"/>
          <w:szCs w:val="24"/>
        </w:rPr>
        <w:t xml:space="preserve">  Their hunter-gatherer livelihood has been severely damaged by relegation to unsuitable lands, and their inability to access religious and cultural sites interferes with the practice and transmission of their culture.</w:t>
      </w:r>
      <w:r w:rsidRPr="00C715E4">
        <w:rPr>
          <w:rStyle w:val="Marquenotebasdepage"/>
          <w:rFonts w:ascii="Arial" w:hAnsi="Arial" w:cs="Arial"/>
        </w:rPr>
        <w:footnoteReference w:id="54"/>
      </w:r>
      <w:r w:rsidRPr="00C715E4">
        <w:rPr>
          <w:rFonts w:ascii="Arial" w:hAnsi="Arial" w:cs="Arial"/>
          <w:sz w:val="24"/>
          <w:szCs w:val="24"/>
        </w:rPr>
        <w:t xml:space="preserve">  In spite of its claims that it “has taken steps to ensure that the </w:t>
      </w:r>
      <w:proofErr w:type="spellStart"/>
      <w:r w:rsidRPr="00C715E4">
        <w:rPr>
          <w:rFonts w:ascii="Arial" w:hAnsi="Arial" w:cs="Arial"/>
          <w:sz w:val="24"/>
          <w:szCs w:val="24"/>
        </w:rPr>
        <w:t>Ogieks</w:t>
      </w:r>
      <w:proofErr w:type="spellEnd"/>
      <w:r w:rsidRPr="00C715E4">
        <w:rPr>
          <w:rFonts w:ascii="Arial" w:hAnsi="Arial" w:cs="Arial"/>
          <w:sz w:val="24"/>
          <w:szCs w:val="24"/>
        </w:rPr>
        <w:t>, in particular, are well provided for”</w:t>
      </w:r>
      <w:r w:rsidRPr="00C715E4">
        <w:rPr>
          <w:rStyle w:val="Marquenotebasdepage"/>
          <w:rFonts w:ascii="Arial" w:hAnsi="Arial" w:cs="Arial"/>
        </w:rPr>
        <w:footnoteReference w:id="55"/>
      </w:r>
      <w:r w:rsidRPr="00C715E4">
        <w:rPr>
          <w:rFonts w:ascii="Arial" w:hAnsi="Arial" w:cs="Arial"/>
          <w:sz w:val="24"/>
          <w:szCs w:val="24"/>
        </w:rPr>
        <w:t xml:space="preserve">, it cannot possibly be concluded that the Government has taken any steps which could be seen as positive, concrete measures geared towards the fulfilment of the right to life and respect for integrity.  Indeed, the </w:t>
      </w:r>
      <w:r>
        <w:rPr>
          <w:rFonts w:ascii="Arial" w:hAnsi="Arial" w:cs="Arial"/>
          <w:sz w:val="24"/>
          <w:szCs w:val="24"/>
        </w:rPr>
        <w:t>TJRC</w:t>
      </w:r>
      <w:r w:rsidRPr="00C715E4">
        <w:rPr>
          <w:rFonts w:ascii="Arial" w:hAnsi="Arial" w:cs="Arial"/>
          <w:sz w:val="24"/>
          <w:szCs w:val="24"/>
        </w:rPr>
        <w:t xml:space="preserve"> Report stated, ‘the Commission finds that the expulsion of </w:t>
      </w:r>
      <w:proofErr w:type="spellStart"/>
      <w:r w:rsidRPr="00C715E4">
        <w:rPr>
          <w:rFonts w:ascii="Arial" w:hAnsi="Arial" w:cs="Arial"/>
          <w:sz w:val="24"/>
          <w:szCs w:val="24"/>
        </w:rPr>
        <w:t>Endorois</w:t>
      </w:r>
      <w:proofErr w:type="spellEnd"/>
      <w:r w:rsidRPr="00C715E4">
        <w:rPr>
          <w:rFonts w:ascii="Arial" w:hAnsi="Arial" w:cs="Arial"/>
          <w:sz w:val="24"/>
          <w:szCs w:val="24"/>
        </w:rPr>
        <w:t xml:space="preserv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 and other communities from their ancestral lands, and the allocation of forest lands to other communities, have led to the destruction of the forests upon which the traditional livelihood of these </w:t>
      </w:r>
      <w:r w:rsidRPr="00C715E4">
        <w:rPr>
          <w:rFonts w:ascii="Arial" w:hAnsi="Arial" w:cs="Arial"/>
          <w:sz w:val="24"/>
          <w:szCs w:val="24"/>
        </w:rPr>
        <w:lastRenderedPageBreak/>
        <w:t>communities depends, and has rendered it virtually impossible for hunter-gatherers to</w:t>
      </w:r>
      <w:r>
        <w:rPr>
          <w:rFonts w:ascii="Arial" w:hAnsi="Arial" w:cs="Arial"/>
          <w:sz w:val="24"/>
          <w:szCs w:val="24"/>
        </w:rPr>
        <w:t xml:space="preserve"> practis</w:t>
      </w:r>
      <w:r w:rsidRPr="00C715E4">
        <w:rPr>
          <w:rFonts w:ascii="Arial" w:hAnsi="Arial" w:cs="Arial"/>
          <w:sz w:val="24"/>
          <w:szCs w:val="24"/>
        </w:rPr>
        <w:t>e their culture.’</w:t>
      </w:r>
      <w:r w:rsidRPr="00C715E4">
        <w:rPr>
          <w:rStyle w:val="Marquenotebasdepage"/>
          <w:rFonts w:ascii="Arial" w:hAnsi="Arial" w:cs="Arial"/>
        </w:rPr>
        <w:footnoteReference w:id="56"/>
      </w:r>
      <w:r w:rsidRPr="00C715E4">
        <w:rPr>
          <w:rFonts w:ascii="Arial" w:hAnsi="Arial" w:cs="Arial"/>
          <w:sz w:val="24"/>
          <w:szCs w:val="24"/>
        </w:rPr>
        <w:t xml:space="preserve">    </w:t>
      </w:r>
    </w:p>
    <w:p w:rsidR="00060432" w:rsidRPr="002E3B73" w:rsidRDefault="00060432" w:rsidP="00060432">
      <w:pPr>
        <w:pStyle w:val="ColorfulList-Accent11"/>
        <w:spacing w:line="360" w:lineRule="auto"/>
        <w:ind w:left="426" w:hanging="284"/>
        <w:rPr>
          <w:rFonts w:ascii="Arial" w:hAnsi="Arial" w:cs="Arial"/>
          <w:sz w:val="24"/>
          <w:szCs w:val="24"/>
        </w:rPr>
      </w:pPr>
    </w:p>
    <w:p w:rsidR="00060432" w:rsidRPr="002E3B73"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5E4">
        <w:rPr>
          <w:rFonts w:ascii="Arial" w:hAnsi="Arial" w:cs="Arial"/>
          <w:sz w:val="24"/>
          <w:szCs w:val="24"/>
        </w:rPr>
        <w:t xml:space="preserve">It is submitted that, to deprive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of access to their ancestral lands, in the name of sustainability and/or environmental necessity, as well as in order to parcel up and distribute forest land to third parties (including political allies) cannot be seen as anything other than an arbitrary act, “an act which shocks, or at least surprises, a sense of juridical propriety”.  As such, it falls within the ambit of Article 4 of the Charter. </w:t>
      </w:r>
    </w:p>
    <w:p w:rsidR="00060432" w:rsidRPr="00C7183A" w:rsidRDefault="00060432" w:rsidP="00060432">
      <w:pPr>
        <w:pStyle w:val="ColorfulList-Accent11"/>
        <w:spacing w:line="360" w:lineRule="auto"/>
        <w:ind w:left="426" w:hanging="284"/>
        <w:rPr>
          <w:rFonts w:ascii="Arial" w:hAnsi="Arial" w:cs="Arial"/>
          <w:sz w:val="24"/>
          <w:szCs w:val="24"/>
        </w:rPr>
      </w:pPr>
    </w:p>
    <w:p w:rsidR="00060432" w:rsidRPr="00C7183A" w:rsidRDefault="00060432" w:rsidP="00060432">
      <w:pPr>
        <w:pStyle w:val="ColorfulList-Accent11"/>
        <w:spacing w:line="360" w:lineRule="auto"/>
        <w:ind w:left="426" w:hanging="284"/>
        <w:rPr>
          <w:rFonts w:ascii="Arial" w:hAnsi="Arial" w:cs="Arial"/>
          <w:b/>
          <w:sz w:val="24"/>
          <w:szCs w:val="24"/>
        </w:rPr>
      </w:pPr>
      <w:r w:rsidRPr="00C7183A">
        <w:rPr>
          <w:rFonts w:ascii="Arial" w:hAnsi="Arial" w:cs="Arial"/>
          <w:b/>
          <w:sz w:val="24"/>
          <w:szCs w:val="24"/>
        </w:rPr>
        <w:t>No justification for interference</w:t>
      </w:r>
    </w:p>
    <w:p w:rsidR="00060432" w:rsidRPr="002E3B73" w:rsidRDefault="00060432" w:rsidP="00060432">
      <w:pPr>
        <w:pStyle w:val="ColorfulList-Accent11"/>
        <w:spacing w:line="360" w:lineRule="auto"/>
        <w:ind w:left="426" w:hanging="284"/>
        <w:rPr>
          <w:rFonts w:ascii="Arial" w:hAnsi="Arial" w:cs="Arial"/>
          <w:sz w:val="24"/>
          <w:szCs w:val="24"/>
          <w:highlight w:val="yellow"/>
        </w:rPr>
      </w:pPr>
    </w:p>
    <w:p w:rsidR="00060432" w:rsidRPr="00C7183A"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83A">
        <w:rPr>
          <w:rFonts w:ascii="Arial" w:hAnsi="Arial" w:cs="Arial"/>
          <w:sz w:val="24"/>
          <w:szCs w:val="24"/>
        </w:rPr>
        <w:t>None of the human rights provided for by the African Charter carries an absolute guarantee.  Article 4 of the Charter must be interpreted in the light of the general limitation clause set out in Article 27(2), known as the ‘claw-back clause’, which states that “the rights and freedoms of each individual shall be exercised with due regard to the rights of others, collective security, morality and common interest.”</w:t>
      </w:r>
    </w:p>
    <w:p w:rsidR="00060432" w:rsidRPr="00C7183A" w:rsidRDefault="00060432" w:rsidP="00060432">
      <w:pPr>
        <w:pStyle w:val="ColorfulList-Accent11"/>
        <w:spacing w:line="360" w:lineRule="auto"/>
        <w:ind w:left="426" w:hanging="284"/>
        <w:rPr>
          <w:rFonts w:ascii="Arial" w:hAnsi="Arial" w:cs="Arial"/>
          <w:sz w:val="24"/>
          <w:szCs w:val="24"/>
        </w:rPr>
      </w:pPr>
    </w:p>
    <w:p w:rsidR="00060432" w:rsidRPr="00C7183A"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83A">
        <w:rPr>
          <w:rFonts w:ascii="Arial" w:hAnsi="Arial" w:cs="Arial"/>
          <w:sz w:val="24"/>
          <w:szCs w:val="24"/>
        </w:rPr>
        <w:t xml:space="preserve">However, it is commonly accepted that </w:t>
      </w:r>
      <w:proofErr w:type="gramStart"/>
      <w:r w:rsidRPr="00C7183A">
        <w:rPr>
          <w:rFonts w:ascii="Arial" w:hAnsi="Arial" w:cs="Arial"/>
          <w:sz w:val="24"/>
          <w:szCs w:val="24"/>
        </w:rPr>
        <w:t>this general limitation clause is worded in such a way as only to prevent the abuse by the individual of his rights and freedoms</w:t>
      </w:r>
      <w:proofErr w:type="gramEnd"/>
      <w:r w:rsidRPr="00C7183A">
        <w:rPr>
          <w:rFonts w:ascii="Arial" w:hAnsi="Arial" w:cs="Arial"/>
          <w:sz w:val="24"/>
          <w:szCs w:val="24"/>
        </w:rPr>
        <w:t xml:space="preserve">.  Put simply, the qualifications it contains are intended to limit the exercise by the individual of his rights </w:t>
      </w:r>
      <w:r w:rsidRPr="00C7183A">
        <w:rPr>
          <w:rFonts w:ascii="Arial" w:hAnsi="Arial" w:cs="Arial"/>
          <w:i/>
          <w:sz w:val="24"/>
          <w:szCs w:val="24"/>
        </w:rPr>
        <w:t>rather than to precisely define the power of states to restrict such exercise</w:t>
      </w:r>
      <w:r w:rsidRPr="00C7183A">
        <w:rPr>
          <w:rFonts w:ascii="Arial" w:hAnsi="Arial" w:cs="Arial"/>
          <w:sz w:val="24"/>
          <w:szCs w:val="24"/>
        </w:rPr>
        <w:t>.</w:t>
      </w:r>
      <w:r w:rsidRPr="00C7183A">
        <w:rPr>
          <w:rStyle w:val="Marquenotebasdepage"/>
          <w:rFonts w:ascii="Arial" w:hAnsi="Arial" w:cs="Arial"/>
        </w:rPr>
        <w:footnoteReference w:id="57"/>
      </w:r>
      <w:r w:rsidRPr="00C7183A">
        <w:rPr>
          <w:rFonts w:ascii="Arial" w:hAnsi="Arial" w:cs="Arial"/>
          <w:sz w:val="24"/>
          <w:szCs w:val="24"/>
        </w:rPr>
        <w:t xml:space="preserve">  </w:t>
      </w:r>
    </w:p>
    <w:p w:rsidR="00060432" w:rsidRPr="00C7183A" w:rsidRDefault="00060432" w:rsidP="00060432">
      <w:pPr>
        <w:pStyle w:val="ColorfulList-Accent11"/>
        <w:spacing w:line="360" w:lineRule="auto"/>
        <w:ind w:left="426" w:hanging="284"/>
        <w:rPr>
          <w:rFonts w:ascii="Arial" w:hAnsi="Arial" w:cs="Arial"/>
          <w:sz w:val="24"/>
          <w:szCs w:val="24"/>
        </w:rPr>
      </w:pPr>
    </w:p>
    <w:p w:rsidR="00060432" w:rsidRPr="00C7183A"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sidRPr="00C7183A">
        <w:rPr>
          <w:rFonts w:ascii="Arial" w:hAnsi="Arial" w:cs="Arial"/>
          <w:sz w:val="24"/>
          <w:szCs w:val="24"/>
        </w:rPr>
        <w:t xml:space="preserve">Indeed, the African Commission has clearly adopted this approach in its jurisprudence, finding that </w:t>
      </w:r>
    </w:p>
    <w:p w:rsidR="00060432" w:rsidRPr="00C7183A" w:rsidRDefault="00060432" w:rsidP="00060432">
      <w:pPr>
        <w:pStyle w:val="ColorfulList-Accent11"/>
        <w:spacing w:line="360" w:lineRule="auto"/>
        <w:ind w:left="426" w:hanging="284"/>
        <w:rPr>
          <w:rFonts w:ascii="Arial" w:hAnsi="Arial" w:cs="Arial"/>
          <w:sz w:val="24"/>
          <w:szCs w:val="24"/>
        </w:rPr>
      </w:pPr>
    </w:p>
    <w:p w:rsidR="00060432" w:rsidRDefault="00060432" w:rsidP="00060432">
      <w:pPr>
        <w:pStyle w:val="ColorfulList-Accent11"/>
        <w:spacing w:line="360" w:lineRule="auto"/>
        <w:ind w:left="426"/>
        <w:jc w:val="both"/>
        <w:rPr>
          <w:rFonts w:ascii="Arial" w:hAnsi="Arial" w:cs="Arial"/>
          <w:i/>
          <w:sz w:val="24"/>
          <w:szCs w:val="24"/>
        </w:rPr>
      </w:pPr>
      <w:r w:rsidRPr="00C7183A">
        <w:rPr>
          <w:rFonts w:ascii="Arial" w:hAnsi="Arial" w:cs="Arial"/>
          <w:i/>
          <w:sz w:val="24"/>
          <w:szCs w:val="24"/>
        </w:rPr>
        <w:lastRenderedPageBreak/>
        <w:t>“The Commission is of the view that the ‘claw-back’ clauses must not be interpreted against the principles of the Charter.  Recourse to these should not be used as a means of giving credence to violations of the express provisions of the Charter.... It is important for the Commission to caution against a too easy resort to the limitation clauses in the African Charter.  The onus is on the state to prove that it is justified to resort to the limitation clause.”</w:t>
      </w:r>
      <w:r w:rsidRPr="00C7183A">
        <w:rPr>
          <w:rStyle w:val="Marquenotebasdepage"/>
          <w:rFonts w:ascii="Arial" w:hAnsi="Arial" w:cs="Arial"/>
          <w:i/>
        </w:rPr>
        <w:footnoteReference w:id="58"/>
      </w:r>
    </w:p>
    <w:p w:rsidR="00060432" w:rsidRPr="00C7183A" w:rsidRDefault="00060432" w:rsidP="00060432">
      <w:pPr>
        <w:pStyle w:val="ColorfulList-Accent11"/>
        <w:spacing w:line="360" w:lineRule="auto"/>
        <w:ind w:left="426" w:hanging="284"/>
        <w:jc w:val="both"/>
        <w:rPr>
          <w:rFonts w:ascii="Arial" w:hAnsi="Arial" w:cs="Arial"/>
          <w:i/>
          <w:sz w:val="24"/>
          <w:szCs w:val="24"/>
        </w:rPr>
      </w:pPr>
    </w:p>
    <w:p w:rsidR="00060432" w:rsidRDefault="00060432" w:rsidP="00060432">
      <w:pPr>
        <w:pStyle w:val="ColorfulList-Accent11"/>
        <w:numPr>
          <w:ilvl w:val="0"/>
          <w:numId w:val="1"/>
        </w:numPr>
        <w:spacing w:after="160" w:line="360" w:lineRule="auto"/>
        <w:ind w:left="426" w:hanging="284"/>
        <w:jc w:val="both"/>
        <w:rPr>
          <w:rFonts w:ascii="Arial" w:hAnsi="Arial" w:cs="Arial"/>
          <w:sz w:val="24"/>
          <w:szCs w:val="24"/>
        </w:rPr>
      </w:pPr>
      <w:r>
        <w:rPr>
          <w:rFonts w:ascii="Arial" w:hAnsi="Arial" w:cs="Arial"/>
          <w:sz w:val="24"/>
          <w:szCs w:val="24"/>
        </w:rPr>
        <w:t>The</w:t>
      </w:r>
      <w:r w:rsidRPr="00C715E4">
        <w:rPr>
          <w:rFonts w:ascii="Arial" w:hAnsi="Arial" w:cs="Arial"/>
          <w:sz w:val="24"/>
          <w:szCs w:val="24"/>
        </w:rPr>
        <w:t xml:space="preserve"> parcelling up of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ancestral land and its distribution to third parties and/or the evictions of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from the Mau Forest in the name of conservation, cannot in any way be said to be acts which have “due regard to the rights of others, collective security, morality and common interest”.  Therefore, the claw-back clause set out in Article 27(2) does not apply. </w:t>
      </w:r>
    </w:p>
    <w:p w:rsidR="00060432" w:rsidRDefault="00060432" w:rsidP="00060432">
      <w:pPr>
        <w:pStyle w:val="ColorfulList-Accent11"/>
        <w:spacing w:after="160" w:line="360" w:lineRule="auto"/>
        <w:ind w:left="426" w:hanging="284"/>
        <w:jc w:val="both"/>
        <w:rPr>
          <w:rFonts w:ascii="Arial" w:hAnsi="Arial" w:cs="Arial"/>
          <w:sz w:val="24"/>
          <w:szCs w:val="24"/>
        </w:rPr>
      </w:pPr>
    </w:p>
    <w:p w:rsidR="00060432" w:rsidRPr="002E3B73" w:rsidRDefault="00060432" w:rsidP="00060432">
      <w:pPr>
        <w:pStyle w:val="just"/>
        <w:numPr>
          <w:ilvl w:val="0"/>
          <w:numId w:val="1"/>
        </w:numPr>
        <w:tabs>
          <w:tab w:val="num" w:pos="720"/>
        </w:tabs>
        <w:spacing w:line="360" w:lineRule="auto"/>
        <w:ind w:left="426" w:hanging="284"/>
        <w:rPr>
          <w:rFonts w:ascii="Arial" w:hAnsi="Arial" w:cs="Arial"/>
        </w:rPr>
      </w:pPr>
      <w:r>
        <w:rPr>
          <w:rFonts w:ascii="Arial" w:hAnsi="Arial" w:cs="Arial"/>
          <w:lang w:val="en-GB"/>
        </w:rPr>
        <w:t>Further, t</w:t>
      </w:r>
      <w:r w:rsidRPr="00C715E4">
        <w:rPr>
          <w:rFonts w:ascii="Arial" w:hAnsi="Arial" w:cs="Arial"/>
          <w:lang w:val="en-GB"/>
        </w:rPr>
        <w:t>he principle of proportionality</w:t>
      </w:r>
      <w:r>
        <w:rPr>
          <w:rFonts w:ascii="Arial" w:hAnsi="Arial" w:cs="Arial"/>
          <w:lang w:val="en-GB"/>
        </w:rPr>
        <w:t xml:space="preserve">, </w:t>
      </w:r>
      <w:r w:rsidRPr="00C715E4">
        <w:rPr>
          <w:rFonts w:ascii="Arial" w:hAnsi="Arial" w:cs="Arial"/>
        </w:rPr>
        <w:t>as stipulated by the jurisprudence of the African Commission</w:t>
      </w:r>
      <w:r w:rsidRPr="00C715E4">
        <w:rPr>
          <w:rStyle w:val="Marquenotebasdepage"/>
          <w:rFonts w:ascii="Arial" w:hAnsi="Arial" w:cs="Arial"/>
        </w:rPr>
        <w:footnoteReference w:id="59"/>
      </w:r>
      <w:r w:rsidRPr="00C715E4">
        <w:rPr>
          <w:rFonts w:ascii="Arial" w:hAnsi="Arial" w:cs="Arial"/>
        </w:rPr>
        <w:t xml:space="preserve"> and the international law on human and people’s rights</w:t>
      </w:r>
      <w:r>
        <w:rPr>
          <w:rFonts w:ascii="Arial" w:hAnsi="Arial" w:cs="Arial"/>
        </w:rPr>
        <w:t>,</w:t>
      </w:r>
      <w:r>
        <w:rPr>
          <w:rFonts w:ascii="Arial" w:hAnsi="Arial" w:cs="Arial"/>
          <w:lang w:val="en-GB"/>
        </w:rPr>
        <w:t xml:space="preserve"> </w:t>
      </w:r>
      <w:r w:rsidRPr="00C715E4">
        <w:rPr>
          <w:rFonts w:ascii="Arial" w:hAnsi="Arial" w:cs="Arial"/>
          <w:lang w:val="en-GB"/>
        </w:rPr>
        <w:t xml:space="preserve">requires that a restriction on a right must be the least restrictive possible to meet the legitimate aim. </w:t>
      </w:r>
      <w:r>
        <w:rPr>
          <w:rFonts w:ascii="Arial" w:hAnsi="Arial" w:cs="Arial"/>
          <w:lang w:val="en-GB"/>
        </w:rPr>
        <w:t xml:space="preserve"> </w:t>
      </w:r>
      <w:r w:rsidRPr="00C715E4">
        <w:rPr>
          <w:rFonts w:ascii="Arial" w:hAnsi="Arial" w:cs="Arial"/>
          <w:lang w:val="en-GB"/>
        </w:rPr>
        <w:t xml:space="preserve">A very severe restriction on the right to life and integrity of person, such as that suffered by the </w:t>
      </w:r>
      <w:proofErr w:type="spellStart"/>
      <w:proofErr w:type="gramStart"/>
      <w:r w:rsidRPr="00C715E4">
        <w:rPr>
          <w:rFonts w:ascii="Arial" w:hAnsi="Arial" w:cs="Arial"/>
          <w:lang w:val="en-GB"/>
        </w:rPr>
        <w:t>Ogiek</w:t>
      </w:r>
      <w:proofErr w:type="spellEnd"/>
      <w:r w:rsidRPr="00C715E4">
        <w:rPr>
          <w:rFonts w:ascii="Arial" w:hAnsi="Arial" w:cs="Arial"/>
          <w:lang w:val="en-GB"/>
        </w:rPr>
        <w:t>,</w:t>
      </w:r>
      <w:proofErr w:type="gramEnd"/>
      <w:r w:rsidRPr="00C715E4">
        <w:rPr>
          <w:rFonts w:ascii="Arial" w:hAnsi="Arial" w:cs="Arial"/>
          <w:lang w:val="en-GB"/>
        </w:rPr>
        <w:t xml:space="preserve"> must therefore have strong justifications as to its necessity.</w:t>
      </w:r>
    </w:p>
    <w:p w:rsidR="00060432" w:rsidRPr="002E3B73" w:rsidRDefault="00060432" w:rsidP="00060432">
      <w:pPr>
        <w:pStyle w:val="just"/>
        <w:spacing w:line="360" w:lineRule="auto"/>
        <w:ind w:left="426" w:hanging="284"/>
        <w:rPr>
          <w:rFonts w:ascii="Arial" w:hAnsi="Arial" w:cs="Arial"/>
        </w:rPr>
      </w:pPr>
    </w:p>
    <w:p w:rsidR="00060432" w:rsidRPr="002E3B73" w:rsidRDefault="00060432" w:rsidP="00060432">
      <w:pPr>
        <w:numPr>
          <w:ilvl w:val="0"/>
          <w:numId w:val="1"/>
        </w:numPr>
        <w:spacing w:after="0" w:line="360" w:lineRule="auto"/>
        <w:ind w:left="426" w:hanging="284"/>
        <w:jc w:val="both"/>
        <w:rPr>
          <w:rFonts w:ascii="Arial" w:hAnsi="Arial" w:cs="Arial"/>
          <w:sz w:val="24"/>
          <w:szCs w:val="24"/>
        </w:rPr>
      </w:pPr>
      <w:r w:rsidRPr="00C715E4">
        <w:rPr>
          <w:rFonts w:ascii="Arial" w:hAnsi="Arial" w:cs="Arial"/>
          <w:sz w:val="24"/>
          <w:szCs w:val="24"/>
        </w:rPr>
        <w:t xml:space="preserve">Denying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access to their ancestral land in the Mau Forest is a restriction of their right to </w:t>
      </w:r>
      <w:proofErr w:type="gramStart"/>
      <w:r w:rsidRPr="00C715E4">
        <w:rPr>
          <w:rFonts w:ascii="Arial" w:hAnsi="Arial" w:cs="Arial"/>
          <w:sz w:val="24"/>
          <w:szCs w:val="24"/>
        </w:rPr>
        <w:t>life which</w:t>
      </w:r>
      <w:proofErr w:type="gramEnd"/>
      <w:r w:rsidRPr="00C715E4">
        <w:rPr>
          <w:rFonts w:ascii="Arial" w:hAnsi="Arial" w:cs="Arial"/>
          <w:sz w:val="24"/>
          <w:szCs w:val="24"/>
        </w:rPr>
        <w:t xml:space="preserve"> is wholly disproportionate to any other aim.  The need for sustainable forest management is something for which, as set out </w:t>
      </w:r>
      <w:r w:rsidRPr="004D1DF6">
        <w:rPr>
          <w:rFonts w:ascii="Arial" w:hAnsi="Arial" w:cs="Arial"/>
          <w:sz w:val="24"/>
          <w:szCs w:val="24"/>
        </w:rPr>
        <w:t xml:space="preserve">in paragraphs 83-94 above, the </w:t>
      </w:r>
      <w:proofErr w:type="spellStart"/>
      <w:r w:rsidRPr="004D1DF6">
        <w:rPr>
          <w:rFonts w:ascii="Arial" w:hAnsi="Arial" w:cs="Arial"/>
          <w:sz w:val="24"/>
          <w:szCs w:val="24"/>
        </w:rPr>
        <w:t>Ogiek</w:t>
      </w:r>
      <w:proofErr w:type="spellEnd"/>
      <w:r w:rsidRPr="004D1DF6">
        <w:rPr>
          <w:rFonts w:ascii="Arial" w:hAnsi="Arial" w:cs="Arial"/>
          <w:sz w:val="24"/>
          <w:szCs w:val="24"/>
        </w:rPr>
        <w:t xml:space="preserve"> are</w:t>
      </w:r>
      <w:r w:rsidRPr="00C715E4">
        <w:rPr>
          <w:rFonts w:ascii="Arial" w:hAnsi="Arial" w:cs="Arial"/>
          <w:sz w:val="24"/>
          <w:szCs w:val="24"/>
        </w:rPr>
        <w:t xml:space="preserve"> uniquely adapted.  In any case, the parcelling of land in the area to third parties suggests, at least, that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would, on balance, be a less intrusive presence in the forest.  Such a restriction is not necessitated by a significant public security interest or other justification.  At the very least, the </w:t>
      </w:r>
      <w:r>
        <w:rPr>
          <w:rFonts w:ascii="Arial" w:hAnsi="Arial" w:cs="Arial"/>
          <w:sz w:val="24"/>
          <w:szCs w:val="24"/>
        </w:rPr>
        <w:t>Respondent State</w:t>
      </w:r>
      <w:r w:rsidRPr="00C715E4">
        <w:rPr>
          <w:rFonts w:ascii="Arial" w:hAnsi="Arial" w:cs="Arial"/>
          <w:sz w:val="24"/>
          <w:szCs w:val="24"/>
        </w:rPr>
        <w:t xml:space="preserve"> should be required to show that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land use practices could not be carried out in a manner consistent with the planned environmental protection and rehabilitation measures of the Mau Task </w:t>
      </w:r>
      <w:r w:rsidRPr="00C715E4">
        <w:rPr>
          <w:rFonts w:ascii="Arial" w:hAnsi="Arial" w:cs="Arial"/>
          <w:sz w:val="24"/>
          <w:szCs w:val="24"/>
        </w:rPr>
        <w:lastRenderedPageBreak/>
        <w:t xml:space="preserve">Force.  As has been repeatedly </w:t>
      </w:r>
      <w:r w:rsidRPr="004D1DF6">
        <w:rPr>
          <w:rFonts w:ascii="Arial" w:hAnsi="Arial" w:cs="Arial"/>
          <w:sz w:val="24"/>
          <w:szCs w:val="24"/>
        </w:rPr>
        <w:t xml:space="preserve">demonstrated at paragraphs 132-262 above, the </w:t>
      </w:r>
      <w:r>
        <w:rPr>
          <w:rFonts w:ascii="Arial" w:hAnsi="Arial" w:cs="Arial"/>
          <w:sz w:val="24"/>
          <w:szCs w:val="24"/>
        </w:rPr>
        <w:t>Respondent State</w:t>
      </w:r>
      <w:r w:rsidRPr="004D1DF6">
        <w:rPr>
          <w:rFonts w:ascii="Arial" w:hAnsi="Arial" w:cs="Arial"/>
          <w:sz w:val="24"/>
          <w:szCs w:val="24"/>
        </w:rPr>
        <w:t xml:space="preserve"> has failed to adequately consult with the </w:t>
      </w:r>
      <w:proofErr w:type="spellStart"/>
      <w:r w:rsidRPr="004D1DF6">
        <w:rPr>
          <w:rFonts w:ascii="Arial" w:hAnsi="Arial" w:cs="Arial"/>
          <w:sz w:val="24"/>
          <w:szCs w:val="24"/>
        </w:rPr>
        <w:t>Ogiek</w:t>
      </w:r>
      <w:proofErr w:type="spellEnd"/>
      <w:r w:rsidRPr="004D1DF6">
        <w:rPr>
          <w:rFonts w:ascii="Arial" w:hAnsi="Arial" w:cs="Arial"/>
          <w:sz w:val="24"/>
          <w:szCs w:val="24"/>
        </w:rPr>
        <w:t xml:space="preserve"> in accordance with the</w:t>
      </w:r>
      <w:r w:rsidRPr="00C715E4">
        <w:rPr>
          <w:rFonts w:ascii="Arial" w:hAnsi="Arial" w:cs="Arial"/>
          <w:sz w:val="24"/>
          <w:szCs w:val="24"/>
        </w:rPr>
        <w:t xml:space="preserve"> requirements of international law, that is, to ensure the effective participation of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in conformity with their customs and traditions, </w:t>
      </w:r>
      <w:proofErr w:type="gramStart"/>
      <w:r w:rsidRPr="00C715E4">
        <w:rPr>
          <w:rFonts w:ascii="Arial" w:hAnsi="Arial" w:cs="Arial"/>
          <w:sz w:val="24"/>
          <w:szCs w:val="24"/>
        </w:rPr>
        <w:t>regarding</w:t>
      </w:r>
      <w:proofErr w:type="gramEnd"/>
      <w:r w:rsidRPr="00C715E4">
        <w:rPr>
          <w:rFonts w:ascii="Arial" w:hAnsi="Arial" w:cs="Arial"/>
          <w:sz w:val="24"/>
          <w:szCs w:val="24"/>
        </w:rPr>
        <w:t xml:space="preserve"> any development, investment, exploration or extraction plan within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ancestral territory; to guarantee that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will receive a reasonable benefit from any such plan within their territory, and thirdly, to ensure that no concession will be issued within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territory unless and until independent and technically capable entities, with the State’s supervision, perform a prior environmental and social impact assessment.</w:t>
      </w:r>
      <w:r w:rsidRPr="00C715E4">
        <w:rPr>
          <w:rStyle w:val="Marquenotebasdepage"/>
          <w:rFonts w:ascii="Arial" w:hAnsi="Arial" w:cs="Arial"/>
        </w:rPr>
        <w:footnoteReference w:id="60"/>
      </w:r>
      <w:r w:rsidRPr="00C715E4">
        <w:rPr>
          <w:rFonts w:ascii="Arial" w:hAnsi="Arial" w:cs="Arial"/>
          <w:sz w:val="24"/>
          <w:szCs w:val="24"/>
        </w:rPr>
        <w:t xml:space="preserve">  </w:t>
      </w:r>
    </w:p>
    <w:p w:rsidR="00060432" w:rsidRPr="002E3B73" w:rsidRDefault="00060432" w:rsidP="00060432">
      <w:pPr>
        <w:spacing w:after="0" w:line="360" w:lineRule="auto"/>
        <w:ind w:left="426" w:hanging="284"/>
        <w:jc w:val="both"/>
        <w:rPr>
          <w:rFonts w:ascii="Arial" w:hAnsi="Arial" w:cs="Arial"/>
          <w:sz w:val="24"/>
          <w:szCs w:val="24"/>
        </w:rPr>
      </w:pPr>
    </w:p>
    <w:p w:rsidR="00060432" w:rsidRPr="002E3B73" w:rsidRDefault="00060432" w:rsidP="00060432">
      <w:pPr>
        <w:numPr>
          <w:ilvl w:val="0"/>
          <w:numId w:val="1"/>
        </w:numPr>
        <w:spacing w:after="0" w:line="360" w:lineRule="auto"/>
        <w:ind w:left="426" w:hanging="284"/>
        <w:jc w:val="both"/>
        <w:rPr>
          <w:rFonts w:ascii="Arial" w:hAnsi="Arial" w:cs="Arial"/>
          <w:sz w:val="24"/>
          <w:szCs w:val="24"/>
        </w:rPr>
      </w:pPr>
      <w:r w:rsidRPr="00C715E4">
        <w:rPr>
          <w:rFonts w:ascii="Arial" w:hAnsi="Arial" w:cs="Arial"/>
          <w:sz w:val="24"/>
          <w:szCs w:val="24"/>
        </w:rPr>
        <w:t xml:space="preserve">Further, the </w:t>
      </w:r>
      <w:r>
        <w:rPr>
          <w:rFonts w:ascii="Arial" w:hAnsi="Arial" w:cs="Arial"/>
          <w:sz w:val="24"/>
          <w:szCs w:val="24"/>
        </w:rPr>
        <w:t>Respondent State</w:t>
      </w:r>
      <w:r w:rsidRPr="00C715E4">
        <w:rPr>
          <w:rFonts w:ascii="Arial" w:hAnsi="Arial" w:cs="Arial"/>
          <w:sz w:val="24"/>
          <w:szCs w:val="24"/>
        </w:rPr>
        <w:t xml:space="preserve"> has not argued or established that taking measures to protect the </w:t>
      </w:r>
      <w:proofErr w:type="spellStart"/>
      <w:r w:rsidRPr="00C715E4">
        <w:rPr>
          <w:rFonts w:ascii="Arial" w:hAnsi="Arial" w:cs="Arial"/>
          <w:sz w:val="24"/>
          <w:szCs w:val="24"/>
        </w:rPr>
        <w:t>Ogiek</w:t>
      </w:r>
      <w:proofErr w:type="spellEnd"/>
      <w:r w:rsidRPr="00C715E4">
        <w:rPr>
          <w:rFonts w:ascii="Arial" w:hAnsi="Arial" w:cs="Arial"/>
          <w:sz w:val="24"/>
          <w:szCs w:val="24"/>
        </w:rPr>
        <w:t xml:space="preserve"> way of life in any way threatens law and order or interferes with the rights of others. </w:t>
      </w:r>
    </w:p>
    <w:p w:rsidR="00060432" w:rsidRDefault="00060432" w:rsidP="00060432">
      <w:pPr>
        <w:pStyle w:val="just"/>
        <w:spacing w:line="360" w:lineRule="auto"/>
        <w:ind w:left="426" w:hanging="284"/>
        <w:rPr>
          <w:rFonts w:ascii="Arial" w:hAnsi="Arial" w:cs="Arial"/>
        </w:rPr>
      </w:pPr>
    </w:p>
    <w:p w:rsidR="00060432" w:rsidRPr="00A56709" w:rsidRDefault="00060432" w:rsidP="00060432">
      <w:pPr>
        <w:pStyle w:val="just"/>
        <w:spacing w:line="360" w:lineRule="auto"/>
        <w:ind w:left="426" w:hanging="284"/>
        <w:rPr>
          <w:rFonts w:ascii="Arial" w:hAnsi="Arial" w:cs="Arial"/>
          <w:b/>
        </w:rPr>
      </w:pPr>
      <w:r w:rsidRPr="00A56709">
        <w:rPr>
          <w:rFonts w:ascii="Arial" w:hAnsi="Arial" w:cs="Arial"/>
          <w:b/>
        </w:rPr>
        <w:t>Conclusion</w:t>
      </w:r>
    </w:p>
    <w:p w:rsidR="00060432" w:rsidRPr="002E3B73" w:rsidRDefault="00060432" w:rsidP="00060432">
      <w:pPr>
        <w:pStyle w:val="just"/>
        <w:spacing w:line="360" w:lineRule="auto"/>
        <w:ind w:left="426" w:hanging="284"/>
        <w:rPr>
          <w:rFonts w:ascii="Arial" w:hAnsi="Arial" w:cs="Arial"/>
        </w:rPr>
      </w:pPr>
    </w:p>
    <w:p w:rsidR="00060432" w:rsidRPr="002E3B73" w:rsidRDefault="00060432" w:rsidP="00060432">
      <w:pPr>
        <w:pStyle w:val="just"/>
        <w:numPr>
          <w:ilvl w:val="0"/>
          <w:numId w:val="1"/>
        </w:numPr>
        <w:tabs>
          <w:tab w:val="num" w:pos="720"/>
        </w:tabs>
        <w:spacing w:line="360" w:lineRule="auto"/>
        <w:ind w:left="426" w:hanging="284"/>
        <w:rPr>
          <w:rFonts w:ascii="Arial" w:hAnsi="Arial" w:cs="Arial"/>
        </w:rPr>
      </w:pPr>
      <w:r w:rsidRPr="00C715E4">
        <w:rPr>
          <w:rFonts w:ascii="Arial" w:hAnsi="Arial" w:cs="Arial"/>
          <w:lang w:val="en-GB"/>
        </w:rPr>
        <w:t xml:space="preserve">In light of the central and singular importance of the Mau's resources for the sustainability of the </w:t>
      </w:r>
      <w:proofErr w:type="spellStart"/>
      <w:r w:rsidRPr="00C715E4">
        <w:rPr>
          <w:rFonts w:ascii="Arial" w:hAnsi="Arial" w:cs="Arial"/>
          <w:lang w:val="en-GB"/>
        </w:rPr>
        <w:t>Ogiek's</w:t>
      </w:r>
      <w:proofErr w:type="spellEnd"/>
      <w:r w:rsidRPr="00C715E4">
        <w:rPr>
          <w:rFonts w:ascii="Arial" w:hAnsi="Arial" w:cs="Arial"/>
          <w:lang w:val="en-GB"/>
        </w:rPr>
        <w:t xml:space="preserve"> hunter-gatherer way of life, it is submitted that the </w:t>
      </w:r>
      <w:proofErr w:type="spellStart"/>
      <w:r w:rsidRPr="00C715E4">
        <w:rPr>
          <w:rFonts w:ascii="Arial" w:hAnsi="Arial" w:cs="Arial"/>
          <w:lang w:val="en-GB"/>
        </w:rPr>
        <w:t>Ogiek's</w:t>
      </w:r>
      <w:proofErr w:type="spellEnd"/>
      <w:r>
        <w:rPr>
          <w:rFonts w:ascii="Arial" w:hAnsi="Arial" w:cs="Arial"/>
          <w:lang w:val="en-GB"/>
        </w:rPr>
        <w:t xml:space="preserve"> right to life under Article 4 </w:t>
      </w:r>
      <w:r w:rsidRPr="00C715E4">
        <w:rPr>
          <w:rFonts w:ascii="Arial" w:hAnsi="Arial" w:cs="Arial"/>
          <w:lang w:val="en-GB"/>
        </w:rPr>
        <w:t>has been and continues to be interfered with</w:t>
      </w:r>
      <w:r>
        <w:rPr>
          <w:rFonts w:ascii="Arial" w:hAnsi="Arial" w:cs="Arial"/>
          <w:lang w:val="en-GB"/>
        </w:rPr>
        <w:t xml:space="preserve"> by the Respondent State arbitrarily depriving them of access to the necessary conditions for a life in dignity</w:t>
      </w:r>
      <w:r w:rsidRPr="00C715E4">
        <w:rPr>
          <w:rFonts w:ascii="Arial" w:hAnsi="Arial" w:cs="Arial"/>
          <w:lang w:val="en-GB"/>
        </w:rPr>
        <w:t xml:space="preserve">.  Any such interference should be strictly proportionate to the aim of any alternate use of the Mau Forest: which it is not. </w:t>
      </w:r>
    </w:p>
    <w:p w:rsidR="00060432" w:rsidRPr="002E3B73" w:rsidRDefault="00060432" w:rsidP="00060432">
      <w:pPr>
        <w:pStyle w:val="just"/>
        <w:spacing w:line="360" w:lineRule="auto"/>
        <w:ind w:left="426" w:hanging="284"/>
        <w:rPr>
          <w:rFonts w:ascii="Arial" w:hAnsi="Arial" w:cs="Arial"/>
        </w:rPr>
      </w:pPr>
    </w:p>
    <w:p w:rsidR="005F1970" w:rsidRDefault="00060432" w:rsidP="00060432">
      <w:r w:rsidRPr="00C715E4">
        <w:rPr>
          <w:rFonts w:ascii="Arial" w:hAnsi="Arial" w:cs="Arial"/>
        </w:rPr>
        <w:t xml:space="preserve">It is therefore submitted that the </w:t>
      </w:r>
      <w:r>
        <w:rPr>
          <w:rFonts w:ascii="Arial" w:hAnsi="Arial" w:cs="Arial"/>
        </w:rPr>
        <w:t>Respondent State</w:t>
      </w:r>
      <w:r w:rsidRPr="00C715E4">
        <w:rPr>
          <w:rFonts w:ascii="Arial" w:hAnsi="Arial" w:cs="Arial"/>
        </w:rPr>
        <w:t xml:space="preserve"> is in violation of Article 4 of the Charter.</w:t>
      </w:r>
    </w:p>
    <w:sectPr w:rsidR="005F1970" w:rsidSect="005F19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F2" w:rsidRDefault="00C91DF2" w:rsidP="00060432">
      <w:pPr>
        <w:spacing w:after="0" w:line="240" w:lineRule="auto"/>
      </w:pPr>
      <w:r>
        <w:separator/>
      </w:r>
    </w:p>
  </w:endnote>
  <w:endnote w:type="continuationSeparator" w:id="0">
    <w:p w:rsidR="00C91DF2" w:rsidRDefault="00C91DF2" w:rsidP="000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 Pro W3">
    <w:charset w:val="00"/>
    <w:family w:val="auto"/>
    <w:pitch w:val="variable"/>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F2" w:rsidRDefault="00C91DF2" w:rsidP="00060432">
      <w:pPr>
        <w:spacing w:after="0" w:line="240" w:lineRule="auto"/>
      </w:pPr>
      <w:r>
        <w:separator/>
      </w:r>
    </w:p>
  </w:footnote>
  <w:footnote w:type="continuationSeparator" w:id="0">
    <w:p w:rsidR="00C91DF2" w:rsidRDefault="00C91DF2" w:rsidP="00060432">
      <w:pPr>
        <w:spacing w:after="0" w:line="240" w:lineRule="auto"/>
      </w:pPr>
      <w:r>
        <w:continuationSeparator/>
      </w:r>
    </w:p>
  </w:footnote>
  <w:footnote w:id="1">
    <w:p w:rsidR="001F53EF" w:rsidRPr="00B36688" w:rsidRDefault="001F53EF">
      <w:pPr>
        <w:pStyle w:val="Notedebasdepage"/>
        <w:rPr>
          <w:rFonts w:ascii="Garamond" w:hAnsi="Garamond"/>
        </w:rPr>
      </w:pPr>
      <w:r w:rsidRPr="00B36688">
        <w:rPr>
          <w:rStyle w:val="Marquenotebasdepage"/>
          <w:rFonts w:ascii="Garamond" w:hAnsi="Garamond"/>
        </w:rPr>
        <w:footnoteRef/>
      </w:r>
      <w:r w:rsidRPr="00B36688">
        <w:rPr>
          <w:rFonts w:ascii="Garamond" w:hAnsi="Garamond"/>
        </w:rPr>
        <w:t xml:space="preserve"> The case was referred by the </w:t>
      </w:r>
      <w:r w:rsidR="00AB7668">
        <w:rPr>
          <w:rFonts w:ascii="Garamond" w:hAnsi="Garamond"/>
        </w:rPr>
        <w:t>ACHPR</w:t>
      </w:r>
      <w:r w:rsidRPr="00B36688">
        <w:rPr>
          <w:rFonts w:ascii="Garamond" w:hAnsi="Garamond"/>
        </w:rPr>
        <w:t xml:space="preserve"> to the </w:t>
      </w:r>
      <w:proofErr w:type="spellStart"/>
      <w:r w:rsidR="00AB7668">
        <w:rPr>
          <w:rFonts w:ascii="Garamond" w:hAnsi="Garamond"/>
        </w:rPr>
        <w:t>ACtHPR</w:t>
      </w:r>
      <w:proofErr w:type="spellEnd"/>
      <w:r w:rsidRPr="00B36688">
        <w:rPr>
          <w:rFonts w:ascii="Garamond" w:hAnsi="Garamond"/>
        </w:rPr>
        <w:t xml:space="preserve"> in 2012, on the basis that it evinced serious and mass human rights violations</w:t>
      </w:r>
    </w:p>
  </w:footnote>
  <w:footnote w:id="2">
    <w:p w:rsidR="00F10701" w:rsidRPr="005D517B" w:rsidRDefault="00F10701" w:rsidP="005D517B">
      <w:pPr>
        <w:pStyle w:val="Sansinterligne"/>
        <w:rPr>
          <w:rFonts w:ascii="Garamond" w:hAnsi="Garamond"/>
          <w:sz w:val="20"/>
          <w:szCs w:val="20"/>
          <w:lang w:val="fr-FR"/>
        </w:rPr>
      </w:pPr>
      <w:r w:rsidRPr="005D517B">
        <w:rPr>
          <w:rStyle w:val="Marquenotebasdepage"/>
          <w:rFonts w:ascii="Garamond" w:hAnsi="Garamond"/>
          <w:sz w:val="20"/>
          <w:szCs w:val="20"/>
        </w:rPr>
        <w:footnoteRef/>
      </w:r>
      <w:r w:rsidRPr="005D517B">
        <w:rPr>
          <w:rFonts w:ascii="Garamond" w:hAnsi="Garamond"/>
          <w:sz w:val="20"/>
          <w:szCs w:val="20"/>
        </w:rPr>
        <w:t xml:space="preserve"> I/A Court H.R.</w:t>
      </w:r>
      <w:proofErr w:type="gramStart"/>
      <w:r w:rsidRPr="005D517B">
        <w:rPr>
          <w:rFonts w:ascii="Garamond" w:hAnsi="Garamond"/>
          <w:sz w:val="20"/>
          <w:szCs w:val="20"/>
        </w:rPr>
        <w:t>,</w:t>
      </w:r>
      <w:proofErr w:type="spellStart"/>
      <w:r w:rsidRPr="005D517B">
        <w:rPr>
          <w:rFonts w:ascii="Garamond" w:hAnsi="Garamond"/>
          <w:i/>
          <w:sz w:val="20"/>
          <w:szCs w:val="20"/>
        </w:rPr>
        <w:t>Yakye</w:t>
      </w:r>
      <w:proofErr w:type="spellEnd"/>
      <w:proofErr w:type="gramEnd"/>
      <w:r w:rsidRPr="005D517B">
        <w:rPr>
          <w:rFonts w:ascii="Garamond" w:hAnsi="Garamond"/>
          <w:i/>
          <w:sz w:val="20"/>
          <w:szCs w:val="20"/>
        </w:rPr>
        <w:t xml:space="preserve"> </w:t>
      </w:r>
      <w:proofErr w:type="spellStart"/>
      <w:r w:rsidRPr="005D517B">
        <w:rPr>
          <w:rFonts w:ascii="Garamond" w:hAnsi="Garamond"/>
          <w:i/>
          <w:sz w:val="20"/>
          <w:szCs w:val="20"/>
        </w:rPr>
        <w:t>Axa</w:t>
      </w:r>
      <w:proofErr w:type="spellEnd"/>
      <w:r w:rsidRPr="005D517B">
        <w:rPr>
          <w:rFonts w:ascii="Garamond" w:hAnsi="Garamond"/>
          <w:i/>
          <w:sz w:val="20"/>
          <w:szCs w:val="20"/>
        </w:rPr>
        <w:t xml:space="preserve"> Indigenous Community v. Paraguay</w:t>
      </w:r>
      <w:r w:rsidRPr="005D517B">
        <w:rPr>
          <w:rFonts w:ascii="Garamond" w:hAnsi="Garamond"/>
          <w:sz w:val="20"/>
          <w:szCs w:val="20"/>
        </w:rPr>
        <w:t xml:space="preserve">. </w:t>
      </w:r>
      <w:proofErr w:type="gramStart"/>
      <w:r w:rsidRPr="005D517B">
        <w:rPr>
          <w:rFonts w:ascii="Garamond" w:hAnsi="Garamond"/>
          <w:sz w:val="20"/>
          <w:szCs w:val="20"/>
        </w:rPr>
        <w:t>Merits, Reparations and Costs.</w:t>
      </w:r>
      <w:proofErr w:type="gramEnd"/>
      <w:r w:rsidRPr="005D517B">
        <w:rPr>
          <w:rFonts w:ascii="Garamond" w:hAnsi="Garamond"/>
          <w:sz w:val="20"/>
          <w:szCs w:val="20"/>
        </w:rPr>
        <w:t xml:space="preserve"> Judgment </w:t>
      </w:r>
      <w:proofErr w:type="gramStart"/>
      <w:r w:rsidRPr="005D517B">
        <w:rPr>
          <w:rFonts w:ascii="Garamond" w:hAnsi="Garamond"/>
          <w:sz w:val="20"/>
          <w:szCs w:val="20"/>
        </w:rPr>
        <w:t>of  June</w:t>
      </w:r>
      <w:proofErr w:type="gramEnd"/>
      <w:r w:rsidRPr="005D517B">
        <w:rPr>
          <w:rFonts w:ascii="Garamond" w:hAnsi="Garamond"/>
          <w:sz w:val="20"/>
          <w:szCs w:val="20"/>
        </w:rPr>
        <w:t xml:space="preserve"> 17, 2005. Series C No. 125</w:t>
      </w:r>
      <w:proofErr w:type="gramStart"/>
      <w:r w:rsidRPr="005D517B">
        <w:rPr>
          <w:rFonts w:ascii="Garamond" w:hAnsi="Garamond"/>
          <w:sz w:val="20"/>
          <w:szCs w:val="20"/>
        </w:rPr>
        <w:t>.,</w:t>
      </w:r>
      <w:proofErr w:type="gramEnd"/>
      <w:r w:rsidRPr="005D517B">
        <w:rPr>
          <w:rFonts w:ascii="Garamond" w:hAnsi="Garamond"/>
          <w:sz w:val="20"/>
          <w:szCs w:val="20"/>
        </w:rPr>
        <w:t>para 161-162</w:t>
      </w:r>
    </w:p>
  </w:footnote>
  <w:footnote w:id="3">
    <w:p w:rsidR="00F10701" w:rsidRDefault="00F10701" w:rsidP="005D517B">
      <w:pPr>
        <w:pStyle w:val="Sansinterligne"/>
        <w:rPr>
          <w:rFonts w:ascii="Arial" w:hAnsi="Arial" w:cs="Arial"/>
        </w:rPr>
      </w:pPr>
      <w:r w:rsidRPr="005D517B">
        <w:rPr>
          <w:rStyle w:val="Marquenotebasdepage"/>
          <w:rFonts w:ascii="Garamond" w:hAnsi="Garamond" w:cs="Arial"/>
          <w:sz w:val="20"/>
          <w:szCs w:val="20"/>
        </w:rPr>
        <w:footnoteRef/>
      </w:r>
      <w:r w:rsidRPr="005D517B">
        <w:rPr>
          <w:rFonts w:ascii="Garamond" w:hAnsi="Garamond" w:cs="Arial"/>
          <w:sz w:val="20"/>
          <w:szCs w:val="20"/>
        </w:rPr>
        <w:t xml:space="preserve"> </w:t>
      </w:r>
      <w:r w:rsidR="00AB7668" w:rsidRPr="00B36688">
        <w:rPr>
          <w:rFonts w:ascii="Garamond" w:hAnsi="Garamond"/>
          <w:i/>
        </w:rPr>
        <w:t xml:space="preserve">Centre for Minority Rights Development and Minority Rights Group International on behalf of </w:t>
      </w:r>
      <w:proofErr w:type="spellStart"/>
      <w:r w:rsidR="00AB7668" w:rsidRPr="00B36688">
        <w:rPr>
          <w:rFonts w:ascii="Garamond" w:hAnsi="Garamond"/>
          <w:i/>
        </w:rPr>
        <w:t>Endorois</w:t>
      </w:r>
      <w:proofErr w:type="spellEnd"/>
      <w:r w:rsidR="00AB7668" w:rsidRPr="00B36688">
        <w:rPr>
          <w:rFonts w:ascii="Garamond" w:hAnsi="Garamond"/>
          <w:i/>
        </w:rPr>
        <w:t xml:space="preserve"> Welfare Council v Kenya</w:t>
      </w:r>
      <w:r w:rsidR="00AB7668" w:rsidRPr="00B36688">
        <w:rPr>
          <w:rFonts w:ascii="Garamond" w:hAnsi="Garamond"/>
        </w:rPr>
        <w:t>, (‘</w:t>
      </w:r>
      <w:proofErr w:type="spellStart"/>
      <w:r w:rsidR="00AB7668" w:rsidRPr="00B36688">
        <w:rPr>
          <w:rFonts w:ascii="Garamond" w:hAnsi="Garamond"/>
          <w:i/>
        </w:rPr>
        <w:t>Endorois</w:t>
      </w:r>
      <w:proofErr w:type="spellEnd"/>
      <w:r w:rsidR="00AB7668" w:rsidRPr="00B36688">
        <w:rPr>
          <w:rFonts w:ascii="Garamond" w:hAnsi="Garamond"/>
        </w:rPr>
        <w:t xml:space="preserve">’) Communication 276/2003, </w:t>
      </w:r>
      <w:r w:rsidRPr="00AB7668">
        <w:rPr>
          <w:rFonts w:ascii="Garamond" w:hAnsi="Garamond" w:cs="Arial"/>
          <w:sz w:val="20"/>
          <w:szCs w:val="20"/>
        </w:rPr>
        <w:t xml:space="preserve">at </w:t>
      </w:r>
      <w:proofErr w:type="spellStart"/>
      <w:r w:rsidRPr="00AB7668">
        <w:rPr>
          <w:rFonts w:ascii="Garamond" w:hAnsi="Garamond" w:cs="Arial"/>
          <w:sz w:val="20"/>
          <w:szCs w:val="20"/>
        </w:rPr>
        <w:t>para</w:t>
      </w:r>
      <w:proofErr w:type="spellEnd"/>
      <w:r w:rsidRPr="00AB7668">
        <w:rPr>
          <w:rFonts w:ascii="Garamond" w:hAnsi="Garamond" w:cs="Arial"/>
          <w:sz w:val="20"/>
          <w:szCs w:val="20"/>
        </w:rPr>
        <w:t xml:space="preserve"> 216</w:t>
      </w:r>
    </w:p>
  </w:footnote>
  <w:footnote w:id="4">
    <w:p w:rsidR="00F10701" w:rsidRPr="005D517B" w:rsidRDefault="00F10701" w:rsidP="005D517B">
      <w:pPr>
        <w:pStyle w:val="Sansinterligne"/>
        <w:rPr>
          <w:rFonts w:ascii="Garamond" w:hAnsi="Garamond"/>
          <w:sz w:val="20"/>
          <w:szCs w:val="20"/>
        </w:rPr>
      </w:pPr>
      <w:r w:rsidRPr="005D517B">
        <w:rPr>
          <w:rStyle w:val="Marquenotebasdepage"/>
          <w:rFonts w:ascii="Garamond" w:hAnsi="Garamond" w:cs="Arial"/>
          <w:sz w:val="20"/>
          <w:szCs w:val="20"/>
        </w:rPr>
        <w:footnoteRef/>
      </w:r>
      <w:r w:rsidRPr="005D517B">
        <w:rPr>
          <w:rFonts w:ascii="Garamond" w:hAnsi="Garamond"/>
          <w:sz w:val="20"/>
          <w:szCs w:val="20"/>
        </w:rPr>
        <w:t xml:space="preserve"> United Nations </w:t>
      </w:r>
      <w:r w:rsidRPr="005D517B">
        <w:rPr>
          <w:rFonts w:ascii="Garamond" w:hAnsi="Garamond"/>
          <w:sz w:val="20"/>
          <w:szCs w:val="20"/>
          <w:lang w:val="en-US"/>
        </w:rPr>
        <w:t xml:space="preserve">Committee on Economic, Social and Cultural Rights, General Comment No. 7, </w:t>
      </w:r>
      <w:r w:rsidRPr="005D517B">
        <w:rPr>
          <w:rFonts w:ascii="Garamond" w:hAnsi="Garamond"/>
          <w:sz w:val="20"/>
          <w:szCs w:val="20"/>
        </w:rPr>
        <w:t xml:space="preserve">Article 11.1, </w:t>
      </w:r>
      <w:r w:rsidRPr="005D517B">
        <w:rPr>
          <w:rFonts w:ascii="Garamond" w:hAnsi="Garamond"/>
          <w:i/>
          <w:sz w:val="20"/>
          <w:szCs w:val="20"/>
          <w:lang w:val="en-US"/>
        </w:rPr>
        <w:t>The Right to Adequate Housing</w:t>
      </w:r>
      <w:r w:rsidRPr="005D517B">
        <w:rPr>
          <w:rFonts w:ascii="Garamond" w:hAnsi="Garamond"/>
          <w:i/>
          <w:sz w:val="20"/>
          <w:szCs w:val="20"/>
        </w:rPr>
        <w:t>: Forced Eviction</w:t>
      </w:r>
      <w:r w:rsidRPr="005D517B">
        <w:rPr>
          <w:rFonts w:ascii="Garamond" w:hAnsi="Garamond"/>
          <w:sz w:val="20"/>
          <w:szCs w:val="20"/>
        </w:rPr>
        <w:t xml:space="preserve">, 20 May 1997 (CESCR General Comment No. 7), </w:t>
      </w:r>
      <w:proofErr w:type="spellStart"/>
      <w:r w:rsidRPr="005D517B">
        <w:rPr>
          <w:rFonts w:ascii="Garamond" w:hAnsi="Garamond"/>
          <w:sz w:val="20"/>
          <w:szCs w:val="20"/>
        </w:rPr>
        <w:t>para</w:t>
      </w:r>
      <w:proofErr w:type="spellEnd"/>
      <w:r w:rsidRPr="005D517B">
        <w:rPr>
          <w:rFonts w:ascii="Garamond" w:hAnsi="Garamond"/>
          <w:sz w:val="20"/>
          <w:szCs w:val="20"/>
        </w:rPr>
        <w:t xml:space="preserve"> 4.  </w:t>
      </w:r>
    </w:p>
  </w:footnote>
  <w:footnote w:id="5">
    <w:p w:rsidR="00F10701" w:rsidRPr="00FE7EB7" w:rsidRDefault="00F10701" w:rsidP="00060432">
      <w:pPr>
        <w:pStyle w:val="Notedebasdepage"/>
        <w:spacing w:line="360" w:lineRule="auto"/>
        <w:rPr>
          <w:rFonts w:ascii="Arial" w:hAnsi="Arial" w:cs="Arial"/>
          <w:sz w:val="22"/>
          <w:szCs w:val="22"/>
        </w:rPr>
      </w:pPr>
      <w:r w:rsidRPr="00FE7EB7">
        <w:rPr>
          <w:rStyle w:val="Marquenotebasdepage"/>
          <w:rFonts w:ascii="Arial" w:hAnsi="Arial" w:cs="Arial"/>
          <w:sz w:val="22"/>
          <w:szCs w:val="22"/>
        </w:rPr>
        <w:footnoteRef/>
      </w:r>
      <w:r w:rsidRPr="00FE7EB7">
        <w:rPr>
          <w:rFonts w:ascii="Arial" w:hAnsi="Arial" w:cs="Arial"/>
          <w:sz w:val="22"/>
          <w:szCs w:val="22"/>
        </w:rPr>
        <w:t xml:space="preserve"> See further paragraphs 132-262 above</w:t>
      </w:r>
    </w:p>
  </w:footnote>
  <w:footnote w:id="6">
    <w:p w:rsidR="00F10701" w:rsidRPr="006962EE" w:rsidRDefault="00F10701" w:rsidP="00060432">
      <w:pPr>
        <w:pStyle w:val="Notedebasdepage"/>
        <w:spacing w:line="360" w:lineRule="auto"/>
        <w:jc w:val="both"/>
        <w:rPr>
          <w:rFonts w:ascii="Arial" w:hAnsi="Arial" w:cs="Arial"/>
          <w:sz w:val="22"/>
          <w:szCs w:val="22"/>
          <w:highlight w:val="green"/>
        </w:rPr>
      </w:pPr>
      <w:r w:rsidRPr="00FE7EB7">
        <w:rPr>
          <w:rStyle w:val="Marquenotebasdepage"/>
          <w:rFonts w:ascii="Arial" w:hAnsi="Arial" w:cs="Arial"/>
          <w:sz w:val="22"/>
          <w:szCs w:val="22"/>
        </w:rPr>
        <w:footnoteRef/>
      </w:r>
      <w:r>
        <w:rPr>
          <w:rFonts w:ascii="Arial" w:hAnsi="Arial" w:cs="Arial"/>
          <w:sz w:val="22"/>
          <w:szCs w:val="22"/>
        </w:rPr>
        <w:t xml:space="preserve">The </w:t>
      </w:r>
      <w:proofErr w:type="spellStart"/>
      <w:r>
        <w:rPr>
          <w:rFonts w:ascii="Arial" w:hAnsi="Arial" w:cs="Arial"/>
          <w:sz w:val="22"/>
          <w:szCs w:val="22"/>
        </w:rPr>
        <w:t>Ndungu</w:t>
      </w:r>
      <w:proofErr w:type="spellEnd"/>
      <w:r>
        <w:rPr>
          <w:rFonts w:ascii="Arial" w:hAnsi="Arial" w:cs="Arial"/>
          <w:sz w:val="22"/>
          <w:szCs w:val="22"/>
        </w:rPr>
        <w:t xml:space="preserve"> Report, supra note 248, at</w:t>
      </w:r>
      <w:r w:rsidRPr="00FE7EB7">
        <w:rPr>
          <w:rFonts w:ascii="Arial" w:hAnsi="Arial" w:cs="Arial"/>
          <w:sz w:val="22"/>
          <w:szCs w:val="22"/>
        </w:rPr>
        <w:t xml:space="preserve"> 152</w:t>
      </w:r>
      <w:r>
        <w:rPr>
          <w:rFonts w:ascii="Arial" w:hAnsi="Arial" w:cs="Arial"/>
          <w:sz w:val="22"/>
          <w:szCs w:val="22"/>
        </w:rPr>
        <w:t xml:space="preserve">. </w:t>
      </w:r>
      <w:r w:rsidRPr="00FE7EB7">
        <w:rPr>
          <w:rFonts w:ascii="Arial" w:hAnsi="Arial" w:cs="Arial"/>
          <w:sz w:val="22"/>
          <w:szCs w:val="22"/>
        </w:rPr>
        <w:t>Daily Nation, ‘</w:t>
      </w:r>
      <w:proofErr w:type="spellStart"/>
      <w:r w:rsidRPr="00FE7EB7">
        <w:rPr>
          <w:rFonts w:ascii="Arial" w:hAnsi="Arial" w:cs="Arial"/>
          <w:sz w:val="22"/>
          <w:szCs w:val="22"/>
        </w:rPr>
        <w:t>Moi</w:t>
      </w:r>
      <w:proofErr w:type="spellEnd"/>
      <w:r w:rsidRPr="00FE7EB7">
        <w:rPr>
          <w:rFonts w:ascii="Arial" w:hAnsi="Arial" w:cs="Arial"/>
          <w:sz w:val="22"/>
          <w:szCs w:val="22"/>
        </w:rPr>
        <w:t xml:space="preserve"> Mama </w:t>
      </w:r>
      <w:proofErr w:type="spellStart"/>
      <w:r w:rsidRPr="00FE7EB7">
        <w:rPr>
          <w:rFonts w:ascii="Arial" w:hAnsi="Arial" w:cs="Arial"/>
          <w:sz w:val="22"/>
          <w:szCs w:val="22"/>
        </w:rPr>
        <w:t>Ngina</w:t>
      </w:r>
      <w:proofErr w:type="spellEnd"/>
      <w:r w:rsidRPr="00FE7EB7">
        <w:rPr>
          <w:rFonts w:ascii="Arial" w:hAnsi="Arial" w:cs="Arial"/>
          <w:sz w:val="22"/>
          <w:szCs w:val="22"/>
        </w:rPr>
        <w:t xml:space="preserve"> in </w:t>
      </w:r>
      <w:proofErr w:type="spellStart"/>
      <w:r w:rsidRPr="00FE7EB7">
        <w:rPr>
          <w:rFonts w:ascii="Arial" w:hAnsi="Arial" w:cs="Arial"/>
          <w:sz w:val="22"/>
          <w:szCs w:val="22"/>
        </w:rPr>
        <w:t>Ndungu</w:t>
      </w:r>
      <w:proofErr w:type="spellEnd"/>
      <w:r w:rsidRPr="00FE7EB7">
        <w:rPr>
          <w:rFonts w:ascii="Arial" w:hAnsi="Arial" w:cs="Arial"/>
          <w:sz w:val="22"/>
          <w:szCs w:val="22"/>
        </w:rPr>
        <w:t xml:space="preserve"> </w:t>
      </w:r>
      <w:r>
        <w:rPr>
          <w:rFonts w:ascii="Arial" w:hAnsi="Arial" w:cs="Arial"/>
          <w:sz w:val="22"/>
          <w:szCs w:val="22"/>
        </w:rPr>
        <w:t xml:space="preserve">Land Report’, </w:t>
      </w:r>
      <w:r w:rsidRPr="006962EE">
        <w:rPr>
          <w:rFonts w:ascii="Arial" w:hAnsi="Arial" w:cs="Arial"/>
          <w:sz w:val="22"/>
          <w:szCs w:val="22"/>
        </w:rPr>
        <w:t xml:space="preserve">(17 December 2004) &lt;http://www.ogiek.org/news/news-post-04-12-7.htm&gt; accessed 19 November 2013. </w:t>
      </w:r>
    </w:p>
  </w:footnote>
  <w:footnote w:id="7">
    <w:p w:rsidR="00F10701" w:rsidRPr="006962EE"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F. </w:t>
      </w:r>
      <w:proofErr w:type="spellStart"/>
      <w:r w:rsidRPr="00C715E4">
        <w:rPr>
          <w:rFonts w:ascii="Arial" w:hAnsi="Arial" w:cs="Arial"/>
          <w:sz w:val="22"/>
          <w:szCs w:val="22"/>
        </w:rPr>
        <w:t>Ouguergouz</w:t>
      </w:r>
      <w:proofErr w:type="spellEnd"/>
      <w:r w:rsidRPr="00C715E4">
        <w:rPr>
          <w:rFonts w:ascii="Arial" w:hAnsi="Arial" w:cs="Arial"/>
          <w:sz w:val="22"/>
          <w:szCs w:val="22"/>
        </w:rPr>
        <w:t>,“</w:t>
      </w:r>
      <w:r w:rsidRPr="00C715E4">
        <w:rPr>
          <w:rFonts w:ascii="Arial" w:hAnsi="Arial" w:cs="Arial"/>
          <w:i/>
          <w:sz w:val="22"/>
          <w:szCs w:val="22"/>
        </w:rPr>
        <w:t>The African Charter on Human and Peoples’ Rights: A Comprehensive Agenda for the Human Dignity and Sustainable Democracy in Africa”</w:t>
      </w:r>
      <w:r w:rsidRPr="00C715E4">
        <w:rPr>
          <w:rFonts w:ascii="Arial" w:hAnsi="Arial" w:cs="Arial"/>
          <w:sz w:val="22"/>
          <w:szCs w:val="22"/>
        </w:rPr>
        <w:t xml:space="preserve">, (The Hague: Kluwer Law International, 2003), p. 91. (Henceforth referred to as: F. </w:t>
      </w:r>
      <w:proofErr w:type="spellStart"/>
      <w:r w:rsidRPr="00C715E4">
        <w:rPr>
          <w:rFonts w:ascii="Arial" w:hAnsi="Arial" w:cs="Arial"/>
          <w:sz w:val="22"/>
          <w:szCs w:val="22"/>
        </w:rPr>
        <w:t>Ouguergouz</w:t>
      </w:r>
      <w:proofErr w:type="spellEnd"/>
      <w:r w:rsidRPr="00C715E4">
        <w:rPr>
          <w:rFonts w:ascii="Arial" w:hAnsi="Arial" w:cs="Arial"/>
          <w:sz w:val="22"/>
          <w:szCs w:val="22"/>
        </w:rPr>
        <w:t>,“</w:t>
      </w:r>
      <w:r w:rsidRPr="00C715E4">
        <w:rPr>
          <w:rFonts w:ascii="Arial" w:hAnsi="Arial" w:cs="Arial"/>
          <w:i/>
          <w:sz w:val="22"/>
          <w:szCs w:val="22"/>
        </w:rPr>
        <w:t xml:space="preserve">The African Charter on Human and Peoples’ Rights: A Comprehensive Agenda for the Human Dignity and Sustainable Democracy </w:t>
      </w:r>
      <w:r w:rsidRPr="006962EE">
        <w:rPr>
          <w:rFonts w:ascii="Arial" w:hAnsi="Arial" w:cs="Arial"/>
          <w:i/>
          <w:sz w:val="22"/>
          <w:szCs w:val="22"/>
        </w:rPr>
        <w:t>in Africa”</w:t>
      </w:r>
      <w:r w:rsidRPr="006962EE">
        <w:rPr>
          <w:rFonts w:ascii="Arial" w:hAnsi="Arial" w:cs="Arial"/>
          <w:sz w:val="22"/>
          <w:szCs w:val="22"/>
        </w:rPr>
        <w:t>)</w:t>
      </w:r>
    </w:p>
  </w:footnote>
  <w:footnote w:id="8">
    <w:p w:rsidR="00F10701" w:rsidRPr="002E3B73" w:rsidRDefault="00F10701" w:rsidP="00060432">
      <w:pPr>
        <w:pStyle w:val="Notedebasdepage"/>
        <w:spacing w:line="360" w:lineRule="auto"/>
        <w:jc w:val="both"/>
        <w:rPr>
          <w:rFonts w:ascii="Arial" w:hAnsi="Arial" w:cs="Arial"/>
          <w:sz w:val="22"/>
          <w:szCs w:val="22"/>
        </w:rPr>
      </w:pPr>
      <w:r w:rsidRPr="006962EE">
        <w:rPr>
          <w:rStyle w:val="Marquenotebasdepage"/>
          <w:rFonts w:ascii="Arial" w:hAnsi="Arial" w:cs="Arial"/>
          <w:sz w:val="22"/>
          <w:szCs w:val="22"/>
        </w:rPr>
        <w:footnoteRef/>
      </w:r>
      <w:r w:rsidRPr="006962EE">
        <w:rPr>
          <w:rFonts w:ascii="Arial" w:hAnsi="Arial" w:cs="Arial"/>
          <w:sz w:val="22"/>
          <w:szCs w:val="22"/>
        </w:rPr>
        <w:t xml:space="preserve"> </w:t>
      </w:r>
      <w:r w:rsidRPr="006962EE">
        <w:rPr>
          <w:rFonts w:ascii="Arial" w:hAnsi="Arial" w:cs="Arial"/>
          <w:i/>
          <w:sz w:val="22"/>
          <w:szCs w:val="22"/>
        </w:rPr>
        <w:t>Forum of Conscience v Sierra Leone</w:t>
      </w:r>
      <w:r w:rsidRPr="006962EE">
        <w:rPr>
          <w:rFonts w:ascii="Arial" w:hAnsi="Arial" w:cs="Arial"/>
          <w:sz w:val="22"/>
          <w:szCs w:val="22"/>
        </w:rPr>
        <w:t>, (2000) AHRLR 293 (ACHPR 2000) Communication 223/98,para 19.</w:t>
      </w:r>
    </w:p>
  </w:footnote>
  <w:footnote w:id="9">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hyperlink r:id="rId1" w:history="1">
        <w:r w:rsidRPr="00C715E4">
          <w:rPr>
            <w:rStyle w:val="Lienhypertexte"/>
            <w:rFonts w:ascii="Arial" w:hAnsi="Arial" w:cs="Arial"/>
            <w:sz w:val="22"/>
            <w:szCs w:val="22"/>
          </w:rPr>
          <w:t>http://www.un.org/esa/socdev/enable/comp303.htm</w:t>
        </w:r>
      </w:hyperlink>
      <w:r w:rsidRPr="00C715E4">
        <w:rPr>
          <w:rFonts w:ascii="Arial" w:hAnsi="Arial" w:cs="Arial"/>
          <w:sz w:val="22"/>
          <w:szCs w:val="22"/>
        </w:rPr>
        <w:t xml:space="preserve"> </w:t>
      </w:r>
    </w:p>
  </w:footnote>
  <w:footnote w:id="10">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further</w:t>
      </w:r>
      <w:r w:rsidRPr="00C715E4">
        <w:rPr>
          <w:rFonts w:ascii="Arial" w:hAnsi="Arial" w:cs="Arial"/>
          <w:i/>
          <w:sz w:val="22"/>
          <w:szCs w:val="22"/>
        </w:rPr>
        <w:t xml:space="preserve"> </w:t>
      </w:r>
      <w:r w:rsidRPr="00F70CF4">
        <w:rPr>
          <w:rFonts w:ascii="Arial" w:hAnsi="Arial" w:cs="Arial"/>
          <w:sz w:val="22"/>
          <w:szCs w:val="22"/>
        </w:rPr>
        <w:t>the</w:t>
      </w:r>
      <w:r>
        <w:rPr>
          <w:rFonts w:ascii="Arial" w:hAnsi="Arial" w:cs="Arial"/>
          <w:i/>
          <w:sz w:val="22"/>
          <w:szCs w:val="22"/>
        </w:rPr>
        <w:t xml:space="preserve"> </w:t>
      </w:r>
      <w:proofErr w:type="spellStart"/>
      <w:r>
        <w:rPr>
          <w:rFonts w:ascii="Arial" w:hAnsi="Arial" w:cs="Arial"/>
          <w:i/>
          <w:sz w:val="22"/>
          <w:szCs w:val="22"/>
        </w:rPr>
        <w:t>Ogoni</w:t>
      </w:r>
      <w:proofErr w:type="spellEnd"/>
      <w:r>
        <w:rPr>
          <w:rFonts w:ascii="Arial" w:hAnsi="Arial" w:cs="Arial"/>
          <w:i/>
          <w:sz w:val="22"/>
          <w:szCs w:val="22"/>
        </w:rPr>
        <w:t xml:space="preserve"> </w:t>
      </w:r>
      <w:proofErr w:type="gramStart"/>
      <w:r w:rsidRPr="00F70CF4">
        <w:rPr>
          <w:rFonts w:ascii="Arial" w:hAnsi="Arial" w:cs="Arial"/>
          <w:sz w:val="22"/>
          <w:szCs w:val="22"/>
        </w:rPr>
        <w:t>case,</w:t>
      </w:r>
      <w:proofErr w:type="gramEnd"/>
      <w:r>
        <w:rPr>
          <w:rFonts w:ascii="Arial" w:hAnsi="Arial" w:cs="Arial"/>
          <w:i/>
          <w:sz w:val="22"/>
          <w:szCs w:val="22"/>
        </w:rPr>
        <w:t xml:space="preserve"> supra </w:t>
      </w:r>
      <w:r w:rsidRPr="00F70CF4">
        <w:rPr>
          <w:rFonts w:ascii="Arial" w:hAnsi="Arial" w:cs="Arial"/>
          <w:sz w:val="22"/>
          <w:szCs w:val="22"/>
        </w:rPr>
        <w:t>note 561,</w:t>
      </w:r>
      <w:r>
        <w:rPr>
          <w:rFonts w:ascii="Arial" w:hAnsi="Arial" w:cs="Arial"/>
          <w:i/>
          <w:sz w:val="22"/>
          <w:szCs w:val="22"/>
        </w:rPr>
        <w:t xml:space="preserve"> </w:t>
      </w:r>
      <w:r w:rsidRPr="00C715E4">
        <w:rPr>
          <w:rFonts w:ascii="Arial" w:hAnsi="Arial" w:cs="Arial"/>
          <w:sz w:val="22"/>
          <w:szCs w:val="22"/>
        </w:rPr>
        <w:t>where a violation of Article 4 was found against an indigenous community.</w:t>
      </w:r>
    </w:p>
  </w:footnote>
  <w:footnote w:id="11">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Article 6 (2) ICCPR provides for capital punishment for serious crimes; Article 2 ECHR provides limited exceptions under which the deprivation of life by state officials may be justified; Article 4 American Convention similarly provides for capital punishment for serious crimes.</w:t>
      </w:r>
    </w:p>
  </w:footnote>
  <w:footnote w:id="12">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F. </w:t>
      </w:r>
      <w:proofErr w:type="spellStart"/>
      <w:r w:rsidRPr="00C715E4">
        <w:rPr>
          <w:rFonts w:ascii="Arial" w:hAnsi="Arial" w:cs="Arial"/>
          <w:sz w:val="22"/>
          <w:szCs w:val="22"/>
        </w:rPr>
        <w:t>Ouguergouz</w:t>
      </w:r>
      <w:proofErr w:type="spellEnd"/>
      <w:r w:rsidRPr="00C715E4">
        <w:rPr>
          <w:rFonts w:ascii="Arial" w:hAnsi="Arial" w:cs="Arial"/>
          <w:sz w:val="22"/>
          <w:szCs w:val="22"/>
        </w:rPr>
        <w:t>, “</w:t>
      </w:r>
      <w:r w:rsidRPr="00C715E4">
        <w:rPr>
          <w:rFonts w:ascii="Arial" w:hAnsi="Arial" w:cs="Arial"/>
          <w:i/>
          <w:sz w:val="22"/>
          <w:szCs w:val="22"/>
        </w:rPr>
        <w:t>The African Charter on Human and Peoples’ Rights: A Comprehensive Agenda for the Human Dignity and Sustainable Democracy in Africa</w:t>
      </w:r>
      <w:r w:rsidRPr="00C715E4">
        <w:rPr>
          <w:rFonts w:ascii="Arial" w:hAnsi="Arial" w:cs="Arial"/>
          <w:sz w:val="22"/>
          <w:szCs w:val="22"/>
        </w:rPr>
        <w:t xml:space="preserve">”, </w:t>
      </w:r>
      <w:r w:rsidRPr="00371BB0">
        <w:rPr>
          <w:rFonts w:ascii="Arial" w:hAnsi="Arial" w:cs="Arial"/>
          <w:i/>
          <w:sz w:val="22"/>
          <w:szCs w:val="22"/>
        </w:rPr>
        <w:t xml:space="preserve">supra </w:t>
      </w:r>
      <w:r>
        <w:rPr>
          <w:rFonts w:ascii="Arial" w:hAnsi="Arial" w:cs="Arial"/>
          <w:sz w:val="22"/>
          <w:szCs w:val="22"/>
        </w:rPr>
        <w:t xml:space="preserve">note 656, </w:t>
      </w:r>
      <w:r w:rsidRPr="00C715E4">
        <w:rPr>
          <w:rFonts w:ascii="Arial" w:hAnsi="Arial" w:cs="Arial"/>
          <w:sz w:val="22"/>
          <w:szCs w:val="22"/>
        </w:rPr>
        <w:t>pp. 92-93.</w:t>
      </w:r>
    </w:p>
  </w:footnote>
  <w:footnote w:id="13">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proofErr w:type="gramStart"/>
      <w:r w:rsidRPr="00C715E4">
        <w:rPr>
          <w:rFonts w:ascii="Arial" w:hAnsi="Arial" w:cs="Arial"/>
          <w:sz w:val="22"/>
          <w:szCs w:val="22"/>
        </w:rPr>
        <w:t xml:space="preserve">International Court of Justice, Case Concerning </w:t>
      </w:r>
      <w:proofErr w:type="spellStart"/>
      <w:r w:rsidRPr="00C715E4">
        <w:rPr>
          <w:rFonts w:ascii="Arial" w:hAnsi="Arial" w:cs="Arial"/>
          <w:sz w:val="22"/>
          <w:szCs w:val="22"/>
        </w:rPr>
        <w:t>Elettronica</w:t>
      </w:r>
      <w:proofErr w:type="spellEnd"/>
      <w:r w:rsidRPr="00C715E4">
        <w:rPr>
          <w:rFonts w:ascii="Arial" w:hAnsi="Arial" w:cs="Arial"/>
          <w:sz w:val="22"/>
          <w:szCs w:val="22"/>
        </w:rPr>
        <w:t xml:space="preserve"> </w:t>
      </w:r>
      <w:proofErr w:type="spellStart"/>
      <w:r w:rsidRPr="00C715E4">
        <w:rPr>
          <w:rFonts w:ascii="Arial" w:hAnsi="Arial" w:cs="Arial"/>
          <w:sz w:val="22"/>
          <w:szCs w:val="22"/>
        </w:rPr>
        <w:t>Sicula</w:t>
      </w:r>
      <w:proofErr w:type="spellEnd"/>
      <w:r w:rsidRPr="00C715E4">
        <w:rPr>
          <w:rFonts w:ascii="Arial" w:hAnsi="Arial" w:cs="Arial"/>
          <w:sz w:val="22"/>
          <w:szCs w:val="22"/>
        </w:rPr>
        <w:t xml:space="preserve"> </w:t>
      </w:r>
      <w:proofErr w:type="spellStart"/>
      <w:r w:rsidRPr="00C715E4">
        <w:rPr>
          <w:rFonts w:ascii="Arial" w:hAnsi="Arial" w:cs="Arial"/>
          <w:sz w:val="22"/>
          <w:szCs w:val="22"/>
        </w:rPr>
        <w:t>S.p</w:t>
      </w:r>
      <w:proofErr w:type="spellEnd"/>
      <w:r w:rsidRPr="00C715E4">
        <w:rPr>
          <w:rFonts w:ascii="Arial" w:hAnsi="Arial" w:cs="Arial"/>
          <w:sz w:val="22"/>
          <w:szCs w:val="22"/>
        </w:rPr>
        <w:t>. A. (ELSI) (United States Of America v Italy)</w:t>
      </w:r>
      <w:r w:rsidRPr="00C715E4">
        <w:rPr>
          <w:rFonts w:ascii="Arial" w:hAnsi="Arial" w:cs="Arial"/>
          <w:i/>
          <w:sz w:val="22"/>
          <w:szCs w:val="22"/>
        </w:rPr>
        <w:t>),</w:t>
      </w:r>
      <w:r w:rsidRPr="00C715E4">
        <w:rPr>
          <w:rFonts w:ascii="Arial" w:hAnsi="Arial" w:cs="Arial"/>
          <w:sz w:val="22"/>
          <w:szCs w:val="22"/>
        </w:rPr>
        <w:t xml:space="preserve"> ICJ reports 1989,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128.</w:t>
      </w:r>
      <w:proofErr w:type="gramEnd"/>
    </w:p>
  </w:footnote>
  <w:footnote w:id="14">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United Nations Human Rights Committee, General Comment No. 6, Article 6, </w:t>
      </w:r>
      <w:proofErr w:type="gramStart"/>
      <w:r w:rsidRPr="00C715E4">
        <w:rPr>
          <w:rFonts w:ascii="Arial" w:hAnsi="Arial" w:cs="Arial"/>
          <w:i/>
          <w:sz w:val="22"/>
          <w:szCs w:val="22"/>
        </w:rPr>
        <w:t>The</w:t>
      </w:r>
      <w:proofErr w:type="gramEnd"/>
      <w:r w:rsidRPr="00C715E4">
        <w:rPr>
          <w:rFonts w:ascii="Arial" w:hAnsi="Arial" w:cs="Arial"/>
          <w:i/>
          <w:sz w:val="22"/>
          <w:szCs w:val="22"/>
        </w:rPr>
        <w:t xml:space="preserve"> right to life</w:t>
      </w:r>
      <w:r w:rsidRPr="00C715E4">
        <w:rPr>
          <w:rFonts w:ascii="Arial" w:hAnsi="Arial" w:cs="Arial"/>
          <w:sz w:val="22"/>
          <w:szCs w:val="22"/>
        </w:rPr>
        <w:t xml:space="preserve">, 30 April 1982 (CCPR General Comment No. 6),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w:t>
      </w:r>
    </w:p>
  </w:footnote>
  <w:footnote w:id="15">
    <w:p w:rsidR="00F10701" w:rsidRPr="002E3B73" w:rsidRDefault="00F10701" w:rsidP="00060432">
      <w:pPr>
        <w:pStyle w:val="Notedebasdepage"/>
        <w:spacing w:line="360" w:lineRule="auto"/>
        <w:jc w:val="both"/>
        <w:rPr>
          <w:rFonts w:ascii="Arial" w:hAnsi="Arial" w:cs="Arial"/>
          <w:sz w:val="22"/>
          <w:szCs w:val="22"/>
          <w:lang w:val="fr-FR"/>
        </w:rPr>
      </w:pPr>
      <w:r w:rsidRPr="00C715E4">
        <w:rPr>
          <w:rStyle w:val="Marquenotebasdepage"/>
          <w:rFonts w:ascii="Arial" w:hAnsi="Arial" w:cs="Arial"/>
          <w:sz w:val="22"/>
          <w:szCs w:val="22"/>
        </w:rPr>
        <w:footnoteRef/>
      </w:r>
      <w:proofErr w:type="spellStart"/>
      <w:r w:rsidRPr="00C715E4">
        <w:rPr>
          <w:rFonts w:ascii="Arial" w:hAnsi="Arial" w:cs="Arial"/>
          <w:i/>
          <w:sz w:val="22"/>
          <w:szCs w:val="22"/>
          <w:lang w:val="fr-FR"/>
        </w:rPr>
        <w:t>Endorois</w:t>
      </w:r>
      <w:proofErr w:type="spellEnd"/>
      <w:r w:rsidRPr="00C715E4">
        <w:rPr>
          <w:rFonts w:ascii="Arial" w:hAnsi="Arial" w:cs="Arial"/>
          <w:sz w:val="22"/>
          <w:szCs w:val="22"/>
          <w:lang w:val="fr-FR"/>
        </w:rPr>
        <w:t xml:space="preserve">, </w:t>
      </w:r>
      <w:r w:rsidRPr="008D065B">
        <w:rPr>
          <w:rFonts w:ascii="Arial" w:hAnsi="Arial" w:cs="Arial"/>
          <w:i/>
          <w:sz w:val="22"/>
          <w:szCs w:val="22"/>
          <w:lang w:val="fr-FR"/>
        </w:rPr>
        <w:t>supra</w:t>
      </w:r>
      <w:r w:rsidRPr="008D065B">
        <w:rPr>
          <w:rFonts w:ascii="Arial" w:hAnsi="Arial" w:cs="Arial"/>
          <w:sz w:val="22"/>
          <w:szCs w:val="22"/>
          <w:lang w:val="fr-FR"/>
        </w:rPr>
        <w:t xml:space="preserve"> note 567, </w:t>
      </w:r>
      <w:r w:rsidRPr="00C715E4">
        <w:rPr>
          <w:rFonts w:ascii="Arial" w:hAnsi="Arial" w:cs="Arial"/>
          <w:sz w:val="22"/>
          <w:szCs w:val="22"/>
          <w:lang w:val="fr-FR"/>
        </w:rPr>
        <w:t xml:space="preserve">para 216; </w:t>
      </w:r>
      <w:proofErr w:type="spellStart"/>
      <w:r w:rsidRPr="00C715E4">
        <w:rPr>
          <w:rFonts w:ascii="Arial" w:hAnsi="Arial" w:cs="Arial"/>
          <w:sz w:val="22"/>
          <w:szCs w:val="22"/>
          <w:lang w:val="fr-FR"/>
        </w:rPr>
        <w:t>see</w:t>
      </w:r>
      <w:proofErr w:type="spellEnd"/>
      <w:r w:rsidRPr="00C715E4">
        <w:rPr>
          <w:rFonts w:ascii="Arial" w:hAnsi="Arial" w:cs="Arial"/>
          <w:sz w:val="22"/>
          <w:szCs w:val="22"/>
          <w:lang w:val="fr-FR"/>
        </w:rPr>
        <w:t xml:space="preserve"> </w:t>
      </w:r>
      <w:proofErr w:type="spellStart"/>
      <w:r w:rsidRPr="00C715E4">
        <w:rPr>
          <w:rFonts w:ascii="Arial" w:hAnsi="Arial" w:cs="Arial"/>
          <w:sz w:val="22"/>
          <w:szCs w:val="22"/>
          <w:lang w:val="fr-FR"/>
        </w:rPr>
        <w:t>also</w:t>
      </w:r>
      <w:proofErr w:type="spellEnd"/>
      <w:r w:rsidRPr="00C715E4">
        <w:rPr>
          <w:rFonts w:ascii="Arial" w:hAnsi="Arial" w:cs="Arial"/>
          <w:sz w:val="22"/>
          <w:szCs w:val="22"/>
          <w:lang w:val="fr-FR"/>
        </w:rPr>
        <w:t xml:space="preserve"> </w:t>
      </w:r>
      <w:r w:rsidRPr="00C715E4">
        <w:rPr>
          <w:rFonts w:ascii="Arial" w:hAnsi="Arial" w:cs="Arial"/>
          <w:i/>
          <w:sz w:val="22"/>
          <w:szCs w:val="22"/>
          <w:lang w:val="fr-FR"/>
        </w:rPr>
        <w:t xml:space="preserve">Commission Nationale de Droits de l’Homme et des Libertés v </w:t>
      </w:r>
      <w:proofErr w:type="spellStart"/>
      <w:r w:rsidRPr="00C715E4">
        <w:rPr>
          <w:rFonts w:ascii="Arial" w:hAnsi="Arial" w:cs="Arial"/>
          <w:i/>
          <w:sz w:val="22"/>
          <w:szCs w:val="22"/>
          <w:lang w:val="fr-FR"/>
        </w:rPr>
        <w:t>Chad</w:t>
      </w:r>
      <w:proofErr w:type="spellEnd"/>
      <w:r w:rsidRPr="00C715E4">
        <w:rPr>
          <w:rFonts w:ascii="Arial" w:hAnsi="Arial" w:cs="Arial"/>
          <w:i/>
          <w:sz w:val="22"/>
          <w:szCs w:val="22"/>
          <w:lang w:val="fr-FR"/>
        </w:rPr>
        <w:t>,</w:t>
      </w:r>
      <w:r w:rsidRPr="00C715E4">
        <w:rPr>
          <w:rFonts w:ascii="Arial" w:hAnsi="Arial" w:cs="Arial"/>
          <w:sz w:val="22"/>
          <w:szCs w:val="22"/>
          <w:lang w:val="fr-FR"/>
        </w:rPr>
        <w:t xml:space="preserve"> Communication 74/92, para 21.</w:t>
      </w:r>
    </w:p>
  </w:footnote>
  <w:footnote w:id="16">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An interesting line of jurisprudence has emerged from the Indian Supreme Court in this respect: see for example, </w:t>
      </w:r>
      <w:proofErr w:type="spellStart"/>
      <w:r w:rsidRPr="00C715E4">
        <w:rPr>
          <w:rFonts w:ascii="Arial" w:hAnsi="Arial" w:cs="Arial"/>
          <w:i/>
          <w:sz w:val="22"/>
          <w:szCs w:val="22"/>
        </w:rPr>
        <w:t>Mohini</w:t>
      </w:r>
      <w:proofErr w:type="spellEnd"/>
      <w:r w:rsidRPr="00C715E4">
        <w:rPr>
          <w:rFonts w:ascii="Arial" w:hAnsi="Arial" w:cs="Arial"/>
          <w:i/>
          <w:sz w:val="22"/>
          <w:szCs w:val="22"/>
        </w:rPr>
        <w:t xml:space="preserve"> Jain v State of Karnataka AIR</w:t>
      </w:r>
      <w:r w:rsidRPr="00C715E4">
        <w:rPr>
          <w:rFonts w:ascii="Arial" w:hAnsi="Arial" w:cs="Arial"/>
          <w:sz w:val="22"/>
          <w:szCs w:val="22"/>
        </w:rPr>
        <w:t xml:space="preserve"> (1981) Sup. Ct. 1864 (App 6), as referenced in </w:t>
      </w:r>
      <w:proofErr w:type="spellStart"/>
      <w:r w:rsidRPr="00C715E4">
        <w:rPr>
          <w:rFonts w:ascii="Arial" w:hAnsi="Arial" w:cs="Arial"/>
          <w:sz w:val="22"/>
          <w:szCs w:val="22"/>
        </w:rPr>
        <w:t>Nwobike</w:t>
      </w:r>
      <w:proofErr w:type="spellEnd"/>
      <w:r w:rsidRPr="00C715E4">
        <w:rPr>
          <w:rFonts w:ascii="Arial" w:hAnsi="Arial" w:cs="Arial"/>
          <w:sz w:val="22"/>
          <w:szCs w:val="22"/>
        </w:rPr>
        <w:t xml:space="preserve">, Justice C, </w:t>
      </w:r>
      <w:r w:rsidRPr="00C715E4">
        <w:rPr>
          <w:rFonts w:ascii="Arial" w:hAnsi="Arial" w:cs="Arial"/>
          <w:i/>
          <w:sz w:val="22"/>
          <w:szCs w:val="22"/>
        </w:rPr>
        <w:t xml:space="preserve">The African Commission on Human and Peoples’ Rights and the Demystification of Second and Third Generation Rights under the African Charter: Social and Economic Rights Action </w:t>
      </w:r>
      <w:proofErr w:type="spellStart"/>
      <w:r w:rsidRPr="00C715E4">
        <w:rPr>
          <w:rFonts w:ascii="Arial" w:hAnsi="Arial" w:cs="Arial"/>
          <w:i/>
          <w:sz w:val="22"/>
          <w:szCs w:val="22"/>
        </w:rPr>
        <w:t>center</w:t>
      </w:r>
      <w:proofErr w:type="spellEnd"/>
      <w:r w:rsidRPr="00C715E4">
        <w:rPr>
          <w:rFonts w:ascii="Arial" w:hAnsi="Arial" w:cs="Arial"/>
          <w:i/>
          <w:sz w:val="22"/>
          <w:szCs w:val="22"/>
        </w:rPr>
        <w:t xml:space="preserve"> (SERAC) and the </w:t>
      </w:r>
      <w:proofErr w:type="spellStart"/>
      <w:r w:rsidRPr="00C715E4">
        <w:rPr>
          <w:rFonts w:ascii="Arial" w:hAnsi="Arial" w:cs="Arial"/>
          <w:i/>
          <w:sz w:val="22"/>
          <w:szCs w:val="22"/>
        </w:rPr>
        <w:t>Center</w:t>
      </w:r>
      <w:proofErr w:type="spellEnd"/>
      <w:r w:rsidRPr="00C715E4">
        <w:rPr>
          <w:rFonts w:ascii="Arial" w:hAnsi="Arial" w:cs="Arial"/>
          <w:i/>
          <w:sz w:val="22"/>
          <w:szCs w:val="22"/>
        </w:rPr>
        <w:t xml:space="preserve"> for Economic and Social rights (CESR) v Nigeria, </w:t>
      </w:r>
      <w:r w:rsidRPr="00C715E4">
        <w:rPr>
          <w:rFonts w:ascii="Arial" w:hAnsi="Arial" w:cs="Arial"/>
          <w:sz w:val="22"/>
          <w:szCs w:val="22"/>
        </w:rPr>
        <w:t xml:space="preserve">1 </w:t>
      </w:r>
      <w:proofErr w:type="spellStart"/>
      <w:r w:rsidRPr="00C715E4">
        <w:rPr>
          <w:rFonts w:ascii="Arial" w:hAnsi="Arial" w:cs="Arial"/>
          <w:sz w:val="22"/>
          <w:szCs w:val="22"/>
        </w:rPr>
        <w:t>Afr</w:t>
      </w:r>
      <w:proofErr w:type="spellEnd"/>
      <w:r w:rsidRPr="00C715E4">
        <w:rPr>
          <w:rFonts w:ascii="Arial" w:hAnsi="Arial" w:cs="Arial"/>
          <w:sz w:val="22"/>
          <w:szCs w:val="22"/>
        </w:rPr>
        <w:t xml:space="preserve"> J Legal Stud 2 (2005) 129-146 at 135</w:t>
      </w:r>
    </w:p>
  </w:footnote>
  <w:footnote w:id="17">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F. </w:t>
      </w:r>
      <w:proofErr w:type="spellStart"/>
      <w:r w:rsidRPr="00C715E4">
        <w:rPr>
          <w:rFonts w:ascii="Arial" w:hAnsi="Arial" w:cs="Arial"/>
          <w:sz w:val="22"/>
          <w:szCs w:val="22"/>
        </w:rPr>
        <w:t>Ouguergouz</w:t>
      </w:r>
      <w:proofErr w:type="spellEnd"/>
      <w:r w:rsidRPr="00C715E4">
        <w:rPr>
          <w:rFonts w:ascii="Arial" w:hAnsi="Arial" w:cs="Arial"/>
          <w:sz w:val="22"/>
          <w:szCs w:val="22"/>
        </w:rPr>
        <w:t>,“</w:t>
      </w:r>
      <w:r w:rsidRPr="00C715E4">
        <w:rPr>
          <w:rFonts w:ascii="Arial" w:hAnsi="Arial" w:cs="Arial"/>
          <w:i/>
          <w:sz w:val="22"/>
          <w:szCs w:val="22"/>
        </w:rPr>
        <w:t>The African Charter on Human and Peoples’ Rights: A Comprehensive Agenda for the Human Dignity and Sustainable Democracy in Africa”</w:t>
      </w:r>
      <w:r w:rsidRPr="00C715E4">
        <w:rPr>
          <w:rFonts w:ascii="Arial" w:hAnsi="Arial" w:cs="Arial"/>
          <w:sz w:val="22"/>
          <w:szCs w:val="22"/>
        </w:rPr>
        <w:t xml:space="preserve">, </w:t>
      </w:r>
      <w:r w:rsidRPr="00371BB0">
        <w:rPr>
          <w:rFonts w:ascii="Arial" w:hAnsi="Arial" w:cs="Arial"/>
          <w:i/>
          <w:sz w:val="22"/>
          <w:szCs w:val="22"/>
        </w:rPr>
        <w:t xml:space="preserve">supra </w:t>
      </w:r>
      <w:r>
        <w:rPr>
          <w:rFonts w:ascii="Arial" w:hAnsi="Arial" w:cs="Arial"/>
          <w:sz w:val="22"/>
          <w:szCs w:val="22"/>
        </w:rPr>
        <w:t>note 656,</w:t>
      </w:r>
      <w:r w:rsidRPr="00C715E4">
        <w:rPr>
          <w:rFonts w:ascii="Arial" w:hAnsi="Arial" w:cs="Arial"/>
          <w:sz w:val="22"/>
          <w:szCs w:val="22"/>
        </w:rPr>
        <w:t>p.91.</w:t>
      </w:r>
    </w:p>
  </w:footnote>
  <w:footnote w:id="18">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proofErr w:type="spellStart"/>
      <w:r w:rsidRPr="00C715E4">
        <w:rPr>
          <w:rFonts w:ascii="Arial" w:hAnsi="Arial" w:cs="Arial"/>
          <w:i/>
          <w:sz w:val="22"/>
          <w:szCs w:val="22"/>
        </w:rPr>
        <w:t>Endorois</w:t>
      </w:r>
      <w:proofErr w:type="spellEnd"/>
      <w:r w:rsidRPr="00C715E4">
        <w:rPr>
          <w:rFonts w:ascii="Arial" w:hAnsi="Arial" w:cs="Arial"/>
          <w:sz w:val="22"/>
          <w:szCs w:val="22"/>
        </w:rPr>
        <w:t xml:space="preserve">, </w:t>
      </w:r>
      <w:r w:rsidRPr="00A01524">
        <w:rPr>
          <w:rFonts w:ascii="Arial" w:hAnsi="Arial" w:cs="Arial"/>
          <w:i/>
          <w:sz w:val="22"/>
          <w:szCs w:val="22"/>
        </w:rPr>
        <w:t>supra</w:t>
      </w:r>
      <w:r>
        <w:rPr>
          <w:rFonts w:ascii="Arial" w:hAnsi="Arial" w:cs="Arial"/>
          <w:sz w:val="22"/>
          <w:szCs w:val="22"/>
        </w:rPr>
        <w:t xml:space="preserve"> note 567, </w:t>
      </w:r>
      <w:proofErr w:type="spellStart"/>
      <w:r w:rsidRPr="00C715E4">
        <w:rPr>
          <w:rFonts w:ascii="Arial" w:hAnsi="Arial" w:cs="Arial"/>
          <w:sz w:val="22"/>
          <w:szCs w:val="22"/>
        </w:rPr>
        <w:t>para</w:t>
      </w:r>
      <w:proofErr w:type="spellEnd"/>
      <w:r w:rsidRPr="00C715E4">
        <w:rPr>
          <w:rFonts w:ascii="Arial" w:hAnsi="Arial" w:cs="Arial"/>
          <w:sz w:val="22"/>
          <w:szCs w:val="22"/>
        </w:rPr>
        <w:t xml:space="preserve"> 217.</w:t>
      </w:r>
    </w:p>
  </w:footnote>
  <w:footnote w:id="19">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371BB0">
        <w:rPr>
          <w:rFonts w:ascii="Arial" w:hAnsi="Arial" w:cs="Arial"/>
          <w:sz w:val="22"/>
          <w:szCs w:val="22"/>
        </w:rPr>
        <w:t>The</w:t>
      </w:r>
      <w:r w:rsidRPr="00371BB0">
        <w:rPr>
          <w:rFonts w:ascii="Arial" w:hAnsi="Arial" w:cs="Arial"/>
          <w:i/>
          <w:sz w:val="22"/>
          <w:szCs w:val="22"/>
        </w:rPr>
        <w:t xml:space="preserve"> </w:t>
      </w:r>
      <w:proofErr w:type="spellStart"/>
      <w:r w:rsidRPr="00371BB0">
        <w:rPr>
          <w:rFonts w:ascii="Arial" w:hAnsi="Arial" w:cs="Arial"/>
          <w:i/>
          <w:sz w:val="22"/>
          <w:szCs w:val="22"/>
        </w:rPr>
        <w:t>Ogoni</w:t>
      </w:r>
      <w:proofErr w:type="spellEnd"/>
      <w:r w:rsidRPr="00371BB0">
        <w:rPr>
          <w:rFonts w:ascii="Arial" w:hAnsi="Arial" w:cs="Arial"/>
          <w:i/>
          <w:sz w:val="22"/>
          <w:szCs w:val="22"/>
        </w:rPr>
        <w:t xml:space="preserve"> </w:t>
      </w:r>
      <w:r w:rsidRPr="00371BB0">
        <w:rPr>
          <w:rFonts w:ascii="Arial" w:hAnsi="Arial" w:cs="Arial"/>
          <w:sz w:val="22"/>
          <w:szCs w:val="22"/>
        </w:rPr>
        <w:t>case</w:t>
      </w:r>
      <w:r w:rsidRPr="00371BB0">
        <w:rPr>
          <w:rFonts w:ascii="Arial" w:hAnsi="Arial" w:cs="Arial"/>
          <w:i/>
          <w:sz w:val="22"/>
          <w:szCs w:val="22"/>
        </w:rPr>
        <w:t xml:space="preserve">, supra </w:t>
      </w:r>
      <w:r w:rsidRPr="00371BB0">
        <w:rPr>
          <w:rFonts w:ascii="Arial" w:hAnsi="Arial" w:cs="Arial"/>
          <w:sz w:val="22"/>
          <w:szCs w:val="22"/>
        </w:rPr>
        <w:t>note 561</w:t>
      </w:r>
    </w:p>
  </w:footnote>
  <w:footnote w:id="20">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hyperlink r:id="rId2" w:history="1">
        <w:r w:rsidRPr="00C715E4">
          <w:rPr>
            <w:rStyle w:val="Lienhypertexte"/>
            <w:rFonts w:ascii="Arial" w:hAnsi="Arial" w:cs="Arial"/>
            <w:sz w:val="22"/>
            <w:szCs w:val="22"/>
          </w:rPr>
          <w:t>http://www.achpr.org/instruments/child/</w:t>
        </w:r>
      </w:hyperlink>
      <w:r w:rsidRPr="00C715E4">
        <w:rPr>
          <w:rFonts w:ascii="Arial" w:hAnsi="Arial" w:cs="Arial"/>
          <w:sz w:val="22"/>
          <w:szCs w:val="22"/>
        </w:rPr>
        <w:t>, accessed 30.10.13.</w:t>
      </w:r>
    </w:p>
  </w:footnote>
  <w:footnote w:id="21">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United Nations Human Rights Committee, General Comment No. 6, Article 6, </w:t>
      </w:r>
      <w:proofErr w:type="gramStart"/>
      <w:r w:rsidRPr="00C715E4">
        <w:rPr>
          <w:rFonts w:ascii="Arial" w:hAnsi="Arial" w:cs="Arial"/>
          <w:i/>
          <w:sz w:val="22"/>
          <w:szCs w:val="22"/>
        </w:rPr>
        <w:t>The</w:t>
      </w:r>
      <w:proofErr w:type="gramEnd"/>
      <w:r w:rsidRPr="00C715E4">
        <w:rPr>
          <w:rFonts w:ascii="Arial" w:hAnsi="Arial" w:cs="Arial"/>
          <w:i/>
          <w:sz w:val="22"/>
          <w:szCs w:val="22"/>
        </w:rPr>
        <w:t xml:space="preserve"> right to life</w:t>
      </w:r>
      <w:r w:rsidRPr="00C715E4">
        <w:rPr>
          <w:rFonts w:ascii="Arial" w:hAnsi="Arial" w:cs="Arial"/>
          <w:sz w:val="22"/>
          <w:szCs w:val="22"/>
        </w:rPr>
        <w:t xml:space="preserve">, 30 April 1982 (CCPR General Comment No. 6), </w:t>
      </w:r>
      <w:proofErr w:type="spellStart"/>
      <w:r w:rsidRPr="00C715E4">
        <w:rPr>
          <w:rFonts w:ascii="Arial" w:hAnsi="Arial" w:cs="Arial"/>
          <w:sz w:val="22"/>
          <w:szCs w:val="22"/>
        </w:rPr>
        <w:t>para</w:t>
      </w:r>
      <w:proofErr w:type="spellEnd"/>
      <w:r w:rsidRPr="00C715E4">
        <w:rPr>
          <w:rFonts w:ascii="Arial" w:hAnsi="Arial" w:cs="Arial"/>
          <w:sz w:val="22"/>
          <w:szCs w:val="22"/>
        </w:rPr>
        <w:t xml:space="preserve"> 5.  </w:t>
      </w:r>
    </w:p>
  </w:footnote>
  <w:footnote w:id="22">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Sic: this is clearly a misprint for ‘integrity’: see further Malcolm Evans and Rachel Murray, </w:t>
      </w:r>
      <w:r w:rsidRPr="00C715E4">
        <w:rPr>
          <w:rFonts w:ascii="Arial" w:hAnsi="Arial" w:cs="Arial"/>
          <w:i/>
          <w:sz w:val="22"/>
          <w:szCs w:val="22"/>
        </w:rPr>
        <w:t>The African Charter on Human and Peoples’ Rights</w:t>
      </w:r>
      <w:r w:rsidRPr="00C715E4">
        <w:rPr>
          <w:rFonts w:ascii="Arial" w:hAnsi="Arial" w:cs="Arial"/>
          <w:sz w:val="22"/>
          <w:szCs w:val="22"/>
        </w:rPr>
        <w:t>, (Cambridge University Press, 2008)</w:t>
      </w:r>
      <w:proofErr w:type="gramStart"/>
      <w:r w:rsidRPr="00C715E4">
        <w:rPr>
          <w:rFonts w:ascii="Arial" w:hAnsi="Arial" w:cs="Arial"/>
          <w:sz w:val="22"/>
          <w:szCs w:val="22"/>
        </w:rPr>
        <w:t>,  page</w:t>
      </w:r>
      <w:proofErr w:type="gramEnd"/>
      <w:r w:rsidRPr="00C715E4">
        <w:rPr>
          <w:rFonts w:ascii="Arial" w:hAnsi="Arial" w:cs="Arial"/>
          <w:sz w:val="22"/>
          <w:szCs w:val="22"/>
        </w:rPr>
        <w:t xml:space="preserve"> 189; see further the Inter-American Court decisions of I/A Court H.R., </w:t>
      </w:r>
      <w:proofErr w:type="spellStart"/>
      <w:r w:rsidRPr="00C715E4">
        <w:rPr>
          <w:rFonts w:ascii="Arial" w:hAnsi="Arial" w:cs="Arial"/>
          <w:i/>
          <w:sz w:val="22"/>
          <w:szCs w:val="22"/>
        </w:rPr>
        <w:t>Sawhoyamaxa</w:t>
      </w:r>
      <w:proofErr w:type="spellEnd"/>
      <w:r w:rsidRPr="00C715E4">
        <w:rPr>
          <w:rFonts w:ascii="Arial" w:hAnsi="Arial" w:cs="Arial"/>
          <w:i/>
          <w:sz w:val="22"/>
          <w:szCs w:val="22"/>
        </w:rPr>
        <w:t xml:space="preserve"> Indigenous Community v. Paraguay</w:t>
      </w:r>
      <w:r w:rsidRPr="00C715E4">
        <w:rPr>
          <w:rFonts w:ascii="Arial" w:hAnsi="Arial" w:cs="Arial"/>
          <w:sz w:val="22"/>
          <w:szCs w:val="22"/>
        </w:rPr>
        <w:t xml:space="preserve">. </w:t>
      </w:r>
      <w:proofErr w:type="gramStart"/>
      <w:r w:rsidRPr="00371BB0">
        <w:rPr>
          <w:rFonts w:ascii="Arial" w:hAnsi="Arial" w:cs="Arial"/>
          <w:i/>
          <w:sz w:val="22"/>
          <w:szCs w:val="22"/>
        </w:rPr>
        <w:t>supra</w:t>
      </w:r>
      <w:proofErr w:type="gramEnd"/>
      <w:r>
        <w:rPr>
          <w:rFonts w:ascii="Arial" w:hAnsi="Arial" w:cs="Arial"/>
          <w:sz w:val="22"/>
          <w:szCs w:val="22"/>
        </w:rPr>
        <w:t xml:space="preserve"> note 614,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153 and I/A Court H.R., </w:t>
      </w:r>
      <w:proofErr w:type="spellStart"/>
      <w:r w:rsidRPr="00C715E4">
        <w:rPr>
          <w:rFonts w:ascii="Arial" w:hAnsi="Arial" w:cs="Arial"/>
          <w:i/>
          <w:sz w:val="22"/>
          <w:szCs w:val="22"/>
        </w:rPr>
        <w:t>Kichwa</w:t>
      </w:r>
      <w:proofErr w:type="spellEnd"/>
      <w:r w:rsidRPr="00C715E4">
        <w:rPr>
          <w:rFonts w:ascii="Arial" w:hAnsi="Arial" w:cs="Arial"/>
          <w:i/>
          <w:sz w:val="22"/>
          <w:szCs w:val="22"/>
        </w:rPr>
        <w:t xml:space="preserve"> Peoples of </w:t>
      </w:r>
      <w:proofErr w:type="spellStart"/>
      <w:r w:rsidRPr="00C715E4">
        <w:rPr>
          <w:rFonts w:ascii="Arial" w:hAnsi="Arial" w:cs="Arial"/>
          <w:i/>
          <w:sz w:val="22"/>
          <w:szCs w:val="22"/>
        </w:rPr>
        <w:t>Sarayaku</w:t>
      </w:r>
      <w:proofErr w:type="spellEnd"/>
      <w:r w:rsidRPr="00C715E4">
        <w:rPr>
          <w:rFonts w:ascii="Arial" w:hAnsi="Arial" w:cs="Arial"/>
          <w:i/>
          <w:sz w:val="22"/>
          <w:szCs w:val="22"/>
        </w:rPr>
        <w:t xml:space="preserve"> Community v Ecuador</w:t>
      </w:r>
      <w:r w:rsidRPr="00C715E4">
        <w:rPr>
          <w:rFonts w:ascii="Arial" w:hAnsi="Arial" w:cs="Arial"/>
          <w:sz w:val="22"/>
          <w:szCs w:val="22"/>
        </w:rPr>
        <w:t xml:space="preserve">, </w:t>
      </w:r>
      <w:r w:rsidRPr="00371BB0">
        <w:rPr>
          <w:rFonts w:ascii="Arial" w:hAnsi="Arial" w:cs="Arial"/>
          <w:i/>
          <w:sz w:val="22"/>
          <w:szCs w:val="22"/>
        </w:rPr>
        <w:t>supra</w:t>
      </w:r>
      <w:r>
        <w:rPr>
          <w:rFonts w:ascii="Arial" w:hAnsi="Arial" w:cs="Arial"/>
          <w:sz w:val="22"/>
          <w:szCs w:val="22"/>
        </w:rPr>
        <w:t xml:space="preserve"> note 559, </w:t>
      </w:r>
      <w:proofErr w:type="spellStart"/>
      <w:r w:rsidRPr="00C715E4">
        <w:rPr>
          <w:rFonts w:ascii="Arial" w:hAnsi="Arial" w:cs="Arial"/>
          <w:sz w:val="22"/>
          <w:szCs w:val="22"/>
        </w:rPr>
        <w:t>para</w:t>
      </w:r>
      <w:proofErr w:type="spellEnd"/>
      <w:r w:rsidRPr="00C715E4">
        <w:rPr>
          <w:rFonts w:ascii="Arial" w:hAnsi="Arial" w:cs="Arial"/>
          <w:sz w:val="22"/>
          <w:szCs w:val="22"/>
        </w:rPr>
        <w:t xml:space="preserve"> 234.</w:t>
      </w:r>
    </w:p>
  </w:footnote>
  <w:footnote w:id="23">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proofErr w:type="spellStart"/>
      <w:r w:rsidRPr="00C715E4">
        <w:rPr>
          <w:rFonts w:ascii="Arial" w:hAnsi="Arial" w:cs="Arial"/>
          <w:i/>
          <w:sz w:val="22"/>
          <w:szCs w:val="22"/>
        </w:rPr>
        <w:t>Kazeem</w:t>
      </w:r>
      <w:proofErr w:type="spellEnd"/>
      <w:r w:rsidRPr="00C715E4">
        <w:rPr>
          <w:rFonts w:ascii="Arial" w:hAnsi="Arial" w:cs="Arial"/>
          <w:i/>
          <w:sz w:val="22"/>
          <w:szCs w:val="22"/>
        </w:rPr>
        <w:t xml:space="preserve"> </w:t>
      </w:r>
      <w:proofErr w:type="spellStart"/>
      <w:r w:rsidRPr="00C715E4">
        <w:rPr>
          <w:rFonts w:ascii="Arial" w:hAnsi="Arial" w:cs="Arial"/>
          <w:i/>
          <w:sz w:val="22"/>
          <w:szCs w:val="22"/>
        </w:rPr>
        <w:t>Aminu</w:t>
      </w:r>
      <w:proofErr w:type="spellEnd"/>
      <w:r w:rsidRPr="00C715E4">
        <w:rPr>
          <w:rFonts w:ascii="Arial" w:hAnsi="Arial" w:cs="Arial"/>
          <w:i/>
          <w:sz w:val="22"/>
          <w:szCs w:val="22"/>
        </w:rPr>
        <w:t xml:space="preserve"> v Nigeria</w:t>
      </w:r>
      <w:r w:rsidRPr="00C715E4">
        <w:rPr>
          <w:rFonts w:ascii="Arial" w:hAnsi="Arial" w:cs="Arial"/>
          <w:sz w:val="22"/>
          <w:szCs w:val="22"/>
        </w:rPr>
        <w:t xml:space="preserve">, (2000) ACHPR Communication 205/97,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18.</w:t>
      </w:r>
    </w:p>
  </w:footnote>
  <w:footnote w:id="24">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further Article 7 (1) UNDRIP, which provides that indigenous people have the rights to life, physical and mental integrity, liberty and security of person”.  </w:t>
      </w:r>
    </w:p>
  </w:footnote>
  <w:footnote w:id="25">
    <w:p w:rsidR="00F10701" w:rsidRPr="008D065B" w:rsidRDefault="00F10701" w:rsidP="00060432">
      <w:pPr>
        <w:pStyle w:val="Notedebasdepage"/>
        <w:spacing w:line="360" w:lineRule="auto"/>
        <w:jc w:val="both"/>
        <w:rPr>
          <w:rFonts w:ascii="Arial" w:hAnsi="Arial" w:cs="Arial"/>
          <w:sz w:val="22"/>
          <w:szCs w:val="22"/>
          <w:lang w:val="fr-FR"/>
        </w:rPr>
      </w:pPr>
      <w:r w:rsidRPr="00C715E4">
        <w:rPr>
          <w:rStyle w:val="Marquenotebasdepage"/>
          <w:rFonts w:ascii="Arial" w:hAnsi="Arial" w:cs="Arial"/>
          <w:sz w:val="22"/>
          <w:szCs w:val="22"/>
        </w:rPr>
        <w:footnoteRef/>
      </w:r>
      <w:r w:rsidRPr="008D065B">
        <w:rPr>
          <w:rFonts w:ascii="Arial" w:hAnsi="Arial" w:cs="Arial"/>
          <w:sz w:val="22"/>
          <w:szCs w:val="22"/>
          <w:lang w:val="fr-FR"/>
        </w:rPr>
        <w:t xml:space="preserve"> </w:t>
      </w:r>
      <w:proofErr w:type="spellStart"/>
      <w:r w:rsidRPr="008D065B">
        <w:rPr>
          <w:rFonts w:ascii="Arial" w:hAnsi="Arial" w:cs="Arial"/>
          <w:sz w:val="22"/>
          <w:szCs w:val="22"/>
          <w:lang w:val="fr-FR"/>
        </w:rPr>
        <w:t>Ouguergouz</w:t>
      </w:r>
      <w:proofErr w:type="spellEnd"/>
      <w:r w:rsidRPr="008D065B">
        <w:rPr>
          <w:rFonts w:ascii="Arial" w:hAnsi="Arial" w:cs="Arial"/>
          <w:sz w:val="22"/>
          <w:szCs w:val="22"/>
          <w:lang w:val="fr-FR"/>
        </w:rPr>
        <w:t xml:space="preserve">, </w:t>
      </w:r>
      <w:r w:rsidRPr="008D065B">
        <w:rPr>
          <w:rFonts w:ascii="Arial" w:hAnsi="Arial" w:cs="Arial"/>
          <w:i/>
          <w:sz w:val="22"/>
          <w:szCs w:val="22"/>
          <w:lang w:val="fr-FR"/>
        </w:rPr>
        <w:t xml:space="preserve">supra </w:t>
      </w:r>
      <w:r w:rsidRPr="008D065B">
        <w:rPr>
          <w:rFonts w:ascii="Arial" w:hAnsi="Arial" w:cs="Arial"/>
          <w:sz w:val="22"/>
          <w:szCs w:val="22"/>
          <w:lang w:val="fr-FR"/>
        </w:rPr>
        <w:t xml:space="preserve">note 656, </w:t>
      </w:r>
      <w:proofErr w:type="spellStart"/>
      <w:r w:rsidRPr="008D065B">
        <w:rPr>
          <w:rFonts w:ascii="Arial" w:hAnsi="Arial" w:cs="Arial"/>
          <w:sz w:val="22"/>
          <w:szCs w:val="22"/>
          <w:lang w:val="fr-FR"/>
        </w:rPr>
        <w:t>at</w:t>
      </w:r>
      <w:proofErr w:type="spellEnd"/>
      <w:r w:rsidRPr="008D065B">
        <w:rPr>
          <w:rFonts w:ascii="Arial" w:hAnsi="Arial" w:cs="Arial"/>
          <w:sz w:val="22"/>
          <w:szCs w:val="22"/>
          <w:lang w:val="fr-FR"/>
        </w:rPr>
        <w:t xml:space="preserve"> page 102</w:t>
      </w:r>
    </w:p>
  </w:footnote>
  <w:footnote w:id="26">
    <w:p w:rsidR="00F10701" w:rsidRPr="002E3B73" w:rsidRDefault="00F10701" w:rsidP="00060432">
      <w:pPr>
        <w:pStyle w:val="Notedebasdepage"/>
        <w:spacing w:line="360" w:lineRule="auto"/>
        <w:jc w:val="both"/>
        <w:rPr>
          <w:rFonts w:ascii="Arial" w:hAnsi="Arial" w:cs="Arial"/>
          <w:sz w:val="22"/>
          <w:szCs w:val="22"/>
        </w:rPr>
      </w:pPr>
      <w:r w:rsidRPr="0075651A">
        <w:rPr>
          <w:rStyle w:val="Marquenotebasdepage"/>
          <w:rFonts w:ascii="Arial" w:hAnsi="Arial" w:cs="Arial"/>
          <w:sz w:val="22"/>
          <w:szCs w:val="22"/>
        </w:rPr>
        <w:footnoteRef/>
      </w:r>
      <w:r w:rsidRPr="0075651A">
        <w:rPr>
          <w:rFonts w:ascii="Arial" w:hAnsi="Arial" w:cs="Arial"/>
          <w:sz w:val="22"/>
          <w:szCs w:val="22"/>
        </w:rPr>
        <w:t xml:space="preserve"> See debates on the elaboration of Article 12 of the Universal Declaration of Human Rights, as reported by A </w:t>
      </w:r>
      <w:proofErr w:type="spellStart"/>
      <w:r w:rsidRPr="0075651A">
        <w:rPr>
          <w:rFonts w:ascii="Arial" w:hAnsi="Arial" w:cs="Arial"/>
          <w:sz w:val="22"/>
          <w:szCs w:val="22"/>
        </w:rPr>
        <w:t>Verdoodt</w:t>
      </w:r>
      <w:proofErr w:type="spellEnd"/>
      <w:r w:rsidRPr="0075651A">
        <w:rPr>
          <w:rFonts w:ascii="Arial" w:hAnsi="Arial" w:cs="Arial"/>
          <w:sz w:val="22"/>
          <w:szCs w:val="22"/>
        </w:rPr>
        <w:t xml:space="preserve"> (Albert </w:t>
      </w:r>
      <w:proofErr w:type="spellStart"/>
      <w:r w:rsidRPr="0075651A">
        <w:rPr>
          <w:rFonts w:ascii="Arial" w:hAnsi="Arial" w:cs="Arial"/>
          <w:sz w:val="22"/>
          <w:szCs w:val="22"/>
        </w:rPr>
        <w:t>Verdoodt</w:t>
      </w:r>
      <w:proofErr w:type="spellEnd"/>
      <w:r w:rsidRPr="0075651A">
        <w:rPr>
          <w:rFonts w:ascii="Arial" w:hAnsi="Arial" w:cs="Arial"/>
          <w:sz w:val="22"/>
          <w:szCs w:val="22"/>
        </w:rPr>
        <w:t xml:space="preserve">, </w:t>
      </w:r>
      <w:r w:rsidRPr="0075651A">
        <w:rPr>
          <w:rFonts w:ascii="Arial" w:hAnsi="Arial" w:cs="Arial"/>
          <w:i/>
          <w:sz w:val="22"/>
          <w:szCs w:val="22"/>
        </w:rPr>
        <w:t xml:space="preserve">Naissance et signification de la </w:t>
      </w:r>
      <w:proofErr w:type="spellStart"/>
      <w:r w:rsidRPr="0075651A">
        <w:rPr>
          <w:rFonts w:ascii="Arial" w:hAnsi="Arial" w:cs="Arial"/>
          <w:i/>
          <w:sz w:val="22"/>
          <w:szCs w:val="22"/>
        </w:rPr>
        <w:t>Déclaration</w:t>
      </w:r>
      <w:proofErr w:type="spellEnd"/>
      <w:r w:rsidRPr="0075651A">
        <w:rPr>
          <w:rFonts w:ascii="Arial" w:hAnsi="Arial" w:cs="Arial"/>
          <w:i/>
          <w:sz w:val="22"/>
          <w:szCs w:val="22"/>
        </w:rPr>
        <w:t xml:space="preserve"> </w:t>
      </w:r>
      <w:proofErr w:type="spellStart"/>
      <w:r w:rsidRPr="0075651A">
        <w:rPr>
          <w:rFonts w:ascii="Arial" w:hAnsi="Arial" w:cs="Arial"/>
          <w:i/>
          <w:sz w:val="22"/>
          <w:szCs w:val="22"/>
        </w:rPr>
        <w:t>universelle</w:t>
      </w:r>
      <w:proofErr w:type="spellEnd"/>
      <w:r w:rsidRPr="0075651A">
        <w:rPr>
          <w:rFonts w:ascii="Arial" w:hAnsi="Arial" w:cs="Arial"/>
          <w:i/>
          <w:sz w:val="22"/>
          <w:szCs w:val="22"/>
        </w:rPr>
        <w:t xml:space="preserve"> des </w:t>
      </w:r>
      <w:proofErr w:type="spellStart"/>
      <w:r w:rsidRPr="0075651A">
        <w:rPr>
          <w:rFonts w:ascii="Arial" w:hAnsi="Arial" w:cs="Arial"/>
          <w:i/>
          <w:sz w:val="22"/>
          <w:szCs w:val="22"/>
        </w:rPr>
        <w:t>droits</w:t>
      </w:r>
      <w:proofErr w:type="spellEnd"/>
      <w:r w:rsidRPr="0075651A">
        <w:rPr>
          <w:rFonts w:ascii="Arial" w:hAnsi="Arial" w:cs="Arial"/>
          <w:i/>
          <w:sz w:val="22"/>
          <w:szCs w:val="22"/>
        </w:rPr>
        <w:t xml:space="preserve"> de </w:t>
      </w:r>
      <w:proofErr w:type="spellStart"/>
      <w:r w:rsidRPr="0075651A">
        <w:rPr>
          <w:rFonts w:ascii="Arial" w:hAnsi="Arial" w:cs="Arial"/>
          <w:i/>
          <w:sz w:val="22"/>
          <w:szCs w:val="22"/>
        </w:rPr>
        <w:t>l’homme</w:t>
      </w:r>
      <w:proofErr w:type="spellEnd"/>
      <w:r w:rsidRPr="0075651A">
        <w:rPr>
          <w:rFonts w:ascii="Arial" w:hAnsi="Arial" w:cs="Arial"/>
          <w:sz w:val="22"/>
          <w:szCs w:val="22"/>
        </w:rPr>
        <w:t xml:space="preserve"> (Louvain: </w:t>
      </w:r>
      <w:proofErr w:type="spellStart"/>
      <w:r w:rsidRPr="0075651A">
        <w:rPr>
          <w:rFonts w:ascii="Arial" w:hAnsi="Arial" w:cs="Arial"/>
          <w:sz w:val="22"/>
          <w:szCs w:val="22"/>
        </w:rPr>
        <w:t>Warny</w:t>
      </w:r>
      <w:proofErr w:type="spellEnd"/>
      <w:r w:rsidRPr="0075651A">
        <w:rPr>
          <w:rFonts w:ascii="Arial" w:hAnsi="Arial" w:cs="Arial"/>
          <w:sz w:val="22"/>
          <w:szCs w:val="22"/>
        </w:rPr>
        <w:t>, 1964)); Article 17 ICCPR also protects the individual against “unlawful attacks on his honour and person.”</w:t>
      </w:r>
    </w:p>
  </w:footnote>
  <w:footnote w:id="27">
    <w:p w:rsidR="00F10701" w:rsidRPr="009E71F7" w:rsidRDefault="00F10701" w:rsidP="00060432">
      <w:pPr>
        <w:pStyle w:val="Notedebasdepage"/>
        <w:spacing w:line="360" w:lineRule="auto"/>
        <w:rPr>
          <w:rFonts w:ascii="Arial" w:hAnsi="Arial" w:cs="Arial"/>
          <w:sz w:val="22"/>
          <w:szCs w:val="22"/>
        </w:rPr>
      </w:pPr>
      <w:r w:rsidRPr="009E71F7">
        <w:rPr>
          <w:rStyle w:val="Marquenotebasdepage"/>
          <w:rFonts w:ascii="Arial" w:hAnsi="Arial" w:cs="Arial"/>
          <w:sz w:val="22"/>
          <w:szCs w:val="22"/>
        </w:rPr>
        <w:footnoteRef/>
      </w:r>
      <w:r w:rsidRPr="009E71F7">
        <w:rPr>
          <w:rFonts w:ascii="Arial" w:hAnsi="Arial" w:cs="Arial"/>
          <w:sz w:val="22"/>
          <w:szCs w:val="22"/>
        </w:rPr>
        <w:t xml:space="preserve"> </w:t>
      </w:r>
      <w:r w:rsidRPr="002C424C">
        <w:rPr>
          <w:rFonts w:ascii="Arial" w:hAnsi="Arial" w:cs="Arial"/>
          <w:sz w:val="22"/>
          <w:szCs w:val="22"/>
        </w:rPr>
        <w:t xml:space="preserve">See further </w:t>
      </w:r>
      <w:proofErr w:type="spellStart"/>
      <w:r w:rsidRPr="002C424C">
        <w:rPr>
          <w:rFonts w:ascii="Arial" w:hAnsi="Arial" w:cs="Arial"/>
          <w:sz w:val="22"/>
          <w:szCs w:val="22"/>
        </w:rPr>
        <w:t>paras</w:t>
      </w:r>
      <w:proofErr w:type="spellEnd"/>
      <w:r w:rsidRPr="002C424C">
        <w:rPr>
          <w:rFonts w:ascii="Arial" w:hAnsi="Arial" w:cs="Arial"/>
          <w:sz w:val="22"/>
          <w:szCs w:val="22"/>
        </w:rPr>
        <w:t xml:space="preserve"> 538 to 594 below</w:t>
      </w:r>
    </w:p>
  </w:footnote>
  <w:footnote w:id="28">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r w:rsidRPr="002C424C">
        <w:rPr>
          <w:rFonts w:ascii="Arial" w:hAnsi="Arial" w:cs="Arial"/>
          <w:sz w:val="22"/>
          <w:szCs w:val="22"/>
        </w:rPr>
        <w:t>The</w:t>
      </w:r>
      <w:r w:rsidRPr="002C424C">
        <w:rPr>
          <w:rFonts w:ascii="Arial" w:hAnsi="Arial" w:cs="Arial"/>
          <w:i/>
          <w:sz w:val="22"/>
          <w:szCs w:val="22"/>
        </w:rPr>
        <w:t xml:space="preserve"> </w:t>
      </w:r>
      <w:proofErr w:type="spellStart"/>
      <w:r w:rsidRPr="002C424C">
        <w:rPr>
          <w:rFonts w:ascii="Arial" w:hAnsi="Arial" w:cs="Arial"/>
          <w:i/>
          <w:sz w:val="22"/>
          <w:szCs w:val="22"/>
        </w:rPr>
        <w:t>Ogoni</w:t>
      </w:r>
      <w:proofErr w:type="spellEnd"/>
      <w:r w:rsidRPr="002C424C">
        <w:rPr>
          <w:rFonts w:ascii="Arial" w:hAnsi="Arial" w:cs="Arial"/>
          <w:i/>
          <w:sz w:val="22"/>
          <w:szCs w:val="22"/>
        </w:rPr>
        <w:t xml:space="preserve"> </w:t>
      </w:r>
      <w:r w:rsidRPr="002C424C">
        <w:rPr>
          <w:rFonts w:ascii="Arial" w:hAnsi="Arial" w:cs="Arial"/>
          <w:sz w:val="22"/>
          <w:szCs w:val="22"/>
        </w:rPr>
        <w:t xml:space="preserve">case, </w:t>
      </w:r>
      <w:r w:rsidRPr="002C424C">
        <w:rPr>
          <w:rFonts w:ascii="Arial" w:hAnsi="Arial" w:cs="Arial"/>
          <w:i/>
          <w:sz w:val="22"/>
          <w:szCs w:val="22"/>
        </w:rPr>
        <w:t>supra</w:t>
      </w:r>
      <w:r w:rsidRPr="002C424C">
        <w:rPr>
          <w:rFonts w:ascii="Arial" w:hAnsi="Arial" w:cs="Arial"/>
          <w:sz w:val="22"/>
          <w:szCs w:val="22"/>
        </w:rPr>
        <w:t xml:space="preserve"> note 561, </w:t>
      </w:r>
      <w:proofErr w:type="spellStart"/>
      <w:r w:rsidRPr="002C424C">
        <w:rPr>
          <w:rFonts w:ascii="Arial" w:hAnsi="Arial" w:cs="Arial"/>
          <w:sz w:val="22"/>
          <w:szCs w:val="22"/>
        </w:rPr>
        <w:t>para</w:t>
      </w:r>
      <w:proofErr w:type="spellEnd"/>
      <w:r w:rsidRPr="002C424C">
        <w:rPr>
          <w:rFonts w:ascii="Arial" w:hAnsi="Arial" w:cs="Arial"/>
          <w:sz w:val="22"/>
          <w:szCs w:val="22"/>
        </w:rPr>
        <w:t xml:space="preserve"> 68.</w:t>
      </w:r>
      <w:r w:rsidRPr="00C715E4">
        <w:rPr>
          <w:rFonts w:ascii="Arial" w:hAnsi="Arial" w:cs="Arial"/>
          <w:sz w:val="22"/>
          <w:szCs w:val="22"/>
        </w:rPr>
        <w:t xml:space="preserve">  </w:t>
      </w:r>
    </w:p>
  </w:footnote>
  <w:footnote w:id="29">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I/A Court H.R.</w:t>
      </w:r>
      <w:proofErr w:type="gramStart"/>
      <w:r w:rsidRPr="00C715E4">
        <w:rPr>
          <w:rFonts w:ascii="Arial" w:hAnsi="Arial" w:cs="Arial"/>
          <w:sz w:val="22"/>
          <w:szCs w:val="22"/>
        </w:rPr>
        <w:t>,</w:t>
      </w:r>
      <w:proofErr w:type="spellStart"/>
      <w:r w:rsidRPr="00C715E4">
        <w:rPr>
          <w:rFonts w:ascii="Arial" w:hAnsi="Arial" w:cs="Arial"/>
          <w:i/>
          <w:sz w:val="22"/>
          <w:szCs w:val="22"/>
        </w:rPr>
        <w:t>Yakye</w:t>
      </w:r>
      <w:proofErr w:type="spellEnd"/>
      <w:proofErr w:type="gramEnd"/>
      <w:r w:rsidRPr="00C715E4">
        <w:rPr>
          <w:rFonts w:ascii="Arial" w:hAnsi="Arial" w:cs="Arial"/>
          <w:i/>
          <w:sz w:val="22"/>
          <w:szCs w:val="22"/>
        </w:rPr>
        <w:t xml:space="preserve"> </w:t>
      </w:r>
      <w:proofErr w:type="spellStart"/>
      <w:r w:rsidRPr="00C715E4">
        <w:rPr>
          <w:rFonts w:ascii="Arial" w:hAnsi="Arial" w:cs="Arial"/>
          <w:i/>
          <w:sz w:val="22"/>
          <w:szCs w:val="22"/>
        </w:rPr>
        <w:t>Axa</w:t>
      </w:r>
      <w:proofErr w:type="spellEnd"/>
      <w:r w:rsidRPr="00C715E4">
        <w:rPr>
          <w:rFonts w:ascii="Arial" w:hAnsi="Arial" w:cs="Arial"/>
          <w:i/>
          <w:sz w:val="22"/>
          <w:szCs w:val="22"/>
        </w:rPr>
        <w:t xml:space="preserve"> Indigenous Community v. Paraguay</w:t>
      </w:r>
      <w:r w:rsidRPr="00C715E4">
        <w:rPr>
          <w:rFonts w:ascii="Arial" w:hAnsi="Arial" w:cs="Arial"/>
          <w:sz w:val="22"/>
          <w:szCs w:val="22"/>
        </w:rPr>
        <w:t xml:space="preserve">. </w:t>
      </w:r>
      <w:proofErr w:type="gramStart"/>
      <w:r w:rsidRPr="00C715E4">
        <w:rPr>
          <w:rFonts w:ascii="Arial" w:hAnsi="Arial" w:cs="Arial"/>
          <w:sz w:val="22"/>
          <w:szCs w:val="22"/>
        </w:rPr>
        <w:t>Merits, Reparations and Costs.</w:t>
      </w:r>
      <w:proofErr w:type="gramEnd"/>
      <w:r w:rsidRPr="00C715E4">
        <w:rPr>
          <w:rFonts w:ascii="Arial" w:hAnsi="Arial" w:cs="Arial"/>
          <w:sz w:val="22"/>
          <w:szCs w:val="22"/>
        </w:rPr>
        <w:t xml:space="preserve"> Judgment </w:t>
      </w:r>
      <w:proofErr w:type="gramStart"/>
      <w:r w:rsidRPr="00C715E4">
        <w:rPr>
          <w:rFonts w:ascii="Arial" w:hAnsi="Arial" w:cs="Arial"/>
          <w:sz w:val="22"/>
          <w:szCs w:val="22"/>
        </w:rPr>
        <w:t>of  June</w:t>
      </w:r>
      <w:proofErr w:type="gramEnd"/>
      <w:r w:rsidRPr="00C715E4">
        <w:rPr>
          <w:rFonts w:ascii="Arial" w:hAnsi="Arial" w:cs="Arial"/>
          <w:sz w:val="22"/>
          <w:szCs w:val="22"/>
        </w:rPr>
        <w:t xml:space="preserve"> 17, 2005. Series C No. 125</w:t>
      </w:r>
      <w:proofErr w:type="gramStart"/>
      <w:r w:rsidRPr="00C715E4">
        <w:rPr>
          <w:rFonts w:ascii="Arial" w:hAnsi="Arial" w:cs="Arial"/>
          <w:sz w:val="22"/>
          <w:szCs w:val="22"/>
        </w:rPr>
        <w:t>.,</w:t>
      </w:r>
      <w:proofErr w:type="gramEnd"/>
      <w:r w:rsidRPr="00C715E4">
        <w:rPr>
          <w:rFonts w:ascii="Arial" w:hAnsi="Arial" w:cs="Arial"/>
          <w:sz w:val="22"/>
          <w:szCs w:val="22"/>
        </w:rPr>
        <w:t>para 147.</w:t>
      </w:r>
    </w:p>
  </w:footnote>
  <w:footnote w:id="30">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Pr>
          <w:rFonts w:ascii="Arial" w:hAnsi="Arial" w:cs="Arial"/>
          <w:sz w:val="22"/>
          <w:szCs w:val="22"/>
        </w:rPr>
        <w:t xml:space="preserve"> </w:t>
      </w:r>
      <w:proofErr w:type="gramStart"/>
      <w:r w:rsidRPr="00E10C7F">
        <w:rPr>
          <w:rFonts w:ascii="Arial" w:hAnsi="Arial" w:cs="Arial"/>
          <w:i/>
          <w:sz w:val="22"/>
          <w:szCs w:val="22"/>
        </w:rPr>
        <w:t>Ibid,</w:t>
      </w:r>
      <w:r>
        <w:rPr>
          <w:rFonts w:ascii="Arial" w:hAnsi="Arial" w:cs="Arial"/>
          <w:sz w:val="22"/>
          <w:szCs w:val="22"/>
        </w:rPr>
        <w:t xml:space="preserve">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161.</w:t>
      </w:r>
      <w:proofErr w:type="gramEnd"/>
    </w:p>
  </w:footnote>
  <w:footnote w:id="31">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proofErr w:type="gramStart"/>
      <w:r w:rsidRPr="002C424C">
        <w:rPr>
          <w:rFonts w:ascii="Arial" w:hAnsi="Arial" w:cs="Arial"/>
          <w:i/>
          <w:sz w:val="22"/>
          <w:szCs w:val="22"/>
        </w:rPr>
        <w:t>Ibid</w:t>
      </w:r>
      <w:r>
        <w:rPr>
          <w:rFonts w:ascii="Arial" w:hAnsi="Arial" w:cs="Arial"/>
          <w:sz w:val="22"/>
          <w:szCs w:val="22"/>
        </w:rPr>
        <w:t xml:space="preserve">,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162.</w:t>
      </w:r>
      <w:proofErr w:type="gramEnd"/>
    </w:p>
  </w:footnote>
  <w:footnote w:id="32">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proofErr w:type="gramStart"/>
      <w:r w:rsidRPr="002C424C">
        <w:rPr>
          <w:rFonts w:ascii="Arial" w:hAnsi="Arial" w:cs="Arial"/>
          <w:i/>
          <w:sz w:val="22"/>
          <w:szCs w:val="22"/>
        </w:rPr>
        <w:t>Ibid</w:t>
      </w:r>
      <w:r>
        <w:rPr>
          <w:rFonts w:ascii="Arial" w:hAnsi="Arial" w:cs="Arial"/>
          <w:sz w:val="22"/>
          <w:szCs w:val="22"/>
        </w:rPr>
        <w:t>,</w:t>
      </w:r>
      <w:r w:rsidRPr="00C715E4">
        <w:rPr>
          <w:rFonts w:ascii="Arial" w:hAnsi="Arial" w:cs="Arial"/>
          <w:sz w:val="22"/>
          <w:szCs w:val="22"/>
        </w:rPr>
        <w:t xml:space="preserve">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168.</w:t>
      </w:r>
      <w:proofErr w:type="gramEnd"/>
    </w:p>
  </w:footnote>
  <w:footnote w:id="33">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I/A Court H.R.</w:t>
      </w:r>
      <w:proofErr w:type="gramStart"/>
      <w:r w:rsidRPr="00C715E4">
        <w:rPr>
          <w:rFonts w:ascii="Arial" w:hAnsi="Arial" w:cs="Arial"/>
          <w:sz w:val="22"/>
          <w:szCs w:val="22"/>
        </w:rPr>
        <w:t>,</w:t>
      </w:r>
      <w:proofErr w:type="spellStart"/>
      <w:r w:rsidRPr="00C715E4">
        <w:rPr>
          <w:rFonts w:ascii="Arial" w:hAnsi="Arial" w:cs="Arial"/>
          <w:i/>
          <w:sz w:val="22"/>
          <w:szCs w:val="22"/>
        </w:rPr>
        <w:t>Sawhoyamaxa</w:t>
      </w:r>
      <w:proofErr w:type="spellEnd"/>
      <w:proofErr w:type="gramEnd"/>
      <w:r w:rsidRPr="00C715E4">
        <w:rPr>
          <w:rFonts w:ascii="Arial" w:hAnsi="Arial" w:cs="Arial"/>
          <w:i/>
          <w:sz w:val="22"/>
          <w:szCs w:val="22"/>
        </w:rPr>
        <w:t xml:space="preserve"> Indigenous Community v. Paraguay</w:t>
      </w:r>
      <w:r>
        <w:rPr>
          <w:rFonts w:ascii="Arial" w:hAnsi="Arial" w:cs="Arial"/>
          <w:sz w:val="22"/>
          <w:szCs w:val="22"/>
        </w:rPr>
        <w:t xml:space="preserve">, </w:t>
      </w:r>
      <w:r w:rsidRPr="00371BB0">
        <w:rPr>
          <w:rFonts w:ascii="Arial" w:hAnsi="Arial" w:cs="Arial"/>
          <w:i/>
          <w:sz w:val="22"/>
          <w:szCs w:val="22"/>
        </w:rPr>
        <w:t>supra</w:t>
      </w:r>
      <w:r>
        <w:rPr>
          <w:rFonts w:ascii="Arial" w:hAnsi="Arial" w:cs="Arial"/>
          <w:sz w:val="22"/>
          <w:szCs w:val="22"/>
        </w:rPr>
        <w:t xml:space="preserve"> note 614</w:t>
      </w:r>
    </w:p>
  </w:footnote>
  <w:footnote w:id="34">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proofErr w:type="gramStart"/>
      <w:r w:rsidRPr="00E10C7F">
        <w:rPr>
          <w:rFonts w:ascii="Arial" w:hAnsi="Arial" w:cs="Arial"/>
          <w:i/>
          <w:sz w:val="22"/>
          <w:szCs w:val="22"/>
        </w:rPr>
        <w:t>Ibid</w:t>
      </w:r>
      <w:r>
        <w:rPr>
          <w:rFonts w:ascii="Arial" w:hAnsi="Arial" w:cs="Arial"/>
          <w:sz w:val="22"/>
          <w:szCs w:val="22"/>
        </w:rPr>
        <w:t xml:space="preserve">,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153.</w:t>
      </w:r>
      <w:proofErr w:type="gramEnd"/>
    </w:p>
  </w:footnote>
  <w:footnote w:id="35">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I/A Court H.R.,</w:t>
      </w:r>
      <w:r w:rsidRPr="00C715E4">
        <w:rPr>
          <w:rFonts w:ascii="Arial" w:hAnsi="Arial" w:cs="Arial"/>
          <w:i/>
          <w:sz w:val="22"/>
          <w:szCs w:val="22"/>
        </w:rPr>
        <w:t xml:space="preserve"> </w:t>
      </w:r>
      <w:proofErr w:type="spellStart"/>
      <w:r w:rsidRPr="00C715E4">
        <w:rPr>
          <w:rFonts w:ascii="Arial" w:hAnsi="Arial" w:cs="Arial"/>
          <w:i/>
          <w:sz w:val="22"/>
          <w:szCs w:val="22"/>
        </w:rPr>
        <w:t>Xákmok</w:t>
      </w:r>
      <w:proofErr w:type="spellEnd"/>
      <w:r w:rsidRPr="00C715E4">
        <w:rPr>
          <w:rFonts w:ascii="Arial" w:hAnsi="Arial" w:cs="Arial"/>
          <w:i/>
          <w:sz w:val="22"/>
          <w:szCs w:val="22"/>
        </w:rPr>
        <w:t xml:space="preserve"> </w:t>
      </w:r>
      <w:proofErr w:type="spellStart"/>
      <w:r w:rsidRPr="00C715E4">
        <w:rPr>
          <w:rFonts w:ascii="Arial" w:hAnsi="Arial" w:cs="Arial"/>
          <w:i/>
          <w:sz w:val="22"/>
          <w:szCs w:val="22"/>
        </w:rPr>
        <w:t>Kásek</w:t>
      </w:r>
      <w:proofErr w:type="spellEnd"/>
      <w:r w:rsidRPr="00C715E4">
        <w:rPr>
          <w:rFonts w:ascii="Arial" w:hAnsi="Arial" w:cs="Arial"/>
          <w:i/>
          <w:sz w:val="22"/>
          <w:szCs w:val="22"/>
        </w:rPr>
        <w:t xml:space="preserve"> Indigenous Community v </w:t>
      </w:r>
      <w:proofErr w:type="gramStart"/>
      <w:r w:rsidRPr="00C715E4">
        <w:rPr>
          <w:rFonts w:ascii="Arial" w:hAnsi="Arial" w:cs="Arial"/>
          <w:i/>
          <w:sz w:val="22"/>
          <w:szCs w:val="22"/>
        </w:rPr>
        <w:t>Paraguay</w:t>
      </w:r>
      <w:r w:rsidRPr="00C715E4">
        <w:rPr>
          <w:rFonts w:ascii="Arial" w:hAnsi="Arial" w:cs="Arial"/>
          <w:sz w:val="22"/>
          <w:szCs w:val="22"/>
        </w:rPr>
        <w:t xml:space="preserve">  Merits</w:t>
      </w:r>
      <w:proofErr w:type="gramEnd"/>
      <w:r w:rsidRPr="00C715E4">
        <w:rPr>
          <w:rFonts w:ascii="Arial" w:hAnsi="Arial" w:cs="Arial"/>
          <w:sz w:val="22"/>
          <w:szCs w:val="22"/>
        </w:rPr>
        <w:t xml:space="preserve">, Reparations and Costs. Judgment Merits and reparations. Judgment of August 24, 2010. Series C No. 214, </w:t>
      </w:r>
      <w:proofErr w:type="spellStart"/>
      <w:r w:rsidRPr="00C715E4">
        <w:rPr>
          <w:rFonts w:ascii="Arial" w:hAnsi="Arial" w:cs="Arial"/>
          <w:sz w:val="22"/>
          <w:szCs w:val="22"/>
        </w:rPr>
        <w:t>paras</w:t>
      </w:r>
      <w:proofErr w:type="spellEnd"/>
      <w:r w:rsidRPr="00C715E4">
        <w:rPr>
          <w:rFonts w:ascii="Arial" w:hAnsi="Arial" w:cs="Arial"/>
          <w:sz w:val="22"/>
          <w:szCs w:val="22"/>
        </w:rPr>
        <w:t xml:space="preserve"> 202-217.</w:t>
      </w:r>
    </w:p>
  </w:footnote>
  <w:footnote w:id="36">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The </w:t>
      </w:r>
      <w:proofErr w:type="spellStart"/>
      <w:r w:rsidRPr="00C715E4">
        <w:rPr>
          <w:rFonts w:ascii="Arial" w:hAnsi="Arial" w:cs="Arial"/>
          <w:i/>
          <w:sz w:val="22"/>
          <w:szCs w:val="22"/>
        </w:rPr>
        <w:t>Endorois</w:t>
      </w:r>
      <w:proofErr w:type="spellEnd"/>
      <w:r w:rsidRPr="00C715E4">
        <w:rPr>
          <w:rFonts w:ascii="Arial" w:hAnsi="Arial" w:cs="Arial"/>
          <w:sz w:val="22"/>
          <w:szCs w:val="22"/>
        </w:rPr>
        <w:t xml:space="preserve"> decision</w:t>
      </w:r>
      <w:r>
        <w:rPr>
          <w:rFonts w:ascii="Arial" w:hAnsi="Arial" w:cs="Arial"/>
          <w:sz w:val="22"/>
          <w:szCs w:val="22"/>
        </w:rPr>
        <w:t xml:space="preserve">, </w:t>
      </w:r>
      <w:r w:rsidRPr="00E10C7F">
        <w:rPr>
          <w:rFonts w:ascii="Arial" w:hAnsi="Arial" w:cs="Arial"/>
          <w:i/>
          <w:sz w:val="22"/>
          <w:szCs w:val="22"/>
        </w:rPr>
        <w:t>supra</w:t>
      </w:r>
      <w:r>
        <w:rPr>
          <w:rFonts w:ascii="Arial" w:hAnsi="Arial" w:cs="Arial"/>
          <w:sz w:val="22"/>
          <w:szCs w:val="22"/>
        </w:rPr>
        <w:t xml:space="preserve"> note 567,</w:t>
      </w:r>
      <w:r w:rsidRPr="00C715E4">
        <w:rPr>
          <w:rFonts w:ascii="Arial" w:hAnsi="Arial" w:cs="Arial"/>
          <w:sz w:val="22"/>
          <w:szCs w:val="22"/>
        </w:rPr>
        <w:t xml:space="preserve"> at </w:t>
      </w:r>
      <w:proofErr w:type="spellStart"/>
      <w:r w:rsidRPr="00C715E4">
        <w:rPr>
          <w:rFonts w:ascii="Arial" w:hAnsi="Arial" w:cs="Arial"/>
          <w:sz w:val="22"/>
          <w:szCs w:val="22"/>
        </w:rPr>
        <w:t>para</w:t>
      </w:r>
      <w:proofErr w:type="spellEnd"/>
      <w:r w:rsidRPr="00C715E4">
        <w:rPr>
          <w:rFonts w:ascii="Arial" w:hAnsi="Arial" w:cs="Arial"/>
          <w:sz w:val="22"/>
          <w:szCs w:val="22"/>
        </w:rPr>
        <w:t xml:space="preserve"> 216</w:t>
      </w:r>
    </w:p>
  </w:footnote>
  <w:footnote w:id="37">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United Nations </w:t>
      </w:r>
      <w:r w:rsidRPr="00C715E4">
        <w:rPr>
          <w:rFonts w:ascii="Arial" w:hAnsi="Arial" w:cs="Arial"/>
          <w:sz w:val="22"/>
          <w:szCs w:val="22"/>
          <w:lang w:val="en-US"/>
        </w:rPr>
        <w:t xml:space="preserve">Committee on Economic, Social and Cultural Rights, General Comment No. 7, </w:t>
      </w:r>
      <w:r w:rsidRPr="00C715E4">
        <w:rPr>
          <w:rFonts w:ascii="Arial" w:hAnsi="Arial" w:cs="Arial"/>
          <w:sz w:val="22"/>
          <w:szCs w:val="22"/>
        </w:rPr>
        <w:t xml:space="preserve">Article 11.1, </w:t>
      </w:r>
      <w:r w:rsidRPr="00C715E4">
        <w:rPr>
          <w:rFonts w:ascii="Arial" w:hAnsi="Arial" w:cs="Arial"/>
          <w:i/>
          <w:sz w:val="22"/>
          <w:szCs w:val="22"/>
          <w:lang w:val="en-US"/>
        </w:rPr>
        <w:t>The Right to Adequate Housing</w:t>
      </w:r>
      <w:r w:rsidRPr="00C715E4">
        <w:rPr>
          <w:rFonts w:ascii="Arial" w:hAnsi="Arial" w:cs="Arial"/>
          <w:i/>
          <w:sz w:val="22"/>
          <w:szCs w:val="22"/>
        </w:rPr>
        <w:t>: Forced Eviction</w:t>
      </w:r>
      <w:r w:rsidRPr="00C715E4">
        <w:rPr>
          <w:rFonts w:ascii="Arial" w:hAnsi="Arial" w:cs="Arial"/>
          <w:sz w:val="22"/>
          <w:szCs w:val="22"/>
        </w:rPr>
        <w:t xml:space="preserve">, 20 May 1997 (CESCR General Comment No. 7), </w:t>
      </w:r>
      <w:proofErr w:type="spellStart"/>
      <w:r w:rsidRPr="00C715E4">
        <w:rPr>
          <w:rFonts w:ascii="Arial" w:hAnsi="Arial" w:cs="Arial"/>
          <w:sz w:val="22"/>
          <w:szCs w:val="22"/>
        </w:rPr>
        <w:t>para</w:t>
      </w:r>
      <w:proofErr w:type="spellEnd"/>
      <w:r w:rsidRPr="00C715E4">
        <w:rPr>
          <w:rFonts w:ascii="Arial" w:hAnsi="Arial" w:cs="Arial"/>
          <w:sz w:val="22"/>
          <w:szCs w:val="22"/>
        </w:rPr>
        <w:t xml:space="preserve"> 4.  </w:t>
      </w:r>
    </w:p>
  </w:footnote>
  <w:footnote w:id="38">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r>
        <w:rPr>
          <w:rFonts w:ascii="Arial" w:hAnsi="Arial" w:cs="Arial"/>
          <w:sz w:val="22"/>
          <w:szCs w:val="22"/>
        </w:rPr>
        <w:t xml:space="preserve">The </w:t>
      </w:r>
      <w:proofErr w:type="spellStart"/>
      <w:r w:rsidRPr="00AB17A5">
        <w:rPr>
          <w:rFonts w:ascii="Arial" w:hAnsi="Arial" w:cs="Arial"/>
          <w:i/>
          <w:sz w:val="22"/>
          <w:szCs w:val="22"/>
        </w:rPr>
        <w:t>Ogoni</w:t>
      </w:r>
      <w:proofErr w:type="spellEnd"/>
      <w:r w:rsidRPr="00AB17A5">
        <w:rPr>
          <w:rFonts w:ascii="Arial" w:hAnsi="Arial" w:cs="Arial"/>
          <w:i/>
          <w:sz w:val="22"/>
          <w:szCs w:val="22"/>
        </w:rPr>
        <w:t xml:space="preserve"> case</w:t>
      </w:r>
      <w:r w:rsidRPr="00AB17A5">
        <w:rPr>
          <w:rFonts w:ascii="Arial" w:hAnsi="Arial" w:cs="Arial"/>
          <w:sz w:val="22"/>
          <w:szCs w:val="22"/>
        </w:rPr>
        <w:t>,</w:t>
      </w:r>
      <w:r>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561,</w:t>
      </w:r>
      <w:r w:rsidRPr="00C715E4">
        <w:rPr>
          <w:rFonts w:ascii="Arial" w:hAnsi="Arial" w:cs="Arial"/>
          <w:sz w:val="22"/>
          <w:szCs w:val="22"/>
        </w:rPr>
        <w:t xml:space="preserve"> </w:t>
      </w:r>
      <w:proofErr w:type="spellStart"/>
      <w:r w:rsidRPr="00C715E4">
        <w:rPr>
          <w:rFonts w:ascii="Arial" w:hAnsi="Arial" w:cs="Arial"/>
          <w:sz w:val="22"/>
          <w:szCs w:val="22"/>
        </w:rPr>
        <w:t>para</w:t>
      </w:r>
      <w:proofErr w:type="spellEnd"/>
      <w:r w:rsidRPr="00C715E4">
        <w:rPr>
          <w:rFonts w:ascii="Arial" w:hAnsi="Arial" w:cs="Arial"/>
          <w:sz w:val="22"/>
          <w:szCs w:val="22"/>
        </w:rPr>
        <w:t xml:space="preserve"> 67.</w:t>
      </w:r>
    </w:p>
  </w:footnote>
  <w:footnote w:id="39">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w:t>
      </w:r>
      <w:r>
        <w:rPr>
          <w:rFonts w:ascii="Arial" w:hAnsi="Arial" w:cs="Arial"/>
          <w:sz w:val="22"/>
          <w:szCs w:val="22"/>
        </w:rPr>
        <w:t xml:space="preserve">ee Affidavit of Thomas </w:t>
      </w:r>
      <w:proofErr w:type="spellStart"/>
      <w:r>
        <w:rPr>
          <w:rFonts w:ascii="Arial" w:hAnsi="Arial" w:cs="Arial"/>
          <w:sz w:val="22"/>
          <w:szCs w:val="22"/>
        </w:rPr>
        <w:t>Museiyie</w:t>
      </w:r>
      <w:proofErr w:type="spellEnd"/>
      <w:r>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80, </w:t>
      </w:r>
      <w:proofErr w:type="spellStart"/>
      <w:r>
        <w:rPr>
          <w:rFonts w:ascii="Arial" w:hAnsi="Arial" w:cs="Arial"/>
          <w:sz w:val="22"/>
          <w:szCs w:val="22"/>
        </w:rPr>
        <w:t>paras</w:t>
      </w:r>
      <w:proofErr w:type="spellEnd"/>
      <w:r>
        <w:rPr>
          <w:rFonts w:ascii="Arial" w:hAnsi="Arial" w:cs="Arial"/>
          <w:sz w:val="22"/>
          <w:szCs w:val="22"/>
        </w:rPr>
        <w:t xml:space="preserve"> 4-</w:t>
      </w:r>
      <w:r w:rsidRPr="00497BBF">
        <w:rPr>
          <w:rFonts w:ascii="Arial" w:hAnsi="Arial" w:cs="Arial"/>
          <w:sz w:val="22"/>
          <w:szCs w:val="22"/>
        </w:rPr>
        <w:t xml:space="preserve">5; see also </w:t>
      </w:r>
      <w:r w:rsidRPr="00B578CD">
        <w:rPr>
          <w:rFonts w:ascii="Arial" w:hAnsi="Arial" w:cs="Arial"/>
          <w:color w:val="000000"/>
          <w:sz w:val="22"/>
          <w:szCs w:val="22"/>
          <w:lang w:val="en-US"/>
        </w:rPr>
        <w:t xml:space="preserve">Film Evidence taken from </w:t>
      </w:r>
      <w:proofErr w:type="spellStart"/>
      <w:r w:rsidRPr="00B578CD">
        <w:rPr>
          <w:rFonts w:ascii="Arial" w:hAnsi="Arial" w:cs="Arial"/>
          <w:color w:val="000000"/>
          <w:sz w:val="22"/>
          <w:szCs w:val="22"/>
          <w:lang w:val="en-US"/>
        </w:rPr>
        <w:t>O</w:t>
      </w:r>
      <w:r>
        <w:rPr>
          <w:rFonts w:ascii="Arial" w:hAnsi="Arial" w:cs="Arial"/>
          <w:color w:val="000000"/>
          <w:sz w:val="22"/>
          <w:szCs w:val="22"/>
          <w:lang w:val="en-US"/>
        </w:rPr>
        <w:t>giek</w:t>
      </w:r>
      <w:proofErr w:type="spellEnd"/>
      <w:r>
        <w:rPr>
          <w:rFonts w:ascii="Arial" w:hAnsi="Arial" w:cs="Arial"/>
          <w:color w:val="000000"/>
          <w:sz w:val="22"/>
          <w:szCs w:val="22"/>
          <w:lang w:val="en-US"/>
        </w:rPr>
        <w:t xml:space="preserve"> communities and transcript, </w:t>
      </w:r>
      <w:r w:rsidRPr="00AB17A5">
        <w:rPr>
          <w:rFonts w:ascii="Arial" w:hAnsi="Arial" w:cs="Arial"/>
          <w:i/>
          <w:color w:val="000000"/>
          <w:sz w:val="22"/>
          <w:szCs w:val="22"/>
          <w:lang w:val="en-US"/>
        </w:rPr>
        <w:t xml:space="preserve">supra </w:t>
      </w:r>
      <w:r>
        <w:rPr>
          <w:rFonts w:ascii="Arial" w:hAnsi="Arial" w:cs="Arial"/>
          <w:color w:val="000000"/>
          <w:sz w:val="22"/>
          <w:szCs w:val="22"/>
          <w:lang w:val="en-US"/>
        </w:rPr>
        <w:t>note 22</w:t>
      </w:r>
    </w:p>
  </w:footnote>
  <w:footnote w:id="40">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Affida</w:t>
      </w:r>
      <w:r>
        <w:rPr>
          <w:rFonts w:ascii="Arial" w:hAnsi="Arial" w:cs="Arial"/>
          <w:sz w:val="22"/>
          <w:szCs w:val="22"/>
        </w:rPr>
        <w:t xml:space="preserve">vit of Joseph </w:t>
      </w:r>
      <w:proofErr w:type="spellStart"/>
      <w:r>
        <w:rPr>
          <w:rFonts w:ascii="Arial" w:hAnsi="Arial" w:cs="Arial"/>
          <w:sz w:val="22"/>
          <w:szCs w:val="22"/>
        </w:rPr>
        <w:t>Cheruiyot</w:t>
      </w:r>
      <w:proofErr w:type="spellEnd"/>
      <w:r>
        <w:rPr>
          <w:rFonts w:ascii="Arial" w:hAnsi="Arial" w:cs="Arial"/>
          <w:sz w:val="22"/>
          <w:szCs w:val="22"/>
        </w:rPr>
        <w:t xml:space="preserve"> </w:t>
      </w:r>
      <w:proofErr w:type="spellStart"/>
      <w:proofErr w:type="gramStart"/>
      <w:r>
        <w:rPr>
          <w:rFonts w:ascii="Arial" w:hAnsi="Arial" w:cs="Arial"/>
          <w:sz w:val="22"/>
          <w:szCs w:val="22"/>
        </w:rPr>
        <w:t>Sigowo</w:t>
      </w:r>
      <w:proofErr w:type="spellEnd"/>
      <w:r>
        <w:rPr>
          <w:rFonts w:ascii="Arial" w:hAnsi="Arial" w:cs="Arial"/>
          <w:sz w:val="22"/>
          <w:szCs w:val="22"/>
        </w:rPr>
        <w:t>,</w:t>
      </w:r>
      <w:proofErr w:type="gramEnd"/>
      <w:r>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10, </w:t>
      </w:r>
      <w:proofErr w:type="spellStart"/>
      <w:r w:rsidRPr="00C715E4">
        <w:rPr>
          <w:rFonts w:ascii="Arial" w:hAnsi="Arial" w:cs="Arial"/>
          <w:sz w:val="22"/>
          <w:szCs w:val="22"/>
        </w:rPr>
        <w:t>para</w:t>
      </w:r>
      <w:proofErr w:type="spellEnd"/>
      <w:r w:rsidRPr="00C715E4">
        <w:rPr>
          <w:rFonts w:ascii="Arial" w:hAnsi="Arial" w:cs="Arial"/>
          <w:sz w:val="22"/>
          <w:szCs w:val="22"/>
        </w:rPr>
        <w:t xml:space="preserve"> 6 and the Affidavi</w:t>
      </w:r>
      <w:r>
        <w:rPr>
          <w:rFonts w:ascii="Arial" w:hAnsi="Arial" w:cs="Arial"/>
          <w:sz w:val="22"/>
          <w:szCs w:val="22"/>
        </w:rPr>
        <w:t xml:space="preserve">t of </w:t>
      </w:r>
      <w:proofErr w:type="spellStart"/>
      <w:r>
        <w:rPr>
          <w:rFonts w:ascii="Arial" w:hAnsi="Arial" w:cs="Arial"/>
          <w:sz w:val="22"/>
          <w:szCs w:val="22"/>
        </w:rPr>
        <w:t>Kiplangat</w:t>
      </w:r>
      <w:proofErr w:type="spellEnd"/>
      <w:r>
        <w:rPr>
          <w:rFonts w:ascii="Arial" w:hAnsi="Arial" w:cs="Arial"/>
          <w:sz w:val="22"/>
          <w:szCs w:val="22"/>
        </w:rPr>
        <w:t xml:space="preserve"> A. </w:t>
      </w:r>
      <w:proofErr w:type="spellStart"/>
      <w:r>
        <w:rPr>
          <w:rFonts w:ascii="Arial" w:hAnsi="Arial" w:cs="Arial"/>
          <w:sz w:val="22"/>
          <w:szCs w:val="22"/>
        </w:rPr>
        <w:t>Samoe</w:t>
      </w:r>
      <w:proofErr w:type="spellEnd"/>
      <w:r>
        <w:rPr>
          <w:rFonts w:ascii="Arial" w:hAnsi="Arial" w:cs="Arial"/>
          <w:sz w:val="22"/>
          <w:szCs w:val="22"/>
        </w:rPr>
        <w:t xml:space="preserve"> </w:t>
      </w:r>
      <w:proofErr w:type="spellStart"/>
      <w:r>
        <w:rPr>
          <w:rFonts w:ascii="Arial" w:hAnsi="Arial" w:cs="Arial"/>
          <w:sz w:val="22"/>
          <w:szCs w:val="22"/>
        </w:rPr>
        <w:t>Chebose</w:t>
      </w:r>
      <w:proofErr w:type="spellEnd"/>
      <w:r>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18, </w:t>
      </w:r>
      <w:proofErr w:type="spellStart"/>
      <w:r w:rsidRPr="00C715E4">
        <w:rPr>
          <w:rFonts w:ascii="Arial" w:hAnsi="Arial" w:cs="Arial"/>
          <w:sz w:val="22"/>
          <w:szCs w:val="22"/>
        </w:rPr>
        <w:t>paras</w:t>
      </w:r>
      <w:proofErr w:type="spellEnd"/>
      <w:r w:rsidRPr="00C715E4">
        <w:rPr>
          <w:rFonts w:ascii="Arial" w:hAnsi="Arial" w:cs="Arial"/>
          <w:sz w:val="22"/>
          <w:szCs w:val="22"/>
        </w:rPr>
        <w:t xml:space="preserve"> 5-6.</w:t>
      </w:r>
      <w:r>
        <w:rPr>
          <w:rFonts w:ascii="Arial" w:hAnsi="Arial" w:cs="Arial"/>
          <w:sz w:val="22"/>
          <w:szCs w:val="22"/>
        </w:rPr>
        <w:t xml:space="preserve">  See also </w:t>
      </w:r>
      <w:proofErr w:type="spellStart"/>
      <w:r>
        <w:rPr>
          <w:rFonts w:ascii="Arial" w:hAnsi="Arial" w:cs="Arial"/>
          <w:sz w:val="22"/>
          <w:szCs w:val="22"/>
        </w:rPr>
        <w:t>paras</w:t>
      </w:r>
      <w:proofErr w:type="spellEnd"/>
      <w:r>
        <w:rPr>
          <w:rFonts w:ascii="Arial" w:hAnsi="Arial" w:cs="Arial"/>
          <w:sz w:val="22"/>
          <w:szCs w:val="22"/>
        </w:rPr>
        <w:t xml:space="preserve">. 1-94 above. </w:t>
      </w:r>
    </w:p>
  </w:footnote>
  <w:footnote w:id="41">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Affidavit of Samson </w:t>
      </w:r>
      <w:proofErr w:type="spellStart"/>
      <w:r w:rsidRPr="00C715E4">
        <w:rPr>
          <w:rFonts w:ascii="Arial" w:hAnsi="Arial" w:cs="Arial"/>
          <w:sz w:val="22"/>
          <w:szCs w:val="22"/>
        </w:rPr>
        <w:t>Kiptemboi</w:t>
      </w:r>
      <w:proofErr w:type="spellEnd"/>
      <w:r w:rsidRPr="00C715E4">
        <w:rPr>
          <w:rFonts w:ascii="Arial" w:hAnsi="Arial" w:cs="Arial"/>
          <w:sz w:val="22"/>
          <w:szCs w:val="22"/>
        </w:rPr>
        <w:t xml:space="preserve"> </w:t>
      </w:r>
      <w:proofErr w:type="spellStart"/>
      <w:proofErr w:type="gramStart"/>
      <w:r w:rsidRPr="00C715E4">
        <w:rPr>
          <w:rFonts w:ascii="Arial" w:hAnsi="Arial" w:cs="Arial"/>
          <w:sz w:val="22"/>
          <w:szCs w:val="22"/>
        </w:rPr>
        <w:t>Mutai</w:t>
      </w:r>
      <w:proofErr w:type="spellEnd"/>
      <w:r>
        <w:rPr>
          <w:rFonts w:ascii="Arial" w:hAnsi="Arial" w:cs="Arial"/>
          <w:sz w:val="22"/>
          <w:szCs w:val="22"/>
        </w:rPr>
        <w:t>,</w:t>
      </w:r>
      <w:proofErr w:type="gramEnd"/>
      <w:r>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128</w:t>
      </w:r>
      <w:r w:rsidRPr="00C715E4">
        <w:rPr>
          <w:rFonts w:ascii="Arial" w:hAnsi="Arial" w:cs="Arial"/>
          <w:sz w:val="22"/>
          <w:szCs w:val="22"/>
        </w:rPr>
        <w:t xml:space="preserve">, </w:t>
      </w:r>
      <w:proofErr w:type="spellStart"/>
      <w:r w:rsidRPr="00C715E4">
        <w:rPr>
          <w:rFonts w:ascii="Arial" w:hAnsi="Arial" w:cs="Arial"/>
          <w:sz w:val="22"/>
          <w:szCs w:val="22"/>
        </w:rPr>
        <w:t>para</w:t>
      </w:r>
      <w:proofErr w:type="spellEnd"/>
      <w:r w:rsidRPr="00C715E4">
        <w:rPr>
          <w:rFonts w:ascii="Arial" w:hAnsi="Arial" w:cs="Arial"/>
          <w:sz w:val="22"/>
          <w:szCs w:val="22"/>
        </w:rPr>
        <w:t xml:space="preserve"> 6 and the Affidavit of Jimmy </w:t>
      </w:r>
      <w:proofErr w:type="spellStart"/>
      <w:r w:rsidRPr="00C715E4">
        <w:rPr>
          <w:rFonts w:ascii="Arial" w:hAnsi="Arial" w:cs="Arial"/>
          <w:sz w:val="22"/>
          <w:szCs w:val="22"/>
        </w:rPr>
        <w:t>Patiat</w:t>
      </w:r>
      <w:proofErr w:type="spellEnd"/>
      <w:r w:rsidRPr="00C715E4">
        <w:rPr>
          <w:rFonts w:ascii="Arial" w:hAnsi="Arial" w:cs="Arial"/>
          <w:sz w:val="22"/>
          <w:szCs w:val="22"/>
        </w:rPr>
        <w:t xml:space="preserve"> </w:t>
      </w:r>
      <w:proofErr w:type="spellStart"/>
      <w:r w:rsidRPr="00C715E4">
        <w:rPr>
          <w:rFonts w:ascii="Arial" w:hAnsi="Arial" w:cs="Arial"/>
          <w:sz w:val="22"/>
          <w:szCs w:val="22"/>
        </w:rPr>
        <w:t>Seina</w:t>
      </w:r>
      <w:proofErr w:type="spellEnd"/>
      <w:r>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10, </w:t>
      </w:r>
      <w:proofErr w:type="spellStart"/>
      <w:r w:rsidRPr="00C715E4">
        <w:rPr>
          <w:rFonts w:ascii="Arial" w:hAnsi="Arial" w:cs="Arial"/>
          <w:sz w:val="22"/>
          <w:szCs w:val="22"/>
        </w:rPr>
        <w:t>para</w:t>
      </w:r>
      <w:proofErr w:type="spellEnd"/>
      <w:r w:rsidRPr="00C715E4">
        <w:rPr>
          <w:rFonts w:ascii="Arial" w:hAnsi="Arial" w:cs="Arial"/>
          <w:sz w:val="22"/>
          <w:szCs w:val="22"/>
        </w:rPr>
        <w:t xml:space="preserve"> 8.</w:t>
      </w:r>
    </w:p>
  </w:footnote>
  <w:footnote w:id="42">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Affidavit o</w:t>
      </w:r>
      <w:r>
        <w:rPr>
          <w:rFonts w:ascii="Arial" w:hAnsi="Arial" w:cs="Arial"/>
          <w:sz w:val="22"/>
          <w:szCs w:val="22"/>
        </w:rPr>
        <w:t xml:space="preserve">f Elijah </w:t>
      </w:r>
      <w:proofErr w:type="spellStart"/>
      <w:r>
        <w:rPr>
          <w:rFonts w:ascii="Arial" w:hAnsi="Arial" w:cs="Arial"/>
          <w:sz w:val="22"/>
          <w:szCs w:val="22"/>
        </w:rPr>
        <w:t>Kiptanui</w:t>
      </w:r>
      <w:proofErr w:type="spellEnd"/>
      <w:r>
        <w:rPr>
          <w:rFonts w:ascii="Arial" w:hAnsi="Arial" w:cs="Arial"/>
          <w:sz w:val="22"/>
          <w:szCs w:val="22"/>
        </w:rPr>
        <w:t xml:space="preserve"> </w:t>
      </w:r>
      <w:proofErr w:type="spellStart"/>
      <w:r>
        <w:rPr>
          <w:rFonts w:ascii="Arial" w:hAnsi="Arial" w:cs="Arial"/>
          <w:sz w:val="22"/>
          <w:szCs w:val="22"/>
        </w:rPr>
        <w:t>Tuei</w:t>
      </w:r>
      <w:proofErr w:type="spellEnd"/>
      <w:r>
        <w:rPr>
          <w:rFonts w:ascii="Arial" w:hAnsi="Arial" w:cs="Arial"/>
          <w:sz w:val="22"/>
          <w:szCs w:val="22"/>
        </w:rPr>
        <w:t xml:space="preserve">, </w:t>
      </w:r>
      <w:r w:rsidRPr="00A83550">
        <w:rPr>
          <w:rFonts w:ascii="Arial" w:hAnsi="Arial" w:cs="Arial"/>
          <w:i/>
          <w:sz w:val="22"/>
          <w:szCs w:val="22"/>
        </w:rPr>
        <w:t>supra</w:t>
      </w:r>
      <w:r>
        <w:rPr>
          <w:rFonts w:ascii="Arial" w:hAnsi="Arial" w:cs="Arial"/>
          <w:sz w:val="22"/>
          <w:szCs w:val="22"/>
        </w:rPr>
        <w:t xml:space="preserve"> note 16, </w:t>
      </w:r>
      <w:proofErr w:type="spellStart"/>
      <w:r w:rsidRPr="00C715E4">
        <w:rPr>
          <w:rFonts w:ascii="Arial" w:hAnsi="Arial" w:cs="Arial"/>
          <w:sz w:val="22"/>
          <w:szCs w:val="22"/>
        </w:rPr>
        <w:t>paras</w:t>
      </w:r>
      <w:proofErr w:type="spellEnd"/>
      <w:r w:rsidRPr="00C715E4">
        <w:rPr>
          <w:rFonts w:ascii="Arial" w:hAnsi="Arial" w:cs="Arial"/>
          <w:sz w:val="22"/>
          <w:szCs w:val="22"/>
        </w:rPr>
        <w:t xml:space="preserve"> 6 and 10 and the Affidavit of Thomas </w:t>
      </w:r>
      <w:proofErr w:type="spellStart"/>
      <w:r w:rsidRPr="00C715E4">
        <w:rPr>
          <w:rFonts w:ascii="Arial" w:hAnsi="Arial" w:cs="Arial"/>
          <w:sz w:val="22"/>
          <w:szCs w:val="22"/>
        </w:rPr>
        <w:t>Museiyie</w:t>
      </w:r>
      <w:proofErr w:type="spellEnd"/>
      <w:r>
        <w:rPr>
          <w:rFonts w:ascii="Arial" w:hAnsi="Arial" w:cs="Arial"/>
          <w:sz w:val="22"/>
          <w:szCs w:val="22"/>
        </w:rPr>
        <w:t>,</w:t>
      </w:r>
      <w:r w:rsidRPr="00AB17A5">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80, </w:t>
      </w:r>
      <w:proofErr w:type="spellStart"/>
      <w:r w:rsidRPr="00C715E4">
        <w:rPr>
          <w:rFonts w:ascii="Arial" w:hAnsi="Arial" w:cs="Arial"/>
          <w:sz w:val="22"/>
          <w:szCs w:val="22"/>
        </w:rPr>
        <w:t>para</w:t>
      </w:r>
      <w:proofErr w:type="spellEnd"/>
      <w:r w:rsidRPr="00C715E4">
        <w:rPr>
          <w:rFonts w:ascii="Arial" w:hAnsi="Arial" w:cs="Arial"/>
          <w:sz w:val="22"/>
          <w:szCs w:val="22"/>
        </w:rPr>
        <w:t xml:space="preserve"> 4.</w:t>
      </w:r>
    </w:p>
  </w:footnote>
  <w:footnote w:id="43">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Affidavit of Elijah </w:t>
      </w:r>
      <w:proofErr w:type="spellStart"/>
      <w:r w:rsidRPr="00C715E4">
        <w:rPr>
          <w:rFonts w:ascii="Arial" w:hAnsi="Arial" w:cs="Arial"/>
          <w:sz w:val="22"/>
          <w:szCs w:val="22"/>
        </w:rPr>
        <w:t>Kiptanui</w:t>
      </w:r>
      <w:proofErr w:type="spellEnd"/>
      <w:r w:rsidRPr="00C715E4">
        <w:rPr>
          <w:rFonts w:ascii="Arial" w:hAnsi="Arial" w:cs="Arial"/>
          <w:sz w:val="22"/>
          <w:szCs w:val="22"/>
        </w:rPr>
        <w:t xml:space="preserve"> </w:t>
      </w:r>
      <w:proofErr w:type="spellStart"/>
      <w:r w:rsidRPr="00C715E4">
        <w:rPr>
          <w:rFonts w:ascii="Arial" w:hAnsi="Arial" w:cs="Arial"/>
          <w:sz w:val="22"/>
          <w:szCs w:val="22"/>
        </w:rPr>
        <w:t>Tuei</w:t>
      </w:r>
      <w:proofErr w:type="spellEnd"/>
      <w:r w:rsidRPr="00C715E4">
        <w:rPr>
          <w:rFonts w:ascii="Arial" w:hAnsi="Arial" w:cs="Arial"/>
          <w:sz w:val="22"/>
          <w:szCs w:val="22"/>
        </w:rPr>
        <w:t xml:space="preserve"> </w:t>
      </w:r>
      <w:r w:rsidRPr="00A83550">
        <w:rPr>
          <w:rFonts w:ascii="Arial" w:hAnsi="Arial" w:cs="Arial"/>
          <w:i/>
          <w:sz w:val="22"/>
          <w:szCs w:val="22"/>
        </w:rPr>
        <w:t>supra</w:t>
      </w:r>
      <w:r>
        <w:rPr>
          <w:rFonts w:ascii="Arial" w:hAnsi="Arial" w:cs="Arial"/>
          <w:sz w:val="22"/>
          <w:szCs w:val="22"/>
        </w:rPr>
        <w:t xml:space="preserve"> note 16, </w:t>
      </w:r>
      <w:proofErr w:type="spellStart"/>
      <w:r w:rsidRPr="00C715E4">
        <w:rPr>
          <w:rFonts w:ascii="Arial" w:hAnsi="Arial" w:cs="Arial"/>
          <w:sz w:val="22"/>
          <w:szCs w:val="22"/>
        </w:rPr>
        <w:t>paras</w:t>
      </w:r>
      <w:proofErr w:type="spellEnd"/>
      <w:r w:rsidRPr="00C715E4">
        <w:rPr>
          <w:rFonts w:ascii="Arial" w:hAnsi="Arial" w:cs="Arial"/>
          <w:sz w:val="22"/>
          <w:szCs w:val="22"/>
        </w:rPr>
        <w:t xml:space="preserve"> 6 and 10.</w:t>
      </w:r>
    </w:p>
  </w:footnote>
  <w:footnote w:id="44">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Affidavit of Joseph </w:t>
      </w:r>
      <w:proofErr w:type="spellStart"/>
      <w:r w:rsidRPr="00C715E4">
        <w:rPr>
          <w:rFonts w:ascii="Arial" w:hAnsi="Arial" w:cs="Arial"/>
          <w:sz w:val="22"/>
          <w:szCs w:val="22"/>
        </w:rPr>
        <w:t>Cheriuyot</w:t>
      </w:r>
      <w:proofErr w:type="spellEnd"/>
      <w:r w:rsidRPr="00C715E4">
        <w:rPr>
          <w:rFonts w:ascii="Arial" w:hAnsi="Arial" w:cs="Arial"/>
          <w:sz w:val="22"/>
          <w:szCs w:val="22"/>
        </w:rPr>
        <w:t xml:space="preserve"> </w:t>
      </w:r>
      <w:proofErr w:type="spellStart"/>
      <w:proofErr w:type="gramStart"/>
      <w:r w:rsidRPr="00C715E4">
        <w:rPr>
          <w:rFonts w:ascii="Arial" w:hAnsi="Arial" w:cs="Arial"/>
          <w:sz w:val="22"/>
          <w:szCs w:val="22"/>
        </w:rPr>
        <w:t>Sigowo</w:t>
      </w:r>
      <w:proofErr w:type="spellEnd"/>
      <w:r>
        <w:rPr>
          <w:rFonts w:ascii="Arial" w:hAnsi="Arial" w:cs="Arial"/>
          <w:sz w:val="22"/>
          <w:szCs w:val="22"/>
        </w:rPr>
        <w:t>,</w:t>
      </w:r>
      <w:proofErr w:type="gramEnd"/>
      <w:r>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10, </w:t>
      </w:r>
      <w:proofErr w:type="spellStart"/>
      <w:r w:rsidRPr="00C715E4">
        <w:rPr>
          <w:rFonts w:ascii="Arial" w:hAnsi="Arial" w:cs="Arial"/>
          <w:sz w:val="22"/>
          <w:szCs w:val="22"/>
        </w:rPr>
        <w:t>para</w:t>
      </w:r>
      <w:proofErr w:type="spellEnd"/>
      <w:r w:rsidRPr="00C715E4">
        <w:rPr>
          <w:rFonts w:ascii="Arial" w:hAnsi="Arial" w:cs="Arial"/>
          <w:sz w:val="22"/>
          <w:szCs w:val="22"/>
        </w:rPr>
        <w:t xml:space="preserve"> 7 and the Affidavit of Christopher </w:t>
      </w:r>
      <w:proofErr w:type="spellStart"/>
      <w:r w:rsidRPr="00C715E4">
        <w:rPr>
          <w:rFonts w:ascii="Arial" w:hAnsi="Arial" w:cs="Arial"/>
          <w:sz w:val="22"/>
          <w:szCs w:val="22"/>
        </w:rPr>
        <w:t>Kipkones</w:t>
      </w:r>
      <w:proofErr w:type="spellEnd"/>
      <w:r w:rsidRPr="00C715E4">
        <w:rPr>
          <w:rFonts w:ascii="Arial" w:hAnsi="Arial" w:cs="Arial"/>
          <w:sz w:val="22"/>
          <w:szCs w:val="22"/>
        </w:rPr>
        <w:t xml:space="preserve"> at </w:t>
      </w:r>
      <w:proofErr w:type="spellStart"/>
      <w:r w:rsidRPr="00C715E4">
        <w:rPr>
          <w:rFonts w:ascii="Arial" w:hAnsi="Arial" w:cs="Arial"/>
          <w:sz w:val="22"/>
          <w:szCs w:val="22"/>
        </w:rPr>
        <w:t>para</w:t>
      </w:r>
      <w:proofErr w:type="spellEnd"/>
      <w:r w:rsidRPr="00C715E4">
        <w:rPr>
          <w:rFonts w:ascii="Arial" w:hAnsi="Arial" w:cs="Arial"/>
          <w:sz w:val="22"/>
          <w:szCs w:val="22"/>
        </w:rPr>
        <w:t xml:space="preserve"> 9.</w:t>
      </w:r>
    </w:p>
  </w:footnote>
  <w:footnote w:id="45">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the Affidavit of Samson </w:t>
      </w:r>
      <w:proofErr w:type="spellStart"/>
      <w:r w:rsidRPr="00C715E4">
        <w:rPr>
          <w:rFonts w:ascii="Arial" w:hAnsi="Arial" w:cs="Arial"/>
          <w:sz w:val="22"/>
          <w:szCs w:val="22"/>
        </w:rPr>
        <w:t>Kipkemboi</w:t>
      </w:r>
      <w:proofErr w:type="spellEnd"/>
      <w:r w:rsidRPr="00C715E4">
        <w:rPr>
          <w:rFonts w:ascii="Arial" w:hAnsi="Arial" w:cs="Arial"/>
          <w:sz w:val="22"/>
          <w:szCs w:val="22"/>
        </w:rPr>
        <w:t xml:space="preserve"> </w:t>
      </w:r>
      <w:proofErr w:type="spellStart"/>
      <w:r w:rsidRPr="00C715E4">
        <w:rPr>
          <w:rFonts w:ascii="Arial" w:hAnsi="Arial" w:cs="Arial"/>
          <w:sz w:val="22"/>
          <w:szCs w:val="22"/>
        </w:rPr>
        <w:t>Mutai</w:t>
      </w:r>
      <w:proofErr w:type="spellEnd"/>
      <w:r w:rsidRPr="00C715E4">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128</w:t>
      </w:r>
      <w:r w:rsidRPr="00C715E4">
        <w:rPr>
          <w:rFonts w:ascii="Arial" w:hAnsi="Arial" w:cs="Arial"/>
          <w:sz w:val="22"/>
          <w:szCs w:val="22"/>
        </w:rPr>
        <w:t xml:space="preserve">, </w:t>
      </w:r>
      <w:proofErr w:type="spellStart"/>
      <w:r w:rsidRPr="00C715E4">
        <w:rPr>
          <w:rFonts w:ascii="Arial" w:hAnsi="Arial" w:cs="Arial"/>
          <w:sz w:val="22"/>
          <w:szCs w:val="22"/>
        </w:rPr>
        <w:t>para</w:t>
      </w:r>
      <w:proofErr w:type="spellEnd"/>
      <w:r w:rsidRPr="00C715E4">
        <w:rPr>
          <w:rFonts w:ascii="Arial" w:hAnsi="Arial" w:cs="Arial"/>
          <w:sz w:val="22"/>
          <w:szCs w:val="22"/>
        </w:rPr>
        <w:t xml:space="preserve"> 33 which states, ‘before the eviction, a clan would make important decisions as a group.  We would come together when we needed to discuss an issue- for example, when someone from another clan proposed marriage to one of our daughters…Or we would come together to decide what to do if someone killed someone- we made this decision together.’</w:t>
      </w:r>
    </w:p>
  </w:footnote>
  <w:footnote w:id="46">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Sic: should be </w:t>
      </w:r>
      <w:proofErr w:type="spellStart"/>
      <w:r w:rsidRPr="00C715E4">
        <w:rPr>
          <w:rFonts w:ascii="Arial" w:hAnsi="Arial" w:cs="Arial"/>
          <w:sz w:val="22"/>
          <w:szCs w:val="22"/>
        </w:rPr>
        <w:t>Ogiek</w:t>
      </w:r>
      <w:proofErr w:type="spellEnd"/>
      <w:r w:rsidRPr="00C715E4">
        <w:rPr>
          <w:rFonts w:ascii="Arial" w:hAnsi="Arial" w:cs="Arial"/>
          <w:sz w:val="22"/>
          <w:szCs w:val="22"/>
        </w:rPr>
        <w:t xml:space="preserve">; </w:t>
      </w:r>
      <w:proofErr w:type="spellStart"/>
      <w:r w:rsidRPr="00C715E4">
        <w:rPr>
          <w:rFonts w:ascii="Arial" w:hAnsi="Arial" w:cs="Arial"/>
          <w:sz w:val="22"/>
          <w:szCs w:val="22"/>
        </w:rPr>
        <w:t>Ogiot</w:t>
      </w:r>
      <w:proofErr w:type="spellEnd"/>
      <w:r w:rsidRPr="00C715E4">
        <w:rPr>
          <w:rFonts w:ascii="Arial" w:hAnsi="Arial" w:cs="Arial"/>
          <w:sz w:val="22"/>
          <w:szCs w:val="22"/>
        </w:rPr>
        <w:t xml:space="preserve"> is the singular term, whilst </w:t>
      </w:r>
      <w:proofErr w:type="spellStart"/>
      <w:r w:rsidRPr="00C715E4">
        <w:rPr>
          <w:rFonts w:ascii="Arial" w:hAnsi="Arial" w:cs="Arial"/>
          <w:sz w:val="22"/>
          <w:szCs w:val="22"/>
        </w:rPr>
        <w:t>Ogiek</w:t>
      </w:r>
      <w:proofErr w:type="spellEnd"/>
      <w:r w:rsidRPr="00C715E4">
        <w:rPr>
          <w:rFonts w:ascii="Arial" w:hAnsi="Arial" w:cs="Arial"/>
          <w:sz w:val="22"/>
          <w:szCs w:val="22"/>
        </w:rPr>
        <w:t xml:space="preserve"> is the plural. </w:t>
      </w:r>
    </w:p>
  </w:footnote>
  <w:footnote w:id="47">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Written Submissions by the Republic of Kenya dated 15 March 2010, at </w:t>
      </w:r>
      <w:proofErr w:type="spellStart"/>
      <w:r w:rsidRPr="00C715E4">
        <w:rPr>
          <w:rFonts w:ascii="Arial" w:hAnsi="Arial" w:cs="Arial"/>
          <w:sz w:val="22"/>
          <w:szCs w:val="22"/>
        </w:rPr>
        <w:t>para</w:t>
      </w:r>
      <w:proofErr w:type="spellEnd"/>
      <w:r w:rsidRPr="00C715E4">
        <w:rPr>
          <w:rFonts w:ascii="Arial" w:hAnsi="Arial" w:cs="Arial"/>
          <w:sz w:val="22"/>
          <w:szCs w:val="22"/>
        </w:rPr>
        <w:t xml:space="preserve"> 8.1.3.</w:t>
      </w:r>
    </w:p>
  </w:footnote>
  <w:footnote w:id="48">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r w:rsidRPr="00C715E4">
        <w:rPr>
          <w:rFonts w:ascii="Arial" w:hAnsi="Arial" w:cs="Arial"/>
          <w:i/>
          <w:sz w:val="22"/>
          <w:szCs w:val="22"/>
        </w:rPr>
        <w:t>Report of the African Commission’s Working Group of Experts on Indigenous Populations/Communities</w:t>
      </w:r>
      <w:r w:rsidRPr="00C715E4">
        <w:rPr>
          <w:rFonts w:ascii="Arial" w:hAnsi="Arial" w:cs="Arial"/>
          <w:sz w:val="22"/>
          <w:szCs w:val="22"/>
        </w:rPr>
        <w:t>,</w:t>
      </w:r>
      <w:r w:rsidRPr="00BA3494">
        <w:rPr>
          <w:rFonts w:ascii="Arial" w:hAnsi="Arial" w:cs="Arial"/>
          <w:i/>
          <w:sz w:val="22"/>
          <w:szCs w:val="22"/>
        </w:rPr>
        <w:t xml:space="preserve"> supra</w:t>
      </w:r>
      <w:r>
        <w:rPr>
          <w:rFonts w:ascii="Arial" w:hAnsi="Arial" w:cs="Arial"/>
          <w:sz w:val="22"/>
          <w:szCs w:val="22"/>
        </w:rPr>
        <w:t xml:space="preserve"> note 159, </w:t>
      </w:r>
      <w:r w:rsidRPr="00C715E4">
        <w:rPr>
          <w:rFonts w:ascii="Arial" w:hAnsi="Arial" w:cs="Arial"/>
          <w:sz w:val="22"/>
          <w:szCs w:val="22"/>
        </w:rPr>
        <w:t>p. 26.</w:t>
      </w:r>
    </w:p>
  </w:footnote>
  <w:footnote w:id="49">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proofErr w:type="gramStart"/>
      <w:r w:rsidRPr="00BA3494">
        <w:rPr>
          <w:rFonts w:ascii="Arial" w:hAnsi="Arial" w:cs="Arial"/>
          <w:i/>
          <w:sz w:val="22"/>
          <w:szCs w:val="22"/>
        </w:rPr>
        <w:t>Ibid</w:t>
      </w:r>
      <w:r>
        <w:rPr>
          <w:rFonts w:ascii="Arial" w:hAnsi="Arial" w:cs="Arial"/>
          <w:sz w:val="22"/>
          <w:szCs w:val="22"/>
        </w:rPr>
        <w:t>,</w:t>
      </w:r>
      <w:r w:rsidRPr="00C715E4">
        <w:rPr>
          <w:rFonts w:ascii="Arial" w:hAnsi="Arial" w:cs="Arial"/>
          <w:sz w:val="22"/>
          <w:szCs w:val="22"/>
        </w:rPr>
        <w:t xml:space="preserve"> at p 86.</w:t>
      </w:r>
      <w:proofErr w:type="gramEnd"/>
    </w:p>
  </w:footnote>
  <w:footnote w:id="50">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proofErr w:type="gramStart"/>
      <w:r w:rsidRPr="00BA3494">
        <w:rPr>
          <w:rFonts w:ascii="Arial" w:hAnsi="Arial" w:cs="Arial"/>
          <w:i/>
          <w:sz w:val="22"/>
          <w:szCs w:val="22"/>
        </w:rPr>
        <w:t>Ibid</w:t>
      </w:r>
      <w:r>
        <w:rPr>
          <w:rFonts w:ascii="Arial" w:hAnsi="Arial" w:cs="Arial"/>
          <w:sz w:val="22"/>
          <w:szCs w:val="22"/>
        </w:rPr>
        <w:t>,</w:t>
      </w:r>
      <w:r w:rsidRPr="00C715E4">
        <w:rPr>
          <w:rFonts w:ascii="Arial" w:hAnsi="Arial" w:cs="Arial"/>
          <w:sz w:val="22"/>
          <w:szCs w:val="22"/>
        </w:rPr>
        <w:t xml:space="preserve"> at p 87.</w:t>
      </w:r>
      <w:proofErr w:type="gramEnd"/>
    </w:p>
  </w:footnote>
  <w:footnote w:id="51">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proofErr w:type="gramStart"/>
      <w:r w:rsidRPr="00BA3494">
        <w:rPr>
          <w:rFonts w:ascii="Arial" w:hAnsi="Arial" w:cs="Arial"/>
          <w:i/>
          <w:sz w:val="22"/>
          <w:szCs w:val="22"/>
        </w:rPr>
        <w:t>Ibid</w:t>
      </w:r>
      <w:r w:rsidRPr="00C715E4">
        <w:rPr>
          <w:rFonts w:ascii="Arial" w:hAnsi="Arial" w:cs="Arial"/>
          <w:sz w:val="22"/>
          <w:szCs w:val="22"/>
        </w:rPr>
        <w:t>, at p 106.</w:t>
      </w:r>
      <w:proofErr w:type="gramEnd"/>
    </w:p>
  </w:footnote>
  <w:footnote w:id="52">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Pr>
          <w:rFonts w:ascii="Arial" w:hAnsi="Arial" w:cs="Arial"/>
          <w:sz w:val="22"/>
          <w:szCs w:val="22"/>
        </w:rPr>
        <w:t xml:space="preserve"> </w:t>
      </w:r>
      <w:proofErr w:type="spellStart"/>
      <w:r w:rsidRPr="00BA3494">
        <w:rPr>
          <w:rFonts w:ascii="Arial" w:hAnsi="Arial" w:cs="Arial"/>
          <w:i/>
          <w:sz w:val="22"/>
          <w:szCs w:val="22"/>
        </w:rPr>
        <w:t>Saramaka</w:t>
      </w:r>
      <w:proofErr w:type="spellEnd"/>
      <w:r w:rsidRPr="00BA3494">
        <w:rPr>
          <w:rFonts w:ascii="Arial" w:hAnsi="Arial" w:cs="Arial"/>
          <w:i/>
          <w:sz w:val="22"/>
          <w:szCs w:val="22"/>
        </w:rPr>
        <w:t xml:space="preserve"> </w:t>
      </w:r>
      <w:r w:rsidRPr="00C715E4">
        <w:rPr>
          <w:rFonts w:ascii="Arial" w:hAnsi="Arial" w:cs="Arial"/>
          <w:i/>
          <w:sz w:val="22"/>
          <w:szCs w:val="22"/>
        </w:rPr>
        <w:t>v Suriname</w:t>
      </w:r>
      <w:r>
        <w:rPr>
          <w:rFonts w:ascii="Arial" w:hAnsi="Arial" w:cs="Arial"/>
          <w:i/>
          <w:sz w:val="22"/>
          <w:szCs w:val="22"/>
        </w:rPr>
        <w:t xml:space="preserve">, </w:t>
      </w:r>
      <w:r w:rsidRPr="00A83550">
        <w:rPr>
          <w:rFonts w:ascii="Arial" w:hAnsi="Arial" w:cs="Arial"/>
          <w:i/>
          <w:sz w:val="22"/>
          <w:szCs w:val="22"/>
        </w:rPr>
        <w:t>supra</w:t>
      </w:r>
      <w:r>
        <w:rPr>
          <w:rFonts w:ascii="Arial" w:hAnsi="Arial" w:cs="Arial"/>
          <w:sz w:val="22"/>
          <w:szCs w:val="22"/>
        </w:rPr>
        <w:t xml:space="preserve"> note 560, </w:t>
      </w:r>
      <w:proofErr w:type="spellStart"/>
      <w:r w:rsidRPr="00C715E4">
        <w:rPr>
          <w:rFonts w:ascii="Arial" w:hAnsi="Arial" w:cs="Arial"/>
          <w:sz w:val="22"/>
          <w:szCs w:val="22"/>
          <w:lang w:val="en-US"/>
        </w:rPr>
        <w:t>para</w:t>
      </w:r>
      <w:proofErr w:type="spellEnd"/>
      <w:r w:rsidRPr="00C715E4">
        <w:rPr>
          <w:rFonts w:ascii="Arial" w:hAnsi="Arial" w:cs="Arial"/>
          <w:sz w:val="22"/>
          <w:szCs w:val="22"/>
          <w:lang w:val="en-US"/>
        </w:rPr>
        <w:t xml:space="preserve"> </w:t>
      </w:r>
      <w:r w:rsidRPr="00C715E4">
        <w:rPr>
          <w:rFonts w:ascii="Arial" w:hAnsi="Arial" w:cs="Arial"/>
          <w:sz w:val="22"/>
          <w:szCs w:val="22"/>
        </w:rPr>
        <w:t>129, (emphasis added).</w:t>
      </w:r>
    </w:p>
  </w:footnote>
  <w:footnote w:id="53">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Affidavit of Samson </w:t>
      </w:r>
      <w:proofErr w:type="spellStart"/>
      <w:r w:rsidRPr="00C715E4">
        <w:rPr>
          <w:rFonts w:ascii="Arial" w:hAnsi="Arial" w:cs="Arial"/>
          <w:sz w:val="22"/>
          <w:szCs w:val="22"/>
        </w:rPr>
        <w:t>Kipkemboi</w:t>
      </w:r>
      <w:proofErr w:type="spellEnd"/>
      <w:r w:rsidRPr="00C715E4">
        <w:rPr>
          <w:rFonts w:ascii="Arial" w:hAnsi="Arial" w:cs="Arial"/>
          <w:sz w:val="22"/>
          <w:szCs w:val="22"/>
        </w:rPr>
        <w:t xml:space="preserve"> </w:t>
      </w:r>
      <w:proofErr w:type="spellStart"/>
      <w:r w:rsidRPr="00C715E4">
        <w:rPr>
          <w:rFonts w:ascii="Arial" w:hAnsi="Arial" w:cs="Arial"/>
          <w:sz w:val="22"/>
          <w:szCs w:val="22"/>
        </w:rPr>
        <w:t>Mutai</w:t>
      </w:r>
      <w:proofErr w:type="spellEnd"/>
      <w:r w:rsidRPr="00C715E4">
        <w:rPr>
          <w:rFonts w:ascii="Arial" w:hAnsi="Arial" w:cs="Arial"/>
          <w:sz w:val="22"/>
          <w:szCs w:val="22"/>
        </w:rPr>
        <w:t xml:space="preserve"> </w:t>
      </w:r>
      <w:r w:rsidRPr="00AB17A5">
        <w:rPr>
          <w:rFonts w:ascii="Arial" w:hAnsi="Arial" w:cs="Arial"/>
          <w:i/>
          <w:sz w:val="22"/>
          <w:szCs w:val="22"/>
        </w:rPr>
        <w:t>supra</w:t>
      </w:r>
      <w:r>
        <w:rPr>
          <w:rFonts w:ascii="Arial" w:hAnsi="Arial" w:cs="Arial"/>
          <w:sz w:val="22"/>
          <w:szCs w:val="22"/>
        </w:rPr>
        <w:t xml:space="preserve"> note 128</w:t>
      </w:r>
      <w:r w:rsidRPr="00C715E4">
        <w:rPr>
          <w:rFonts w:ascii="Arial" w:hAnsi="Arial" w:cs="Arial"/>
          <w:sz w:val="22"/>
          <w:szCs w:val="22"/>
        </w:rPr>
        <w:t xml:space="preserve">, </w:t>
      </w:r>
      <w:proofErr w:type="spellStart"/>
      <w:r w:rsidRPr="00C715E4">
        <w:rPr>
          <w:rFonts w:ascii="Arial" w:hAnsi="Arial" w:cs="Arial"/>
          <w:sz w:val="22"/>
          <w:szCs w:val="22"/>
        </w:rPr>
        <w:t>paras</w:t>
      </w:r>
      <w:proofErr w:type="spellEnd"/>
      <w:r w:rsidRPr="00C715E4">
        <w:rPr>
          <w:rFonts w:ascii="Arial" w:hAnsi="Arial" w:cs="Arial"/>
          <w:sz w:val="22"/>
          <w:szCs w:val="22"/>
        </w:rPr>
        <w:t xml:space="preserve"> 34, 35 and 37</w:t>
      </w:r>
      <w:r>
        <w:rPr>
          <w:rFonts w:ascii="Arial" w:hAnsi="Arial" w:cs="Arial"/>
          <w:sz w:val="22"/>
          <w:szCs w:val="22"/>
        </w:rPr>
        <w:t xml:space="preserve">; see also </w:t>
      </w:r>
      <w:proofErr w:type="spellStart"/>
      <w:r>
        <w:rPr>
          <w:rFonts w:ascii="Arial" w:hAnsi="Arial" w:cs="Arial"/>
          <w:sz w:val="22"/>
          <w:szCs w:val="22"/>
        </w:rPr>
        <w:t>paras</w:t>
      </w:r>
      <w:proofErr w:type="spellEnd"/>
      <w:r>
        <w:rPr>
          <w:rFonts w:ascii="Arial" w:hAnsi="Arial" w:cs="Arial"/>
          <w:sz w:val="22"/>
          <w:szCs w:val="22"/>
        </w:rPr>
        <w:t xml:space="preserve"> 132-262 above</w:t>
      </w:r>
    </w:p>
  </w:footnote>
  <w:footnote w:id="54">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r>
        <w:rPr>
          <w:rFonts w:ascii="Arial" w:hAnsi="Arial" w:cs="Arial"/>
          <w:sz w:val="22"/>
          <w:szCs w:val="22"/>
        </w:rPr>
        <w:t xml:space="preserve">See Affidavit of </w:t>
      </w:r>
      <w:proofErr w:type="spellStart"/>
      <w:r>
        <w:rPr>
          <w:rFonts w:ascii="Arial" w:hAnsi="Arial" w:cs="Arial"/>
          <w:sz w:val="22"/>
          <w:szCs w:val="22"/>
        </w:rPr>
        <w:t>Linah</w:t>
      </w:r>
      <w:proofErr w:type="spellEnd"/>
      <w:r>
        <w:rPr>
          <w:rFonts w:ascii="Arial" w:hAnsi="Arial" w:cs="Arial"/>
          <w:sz w:val="22"/>
          <w:szCs w:val="22"/>
        </w:rPr>
        <w:t xml:space="preserve"> </w:t>
      </w:r>
      <w:proofErr w:type="spellStart"/>
      <w:proofErr w:type="gramStart"/>
      <w:r>
        <w:rPr>
          <w:rFonts w:ascii="Arial" w:hAnsi="Arial" w:cs="Arial"/>
          <w:sz w:val="22"/>
          <w:szCs w:val="22"/>
        </w:rPr>
        <w:t>Taploson</w:t>
      </w:r>
      <w:proofErr w:type="spellEnd"/>
      <w:r>
        <w:rPr>
          <w:rFonts w:ascii="Arial" w:hAnsi="Arial" w:cs="Arial"/>
          <w:sz w:val="22"/>
          <w:szCs w:val="22"/>
        </w:rPr>
        <w:t>,</w:t>
      </w:r>
      <w:proofErr w:type="gramEnd"/>
      <w:r>
        <w:rPr>
          <w:rFonts w:ascii="Arial" w:hAnsi="Arial" w:cs="Arial"/>
          <w:sz w:val="22"/>
          <w:szCs w:val="22"/>
        </w:rPr>
        <w:t xml:space="preserve"> </w:t>
      </w:r>
      <w:r w:rsidRPr="00767FFE">
        <w:rPr>
          <w:rFonts w:ascii="Arial" w:hAnsi="Arial" w:cs="Arial"/>
          <w:i/>
          <w:sz w:val="22"/>
          <w:szCs w:val="22"/>
        </w:rPr>
        <w:t>supra</w:t>
      </w:r>
      <w:r>
        <w:rPr>
          <w:rFonts w:ascii="Arial" w:hAnsi="Arial" w:cs="Arial"/>
          <w:sz w:val="22"/>
          <w:szCs w:val="22"/>
        </w:rPr>
        <w:t xml:space="preserve"> note 42, </w:t>
      </w:r>
      <w:proofErr w:type="spellStart"/>
      <w:r w:rsidRPr="00C715E4">
        <w:rPr>
          <w:rFonts w:ascii="Arial" w:hAnsi="Arial" w:cs="Arial"/>
          <w:sz w:val="22"/>
          <w:szCs w:val="22"/>
        </w:rPr>
        <w:t>paras</w:t>
      </w:r>
      <w:proofErr w:type="spellEnd"/>
      <w:r w:rsidRPr="00C715E4">
        <w:rPr>
          <w:rFonts w:ascii="Arial" w:hAnsi="Arial" w:cs="Arial"/>
          <w:sz w:val="22"/>
          <w:szCs w:val="22"/>
        </w:rPr>
        <w:t xml:space="preserve"> 11-12.</w:t>
      </w:r>
    </w:p>
  </w:footnote>
  <w:footnote w:id="55">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See Written Submissions by the Republic of Kenya dated 15 March 2010, at </w:t>
      </w:r>
      <w:proofErr w:type="spellStart"/>
      <w:r w:rsidRPr="00C715E4">
        <w:rPr>
          <w:rFonts w:ascii="Arial" w:hAnsi="Arial" w:cs="Arial"/>
          <w:sz w:val="22"/>
          <w:szCs w:val="22"/>
        </w:rPr>
        <w:t>para</w:t>
      </w:r>
      <w:proofErr w:type="spellEnd"/>
      <w:r w:rsidRPr="00C715E4">
        <w:rPr>
          <w:rFonts w:ascii="Arial" w:hAnsi="Arial" w:cs="Arial"/>
          <w:sz w:val="22"/>
          <w:szCs w:val="22"/>
        </w:rPr>
        <w:t xml:space="preserve"> 8.1.2</w:t>
      </w:r>
    </w:p>
  </w:footnote>
  <w:footnote w:id="56">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r>
        <w:rPr>
          <w:rFonts w:ascii="Arial" w:hAnsi="Arial" w:cs="Arial"/>
          <w:sz w:val="22"/>
          <w:szCs w:val="22"/>
        </w:rPr>
        <w:t xml:space="preserve">TJRC </w:t>
      </w:r>
      <w:r w:rsidRPr="00C715E4">
        <w:rPr>
          <w:rFonts w:ascii="Arial" w:hAnsi="Arial" w:cs="Arial"/>
          <w:sz w:val="22"/>
          <w:szCs w:val="22"/>
        </w:rPr>
        <w:t>Report</w:t>
      </w:r>
      <w:r>
        <w:rPr>
          <w:rFonts w:ascii="Arial" w:hAnsi="Arial" w:cs="Arial"/>
          <w:sz w:val="22"/>
          <w:szCs w:val="22"/>
        </w:rPr>
        <w:t xml:space="preserve">, </w:t>
      </w:r>
      <w:r w:rsidRPr="00251D32">
        <w:rPr>
          <w:rFonts w:ascii="Arial" w:hAnsi="Arial" w:cs="Arial"/>
          <w:i/>
          <w:sz w:val="22"/>
          <w:szCs w:val="22"/>
        </w:rPr>
        <w:t>supra</w:t>
      </w:r>
      <w:r>
        <w:rPr>
          <w:rFonts w:ascii="Arial" w:hAnsi="Arial" w:cs="Arial"/>
          <w:sz w:val="22"/>
          <w:szCs w:val="22"/>
        </w:rPr>
        <w:t xml:space="preserve"> note 121, Vol. IV, p.46, </w:t>
      </w:r>
      <w:proofErr w:type="spellStart"/>
      <w:r>
        <w:rPr>
          <w:rFonts w:ascii="Arial" w:hAnsi="Arial" w:cs="Arial"/>
          <w:sz w:val="22"/>
          <w:szCs w:val="22"/>
        </w:rPr>
        <w:t>para</w:t>
      </w:r>
      <w:proofErr w:type="spellEnd"/>
      <w:r>
        <w:rPr>
          <w:rFonts w:ascii="Arial" w:hAnsi="Arial" w:cs="Arial"/>
          <w:sz w:val="22"/>
          <w:szCs w:val="22"/>
        </w:rPr>
        <w:t>. 216</w:t>
      </w:r>
    </w:p>
  </w:footnote>
  <w:footnote w:id="57">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F. </w:t>
      </w:r>
      <w:proofErr w:type="spellStart"/>
      <w:r w:rsidRPr="00C715E4">
        <w:rPr>
          <w:rFonts w:ascii="Arial" w:hAnsi="Arial" w:cs="Arial"/>
          <w:sz w:val="22"/>
          <w:szCs w:val="22"/>
        </w:rPr>
        <w:t>Ouguergouz</w:t>
      </w:r>
      <w:proofErr w:type="spellEnd"/>
      <w:r w:rsidRPr="00C715E4">
        <w:rPr>
          <w:rFonts w:ascii="Arial" w:hAnsi="Arial" w:cs="Arial"/>
          <w:sz w:val="22"/>
          <w:szCs w:val="22"/>
        </w:rPr>
        <w:t>,“</w:t>
      </w:r>
      <w:r w:rsidRPr="00C715E4">
        <w:rPr>
          <w:rFonts w:ascii="Arial" w:hAnsi="Arial" w:cs="Arial"/>
          <w:i/>
          <w:sz w:val="22"/>
          <w:szCs w:val="22"/>
        </w:rPr>
        <w:t>The African Charter on Human and Peoples’ Rights: A Comprehensive Agenda for the Human Dignity and Sustainable Democracy in Africa”</w:t>
      </w:r>
      <w:r w:rsidRPr="00C715E4">
        <w:rPr>
          <w:rFonts w:ascii="Arial" w:hAnsi="Arial" w:cs="Arial"/>
          <w:sz w:val="22"/>
          <w:szCs w:val="22"/>
        </w:rPr>
        <w:t xml:space="preserve">, </w:t>
      </w:r>
      <w:r w:rsidRPr="00371BB0">
        <w:rPr>
          <w:rFonts w:ascii="Arial" w:hAnsi="Arial" w:cs="Arial"/>
          <w:i/>
          <w:sz w:val="22"/>
          <w:szCs w:val="22"/>
        </w:rPr>
        <w:t xml:space="preserve">supra </w:t>
      </w:r>
      <w:r>
        <w:rPr>
          <w:rFonts w:ascii="Arial" w:hAnsi="Arial" w:cs="Arial"/>
          <w:sz w:val="22"/>
          <w:szCs w:val="22"/>
        </w:rPr>
        <w:t>note 656,</w:t>
      </w:r>
      <w:r w:rsidRPr="00C715E4">
        <w:rPr>
          <w:rFonts w:ascii="Arial" w:hAnsi="Arial" w:cs="Arial"/>
          <w:sz w:val="22"/>
          <w:szCs w:val="22"/>
        </w:rPr>
        <w:t xml:space="preserve"> p. 429 (emphasis added).</w:t>
      </w:r>
    </w:p>
  </w:footnote>
  <w:footnote w:id="58">
    <w:p w:rsidR="00F10701" w:rsidRPr="002E3B73" w:rsidRDefault="00F10701" w:rsidP="00060432">
      <w:pPr>
        <w:pStyle w:val="Notedebasdepage"/>
        <w:spacing w:line="360" w:lineRule="auto"/>
        <w:jc w:val="both"/>
        <w:rPr>
          <w:rFonts w:ascii="Arial" w:hAnsi="Arial" w:cs="Arial"/>
          <w:sz w:val="22"/>
          <w:szCs w:val="22"/>
          <w:lang w:val="fr-FR"/>
        </w:rPr>
      </w:pPr>
      <w:r w:rsidRPr="00C715E4">
        <w:rPr>
          <w:rStyle w:val="Marquenotebasdepage"/>
          <w:rFonts w:ascii="Arial" w:hAnsi="Arial" w:cs="Arial"/>
          <w:sz w:val="22"/>
          <w:szCs w:val="22"/>
        </w:rPr>
        <w:footnoteRef/>
      </w:r>
      <w:r w:rsidRPr="00C715E4">
        <w:rPr>
          <w:rFonts w:ascii="Arial" w:hAnsi="Arial" w:cs="Arial"/>
          <w:sz w:val="22"/>
          <w:szCs w:val="22"/>
          <w:lang w:val="fr-FR"/>
        </w:rPr>
        <w:t xml:space="preserve"> </w:t>
      </w:r>
      <w:r w:rsidRPr="00C715E4">
        <w:rPr>
          <w:rFonts w:ascii="Arial" w:hAnsi="Arial" w:cs="Arial"/>
          <w:i/>
          <w:iCs/>
          <w:sz w:val="22"/>
          <w:szCs w:val="22"/>
          <w:lang w:val="fr-FR"/>
        </w:rPr>
        <w:t xml:space="preserve">Amnesty International v. </w:t>
      </w:r>
      <w:proofErr w:type="spellStart"/>
      <w:r w:rsidRPr="00C715E4">
        <w:rPr>
          <w:rFonts w:ascii="Arial" w:hAnsi="Arial" w:cs="Arial"/>
          <w:i/>
          <w:iCs/>
          <w:sz w:val="22"/>
          <w:szCs w:val="22"/>
          <w:lang w:val="fr-FR"/>
        </w:rPr>
        <w:t>Zambia</w:t>
      </w:r>
      <w:proofErr w:type="spellEnd"/>
      <w:r w:rsidRPr="00C715E4">
        <w:rPr>
          <w:rFonts w:ascii="Arial" w:hAnsi="Arial" w:cs="Arial"/>
          <w:i/>
          <w:iCs/>
          <w:sz w:val="22"/>
          <w:szCs w:val="22"/>
          <w:lang w:val="fr-FR"/>
        </w:rPr>
        <w:t xml:space="preserve">, </w:t>
      </w:r>
      <w:r w:rsidRPr="00C715E4">
        <w:rPr>
          <w:rFonts w:ascii="Arial" w:hAnsi="Arial" w:cs="Arial"/>
          <w:sz w:val="22"/>
          <w:szCs w:val="22"/>
          <w:lang w:val="fr-FR"/>
        </w:rPr>
        <w:t>(1999) ACHPR, Communication 212/98, para 50.</w:t>
      </w:r>
    </w:p>
  </w:footnote>
  <w:footnote w:id="59">
    <w:p w:rsidR="00F10701" w:rsidRPr="002E3B73"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sidRPr="00C715E4">
        <w:rPr>
          <w:rFonts w:ascii="Arial" w:hAnsi="Arial" w:cs="Arial"/>
          <w:sz w:val="22"/>
          <w:szCs w:val="22"/>
        </w:rPr>
        <w:t xml:space="preserve"> </w:t>
      </w:r>
      <w:r w:rsidRPr="00C715E4">
        <w:rPr>
          <w:rFonts w:ascii="Arial" w:hAnsi="Arial" w:cs="Arial"/>
          <w:i/>
          <w:sz w:val="22"/>
          <w:szCs w:val="22"/>
          <w:lang w:val="en-US"/>
        </w:rPr>
        <w:t xml:space="preserve">Constitutional Rights Project, Civil Liberties </w:t>
      </w:r>
      <w:proofErr w:type="spellStart"/>
      <w:r w:rsidRPr="00C715E4">
        <w:rPr>
          <w:rFonts w:ascii="Arial" w:hAnsi="Arial" w:cs="Arial"/>
          <w:i/>
          <w:sz w:val="22"/>
          <w:szCs w:val="22"/>
          <w:lang w:val="en-US"/>
        </w:rPr>
        <w:t>Organisation</w:t>
      </w:r>
      <w:proofErr w:type="spellEnd"/>
      <w:r w:rsidRPr="00C715E4">
        <w:rPr>
          <w:rFonts w:ascii="Arial" w:hAnsi="Arial" w:cs="Arial"/>
          <w:i/>
          <w:sz w:val="22"/>
          <w:szCs w:val="22"/>
          <w:lang w:val="en-US"/>
        </w:rPr>
        <w:t xml:space="preserve"> and Media Rights Agenda v Nigeria</w:t>
      </w:r>
      <w:r>
        <w:rPr>
          <w:rFonts w:ascii="Arial" w:hAnsi="Arial" w:cs="Arial"/>
          <w:sz w:val="22"/>
          <w:szCs w:val="22"/>
          <w:lang w:val="en-US"/>
        </w:rPr>
        <w:t xml:space="preserve">, </w:t>
      </w:r>
      <w:r w:rsidRPr="00F70CF4">
        <w:rPr>
          <w:rFonts w:ascii="Arial" w:hAnsi="Arial" w:cs="Arial"/>
          <w:i/>
          <w:sz w:val="22"/>
          <w:szCs w:val="22"/>
          <w:lang w:val="en-US"/>
        </w:rPr>
        <w:t>supra</w:t>
      </w:r>
      <w:r>
        <w:rPr>
          <w:rFonts w:ascii="Arial" w:hAnsi="Arial" w:cs="Arial"/>
          <w:sz w:val="22"/>
          <w:szCs w:val="22"/>
          <w:lang w:val="en-US"/>
        </w:rPr>
        <w:t xml:space="preserve"> note 650,</w:t>
      </w:r>
      <w:r w:rsidRPr="00C715E4">
        <w:rPr>
          <w:rFonts w:ascii="Arial" w:hAnsi="Arial" w:cs="Arial"/>
          <w:sz w:val="22"/>
          <w:szCs w:val="22"/>
        </w:rPr>
        <w:t xml:space="preserve"> </w:t>
      </w:r>
      <w:proofErr w:type="spellStart"/>
      <w:r w:rsidRPr="00C715E4">
        <w:rPr>
          <w:rFonts w:ascii="Arial" w:hAnsi="Arial" w:cs="Arial"/>
          <w:sz w:val="22"/>
          <w:szCs w:val="22"/>
        </w:rPr>
        <w:t>para</w:t>
      </w:r>
      <w:proofErr w:type="spellEnd"/>
      <w:r w:rsidRPr="00C715E4">
        <w:rPr>
          <w:rFonts w:ascii="Arial" w:hAnsi="Arial" w:cs="Arial"/>
          <w:sz w:val="22"/>
          <w:szCs w:val="22"/>
        </w:rPr>
        <w:t xml:space="preserve"> 42.</w:t>
      </w:r>
    </w:p>
  </w:footnote>
  <w:footnote w:id="60">
    <w:p w:rsidR="00F10701" w:rsidRDefault="00F10701" w:rsidP="00060432">
      <w:pPr>
        <w:pStyle w:val="Notedebasdepage"/>
        <w:spacing w:line="360" w:lineRule="auto"/>
        <w:jc w:val="both"/>
        <w:rPr>
          <w:rFonts w:ascii="Arial" w:hAnsi="Arial" w:cs="Arial"/>
          <w:sz w:val="22"/>
          <w:szCs w:val="22"/>
        </w:rPr>
      </w:pPr>
      <w:r w:rsidRPr="00C715E4">
        <w:rPr>
          <w:rStyle w:val="Marquenotebasdepage"/>
          <w:rFonts w:ascii="Arial" w:hAnsi="Arial" w:cs="Arial"/>
          <w:sz w:val="22"/>
          <w:szCs w:val="22"/>
        </w:rPr>
        <w:footnoteRef/>
      </w:r>
      <w:r>
        <w:rPr>
          <w:rFonts w:ascii="Arial" w:hAnsi="Arial" w:cs="Arial"/>
          <w:sz w:val="22"/>
          <w:szCs w:val="22"/>
        </w:rPr>
        <w:t xml:space="preserve"> </w:t>
      </w:r>
      <w:proofErr w:type="spellStart"/>
      <w:r w:rsidRPr="00C715E4">
        <w:rPr>
          <w:rFonts w:ascii="Arial" w:hAnsi="Arial" w:cs="Arial"/>
          <w:i/>
          <w:sz w:val="22"/>
          <w:szCs w:val="22"/>
        </w:rPr>
        <w:t>Saramaka</w:t>
      </w:r>
      <w:proofErr w:type="spellEnd"/>
      <w:r w:rsidRPr="00C715E4">
        <w:rPr>
          <w:rFonts w:ascii="Arial" w:hAnsi="Arial" w:cs="Arial"/>
          <w:i/>
          <w:sz w:val="22"/>
          <w:szCs w:val="22"/>
        </w:rPr>
        <w:t xml:space="preserve"> People v Suriname</w:t>
      </w:r>
      <w:r>
        <w:rPr>
          <w:rFonts w:ascii="Arial" w:hAnsi="Arial" w:cs="Arial"/>
          <w:sz w:val="22"/>
          <w:szCs w:val="22"/>
        </w:rPr>
        <w:t>,</w:t>
      </w:r>
      <w:r w:rsidRPr="00C715E4">
        <w:rPr>
          <w:rFonts w:ascii="Arial" w:hAnsi="Arial" w:cs="Arial"/>
          <w:sz w:val="22"/>
          <w:szCs w:val="22"/>
        </w:rPr>
        <w:t xml:space="preserve"> </w:t>
      </w:r>
      <w:r w:rsidRPr="00A83550">
        <w:rPr>
          <w:rFonts w:ascii="Arial" w:hAnsi="Arial" w:cs="Arial"/>
          <w:i/>
          <w:sz w:val="22"/>
          <w:szCs w:val="22"/>
        </w:rPr>
        <w:t>supra</w:t>
      </w:r>
      <w:r>
        <w:rPr>
          <w:rFonts w:ascii="Arial" w:hAnsi="Arial" w:cs="Arial"/>
          <w:sz w:val="22"/>
          <w:szCs w:val="22"/>
        </w:rPr>
        <w:t xml:space="preserve"> note 560, </w:t>
      </w:r>
      <w:r w:rsidRPr="00C715E4">
        <w:rPr>
          <w:rFonts w:ascii="Arial" w:hAnsi="Arial" w:cs="Arial"/>
          <w:sz w:val="22"/>
          <w:szCs w:val="22"/>
        </w:rPr>
        <w:t xml:space="preserve">Series C No. 172, </w:t>
      </w:r>
      <w:proofErr w:type="spellStart"/>
      <w:r w:rsidRPr="00C715E4">
        <w:rPr>
          <w:rFonts w:ascii="Arial" w:hAnsi="Arial" w:cs="Arial"/>
          <w:sz w:val="22"/>
          <w:szCs w:val="22"/>
        </w:rPr>
        <w:t>para</w:t>
      </w:r>
      <w:proofErr w:type="spellEnd"/>
      <w:r w:rsidRPr="00C715E4">
        <w:rPr>
          <w:rFonts w:ascii="Arial" w:hAnsi="Arial" w:cs="Arial"/>
          <w:sz w:val="22"/>
          <w:szCs w:val="22"/>
        </w:rPr>
        <w:t xml:space="preserve"> 129.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44A3"/>
    <w:multiLevelType w:val="hybridMultilevel"/>
    <w:tmpl w:val="357E8E60"/>
    <w:lvl w:ilvl="0" w:tplc="646863C2">
      <w:start w:val="353"/>
      <w:numFmt w:val="decimal"/>
      <w:lvlText w:val="%1."/>
      <w:lvlJc w:val="left"/>
      <w:pPr>
        <w:ind w:left="3621"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32"/>
    <w:rsid w:val="00060432"/>
    <w:rsid w:val="0011221F"/>
    <w:rsid w:val="001628FE"/>
    <w:rsid w:val="00184C84"/>
    <w:rsid w:val="001F53EF"/>
    <w:rsid w:val="00215FBF"/>
    <w:rsid w:val="002A5FE3"/>
    <w:rsid w:val="00331931"/>
    <w:rsid w:val="004110CA"/>
    <w:rsid w:val="00534B9D"/>
    <w:rsid w:val="005D517B"/>
    <w:rsid w:val="005F1970"/>
    <w:rsid w:val="00685F0A"/>
    <w:rsid w:val="008253CD"/>
    <w:rsid w:val="00891BBB"/>
    <w:rsid w:val="00925DA2"/>
    <w:rsid w:val="00AB7668"/>
    <w:rsid w:val="00B36688"/>
    <w:rsid w:val="00C91DF2"/>
    <w:rsid w:val="00CE53C6"/>
    <w:rsid w:val="00CF0D00"/>
    <w:rsid w:val="00D60C33"/>
    <w:rsid w:val="00D93B0B"/>
    <w:rsid w:val="00E37825"/>
    <w:rsid w:val="00F10701"/>
    <w:rsid w:val="00F84B58"/>
    <w:rsid w:val="00FC1B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3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unhideWhenUsed/>
    <w:rsid w:val="00060432"/>
    <w:pPr>
      <w:spacing w:after="0" w:line="240" w:lineRule="auto"/>
    </w:pPr>
    <w:rPr>
      <w:sz w:val="20"/>
      <w:szCs w:val="20"/>
    </w:rPr>
  </w:style>
  <w:style w:type="character" w:customStyle="1" w:styleId="NotedebasdepageCar">
    <w:name w:val="Note de bas de page Car"/>
    <w:aliases w:val="footnote text Car"/>
    <w:basedOn w:val="Policepardfaut"/>
    <w:link w:val="Notedebasdepage"/>
    <w:rsid w:val="00060432"/>
    <w:rPr>
      <w:rFonts w:ascii="Calibri" w:eastAsia="Calibri" w:hAnsi="Calibri" w:cs="Times New Roman"/>
      <w:sz w:val="20"/>
      <w:szCs w:val="20"/>
    </w:rPr>
  </w:style>
  <w:style w:type="character" w:styleId="Marquenotebasdepage">
    <w:name w:val="footnote reference"/>
    <w:aliases w:val="Texto de nota al pie,Footnote number,Footnote Reference Char3,Footnote Reference Char1 Char,Char Char Car Char Car Char Car Char Car Char Car Char Char Char1 Char,Footnote Reference Char Char Char"/>
    <w:basedOn w:val="Policepardfaut"/>
    <w:uiPriority w:val="99"/>
    <w:unhideWhenUsed/>
    <w:rsid w:val="00060432"/>
    <w:rPr>
      <w:vertAlign w:val="superscript"/>
    </w:rPr>
  </w:style>
  <w:style w:type="character" w:styleId="Lienhypertexte">
    <w:name w:val="Hyperlink"/>
    <w:basedOn w:val="Policepardfaut"/>
    <w:uiPriority w:val="99"/>
    <w:unhideWhenUsed/>
    <w:rsid w:val="00060432"/>
    <w:rPr>
      <w:color w:val="0000FF"/>
      <w:u w:val="single"/>
    </w:rPr>
  </w:style>
  <w:style w:type="paragraph" w:customStyle="1" w:styleId="ColorfulList-Accent11">
    <w:name w:val="Colorful List - Accent 11"/>
    <w:basedOn w:val="Normal"/>
    <w:uiPriority w:val="34"/>
    <w:qFormat/>
    <w:rsid w:val="00060432"/>
    <w:pPr>
      <w:ind w:left="720"/>
      <w:contextualSpacing/>
    </w:pPr>
    <w:rPr>
      <w:rFonts w:eastAsia="MS Mincho"/>
      <w:lang w:eastAsia="en-GB"/>
    </w:rPr>
  </w:style>
  <w:style w:type="paragraph" w:customStyle="1" w:styleId="just">
    <w:name w:val="just"/>
    <w:basedOn w:val="Normal"/>
    <w:rsid w:val="00060432"/>
    <w:pPr>
      <w:spacing w:after="15" w:line="240" w:lineRule="auto"/>
      <w:jc w:val="both"/>
    </w:pPr>
    <w:rPr>
      <w:rFonts w:ascii="Times New Roman" w:eastAsia="Times New Roman" w:hAnsi="Times New Roman"/>
      <w:sz w:val="24"/>
      <w:szCs w:val="24"/>
      <w:lang w:val="en-US" w:eastAsia="en-GB"/>
    </w:rPr>
  </w:style>
  <w:style w:type="paragraph" w:styleId="Textedebulles">
    <w:name w:val="Balloon Text"/>
    <w:basedOn w:val="Normal"/>
    <w:link w:val="TextedebullesCar"/>
    <w:uiPriority w:val="99"/>
    <w:semiHidden/>
    <w:unhideWhenUsed/>
    <w:rsid w:val="00184C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4C84"/>
    <w:rPr>
      <w:rFonts w:ascii="Lucida Grande" w:eastAsia="Calibri" w:hAnsi="Lucida Grande" w:cs="Lucida Grande"/>
      <w:sz w:val="18"/>
      <w:szCs w:val="18"/>
    </w:rPr>
  </w:style>
  <w:style w:type="paragraph" w:customStyle="1" w:styleId="Body">
    <w:name w:val="Body"/>
    <w:rsid w:val="00685F0A"/>
    <w:pPr>
      <w:spacing w:after="0" w:line="240" w:lineRule="auto"/>
    </w:pPr>
    <w:rPr>
      <w:rFonts w:ascii="Times New Roman" w:eastAsia="?????? Pro W3" w:hAnsi="Times New Roman" w:cs="Times New Roman"/>
      <w:color w:val="000000"/>
      <w:sz w:val="24"/>
      <w:szCs w:val="20"/>
      <w:lang w:eastAsia="en-GB"/>
    </w:rPr>
  </w:style>
  <w:style w:type="paragraph" w:styleId="Sansinterligne">
    <w:name w:val="No Spacing"/>
    <w:uiPriority w:val="1"/>
    <w:qFormat/>
    <w:rsid w:val="005D517B"/>
    <w:pPr>
      <w:spacing w:after="0" w:line="240" w:lineRule="auto"/>
    </w:pPr>
    <w:rPr>
      <w:rFonts w:ascii="Calibri" w:eastAsia="Calibri" w:hAnsi="Calibri" w:cs="Times New Roman"/>
    </w:rPr>
  </w:style>
  <w:style w:type="paragraph" w:styleId="En-tte">
    <w:name w:val="header"/>
    <w:basedOn w:val="Normal"/>
    <w:link w:val="En-tteCar"/>
    <w:uiPriority w:val="99"/>
    <w:unhideWhenUsed/>
    <w:rsid w:val="00F10701"/>
    <w:pPr>
      <w:tabs>
        <w:tab w:val="center" w:pos="4536"/>
        <w:tab w:val="right" w:pos="9072"/>
      </w:tabs>
      <w:spacing w:after="0" w:line="240" w:lineRule="auto"/>
    </w:pPr>
  </w:style>
  <w:style w:type="character" w:customStyle="1" w:styleId="En-tteCar">
    <w:name w:val="En-tête Car"/>
    <w:basedOn w:val="Policepardfaut"/>
    <w:link w:val="En-tte"/>
    <w:uiPriority w:val="99"/>
    <w:rsid w:val="00F10701"/>
    <w:rPr>
      <w:rFonts w:ascii="Calibri" w:eastAsia="Calibri" w:hAnsi="Calibri" w:cs="Times New Roman"/>
    </w:rPr>
  </w:style>
  <w:style w:type="paragraph" w:styleId="Pieddepage">
    <w:name w:val="footer"/>
    <w:basedOn w:val="Normal"/>
    <w:link w:val="PieddepageCar"/>
    <w:uiPriority w:val="99"/>
    <w:unhideWhenUsed/>
    <w:rsid w:val="00F107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701"/>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3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unhideWhenUsed/>
    <w:rsid w:val="00060432"/>
    <w:pPr>
      <w:spacing w:after="0" w:line="240" w:lineRule="auto"/>
    </w:pPr>
    <w:rPr>
      <w:sz w:val="20"/>
      <w:szCs w:val="20"/>
    </w:rPr>
  </w:style>
  <w:style w:type="character" w:customStyle="1" w:styleId="NotedebasdepageCar">
    <w:name w:val="Note de bas de page Car"/>
    <w:aliases w:val="footnote text Car"/>
    <w:basedOn w:val="Policepardfaut"/>
    <w:link w:val="Notedebasdepage"/>
    <w:rsid w:val="00060432"/>
    <w:rPr>
      <w:rFonts w:ascii="Calibri" w:eastAsia="Calibri" w:hAnsi="Calibri" w:cs="Times New Roman"/>
      <w:sz w:val="20"/>
      <w:szCs w:val="20"/>
    </w:rPr>
  </w:style>
  <w:style w:type="character" w:styleId="Marquenotebasdepage">
    <w:name w:val="footnote reference"/>
    <w:aliases w:val="Texto de nota al pie,Footnote number,Footnote Reference Char3,Footnote Reference Char1 Char,Char Char Car Char Car Char Car Char Car Char Car Char Char Char1 Char,Footnote Reference Char Char Char"/>
    <w:basedOn w:val="Policepardfaut"/>
    <w:uiPriority w:val="99"/>
    <w:unhideWhenUsed/>
    <w:rsid w:val="00060432"/>
    <w:rPr>
      <w:vertAlign w:val="superscript"/>
    </w:rPr>
  </w:style>
  <w:style w:type="character" w:styleId="Lienhypertexte">
    <w:name w:val="Hyperlink"/>
    <w:basedOn w:val="Policepardfaut"/>
    <w:uiPriority w:val="99"/>
    <w:unhideWhenUsed/>
    <w:rsid w:val="00060432"/>
    <w:rPr>
      <w:color w:val="0000FF"/>
      <w:u w:val="single"/>
    </w:rPr>
  </w:style>
  <w:style w:type="paragraph" w:customStyle="1" w:styleId="ColorfulList-Accent11">
    <w:name w:val="Colorful List - Accent 11"/>
    <w:basedOn w:val="Normal"/>
    <w:uiPriority w:val="34"/>
    <w:qFormat/>
    <w:rsid w:val="00060432"/>
    <w:pPr>
      <w:ind w:left="720"/>
      <w:contextualSpacing/>
    </w:pPr>
    <w:rPr>
      <w:rFonts w:eastAsia="MS Mincho"/>
      <w:lang w:eastAsia="en-GB"/>
    </w:rPr>
  </w:style>
  <w:style w:type="paragraph" w:customStyle="1" w:styleId="just">
    <w:name w:val="just"/>
    <w:basedOn w:val="Normal"/>
    <w:rsid w:val="00060432"/>
    <w:pPr>
      <w:spacing w:after="15" w:line="240" w:lineRule="auto"/>
      <w:jc w:val="both"/>
    </w:pPr>
    <w:rPr>
      <w:rFonts w:ascii="Times New Roman" w:eastAsia="Times New Roman" w:hAnsi="Times New Roman"/>
      <w:sz w:val="24"/>
      <w:szCs w:val="24"/>
      <w:lang w:val="en-US" w:eastAsia="en-GB"/>
    </w:rPr>
  </w:style>
  <w:style w:type="paragraph" w:styleId="Textedebulles">
    <w:name w:val="Balloon Text"/>
    <w:basedOn w:val="Normal"/>
    <w:link w:val="TextedebullesCar"/>
    <w:uiPriority w:val="99"/>
    <w:semiHidden/>
    <w:unhideWhenUsed/>
    <w:rsid w:val="00184C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4C84"/>
    <w:rPr>
      <w:rFonts w:ascii="Lucida Grande" w:eastAsia="Calibri" w:hAnsi="Lucida Grande" w:cs="Lucida Grande"/>
      <w:sz w:val="18"/>
      <w:szCs w:val="18"/>
    </w:rPr>
  </w:style>
  <w:style w:type="paragraph" w:customStyle="1" w:styleId="Body">
    <w:name w:val="Body"/>
    <w:rsid w:val="00685F0A"/>
    <w:pPr>
      <w:spacing w:after="0" w:line="240" w:lineRule="auto"/>
    </w:pPr>
    <w:rPr>
      <w:rFonts w:ascii="Times New Roman" w:eastAsia="?????? Pro W3" w:hAnsi="Times New Roman" w:cs="Times New Roman"/>
      <w:color w:val="000000"/>
      <w:sz w:val="24"/>
      <w:szCs w:val="20"/>
      <w:lang w:eastAsia="en-GB"/>
    </w:rPr>
  </w:style>
  <w:style w:type="paragraph" w:styleId="Sansinterligne">
    <w:name w:val="No Spacing"/>
    <w:uiPriority w:val="1"/>
    <w:qFormat/>
    <w:rsid w:val="005D517B"/>
    <w:pPr>
      <w:spacing w:after="0" w:line="240" w:lineRule="auto"/>
    </w:pPr>
    <w:rPr>
      <w:rFonts w:ascii="Calibri" w:eastAsia="Calibri" w:hAnsi="Calibri" w:cs="Times New Roman"/>
    </w:rPr>
  </w:style>
  <w:style w:type="paragraph" w:styleId="En-tte">
    <w:name w:val="header"/>
    <w:basedOn w:val="Normal"/>
    <w:link w:val="En-tteCar"/>
    <w:uiPriority w:val="99"/>
    <w:unhideWhenUsed/>
    <w:rsid w:val="00F10701"/>
    <w:pPr>
      <w:tabs>
        <w:tab w:val="center" w:pos="4536"/>
        <w:tab w:val="right" w:pos="9072"/>
      </w:tabs>
      <w:spacing w:after="0" w:line="240" w:lineRule="auto"/>
    </w:pPr>
  </w:style>
  <w:style w:type="character" w:customStyle="1" w:styleId="En-tteCar">
    <w:name w:val="En-tête Car"/>
    <w:basedOn w:val="Policepardfaut"/>
    <w:link w:val="En-tte"/>
    <w:uiPriority w:val="99"/>
    <w:rsid w:val="00F10701"/>
    <w:rPr>
      <w:rFonts w:ascii="Calibri" w:eastAsia="Calibri" w:hAnsi="Calibri" w:cs="Times New Roman"/>
    </w:rPr>
  </w:style>
  <w:style w:type="paragraph" w:styleId="Pieddepage">
    <w:name w:val="footer"/>
    <w:basedOn w:val="Normal"/>
    <w:link w:val="PieddepageCar"/>
    <w:uiPriority w:val="99"/>
    <w:unhideWhenUsed/>
    <w:rsid w:val="00F107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7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teidh.or.cr/docs/casos/articulos/seriec_146_ing.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minorityright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enable/comp303.htm" TargetMode="External"/><Relationship Id="rId2" Type="http://schemas.openxmlformats.org/officeDocument/2006/relationships/hyperlink" Target="http://www.achpr.org/instruments/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6C005-5DBC-3B4D-BB3E-C2D03425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4749</Words>
  <Characters>26123</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Glenn PAYOT</cp:lastModifiedBy>
  <cp:revision>2</cp:revision>
  <dcterms:created xsi:type="dcterms:W3CDTF">2015-04-30T19:25:00Z</dcterms:created>
  <dcterms:modified xsi:type="dcterms:W3CDTF">2015-04-30T19:25:00Z</dcterms:modified>
</cp:coreProperties>
</file>