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194C" w14:textId="18CFB989" w:rsidR="00C36763" w:rsidRDefault="00BE34C8" w:rsidP="005179CF">
      <w:pPr>
        <w:jc w:val="center"/>
      </w:pPr>
      <w:r w:rsidRPr="00B246F0">
        <w:rPr>
          <w:b/>
          <w:sz w:val="34"/>
          <w:szCs w:val="34"/>
        </w:rPr>
        <w:t xml:space="preserve">Increased </w:t>
      </w:r>
      <w:r w:rsidR="0016559E" w:rsidRPr="00B246F0">
        <w:rPr>
          <w:b/>
          <w:sz w:val="34"/>
          <w:szCs w:val="34"/>
        </w:rPr>
        <w:t xml:space="preserve">Criminalization, </w:t>
      </w:r>
      <w:r w:rsidR="00B40F54" w:rsidRPr="00B246F0">
        <w:rPr>
          <w:b/>
          <w:sz w:val="34"/>
          <w:szCs w:val="34"/>
        </w:rPr>
        <w:t xml:space="preserve">Arbitrary Detention, </w:t>
      </w:r>
      <w:r w:rsidR="0016559E" w:rsidRPr="00B246F0">
        <w:rPr>
          <w:b/>
          <w:sz w:val="34"/>
          <w:szCs w:val="34"/>
        </w:rPr>
        <w:t xml:space="preserve">and other </w:t>
      </w:r>
      <w:r w:rsidR="00B246F0" w:rsidRPr="00B246F0">
        <w:rPr>
          <w:b/>
          <w:sz w:val="34"/>
          <w:szCs w:val="34"/>
        </w:rPr>
        <w:t xml:space="preserve">Deprivations of </w:t>
      </w:r>
      <w:r w:rsidR="000550AB">
        <w:rPr>
          <w:b/>
          <w:sz w:val="34"/>
          <w:szCs w:val="34"/>
        </w:rPr>
        <w:t xml:space="preserve">the </w:t>
      </w:r>
      <w:r w:rsidR="00B246F0" w:rsidRPr="00B246F0">
        <w:rPr>
          <w:b/>
          <w:sz w:val="34"/>
          <w:szCs w:val="34"/>
        </w:rPr>
        <w:t>Right to L</w:t>
      </w:r>
      <w:r w:rsidR="002B2ABC" w:rsidRPr="00B246F0">
        <w:rPr>
          <w:b/>
          <w:sz w:val="34"/>
          <w:szCs w:val="34"/>
        </w:rPr>
        <w:t xml:space="preserve">iberty and </w:t>
      </w:r>
      <w:r w:rsidR="00B246F0" w:rsidRPr="00B246F0">
        <w:rPr>
          <w:b/>
          <w:sz w:val="34"/>
          <w:szCs w:val="34"/>
        </w:rPr>
        <w:t>Security of P</w:t>
      </w:r>
      <w:r w:rsidR="002B2ABC" w:rsidRPr="00B246F0">
        <w:rPr>
          <w:b/>
          <w:sz w:val="34"/>
          <w:szCs w:val="34"/>
        </w:rPr>
        <w:t>erson</w:t>
      </w:r>
      <w:r w:rsidR="0016559E" w:rsidRPr="00B246F0">
        <w:rPr>
          <w:b/>
          <w:sz w:val="34"/>
          <w:szCs w:val="34"/>
        </w:rPr>
        <w:t xml:space="preserve"> for Lesbian, Gay, Bisexual and Transgender </w:t>
      </w:r>
      <w:r w:rsidRPr="00B246F0">
        <w:rPr>
          <w:b/>
          <w:sz w:val="34"/>
          <w:szCs w:val="34"/>
        </w:rPr>
        <w:t xml:space="preserve">(LGBT) </w:t>
      </w:r>
      <w:r w:rsidR="003B5F85">
        <w:rPr>
          <w:b/>
          <w:sz w:val="34"/>
          <w:szCs w:val="34"/>
        </w:rPr>
        <w:t xml:space="preserve">and Intersex </w:t>
      </w:r>
      <w:r w:rsidR="0016559E" w:rsidRPr="00B246F0">
        <w:rPr>
          <w:b/>
          <w:sz w:val="34"/>
          <w:szCs w:val="34"/>
        </w:rPr>
        <w:t>People</w:t>
      </w:r>
    </w:p>
    <w:p w14:paraId="62FAF0C7" w14:textId="77777777" w:rsidR="00C36763" w:rsidRPr="00C36763" w:rsidRDefault="00C36763" w:rsidP="005179CF">
      <w:pPr>
        <w:jc w:val="center"/>
        <w:rPr>
          <w:sz w:val="28"/>
          <w:szCs w:val="28"/>
        </w:rPr>
      </w:pPr>
    </w:p>
    <w:p w14:paraId="4B973F31" w14:textId="67964EE9" w:rsidR="00C36763" w:rsidRDefault="005179CF" w:rsidP="005179CF">
      <w:pPr>
        <w:jc w:val="center"/>
        <w:rPr>
          <w:sz w:val="28"/>
          <w:szCs w:val="28"/>
        </w:rPr>
      </w:pPr>
      <w:r w:rsidRPr="00C36763">
        <w:rPr>
          <w:sz w:val="28"/>
          <w:szCs w:val="28"/>
        </w:rPr>
        <w:t>Draft General Comment</w:t>
      </w:r>
      <w:r w:rsidR="00C36763">
        <w:rPr>
          <w:sz w:val="28"/>
          <w:szCs w:val="28"/>
        </w:rPr>
        <w:t xml:space="preserve">: </w:t>
      </w:r>
      <w:r w:rsidRPr="00C36763">
        <w:rPr>
          <w:sz w:val="28"/>
          <w:szCs w:val="28"/>
        </w:rPr>
        <w:t>Libert</w:t>
      </w:r>
      <w:r w:rsidR="00C36763">
        <w:rPr>
          <w:sz w:val="28"/>
          <w:szCs w:val="28"/>
        </w:rPr>
        <w:t>y and Security of the Person</w:t>
      </w:r>
    </w:p>
    <w:p w14:paraId="018D2CCA" w14:textId="7307E023" w:rsidR="005179CF" w:rsidRPr="00C36763" w:rsidRDefault="005179CF" w:rsidP="005179CF">
      <w:pPr>
        <w:jc w:val="center"/>
        <w:rPr>
          <w:sz w:val="28"/>
          <w:szCs w:val="28"/>
        </w:rPr>
      </w:pPr>
      <w:r w:rsidRPr="00C36763">
        <w:rPr>
          <w:sz w:val="28"/>
          <w:szCs w:val="28"/>
        </w:rPr>
        <w:t>Article 9 of the International Covenant on Civil and Political Rights</w:t>
      </w:r>
    </w:p>
    <w:p w14:paraId="3B4ACF08" w14:textId="77777777" w:rsidR="005179CF" w:rsidRPr="00C36763" w:rsidRDefault="005179CF" w:rsidP="00F75CC3">
      <w:pPr>
        <w:rPr>
          <w:sz w:val="28"/>
          <w:szCs w:val="28"/>
        </w:rPr>
      </w:pPr>
    </w:p>
    <w:p w14:paraId="5B170197" w14:textId="77777777" w:rsidR="00C36763" w:rsidRPr="00C36763" w:rsidRDefault="00C36763" w:rsidP="0049093D">
      <w:pPr>
        <w:rPr>
          <w:b/>
          <w:sz w:val="28"/>
          <w:szCs w:val="28"/>
          <w:u w:val="single"/>
        </w:rPr>
      </w:pPr>
    </w:p>
    <w:p w14:paraId="1D290D6D" w14:textId="2B45E750" w:rsidR="005179CF" w:rsidRPr="00C36763" w:rsidRDefault="005179CF" w:rsidP="005179CF">
      <w:pPr>
        <w:jc w:val="center"/>
        <w:rPr>
          <w:sz w:val="28"/>
          <w:szCs w:val="28"/>
        </w:rPr>
      </w:pPr>
      <w:r w:rsidRPr="00C36763">
        <w:rPr>
          <w:b/>
          <w:sz w:val="28"/>
          <w:szCs w:val="28"/>
          <w:u w:val="single"/>
        </w:rPr>
        <w:t>SUBMITTED TO</w:t>
      </w:r>
      <w:r w:rsidRPr="00C36763">
        <w:rPr>
          <w:sz w:val="28"/>
          <w:szCs w:val="28"/>
        </w:rPr>
        <w:t>:</w:t>
      </w:r>
    </w:p>
    <w:p w14:paraId="236C21BF" w14:textId="06576CF0" w:rsidR="00C36763" w:rsidRPr="00C36763" w:rsidRDefault="005179CF" w:rsidP="00C36763">
      <w:pPr>
        <w:jc w:val="center"/>
        <w:rPr>
          <w:sz w:val="28"/>
          <w:szCs w:val="28"/>
        </w:rPr>
      </w:pPr>
      <w:r w:rsidRPr="00C36763">
        <w:rPr>
          <w:sz w:val="28"/>
          <w:szCs w:val="28"/>
        </w:rPr>
        <w:t xml:space="preserve">The United Nations </w:t>
      </w:r>
      <w:r w:rsidR="00F75CC3" w:rsidRPr="00C36763">
        <w:rPr>
          <w:sz w:val="28"/>
          <w:szCs w:val="28"/>
        </w:rPr>
        <w:t>Human Rights Committee</w:t>
      </w:r>
    </w:p>
    <w:p w14:paraId="76DFA363" w14:textId="7C8C0A17" w:rsidR="00C36763" w:rsidRPr="00C36763" w:rsidRDefault="00C36763" w:rsidP="005179CF">
      <w:pPr>
        <w:jc w:val="center"/>
        <w:rPr>
          <w:sz w:val="28"/>
          <w:szCs w:val="28"/>
        </w:rPr>
      </w:pPr>
      <w:r w:rsidRPr="00C36763">
        <w:rPr>
          <w:sz w:val="28"/>
          <w:szCs w:val="28"/>
        </w:rPr>
        <w:t>June 1, 2014</w:t>
      </w:r>
    </w:p>
    <w:p w14:paraId="342BC210" w14:textId="77777777" w:rsidR="005179CF" w:rsidRPr="00C36763" w:rsidRDefault="005179CF" w:rsidP="005179CF">
      <w:pPr>
        <w:jc w:val="center"/>
        <w:rPr>
          <w:sz w:val="28"/>
          <w:szCs w:val="28"/>
        </w:rPr>
      </w:pPr>
    </w:p>
    <w:p w14:paraId="7C17E7EA" w14:textId="77777777" w:rsidR="00C36763" w:rsidRDefault="00C36763" w:rsidP="00155E22">
      <w:pPr>
        <w:rPr>
          <w:b/>
          <w:u w:val="single"/>
        </w:rPr>
      </w:pPr>
    </w:p>
    <w:p w14:paraId="22A9232E" w14:textId="213ADE98" w:rsidR="00776E08" w:rsidRPr="00C36763" w:rsidRDefault="005179CF" w:rsidP="005179CF">
      <w:pPr>
        <w:jc w:val="center"/>
        <w:rPr>
          <w:b/>
          <w:sz w:val="28"/>
          <w:szCs w:val="28"/>
          <w:u w:val="single"/>
        </w:rPr>
      </w:pPr>
      <w:r w:rsidRPr="00C36763">
        <w:rPr>
          <w:b/>
          <w:sz w:val="28"/>
          <w:szCs w:val="28"/>
          <w:u w:val="single"/>
        </w:rPr>
        <w:t>SUBMITTED BY:</w:t>
      </w:r>
    </w:p>
    <w:p w14:paraId="6E5184C9" w14:textId="77777777" w:rsidR="00155E22" w:rsidRDefault="00155E22" w:rsidP="00155E22"/>
    <w:p w14:paraId="4D579D3A" w14:textId="77777777" w:rsidR="00155E22" w:rsidRDefault="00155E22" w:rsidP="00155E22">
      <w:pPr>
        <w:sectPr w:rsidR="00155E22" w:rsidSect="005179CF">
          <w:footerReference w:type="even" r:id="rId8"/>
          <w:footerReference w:type="default" r:id="rId9"/>
          <w:pgSz w:w="12240" w:h="15840"/>
          <w:pgMar w:top="1440" w:right="1440" w:bottom="1440" w:left="1440" w:header="720" w:footer="720" w:gutter="0"/>
          <w:pgNumType w:start="0"/>
          <w:cols w:space="720"/>
          <w:titlePg/>
        </w:sectPr>
      </w:pPr>
    </w:p>
    <w:p w14:paraId="469F7FBE" w14:textId="098C8185" w:rsidR="0049093D" w:rsidRPr="0049093D" w:rsidRDefault="0049093D" w:rsidP="00155E22">
      <w:pPr>
        <w:pStyle w:val="ListParagraph"/>
        <w:numPr>
          <w:ilvl w:val="0"/>
          <w:numId w:val="6"/>
        </w:numPr>
        <w:ind w:right="-270"/>
      </w:pPr>
      <w:r w:rsidRPr="0049093D">
        <w:t>Advocates for Youth, Global</w:t>
      </w:r>
    </w:p>
    <w:p w14:paraId="6FF483B9" w14:textId="77777777" w:rsidR="0049093D" w:rsidRPr="0049093D" w:rsidRDefault="0049093D" w:rsidP="00155E22">
      <w:pPr>
        <w:pStyle w:val="ListParagraph"/>
        <w:numPr>
          <w:ilvl w:val="0"/>
          <w:numId w:val="6"/>
        </w:numPr>
        <w:ind w:right="-270"/>
      </w:pPr>
      <w:r w:rsidRPr="0049093D">
        <w:t>Ahwaa.org, Regional: Middle East and North Africa</w:t>
      </w:r>
    </w:p>
    <w:p w14:paraId="126E3909" w14:textId="77777777" w:rsidR="0049093D" w:rsidRDefault="0049093D" w:rsidP="00155E22">
      <w:pPr>
        <w:pStyle w:val="ListParagraph"/>
        <w:numPr>
          <w:ilvl w:val="0"/>
          <w:numId w:val="6"/>
        </w:numPr>
        <w:ind w:right="-270"/>
      </w:pPr>
      <w:r w:rsidRPr="0049093D">
        <w:t>ARC International, Global</w:t>
      </w:r>
    </w:p>
    <w:p w14:paraId="370179E9" w14:textId="7B9432D5" w:rsidR="00274F38" w:rsidRPr="0049093D" w:rsidRDefault="00274F38" w:rsidP="00155E22">
      <w:pPr>
        <w:pStyle w:val="ListParagraph"/>
        <w:numPr>
          <w:ilvl w:val="0"/>
          <w:numId w:val="6"/>
        </w:numPr>
        <w:ind w:right="-270"/>
      </w:pPr>
      <w:r>
        <w:t>Association for Women’s Rights in Development (AWID)</w:t>
      </w:r>
    </w:p>
    <w:p w14:paraId="7F6F2191" w14:textId="6567B22E" w:rsidR="00274F38" w:rsidRDefault="00274F38" w:rsidP="00155E22">
      <w:pPr>
        <w:pStyle w:val="ListParagraph"/>
        <w:numPr>
          <w:ilvl w:val="0"/>
          <w:numId w:val="6"/>
        </w:numPr>
        <w:ind w:right="-270"/>
      </w:pPr>
      <w:r>
        <w:t>Australian Federation for Women (AFMW)</w:t>
      </w:r>
    </w:p>
    <w:p w14:paraId="298EC63E" w14:textId="07A744A7" w:rsidR="0049093D" w:rsidRPr="0049093D" w:rsidRDefault="0049093D" w:rsidP="00155E22">
      <w:pPr>
        <w:pStyle w:val="ListParagraph"/>
        <w:numPr>
          <w:ilvl w:val="0"/>
          <w:numId w:val="6"/>
        </w:numPr>
        <w:ind w:right="-270"/>
      </w:pPr>
      <w:r w:rsidRPr="0049093D">
        <w:t>Australian Le</w:t>
      </w:r>
      <w:r w:rsidR="00274F38">
        <w:t xml:space="preserve">sbian Medical Association (ALMA) </w:t>
      </w:r>
      <w:r w:rsidRPr="0049093D">
        <w:t>Australia</w:t>
      </w:r>
    </w:p>
    <w:p w14:paraId="6558064C" w14:textId="77777777" w:rsidR="0049093D" w:rsidRPr="0049093D" w:rsidRDefault="0049093D" w:rsidP="00155E22">
      <w:pPr>
        <w:pStyle w:val="ListParagraph"/>
        <w:numPr>
          <w:ilvl w:val="0"/>
          <w:numId w:val="6"/>
        </w:numPr>
        <w:ind w:right="-270"/>
      </w:pPr>
      <w:r w:rsidRPr="0049093D">
        <w:t>Bisexual Alliance Victoria (BAV), Australia</w:t>
      </w:r>
    </w:p>
    <w:p w14:paraId="7CF68046" w14:textId="77777777" w:rsidR="0049093D" w:rsidRPr="0049093D" w:rsidRDefault="0049093D" w:rsidP="00155E22">
      <w:pPr>
        <w:pStyle w:val="ListParagraph"/>
        <w:numPr>
          <w:ilvl w:val="0"/>
          <w:numId w:val="6"/>
        </w:numPr>
        <w:ind w:right="-270"/>
      </w:pPr>
      <w:r w:rsidRPr="0049093D">
        <w:t>Canadian HIV/AIDS Legal Network, Canada</w:t>
      </w:r>
    </w:p>
    <w:p w14:paraId="17A40880" w14:textId="2277E735" w:rsidR="0049093D" w:rsidRPr="0049093D" w:rsidRDefault="0049093D" w:rsidP="00155E22">
      <w:pPr>
        <w:pStyle w:val="ListParagraph"/>
        <w:numPr>
          <w:ilvl w:val="0"/>
          <w:numId w:val="6"/>
        </w:numPr>
        <w:ind w:right="-270"/>
      </w:pPr>
      <w:r w:rsidRPr="0049093D">
        <w:t>Caribbean Forum for Liberation and Acceptance of Genders and Sexualities (</w:t>
      </w:r>
      <w:proofErr w:type="spellStart"/>
      <w:r w:rsidRPr="0049093D">
        <w:t>CariFLAGS</w:t>
      </w:r>
      <w:proofErr w:type="spellEnd"/>
      <w:r w:rsidRPr="0049093D">
        <w:t>), Caribbean</w:t>
      </w:r>
    </w:p>
    <w:p w14:paraId="0AE6CEC6" w14:textId="77777777" w:rsidR="0049093D" w:rsidRPr="0049093D" w:rsidRDefault="0049093D" w:rsidP="00155E22">
      <w:pPr>
        <w:pStyle w:val="ListParagraph"/>
        <w:numPr>
          <w:ilvl w:val="0"/>
          <w:numId w:val="6"/>
        </w:numPr>
        <w:ind w:right="-270"/>
      </w:pPr>
      <w:proofErr w:type="spellStart"/>
      <w:r w:rsidRPr="0049093D">
        <w:t>Cattrachas</w:t>
      </w:r>
      <w:proofErr w:type="spellEnd"/>
      <w:r w:rsidRPr="0049093D">
        <w:t xml:space="preserve"> </w:t>
      </w:r>
      <w:proofErr w:type="spellStart"/>
      <w:r w:rsidRPr="0049093D">
        <w:t>Organizacion</w:t>
      </w:r>
      <w:proofErr w:type="spellEnd"/>
      <w:r w:rsidRPr="0049093D">
        <w:t xml:space="preserve"> </w:t>
      </w:r>
      <w:proofErr w:type="spellStart"/>
      <w:r w:rsidRPr="0049093D">
        <w:t>Lesbica</w:t>
      </w:r>
      <w:proofErr w:type="spellEnd"/>
      <w:r w:rsidRPr="0049093D">
        <w:t xml:space="preserve"> </w:t>
      </w:r>
      <w:proofErr w:type="spellStart"/>
      <w:r w:rsidRPr="0049093D">
        <w:t>Feminista</w:t>
      </w:r>
      <w:proofErr w:type="spellEnd"/>
      <w:r w:rsidRPr="0049093D">
        <w:t>, Honduras</w:t>
      </w:r>
    </w:p>
    <w:p w14:paraId="2A8BC0E3" w14:textId="77777777" w:rsidR="00155E22" w:rsidRDefault="00155E22" w:rsidP="00155E22">
      <w:pPr>
        <w:pStyle w:val="ListParagraph"/>
        <w:numPr>
          <w:ilvl w:val="0"/>
          <w:numId w:val="6"/>
        </w:numPr>
        <w:ind w:right="-270"/>
      </w:pPr>
      <w:r>
        <w:t>COC Netherlands, Netherlands</w:t>
      </w:r>
    </w:p>
    <w:p w14:paraId="53974537" w14:textId="77777777" w:rsidR="0049093D" w:rsidRPr="0049093D" w:rsidRDefault="0049093D" w:rsidP="00155E22">
      <w:pPr>
        <w:pStyle w:val="ListParagraph"/>
        <w:numPr>
          <w:ilvl w:val="0"/>
          <w:numId w:val="6"/>
        </w:numPr>
        <w:ind w:right="-270"/>
      </w:pPr>
      <w:r w:rsidRPr="0049093D">
        <w:t>Colors Rainbow (CRB), Myanmar</w:t>
      </w:r>
    </w:p>
    <w:p w14:paraId="6D472D2A" w14:textId="77777777" w:rsidR="0049093D" w:rsidRPr="0049093D" w:rsidRDefault="0049093D" w:rsidP="00155E22">
      <w:pPr>
        <w:pStyle w:val="ListParagraph"/>
        <w:numPr>
          <w:ilvl w:val="0"/>
          <w:numId w:val="6"/>
        </w:numPr>
        <w:ind w:right="-270"/>
      </w:pPr>
      <w:proofErr w:type="spellStart"/>
      <w:r w:rsidRPr="0049093D">
        <w:t>Comité</w:t>
      </w:r>
      <w:proofErr w:type="spellEnd"/>
      <w:r w:rsidRPr="0049093D">
        <w:t xml:space="preserve"> </w:t>
      </w:r>
      <w:proofErr w:type="spellStart"/>
      <w:r w:rsidRPr="0049093D">
        <w:t>Olímpico</w:t>
      </w:r>
      <w:proofErr w:type="spellEnd"/>
      <w:r w:rsidRPr="0049093D">
        <w:t xml:space="preserve"> LGBTIQ de Nicaragua, Nicaragua</w:t>
      </w:r>
    </w:p>
    <w:p w14:paraId="5E9C8A75" w14:textId="77777777" w:rsidR="0049093D" w:rsidRPr="0049093D" w:rsidRDefault="0049093D" w:rsidP="00155E22">
      <w:pPr>
        <w:pStyle w:val="ListParagraph"/>
        <w:numPr>
          <w:ilvl w:val="0"/>
          <w:numId w:val="6"/>
        </w:numPr>
        <w:ind w:right="-270"/>
      </w:pPr>
      <w:r w:rsidRPr="0049093D">
        <w:t>Diverse Voices and Action for Equality (DIVA for Equality) Fiji, Pacific</w:t>
      </w:r>
    </w:p>
    <w:p w14:paraId="3678A16A" w14:textId="77777777" w:rsidR="0049093D" w:rsidRPr="0049093D" w:rsidRDefault="0049093D" w:rsidP="00155E22">
      <w:pPr>
        <w:pStyle w:val="ListParagraph"/>
        <w:numPr>
          <w:ilvl w:val="0"/>
          <w:numId w:val="6"/>
        </w:numPr>
        <w:ind w:right="-270"/>
      </w:pPr>
      <w:proofErr w:type="spellStart"/>
      <w:r w:rsidRPr="0049093D">
        <w:t>Drodrolagi</w:t>
      </w:r>
      <w:proofErr w:type="spellEnd"/>
      <w:r w:rsidRPr="0049093D">
        <w:t xml:space="preserve"> Movement (</w:t>
      </w:r>
      <w:proofErr w:type="spellStart"/>
      <w:r w:rsidRPr="0049093D">
        <w:t>droMo</w:t>
      </w:r>
      <w:proofErr w:type="spellEnd"/>
      <w:r w:rsidRPr="0049093D">
        <w:t>), Fiji</w:t>
      </w:r>
    </w:p>
    <w:p w14:paraId="4CD54376" w14:textId="77777777" w:rsidR="0049093D" w:rsidRPr="0049093D" w:rsidRDefault="0049093D" w:rsidP="00155E22">
      <w:pPr>
        <w:pStyle w:val="ListParagraph"/>
        <w:numPr>
          <w:ilvl w:val="0"/>
          <w:numId w:val="6"/>
        </w:numPr>
        <w:ind w:right="-270"/>
      </w:pPr>
      <w:proofErr w:type="spellStart"/>
      <w:r w:rsidRPr="0049093D">
        <w:t>Filantropie</w:t>
      </w:r>
      <w:proofErr w:type="spellEnd"/>
      <w:r w:rsidRPr="0049093D">
        <w:t xml:space="preserve"> &amp; </w:t>
      </w:r>
      <w:proofErr w:type="spellStart"/>
      <w:r w:rsidRPr="0049093D">
        <w:t>Advies</w:t>
      </w:r>
      <w:proofErr w:type="spellEnd"/>
      <w:r w:rsidRPr="0049093D">
        <w:t xml:space="preserve"> (FILAD), Netherlands</w:t>
      </w:r>
    </w:p>
    <w:p w14:paraId="2C89EB8C" w14:textId="77777777" w:rsidR="0049093D" w:rsidRPr="0049093D" w:rsidRDefault="0049093D" w:rsidP="00155E22">
      <w:pPr>
        <w:pStyle w:val="ListParagraph"/>
        <w:numPr>
          <w:ilvl w:val="0"/>
          <w:numId w:val="6"/>
        </w:numPr>
        <w:ind w:right="-270"/>
      </w:pPr>
      <w:r w:rsidRPr="0049093D">
        <w:t>Friends of RAINKA (</w:t>
      </w:r>
      <w:proofErr w:type="spellStart"/>
      <w:r w:rsidRPr="0049093D">
        <w:t>FoR</w:t>
      </w:r>
      <w:proofErr w:type="spellEnd"/>
      <w:r w:rsidRPr="0049093D">
        <w:t>), Zambia</w:t>
      </w:r>
    </w:p>
    <w:p w14:paraId="421E1FFE" w14:textId="77777777" w:rsidR="0049093D" w:rsidRPr="0049093D" w:rsidRDefault="0049093D" w:rsidP="00155E22">
      <w:pPr>
        <w:pStyle w:val="ListParagraph"/>
        <w:numPr>
          <w:ilvl w:val="0"/>
          <w:numId w:val="6"/>
        </w:numPr>
        <w:ind w:right="-270"/>
      </w:pPr>
      <w:proofErr w:type="spellStart"/>
      <w:r w:rsidRPr="0049093D">
        <w:t>Fundación</w:t>
      </w:r>
      <w:proofErr w:type="spellEnd"/>
      <w:r w:rsidRPr="0049093D">
        <w:t xml:space="preserve"> </w:t>
      </w:r>
      <w:proofErr w:type="spellStart"/>
      <w:r w:rsidRPr="0049093D">
        <w:t>Diversencia</w:t>
      </w:r>
      <w:proofErr w:type="spellEnd"/>
      <w:r w:rsidRPr="0049093D">
        <w:t xml:space="preserve"> (FD), Bolivia</w:t>
      </w:r>
    </w:p>
    <w:p w14:paraId="18BE2DB7" w14:textId="77777777" w:rsidR="0049093D" w:rsidRPr="0049093D" w:rsidRDefault="0049093D" w:rsidP="00155E22">
      <w:pPr>
        <w:pStyle w:val="ListParagraph"/>
        <w:numPr>
          <w:ilvl w:val="0"/>
          <w:numId w:val="6"/>
        </w:numPr>
        <w:ind w:right="-270"/>
      </w:pPr>
      <w:proofErr w:type="spellStart"/>
      <w:r w:rsidRPr="0049093D">
        <w:t>Fundación</w:t>
      </w:r>
      <w:proofErr w:type="spellEnd"/>
      <w:r w:rsidRPr="0049093D">
        <w:t xml:space="preserve"> </w:t>
      </w:r>
      <w:proofErr w:type="spellStart"/>
      <w:r w:rsidRPr="0049093D">
        <w:t>Triángulo</w:t>
      </w:r>
      <w:proofErr w:type="spellEnd"/>
      <w:r w:rsidRPr="0049093D">
        <w:t xml:space="preserve">, </w:t>
      </w:r>
      <w:proofErr w:type="spellStart"/>
      <w:r w:rsidRPr="0049093D">
        <w:t>por</w:t>
      </w:r>
      <w:proofErr w:type="spellEnd"/>
      <w:r w:rsidRPr="0049093D">
        <w:t xml:space="preserve"> la </w:t>
      </w:r>
      <w:proofErr w:type="spellStart"/>
      <w:r w:rsidRPr="0049093D">
        <w:t>Igualdad</w:t>
      </w:r>
      <w:proofErr w:type="spellEnd"/>
      <w:r w:rsidRPr="0049093D">
        <w:t xml:space="preserve"> Social de </w:t>
      </w:r>
      <w:proofErr w:type="spellStart"/>
      <w:r w:rsidRPr="0049093D">
        <w:t>Lesbianas</w:t>
      </w:r>
      <w:proofErr w:type="spellEnd"/>
      <w:r w:rsidRPr="0049093D">
        <w:t xml:space="preserve">, </w:t>
      </w:r>
      <w:proofErr w:type="spellStart"/>
      <w:r w:rsidRPr="0049093D">
        <w:t>Gais</w:t>
      </w:r>
      <w:proofErr w:type="spellEnd"/>
      <w:r w:rsidRPr="0049093D">
        <w:t xml:space="preserve">, </w:t>
      </w:r>
      <w:proofErr w:type="spellStart"/>
      <w:r w:rsidRPr="0049093D">
        <w:t>Bisexuales</w:t>
      </w:r>
      <w:proofErr w:type="spellEnd"/>
      <w:r w:rsidRPr="0049093D">
        <w:t xml:space="preserve"> y Trans, Spain</w:t>
      </w:r>
    </w:p>
    <w:p w14:paraId="52EC822C" w14:textId="77777777" w:rsidR="0049093D" w:rsidRPr="0049093D" w:rsidRDefault="0049093D" w:rsidP="00155E22">
      <w:pPr>
        <w:pStyle w:val="ListParagraph"/>
        <w:numPr>
          <w:ilvl w:val="0"/>
          <w:numId w:val="6"/>
        </w:numPr>
        <w:ind w:right="-270"/>
      </w:pPr>
      <w:proofErr w:type="spellStart"/>
      <w:r w:rsidRPr="0049093D">
        <w:t>GAYa</w:t>
      </w:r>
      <w:proofErr w:type="spellEnd"/>
      <w:r w:rsidRPr="0049093D">
        <w:t xml:space="preserve"> NUSANTARA (GN), Indonesia</w:t>
      </w:r>
    </w:p>
    <w:p w14:paraId="564AB0C5" w14:textId="0C1234F8" w:rsidR="0049093D" w:rsidRPr="0049093D" w:rsidRDefault="0049093D" w:rsidP="00155E22">
      <w:pPr>
        <w:pStyle w:val="ListParagraph"/>
        <w:numPr>
          <w:ilvl w:val="0"/>
          <w:numId w:val="6"/>
        </w:numPr>
        <w:ind w:right="-270"/>
      </w:pPr>
      <w:r w:rsidRPr="0049093D">
        <w:t>Insight</w:t>
      </w:r>
      <w:r w:rsidR="002A5FFE">
        <w:t xml:space="preserve"> public organization </w:t>
      </w:r>
      <w:r w:rsidRPr="0049093D">
        <w:t>Insight, Ukraine</w:t>
      </w:r>
    </w:p>
    <w:p w14:paraId="0A6C46CB" w14:textId="2A28A07A" w:rsidR="0049093D" w:rsidRPr="0049093D" w:rsidRDefault="0049093D" w:rsidP="00155E22">
      <w:pPr>
        <w:pStyle w:val="ListParagraph"/>
        <w:numPr>
          <w:ilvl w:val="0"/>
          <w:numId w:val="6"/>
        </w:numPr>
        <w:ind w:right="-270"/>
      </w:pPr>
      <w:proofErr w:type="spellStart"/>
      <w:r w:rsidRPr="0049093D">
        <w:t>Instituto</w:t>
      </w:r>
      <w:proofErr w:type="spellEnd"/>
      <w:r w:rsidRPr="0049093D">
        <w:t xml:space="preserve"> </w:t>
      </w:r>
      <w:proofErr w:type="spellStart"/>
      <w:r w:rsidRPr="0049093D">
        <w:t>Runa</w:t>
      </w:r>
      <w:proofErr w:type="spellEnd"/>
      <w:r w:rsidRPr="0049093D">
        <w:t xml:space="preserve"> de </w:t>
      </w:r>
      <w:proofErr w:type="spellStart"/>
      <w:r w:rsidRPr="0049093D">
        <w:t>Desarrollo</w:t>
      </w:r>
      <w:proofErr w:type="spellEnd"/>
      <w:r w:rsidRPr="0049093D">
        <w:t xml:space="preserve"> y </w:t>
      </w:r>
      <w:proofErr w:type="spellStart"/>
      <w:r w:rsidRPr="0049093D">
        <w:t>E</w:t>
      </w:r>
      <w:r w:rsidR="002A5FFE">
        <w:t>studios</w:t>
      </w:r>
      <w:proofErr w:type="spellEnd"/>
      <w:r w:rsidR="002A5FFE">
        <w:t xml:space="preserve"> </w:t>
      </w:r>
      <w:proofErr w:type="spellStart"/>
      <w:r w:rsidR="002A5FFE">
        <w:t>sobre</w:t>
      </w:r>
      <w:proofErr w:type="spellEnd"/>
      <w:r w:rsidR="002A5FFE">
        <w:t xml:space="preserve"> </w:t>
      </w:r>
      <w:proofErr w:type="spellStart"/>
      <w:r w:rsidR="002A5FFE">
        <w:t>Género</w:t>
      </w:r>
      <w:proofErr w:type="spellEnd"/>
      <w:r w:rsidR="002A5FFE">
        <w:t xml:space="preserve"> </w:t>
      </w:r>
      <w:proofErr w:type="spellStart"/>
      <w:r w:rsidRPr="0049093D">
        <w:t>Instituto</w:t>
      </w:r>
      <w:proofErr w:type="spellEnd"/>
      <w:r w:rsidRPr="0049093D">
        <w:t xml:space="preserve"> </w:t>
      </w:r>
      <w:proofErr w:type="spellStart"/>
      <w:r w:rsidRPr="0049093D">
        <w:t>Runa</w:t>
      </w:r>
      <w:proofErr w:type="spellEnd"/>
      <w:r w:rsidRPr="0049093D">
        <w:t>, Peru</w:t>
      </w:r>
    </w:p>
    <w:p w14:paraId="5FEFB200" w14:textId="77777777" w:rsidR="00155E22" w:rsidRDefault="00155E22" w:rsidP="00155E22">
      <w:pPr>
        <w:pStyle w:val="ListParagraph"/>
        <w:numPr>
          <w:ilvl w:val="0"/>
          <w:numId w:val="6"/>
        </w:numPr>
        <w:ind w:right="-270"/>
      </w:pPr>
      <w:r>
        <w:t>International Gay and Lesbian Human Rights Commission (IGLHRC), International</w:t>
      </w:r>
    </w:p>
    <w:p w14:paraId="3A6DB7B0" w14:textId="77777777" w:rsidR="00155E22" w:rsidRDefault="00155E22" w:rsidP="00155E22">
      <w:pPr>
        <w:pStyle w:val="ListParagraph"/>
        <w:numPr>
          <w:ilvl w:val="0"/>
          <w:numId w:val="6"/>
        </w:numPr>
        <w:ind w:right="-270"/>
      </w:pPr>
      <w:r>
        <w:t>International Lesbian, Gay, Bisexual, Trans and Intersex Association (ILGA), International</w:t>
      </w:r>
    </w:p>
    <w:p w14:paraId="76E48953" w14:textId="77777777" w:rsidR="0049093D" w:rsidRPr="0049093D" w:rsidRDefault="0049093D" w:rsidP="00155E22">
      <w:pPr>
        <w:pStyle w:val="ListParagraph"/>
        <w:numPr>
          <w:ilvl w:val="0"/>
          <w:numId w:val="6"/>
        </w:numPr>
        <w:ind w:right="-270"/>
      </w:pPr>
      <w:r w:rsidRPr="0049093D">
        <w:t>International Planned Parenthood Federation IPPF, Global</w:t>
      </w:r>
    </w:p>
    <w:p w14:paraId="38751C1B" w14:textId="77777777" w:rsidR="0049093D" w:rsidRPr="0049093D" w:rsidRDefault="0049093D" w:rsidP="00155E22">
      <w:pPr>
        <w:pStyle w:val="ListParagraph"/>
        <w:numPr>
          <w:ilvl w:val="0"/>
          <w:numId w:val="6"/>
        </w:numPr>
        <w:ind w:right="-270"/>
      </w:pPr>
      <w:r w:rsidRPr="0049093D">
        <w:t>Justice for Sisters            </w:t>
      </w:r>
    </w:p>
    <w:p w14:paraId="7FC40176" w14:textId="77777777" w:rsidR="0049093D" w:rsidRPr="0049093D" w:rsidRDefault="0049093D" w:rsidP="00155E22">
      <w:pPr>
        <w:pStyle w:val="ListParagraph"/>
        <w:numPr>
          <w:ilvl w:val="0"/>
          <w:numId w:val="6"/>
        </w:numPr>
        <w:ind w:right="-270"/>
      </w:pPr>
      <w:proofErr w:type="spellStart"/>
      <w:r w:rsidRPr="0049093D">
        <w:t>Landsforeningen</w:t>
      </w:r>
      <w:proofErr w:type="spellEnd"/>
      <w:r w:rsidRPr="0049093D">
        <w:t xml:space="preserve"> for </w:t>
      </w:r>
      <w:proofErr w:type="spellStart"/>
      <w:r w:rsidRPr="0049093D">
        <w:t>lesbiske</w:t>
      </w:r>
      <w:proofErr w:type="spellEnd"/>
      <w:r w:rsidRPr="0049093D">
        <w:t xml:space="preserve">, </w:t>
      </w:r>
      <w:proofErr w:type="spellStart"/>
      <w:r w:rsidRPr="0049093D">
        <w:t>homofile</w:t>
      </w:r>
      <w:proofErr w:type="spellEnd"/>
      <w:r w:rsidRPr="0049093D">
        <w:t xml:space="preserve">, </w:t>
      </w:r>
      <w:proofErr w:type="spellStart"/>
      <w:r w:rsidRPr="0049093D">
        <w:t>bifile</w:t>
      </w:r>
      <w:proofErr w:type="spellEnd"/>
      <w:r w:rsidRPr="0049093D">
        <w:t xml:space="preserve"> </w:t>
      </w:r>
      <w:proofErr w:type="spellStart"/>
      <w:r w:rsidRPr="0049093D">
        <w:t>og</w:t>
      </w:r>
      <w:proofErr w:type="spellEnd"/>
      <w:r w:rsidRPr="0049093D">
        <w:t xml:space="preserve"> </w:t>
      </w:r>
      <w:proofErr w:type="spellStart"/>
      <w:r w:rsidRPr="0049093D">
        <w:t>transpersoner</w:t>
      </w:r>
      <w:proofErr w:type="spellEnd"/>
      <w:r w:rsidRPr="0049093D">
        <w:t xml:space="preserve"> (LLH), Norway</w:t>
      </w:r>
    </w:p>
    <w:p w14:paraId="1D78FAEA" w14:textId="77777777" w:rsidR="0049093D" w:rsidRPr="0049093D" w:rsidRDefault="0049093D" w:rsidP="00155E22">
      <w:pPr>
        <w:pStyle w:val="ListParagraph"/>
        <w:numPr>
          <w:ilvl w:val="0"/>
          <w:numId w:val="6"/>
        </w:numPr>
        <w:ind w:right="-270"/>
      </w:pPr>
      <w:r w:rsidRPr="0049093D">
        <w:t>MANODIVERSA CIVIL ASOCIATION MANODIVERSA, Bolivia</w:t>
      </w:r>
    </w:p>
    <w:p w14:paraId="453E9DFA" w14:textId="77777777" w:rsidR="0049093D" w:rsidRPr="0049093D" w:rsidRDefault="0049093D" w:rsidP="00155E22">
      <w:pPr>
        <w:pStyle w:val="ListParagraph"/>
        <w:numPr>
          <w:ilvl w:val="0"/>
          <w:numId w:val="6"/>
        </w:numPr>
        <w:ind w:right="-270"/>
      </w:pPr>
      <w:r w:rsidRPr="0049093D">
        <w:t>Micro Rainbow International (MRI)           </w:t>
      </w:r>
    </w:p>
    <w:p w14:paraId="0E3F57CA" w14:textId="77777777" w:rsidR="0049093D" w:rsidRPr="0049093D" w:rsidRDefault="0049093D" w:rsidP="00155E22">
      <w:pPr>
        <w:pStyle w:val="ListParagraph"/>
        <w:numPr>
          <w:ilvl w:val="0"/>
          <w:numId w:val="6"/>
        </w:numPr>
        <w:ind w:right="-270"/>
      </w:pPr>
      <w:r w:rsidRPr="0049093D">
        <w:t>Network of European LGBT Families Associations (NELFA) Belgium</w:t>
      </w:r>
    </w:p>
    <w:p w14:paraId="23E180CD" w14:textId="77777777" w:rsidR="00155E22" w:rsidRDefault="00155E22" w:rsidP="00155E22">
      <w:pPr>
        <w:pStyle w:val="ListParagraph"/>
        <w:numPr>
          <w:ilvl w:val="0"/>
          <w:numId w:val="6"/>
        </w:numPr>
        <w:ind w:right="-270"/>
      </w:pPr>
      <w:proofErr w:type="spellStart"/>
      <w:r>
        <w:t>Organisation</w:t>
      </w:r>
      <w:proofErr w:type="spellEnd"/>
      <w:r>
        <w:t xml:space="preserve"> Intersex International (OII) Australia, Australia</w:t>
      </w:r>
    </w:p>
    <w:p w14:paraId="2F179D4D" w14:textId="77777777" w:rsidR="0049093D" w:rsidRPr="0049093D" w:rsidRDefault="0049093D" w:rsidP="00155E22">
      <w:pPr>
        <w:pStyle w:val="ListParagraph"/>
        <w:numPr>
          <w:ilvl w:val="0"/>
          <w:numId w:val="6"/>
        </w:numPr>
        <w:ind w:right="-270"/>
      </w:pPr>
      <w:r w:rsidRPr="0049093D">
        <w:t>Organization for Refuge, Asylum &amp; Migration (ORAM), Global</w:t>
      </w:r>
    </w:p>
    <w:p w14:paraId="37FA604D" w14:textId="77777777" w:rsidR="0049093D" w:rsidRPr="0049093D" w:rsidRDefault="0049093D" w:rsidP="00155E22">
      <w:pPr>
        <w:pStyle w:val="ListParagraph"/>
        <w:numPr>
          <w:ilvl w:val="0"/>
          <w:numId w:val="6"/>
        </w:numPr>
        <w:ind w:right="-270"/>
      </w:pPr>
      <w:r w:rsidRPr="0049093D">
        <w:t>Pacific Feminist SRHR Coalition, Regional: Pacific</w:t>
      </w:r>
    </w:p>
    <w:p w14:paraId="1B4D2ED6" w14:textId="77777777" w:rsidR="0049093D" w:rsidRPr="0049093D" w:rsidRDefault="0049093D" w:rsidP="00155E22">
      <w:pPr>
        <w:pStyle w:val="ListParagraph"/>
        <w:numPr>
          <w:ilvl w:val="0"/>
          <w:numId w:val="6"/>
        </w:numPr>
        <w:ind w:right="-270"/>
      </w:pPr>
      <w:proofErr w:type="spellStart"/>
      <w:r w:rsidRPr="0049093D">
        <w:t>PinkAnatomy</w:t>
      </w:r>
      <w:proofErr w:type="spellEnd"/>
      <w:r w:rsidRPr="0049093D">
        <w:t xml:space="preserve"> BWPAB, Botswana</w:t>
      </w:r>
    </w:p>
    <w:p w14:paraId="7B0A7871" w14:textId="77777777" w:rsidR="0049093D" w:rsidRPr="0049093D" w:rsidRDefault="0049093D" w:rsidP="00155E22">
      <w:pPr>
        <w:pStyle w:val="ListParagraph"/>
        <w:numPr>
          <w:ilvl w:val="0"/>
          <w:numId w:val="6"/>
        </w:numPr>
        <w:ind w:right="-270"/>
      </w:pPr>
      <w:proofErr w:type="spellStart"/>
      <w:r w:rsidRPr="0049093D">
        <w:t>Punanga</w:t>
      </w:r>
      <w:proofErr w:type="spellEnd"/>
      <w:r w:rsidRPr="0049093D">
        <w:t xml:space="preserve"> </w:t>
      </w:r>
      <w:proofErr w:type="spellStart"/>
      <w:r w:rsidRPr="0049093D">
        <w:t>Tauturu</w:t>
      </w:r>
      <w:proofErr w:type="spellEnd"/>
      <w:r w:rsidRPr="0049093D">
        <w:t xml:space="preserve"> Inc. (PTI), Cook Islands</w:t>
      </w:r>
    </w:p>
    <w:p w14:paraId="5BBB89CD" w14:textId="77777777" w:rsidR="0049093D" w:rsidRPr="0049093D" w:rsidRDefault="0049093D" w:rsidP="00155E22">
      <w:pPr>
        <w:pStyle w:val="ListParagraph"/>
        <w:numPr>
          <w:ilvl w:val="0"/>
          <w:numId w:val="6"/>
        </w:numPr>
        <w:ind w:right="-270"/>
      </w:pPr>
      <w:r w:rsidRPr="0049093D">
        <w:t>Quality of Citizenship Jamaica (QCJ), Jamaica</w:t>
      </w:r>
    </w:p>
    <w:p w14:paraId="44A255F7" w14:textId="77777777" w:rsidR="0049093D" w:rsidRPr="0049093D" w:rsidRDefault="0049093D" w:rsidP="00155E22">
      <w:pPr>
        <w:pStyle w:val="ListParagraph"/>
        <w:numPr>
          <w:ilvl w:val="0"/>
          <w:numId w:val="6"/>
        </w:numPr>
        <w:ind w:right="-270"/>
      </w:pPr>
      <w:r w:rsidRPr="0049093D">
        <w:t>St. Paul's Foundation, United States of America</w:t>
      </w:r>
    </w:p>
    <w:p w14:paraId="22C8AC10" w14:textId="188118AD" w:rsidR="0049093D" w:rsidRPr="0049093D" w:rsidRDefault="0049093D" w:rsidP="00155E22">
      <w:pPr>
        <w:pStyle w:val="ListParagraph"/>
        <w:numPr>
          <w:ilvl w:val="0"/>
          <w:numId w:val="6"/>
        </w:numPr>
        <w:ind w:right="-270"/>
      </w:pPr>
      <w:r w:rsidRPr="0049093D">
        <w:t>The Glob</w:t>
      </w:r>
      <w:r w:rsidR="002A5FFE">
        <w:t>al Forum on MSM &amp; HIV (</w:t>
      </w:r>
      <w:r w:rsidRPr="0049093D">
        <w:t>MSMGF</w:t>
      </w:r>
      <w:r w:rsidR="002A5FFE">
        <w:t>)</w:t>
      </w:r>
      <w:r w:rsidRPr="0049093D">
        <w:t>, United States of America</w:t>
      </w:r>
    </w:p>
    <w:p w14:paraId="077DB8A8" w14:textId="77777777" w:rsidR="0049093D" w:rsidRPr="0049093D" w:rsidRDefault="0049093D" w:rsidP="00155E22">
      <w:pPr>
        <w:pStyle w:val="ListParagraph"/>
        <w:numPr>
          <w:ilvl w:val="0"/>
          <w:numId w:val="6"/>
        </w:numPr>
        <w:ind w:right="-270"/>
      </w:pPr>
      <w:r w:rsidRPr="0049093D">
        <w:t>The Swedish Federation for Lesbian, Gay, Bisexual and Transgender Rights (RFSL), Sweden</w:t>
      </w:r>
    </w:p>
    <w:p w14:paraId="7D21CC82" w14:textId="77777777" w:rsidR="0049093D" w:rsidRPr="0049093D" w:rsidRDefault="0049093D" w:rsidP="00155E22">
      <w:pPr>
        <w:pStyle w:val="ListParagraph"/>
        <w:numPr>
          <w:ilvl w:val="0"/>
          <w:numId w:val="6"/>
        </w:numPr>
        <w:ind w:right="-270"/>
      </w:pPr>
      <w:r w:rsidRPr="0049093D">
        <w:t xml:space="preserve">Tonga </w:t>
      </w:r>
      <w:proofErr w:type="spellStart"/>
      <w:r w:rsidRPr="0049093D">
        <w:t>Leitis</w:t>
      </w:r>
      <w:proofErr w:type="spellEnd"/>
      <w:r w:rsidRPr="0049093D">
        <w:t>' Association (TLA), Tonga</w:t>
      </w:r>
    </w:p>
    <w:p w14:paraId="14AFA25F" w14:textId="77777777" w:rsidR="0049093D" w:rsidRPr="0049093D" w:rsidRDefault="0049093D" w:rsidP="00155E22">
      <w:pPr>
        <w:pStyle w:val="ListParagraph"/>
        <w:numPr>
          <w:ilvl w:val="0"/>
          <w:numId w:val="6"/>
        </w:numPr>
        <w:ind w:right="-270"/>
      </w:pPr>
      <w:r w:rsidRPr="0049093D">
        <w:t>Transgender Victoria (TGV), Australia</w:t>
      </w:r>
    </w:p>
    <w:p w14:paraId="30F4D5D4" w14:textId="77777777" w:rsidR="0049093D" w:rsidRPr="0049093D" w:rsidRDefault="0049093D" w:rsidP="00155E22">
      <w:pPr>
        <w:pStyle w:val="ListParagraph"/>
        <w:numPr>
          <w:ilvl w:val="0"/>
          <w:numId w:val="6"/>
        </w:numPr>
        <w:ind w:right="-270"/>
      </w:pPr>
      <w:r w:rsidRPr="0049093D">
        <w:t>Unitarian Universalist United Nations Office (UU-UNO), United States of America</w:t>
      </w:r>
    </w:p>
    <w:p w14:paraId="3BBBEC26" w14:textId="77777777" w:rsidR="0049093D" w:rsidRPr="0049093D" w:rsidRDefault="0049093D" w:rsidP="00155E22">
      <w:pPr>
        <w:pStyle w:val="ListParagraph"/>
        <w:numPr>
          <w:ilvl w:val="0"/>
          <w:numId w:val="6"/>
        </w:numPr>
        <w:ind w:right="-270"/>
      </w:pPr>
      <w:r w:rsidRPr="0049093D">
        <w:t>United and Strong Inc. (U&amp;S), Saint Lucia</w:t>
      </w:r>
    </w:p>
    <w:p w14:paraId="335F483F" w14:textId="77777777" w:rsidR="0049093D" w:rsidRPr="0049093D" w:rsidRDefault="0049093D" w:rsidP="00155E22">
      <w:pPr>
        <w:pStyle w:val="ListParagraph"/>
        <w:numPr>
          <w:ilvl w:val="0"/>
          <w:numId w:val="6"/>
        </w:numPr>
        <w:ind w:right="-270"/>
      </w:pPr>
      <w:r w:rsidRPr="0049093D">
        <w:t>Victorian Gay and Lesbian Rights Lobby (VGLRL) Australia</w:t>
      </w:r>
    </w:p>
    <w:p w14:paraId="24E310AA" w14:textId="77777777" w:rsidR="00155E22" w:rsidRDefault="00155E22" w:rsidP="00155E22">
      <w:pPr>
        <w:sectPr w:rsidR="00155E22" w:rsidSect="00155E22">
          <w:type w:val="continuous"/>
          <w:pgSz w:w="12240" w:h="15840"/>
          <w:pgMar w:top="1440" w:right="1440" w:bottom="1440" w:left="1440" w:header="720" w:footer="720" w:gutter="0"/>
          <w:pgNumType w:start="0"/>
          <w:cols w:num="2" w:space="180"/>
          <w:titlePg/>
        </w:sectPr>
      </w:pPr>
    </w:p>
    <w:p w14:paraId="3186B3C9" w14:textId="77777777" w:rsidR="002A5FFE" w:rsidRDefault="002A5FFE" w:rsidP="002A5FFE">
      <w:pPr>
        <w:pStyle w:val="ListParagraph"/>
        <w:ind w:left="810"/>
        <w:jc w:val="both"/>
        <w:rPr>
          <w:b/>
          <w:sz w:val="24"/>
        </w:rPr>
      </w:pPr>
      <w:bookmarkStart w:id="0" w:name="_GoBack"/>
      <w:bookmarkEnd w:id="0"/>
    </w:p>
    <w:p w14:paraId="4DB771BA" w14:textId="3DF3A305" w:rsidR="00041572" w:rsidRPr="005327DA" w:rsidRDefault="00041572" w:rsidP="00155E22">
      <w:pPr>
        <w:pStyle w:val="ListParagraph"/>
        <w:numPr>
          <w:ilvl w:val="0"/>
          <w:numId w:val="5"/>
        </w:numPr>
        <w:jc w:val="both"/>
        <w:rPr>
          <w:b/>
          <w:sz w:val="24"/>
        </w:rPr>
      </w:pPr>
      <w:r w:rsidRPr="005327DA">
        <w:rPr>
          <w:b/>
          <w:sz w:val="24"/>
        </w:rPr>
        <w:t>Introduction</w:t>
      </w:r>
    </w:p>
    <w:p w14:paraId="030E966D" w14:textId="77777777" w:rsidR="00521792" w:rsidRPr="005327DA" w:rsidRDefault="00521792" w:rsidP="00155E22">
      <w:pPr>
        <w:ind w:left="360"/>
        <w:jc w:val="both"/>
        <w:rPr>
          <w:sz w:val="24"/>
        </w:rPr>
      </w:pPr>
    </w:p>
    <w:p w14:paraId="4EE85BE6" w14:textId="667E0C83" w:rsidR="00521792" w:rsidRPr="005327DA" w:rsidRDefault="00521792" w:rsidP="00155E22">
      <w:pPr>
        <w:jc w:val="both"/>
        <w:rPr>
          <w:sz w:val="24"/>
        </w:rPr>
      </w:pPr>
      <w:r w:rsidRPr="005327DA">
        <w:rPr>
          <w:sz w:val="24"/>
        </w:rPr>
        <w:t xml:space="preserve">This submission seeks to highlight the </w:t>
      </w:r>
      <w:r w:rsidR="00ED0DD7" w:rsidRPr="005327DA">
        <w:rPr>
          <w:sz w:val="24"/>
        </w:rPr>
        <w:t xml:space="preserve">particular ways lesbian, gay, bisexual and transgender (LGBT) people </w:t>
      </w:r>
      <w:r w:rsidR="003B5F85">
        <w:rPr>
          <w:sz w:val="24"/>
        </w:rPr>
        <w:t xml:space="preserve">and intersex people </w:t>
      </w:r>
      <w:r w:rsidR="00ED0DD7" w:rsidRPr="005327DA">
        <w:rPr>
          <w:sz w:val="24"/>
        </w:rPr>
        <w:t xml:space="preserve">are targeted for violence and discrimination </w:t>
      </w:r>
      <w:r w:rsidR="00ED0DD7">
        <w:rPr>
          <w:sz w:val="24"/>
        </w:rPr>
        <w:t>in violation of</w:t>
      </w:r>
      <w:r w:rsidR="00ED0DD7" w:rsidRPr="005327DA">
        <w:rPr>
          <w:sz w:val="24"/>
        </w:rPr>
        <w:t xml:space="preserve"> their right to liberty and security of person </w:t>
      </w:r>
      <w:r w:rsidR="00ED0DD7">
        <w:rPr>
          <w:sz w:val="24"/>
        </w:rPr>
        <w:t xml:space="preserve">and articulates the </w:t>
      </w:r>
      <w:r w:rsidRPr="005327DA">
        <w:rPr>
          <w:sz w:val="24"/>
        </w:rPr>
        <w:t>need to include specific reference to sexual orientation</w:t>
      </w:r>
      <w:r w:rsidR="0049093D">
        <w:rPr>
          <w:sz w:val="24"/>
        </w:rPr>
        <w:t>,</w:t>
      </w:r>
      <w:r w:rsidR="00AE199C">
        <w:rPr>
          <w:rStyle w:val="FootnoteReference"/>
          <w:sz w:val="24"/>
        </w:rPr>
        <w:footnoteReference w:id="1"/>
      </w:r>
      <w:r w:rsidRPr="005327DA">
        <w:rPr>
          <w:sz w:val="24"/>
        </w:rPr>
        <w:t xml:space="preserve"> gender identity</w:t>
      </w:r>
      <w:r w:rsidR="00AE199C">
        <w:rPr>
          <w:rStyle w:val="FootnoteReference"/>
          <w:sz w:val="24"/>
        </w:rPr>
        <w:footnoteReference w:id="2"/>
      </w:r>
      <w:r w:rsidRPr="005327DA">
        <w:rPr>
          <w:sz w:val="24"/>
        </w:rPr>
        <w:t xml:space="preserve"> </w:t>
      </w:r>
      <w:r w:rsidR="000550AB">
        <w:rPr>
          <w:sz w:val="24"/>
        </w:rPr>
        <w:t xml:space="preserve">(SOGI) </w:t>
      </w:r>
      <w:r w:rsidR="003B5F85">
        <w:rPr>
          <w:sz w:val="24"/>
        </w:rPr>
        <w:t>and intersex status/body diversity</w:t>
      </w:r>
      <w:r w:rsidR="003B5F85">
        <w:rPr>
          <w:rStyle w:val="FootnoteReference"/>
          <w:sz w:val="24"/>
        </w:rPr>
        <w:footnoteReference w:id="3"/>
      </w:r>
      <w:r w:rsidR="003B5F85">
        <w:rPr>
          <w:sz w:val="24"/>
        </w:rPr>
        <w:t xml:space="preserve"> </w:t>
      </w:r>
      <w:r w:rsidRPr="005327DA">
        <w:rPr>
          <w:sz w:val="24"/>
        </w:rPr>
        <w:t>within the Committee</w:t>
      </w:r>
      <w:r w:rsidR="00ED0DD7">
        <w:rPr>
          <w:sz w:val="24"/>
        </w:rPr>
        <w:t>’s General Comment on article 9 of the International Covenant on Civil and Political Rights (ICCPR)</w:t>
      </w:r>
      <w:r w:rsidRPr="005327DA">
        <w:rPr>
          <w:sz w:val="24"/>
        </w:rPr>
        <w:t>.</w:t>
      </w:r>
    </w:p>
    <w:p w14:paraId="047E00EA" w14:textId="77777777" w:rsidR="00AF674D" w:rsidRDefault="00AF674D" w:rsidP="00155E22">
      <w:pPr>
        <w:jc w:val="both"/>
        <w:rPr>
          <w:sz w:val="24"/>
        </w:rPr>
      </w:pPr>
    </w:p>
    <w:p w14:paraId="60F3CFF6" w14:textId="0CB2E19F" w:rsidR="00AF674D" w:rsidRPr="005327DA" w:rsidRDefault="00AF674D" w:rsidP="00155E22">
      <w:pPr>
        <w:jc w:val="both"/>
        <w:rPr>
          <w:sz w:val="24"/>
        </w:rPr>
      </w:pPr>
      <w:r w:rsidRPr="00AF674D">
        <w:rPr>
          <w:sz w:val="24"/>
        </w:rPr>
        <w:t xml:space="preserve">LGBT </w:t>
      </w:r>
      <w:r w:rsidR="00643D0B">
        <w:rPr>
          <w:sz w:val="24"/>
        </w:rPr>
        <w:t xml:space="preserve">and intersex </w:t>
      </w:r>
      <w:r w:rsidRPr="00AF674D">
        <w:rPr>
          <w:sz w:val="24"/>
        </w:rPr>
        <w:t>people are extremely vulnerable to violations of personal security through violent attacks by both state and non-state actors</w:t>
      </w:r>
      <w:r w:rsidR="00F532C4">
        <w:rPr>
          <w:sz w:val="24"/>
        </w:rPr>
        <w:t>. LGBT</w:t>
      </w:r>
      <w:r w:rsidR="003B629E">
        <w:rPr>
          <w:sz w:val="24"/>
        </w:rPr>
        <w:t xml:space="preserve"> and intersex</w:t>
      </w:r>
      <w:r w:rsidR="00F532C4">
        <w:rPr>
          <w:sz w:val="24"/>
        </w:rPr>
        <w:t xml:space="preserve"> people </w:t>
      </w:r>
      <w:r w:rsidRPr="00AF674D">
        <w:rPr>
          <w:sz w:val="24"/>
        </w:rPr>
        <w:t xml:space="preserve">continue to be regular </w:t>
      </w:r>
      <w:r w:rsidRPr="00F16AF8">
        <w:rPr>
          <w:sz w:val="24"/>
        </w:rPr>
        <w:t>targets for arbitrary arrest because of their sexual orientation</w:t>
      </w:r>
      <w:r w:rsidR="00643D0B">
        <w:rPr>
          <w:sz w:val="24"/>
        </w:rPr>
        <w:t>,</w:t>
      </w:r>
      <w:r w:rsidRPr="00F16AF8">
        <w:rPr>
          <w:sz w:val="24"/>
        </w:rPr>
        <w:t xml:space="preserve"> and gender identity. </w:t>
      </w:r>
      <w:r w:rsidR="00F532C4">
        <w:rPr>
          <w:sz w:val="24"/>
        </w:rPr>
        <w:t>Intersex people suffer infanticide, and effects of non-consensual medical intervention that are tantamount to torture, or cruel, inhuman or degrading treatment.</w:t>
      </w:r>
      <w:bookmarkStart w:id="1" w:name="_Ref263167251"/>
      <w:r w:rsidR="00F532C4">
        <w:rPr>
          <w:rStyle w:val="FootnoteReference"/>
          <w:sz w:val="24"/>
        </w:rPr>
        <w:footnoteReference w:id="4"/>
      </w:r>
      <w:bookmarkEnd w:id="1"/>
      <w:r w:rsidRPr="00F16AF8">
        <w:rPr>
          <w:sz w:val="24"/>
        </w:rPr>
        <w:t xml:space="preserve"> Furthermore, increased criminalization and </w:t>
      </w:r>
      <w:r w:rsidR="00F16AF8" w:rsidRPr="00F16AF8">
        <w:rPr>
          <w:sz w:val="24"/>
        </w:rPr>
        <w:t xml:space="preserve">widespread </w:t>
      </w:r>
      <w:r w:rsidRPr="00F16AF8">
        <w:rPr>
          <w:sz w:val="24"/>
        </w:rPr>
        <w:t>social stigma against diverse sexual orientations and gender identities</w:t>
      </w:r>
      <w:r w:rsidR="00F532C4">
        <w:rPr>
          <w:sz w:val="24"/>
        </w:rPr>
        <w:t>, and intersex status</w:t>
      </w:r>
      <w:r w:rsidRPr="00F16AF8">
        <w:rPr>
          <w:sz w:val="24"/>
        </w:rPr>
        <w:t xml:space="preserve"> preclude individuals from seeking traditional forms of legal redress. General Comment 35 must ma</w:t>
      </w:r>
      <w:r w:rsidR="00AA46BE">
        <w:rPr>
          <w:sz w:val="24"/>
        </w:rPr>
        <w:t>k</w:t>
      </w:r>
      <w:r w:rsidRPr="00F16AF8">
        <w:rPr>
          <w:sz w:val="24"/>
        </w:rPr>
        <w:t>e explicit reference to sexual orientation and gender identity in order</w:t>
      </w:r>
      <w:r>
        <w:rPr>
          <w:sz w:val="24"/>
        </w:rPr>
        <w:t xml:space="preserve"> </w:t>
      </w:r>
      <w:r w:rsidR="00F16AF8">
        <w:rPr>
          <w:sz w:val="24"/>
        </w:rPr>
        <w:t>for</w:t>
      </w:r>
      <w:r>
        <w:rPr>
          <w:sz w:val="24"/>
        </w:rPr>
        <w:t xml:space="preserve"> States</w:t>
      </w:r>
      <w:r w:rsidR="00F16AF8">
        <w:rPr>
          <w:sz w:val="24"/>
        </w:rPr>
        <w:t xml:space="preserve"> to</w:t>
      </w:r>
      <w:r>
        <w:rPr>
          <w:sz w:val="24"/>
        </w:rPr>
        <w:t xml:space="preserve"> discharge their responsibility </w:t>
      </w:r>
      <w:r w:rsidR="00F16AF8">
        <w:rPr>
          <w:sz w:val="24"/>
        </w:rPr>
        <w:t xml:space="preserve">under international law </w:t>
      </w:r>
      <w:r>
        <w:rPr>
          <w:sz w:val="24"/>
        </w:rPr>
        <w:t>to protect the liberty and personal security of all people.</w:t>
      </w:r>
    </w:p>
    <w:p w14:paraId="508CA3ED" w14:textId="77777777" w:rsidR="001E4886" w:rsidRDefault="001E4886" w:rsidP="00155E22">
      <w:pPr>
        <w:jc w:val="both"/>
        <w:rPr>
          <w:sz w:val="24"/>
        </w:rPr>
      </w:pPr>
    </w:p>
    <w:p w14:paraId="54AF1725" w14:textId="59760B4E" w:rsidR="001E4886" w:rsidRDefault="001E4886" w:rsidP="00155E22">
      <w:pPr>
        <w:jc w:val="both"/>
        <w:rPr>
          <w:sz w:val="24"/>
        </w:rPr>
      </w:pPr>
      <w:r w:rsidRPr="005327DA">
        <w:rPr>
          <w:sz w:val="24"/>
        </w:rPr>
        <w:t xml:space="preserve">In 1994, the Human Rights Committee became one of the first international bodies to explicitly acknowledge its obligation to protect the rights of </w:t>
      </w:r>
      <w:r>
        <w:rPr>
          <w:sz w:val="24"/>
        </w:rPr>
        <w:t xml:space="preserve">individuals targeted for discrimination because of their actual or perceived sexual orientation </w:t>
      </w:r>
      <w:r w:rsidRPr="005327DA">
        <w:rPr>
          <w:sz w:val="24"/>
        </w:rPr>
        <w:t>by holding that laws that criminal</w:t>
      </w:r>
      <w:r>
        <w:rPr>
          <w:sz w:val="24"/>
        </w:rPr>
        <w:t>ize sexual orientation violate</w:t>
      </w:r>
      <w:r w:rsidRPr="005327DA">
        <w:rPr>
          <w:sz w:val="24"/>
        </w:rPr>
        <w:t xml:space="preserve"> Section 17 of the ICCPR and, importantly, that reference to “sex” within the ICCPR must be interpreted to include “sexual orientation.”</w:t>
      </w:r>
      <w:r>
        <w:rPr>
          <w:rStyle w:val="FootnoteReference"/>
          <w:sz w:val="24"/>
        </w:rPr>
        <w:footnoteReference w:id="5"/>
      </w:r>
      <w:r w:rsidRPr="005327DA">
        <w:rPr>
          <w:sz w:val="24"/>
        </w:rPr>
        <w:t xml:space="preserve">  </w:t>
      </w:r>
    </w:p>
    <w:p w14:paraId="5C17BBC9" w14:textId="77777777" w:rsidR="001E4886" w:rsidRDefault="001E4886" w:rsidP="00155E22">
      <w:pPr>
        <w:jc w:val="both"/>
        <w:rPr>
          <w:sz w:val="24"/>
        </w:rPr>
      </w:pPr>
    </w:p>
    <w:p w14:paraId="465170D7" w14:textId="2A033BDB" w:rsidR="001E4886" w:rsidRDefault="001E4886" w:rsidP="00155E22">
      <w:pPr>
        <w:jc w:val="both"/>
        <w:rPr>
          <w:sz w:val="24"/>
        </w:rPr>
      </w:pPr>
      <w:r w:rsidRPr="005327DA">
        <w:rPr>
          <w:sz w:val="24"/>
        </w:rPr>
        <w:lastRenderedPageBreak/>
        <w:t xml:space="preserve">In the years since 1994, </w:t>
      </w:r>
      <w:r>
        <w:rPr>
          <w:sz w:val="24"/>
        </w:rPr>
        <w:t xml:space="preserve">various parts of </w:t>
      </w:r>
      <w:r w:rsidRPr="005327DA">
        <w:rPr>
          <w:sz w:val="24"/>
        </w:rPr>
        <w:t xml:space="preserve">the UN </w:t>
      </w:r>
      <w:r>
        <w:rPr>
          <w:sz w:val="24"/>
        </w:rPr>
        <w:t xml:space="preserve">human rights </w:t>
      </w:r>
      <w:r w:rsidRPr="005327DA">
        <w:rPr>
          <w:sz w:val="24"/>
        </w:rPr>
        <w:t xml:space="preserve">system </w:t>
      </w:r>
      <w:r>
        <w:rPr>
          <w:sz w:val="24"/>
        </w:rPr>
        <w:t>have</w:t>
      </w:r>
      <w:r w:rsidRPr="005327DA">
        <w:rPr>
          <w:sz w:val="24"/>
        </w:rPr>
        <w:t xml:space="preserve"> </w:t>
      </w:r>
      <w:r>
        <w:rPr>
          <w:sz w:val="24"/>
        </w:rPr>
        <w:t>consolidated this understanding of the right to freedom of discrimination</w:t>
      </w:r>
      <w:r w:rsidRPr="005327DA">
        <w:rPr>
          <w:sz w:val="24"/>
        </w:rPr>
        <w:t xml:space="preserve"> through increased explicit reference to sexual orientation </w:t>
      </w:r>
      <w:r>
        <w:rPr>
          <w:sz w:val="24"/>
        </w:rPr>
        <w:t>and also more recently to</w:t>
      </w:r>
      <w:r w:rsidRPr="005327DA">
        <w:rPr>
          <w:sz w:val="24"/>
        </w:rPr>
        <w:t xml:space="preserve"> gender identity</w:t>
      </w:r>
      <w:r>
        <w:rPr>
          <w:sz w:val="24"/>
        </w:rPr>
        <w:t>, including in General Comments and Recommendations</w:t>
      </w:r>
      <w:r w:rsidRPr="005327DA">
        <w:rPr>
          <w:sz w:val="24"/>
        </w:rPr>
        <w:t>.</w:t>
      </w:r>
      <w:r w:rsidRPr="00E33122">
        <w:rPr>
          <w:rStyle w:val="FootnoteReference"/>
          <w:sz w:val="24"/>
        </w:rPr>
        <w:footnoteReference w:id="6"/>
      </w:r>
      <w:r w:rsidR="009C344B">
        <w:rPr>
          <w:sz w:val="24"/>
        </w:rPr>
        <w:t xml:space="preserve">  </w:t>
      </w:r>
      <w:r w:rsidRPr="00E33122">
        <w:rPr>
          <w:sz w:val="24"/>
        </w:rPr>
        <w:t>The Human Rights Committee took official note welcoming positive legislation for same-sex couples as early as 1993</w:t>
      </w:r>
      <w:r w:rsidRPr="00E33122">
        <w:rPr>
          <w:rStyle w:val="FootnoteReference"/>
          <w:sz w:val="24"/>
        </w:rPr>
        <w:footnoteReference w:id="7"/>
      </w:r>
      <w:r w:rsidRPr="00E33122">
        <w:rPr>
          <w:sz w:val="24"/>
        </w:rPr>
        <w:t xml:space="preserve"> and has in the subsequent decades repeatedly called upon States to stop violence and discrimination against people</w:t>
      </w:r>
      <w:r>
        <w:rPr>
          <w:sz w:val="24"/>
        </w:rPr>
        <w:t xml:space="preserve"> because of their actual or perceived sexual orientation and increasingly also gender identity</w:t>
      </w:r>
      <w:r w:rsidRPr="00E33122">
        <w:rPr>
          <w:sz w:val="24"/>
        </w:rPr>
        <w:t xml:space="preserve">. In fact, the Committee has made more than </w:t>
      </w:r>
      <w:r w:rsidRPr="008F37DA">
        <w:rPr>
          <w:sz w:val="24"/>
        </w:rPr>
        <w:t>thirty</w:t>
      </w:r>
      <w:r w:rsidRPr="00E33122">
        <w:rPr>
          <w:sz w:val="24"/>
        </w:rPr>
        <w:t xml:space="preserve"> specific references to LGBT people, sexual orientation and/or gender identity in its concluding observations across different States in the last five years alone.</w:t>
      </w:r>
    </w:p>
    <w:p w14:paraId="1332A063" w14:textId="77777777" w:rsidR="00A32A23" w:rsidRDefault="00A32A23" w:rsidP="00155E22">
      <w:pPr>
        <w:jc w:val="both"/>
        <w:rPr>
          <w:sz w:val="24"/>
        </w:rPr>
      </w:pPr>
    </w:p>
    <w:p w14:paraId="67E23E41" w14:textId="28B08AEA" w:rsidR="00A32A23" w:rsidRPr="00E33122" w:rsidRDefault="00A32A23" w:rsidP="00155E22">
      <w:pPr>
        <w:jc w:val="both"/>
        <w:rPr>
          <w:sz w:val="24"/>
        </w:rPr>
      </w:pPr>
      <w:r>
        <w:rPr>
          <w:sz w:val="24"/>
        </w:rPr>
        <w:t xml:space="preserve">Intersex status or body diversity is a new and emerging area of concern. In </w:t>
      </w:r>
      <w:r w:rsidR="008D31D3">
        <w:rPr>
          <w:sz w:val="24"/>
        </w:rPr>
        <w:t>February 2013, the UN Special Rapporteur on Torture documented concern regarding “</w:t>
      </w:r>
      <w:r w:rsidR="008D31D3" w:rsidRPr="008D31D3">
        <w:rPr>
          <w:sz w:val="24"/>
        </w:rPr>
        <w:t xml:space="preserve">irreversible sex assignment, involuntary sterilization, involuntary genital normalizing surgery, performed without </w:t>
      </w:r>
      <w:r w:rsidR="008D31D3">
        <w:rPr>
          <w:sz w:val="24"/>
        </w:rPr>
        <w:t>[affected persons’]</w:t>
      </w:r>
      <w:r w:rsidR="008D31D3" w:rsidRPr="008D31D3">
        <w:rPr>
          <w:sz w:val="24"/>
        </w:rPr>
        <w:t xml:space="preserve"> informed consent, or that of their parents, “in </w:t>
      </w:r>
      <w:r w:rsidR="008D31D3">
        <w:rPr>
          <w:sz w:val="24"/>
        </w:rPr>
        <w:t>an attempt to fix their sex”,</w:t>
      </w:r>
      <w:r w:rsidR="008D31D3" w:rsidRPr="008D31D3">
        <w:rPr>
          <w:sz w:val="24"/>
        </w:rPr>
        <w:t xml:space="preserve"> leaving them with permanent, irreversible infertility and causing severe mental suffering</w:t>
      </w:r>
      <w:r w:rsidR="008D31D3">
        <w:rPr>
          <w:sz w:val="24"/>
        </w:rPr>
        <w:t>”.</w:t>
      </w:r>
      <w:r w:rsidR="008D31D3" w:rsidRPr="008D31D3">
        <w:rPr>
          <w:sz w:val="24"/>
          <w:vertAlign w:val="superscript"/>
        </w:rPr>
        <w:fldChar w:fldCharType="begin"/>
      </w:r>
      <w:r w:rsidR="008D31D3" w:rsidRPr="008D31D3">
        <w:rPr>
          <w:sz w:val="24"/>
          <w:vertAlign w:val="superscript"/>
        </w:rPr>
        <w:instrText xml:space="preserve"> NOTEREF _Ref263167251 \h </w:instrText>
      </w:r>
      <w:r w:rsidR="008D31D3" w:rsidRPr="008D31D3">
        <w:rPr>
          <w:sz w:val="24"/>
          <w:vertAlign w:val="superscript"/>
        </w:rPr>
      </w:r>
      <w:r w:rsidR="008D31D3" w:rsidRPr="008D31D3">
        <w:rPr>
          <w:sz w:val="24"/>
          <w:vertAlign w:val="superscript"/>
        </w:rPr>
        <w:fldChar w:fldCharType="separate"/>
      </w:r>
      <w:r w:rsidR="008D31D3" w:rsidRPr="008D31D3">
        <w:rPr>
          <w:sz w:val="24"/>
          <w:vertAlign w:val="superscript"/>
        </w:rPr>
        <w:t>4</w:t>
      </w:r>
      <w:r w:rsidR="008D31D3" w:rsidRPr="008D31D3">
        <w:rPr>
          <w:sz w:val="24"/>
          <w:vertAlign w:val="superscript"/>
        </w:rPr>
        <w:fldChar w:fldCharType="end"/>
      </w:r>
      <w:r>
        <w:rPr>
          <w:sz w:val="24"/>
        </w:rPr>
        <w:t xml:space="preserve"> </w:t>
      </w:r>
    </w:p>
    <w:p w14:paraId="028B72DF" w14:textId="77777777" w:rsidR="00E45CE1" w:rsidRPr="005327DA" w:rsidRDefault="00E45CE1" w:rsidP="00155E22">
      <w:pPr>
        <w:ind w:left="360"/>
        <w:jc w:val="both"/>
        <w:rPr>
          <w:sz w:val="24"/>
        </w:rPr>
      </w:pPr>
    </w:p>
    <w:p w14:paraId="4A5D4867" w14:textId="4DC6295F" w:rsidR="003F5282" w:rsidRDefault="00B802A1" w:rsidP="00155E22">
      <w:pPr>
        <w:jc w:val="both"/>
        <w:rPr>
          <w:sz w:val="24"/>
        </w:rPr>
      </w:pPr>
      <w:r w:rsidRPr="005327DA">
        <w:rPr>
          <w:sz w:val="24"/>
        </w:rPr>
        <w:t xml:space="preserve">The submission will focus on </w:t>
      </w:r>
      <w:r w:rsidR="001D725D" w:rsidRPr="008F37DA">
        <w:rPr>
          <w:sz w:val="24"/>
        </w:rPr>
        <w:t>four</w:t>
      </w:r>
      <w:r w:rsidRPr="005327DA">
        <w:rPr>
          <w:sz w:val="24"/>
        </w:rPr>
        <w:t xml:space="preserve"> main areas: </w:t>
      </w:r>
      <w:r w:rsidR="00163C2C">
        <w:rPr>
          <w:sz w:val="24"/>
        </w:rPr>
        <w:t>(1</w:t>
      </w:r>
      <w:r w:rsidR="001D725D" w:rsidRPr="005327DA">
        <w:rPr>
          <w:sz w:val="24"/>
        </w:rPr>
        <w:t xml:space="preserve">) the </w:t>
      </w:r>
      <w:r w:rsidR="003F5282">
        <w:rPr>
          <w:sz w:val="24"/>
        </w:rPr>
        <w:t>need</w:t>
      </w:r>
      <w:r w:rsidR="003F5282" w:rsidRPr="005327DA">
        <w:rPr>
          <w:sz w:val="24"/>
        </w:rPr>
        <w:t xml:space="preserve"> </w:t>
      </w:r>
      <w:r w:rsidR="001D725D" w:rsidRPr="005327DA">
        <w:rPr>
          <w:sz w:val="24"/>
        </w:rPr>
        <w:t xml:space="preserve">to ensure “right to personal security” for people targeted </w:t>
      </w:r>
      <w:r w:rsidR="003F5282">
        <w:rPr>
          <w:sz w:val="24"/>
        </w:rPr>
        <w:t xml:space="preserve">for violence, arrest, or persecution </w:t>
      </w:r>
      <w:r w:rsidR="001D725D" w:rsidRPr="005327DA">
        <w:rPr>
          <w:sz w:val="24"/>
        </w:rPr>
        <w:t xml:space="preserve">because of their actual or perceived </w:t>
      </w:r>
      <w:r w:rsidR="00AE199C">
        <w:rPr>
          <w:sz w:val="24"/>
        </w:rPr>
        <w:t>sexual orientation</w:t>
      </w:r>
      <w:r w:rsidR="009B22C5">
        <w:rPr>
          <w:sz w:val="24"/>
        </w:rPr>
        <w:t>,</w:t>
      </w:r>
      <w:r w:rsidR="00AE199C">
        <w:rPr>
          <w:sz w:val="24"/>
        </w:rPr>
        <w:t xml:space="preserve"> gender identity</w:t>
      </w:r>
      <w:r w:rsidR="009B22C5">
        <w:rPr>
          <w:sz w:val="24"/>
        </w:rPr>
        <w:t xml:space="preserve"> and/or intersex status</w:t>
      </w:r>
      <w:r w:rsidR="00AA46BE">
        <w:rPr>
          <w:sz w:val="24"/>
        </w:rPr>
        <w:t>,</w:t>
      </w:r>
      <w:r w:rsidR="00AE199C">
        <w:rPr>
          <w:sz w:val="24"/>
        </w:rPr>
        <w:t xml:space="preserve"> </w:t>
      </w:r>
      <w:r w:rsidR="001D725D" w:rsidRPr="005327DA">
        <w:rPr>
          <w:sz w:val="24"/>
        </w:rPr>
        <w:t>(</w:t>
      </w:r>
      <w:r w:rsidR="00163C2C">
        <w:rPr>
          <w:sz w:val="24"/>
        </w:rPr>
        <w:t>2</w:t>
      </w:r>
      <w:r w:rsidRPr="005327DA">
        <w:rPr>
          <w:sz w:val="24"/>
        </w:rPr>
        <w:t>) the disproportionate impact of arbitrary detention of individuals on</w:t>
      </w:r>
      <w:r w:rsidR="00163C2C">
        <w:rPr>
          <w:sz w:val="24"/>
        </w:rPr>
        <w:t xml:space="preserve"> the basis of their</w:t>
      </w:r>
      <w:r w:rsidR="00B246F0">
        <w:rPr>
          <w:sz w:val="24"/>
        </w:rPr>
        <w:t xml:space="preserve"> sexual orientation</w:t>
      </w:r>
      <w:r w:rsidR="000B0AC4">
        <w:rPr>
          <w:sz w:val="24"/>
        </w:rPr>
        <w:t>,</w:t>
      </w:r>
      <w:r w:rsidR="00B246F0">
        <w:rPr>
          <w:sz w:val="24"/>
        </w:rPr>
        <w:t xml:space="preserve"> gender identity</w:t>
      </w:r>
      <w:r w:rsidR="000B0AC4">
        <w:rPr>
          <w:sz w:val="24"/>
        </w:rPr>
        <w:t xml:space="preserve"> and/or intersex status</w:t>
      </w:r>
      <w:r w:rsidR="00163C2C">
        <w:rPr>
          <w:sz w:val="24"/>
        </w:rPr>
        <w:t xml:space="preserve">, </w:t>
      </w:r>
      <w:r w:rsidR="001D725D" w:rsidRPr="005327DA">
        <w:rPr>
          <w:sz w:val="24"/>
        </w:rPr>
        <w:t>(</w:t>
      </w:r>
      <w:r w:rsidR="00163C2C">
        <w:rPr>
          <w:sz w:val="24"/>
        </w:rPr>
        <w:t>3</w:t>
      </w:r>
      <w:r w:rsidRPr="005327DA">
        <w:rPr>
          <w:sz w:val="24"/>
        </w:rPr>
        <w:t xml:space="preserve">) </w:t>
      </w:r>
      <w:r w:rsidR="001D725D" w:rsidRPr="005327DA">
        <w:rPr>
          <w:sz w:val="24"/>
        </w:rPr>
        <w:t xml:space="preserve">the difficulty LGBT </w:t>
      </w:r>
      <w:r w:rsidR="007A7C81">
        <w:rPr>
          <w:sz w:val="24"/>
        </w:rPr>
        <w:t xml:space="preserve">and intersex </w:t>
      </w:r>
      <w:r w:rsidR="001D725D" w:rsidRPr="005327DA">
        <w:rPr>
          <w:sz w:val="24"/>
        </w:rPr>
        <w:t xml:space="preserve">people have achieving effective remedies for redress as </w:t>
      </w:r>
      <w:r w:rsidR="00163C2C">
        <w:rPr>
          <w:sz w:val="24"/>
        </w:rPr>
        <w:t>a result of arbitrary detention and</w:t>
      </w:r>
      <w:r w:rsidR="00163C2C" w:rsidRPr="00163C2C">
        <w:rPr>
          <w:sz w:val="24"/>
        </w:rPr>
        <w:t xml:space="preserve"> </w:t>
      </w:r>
      <w:r w:rsidR="00163C2C" w:rsidRPr="005327DA">
        <w:rPr>
          <w:sz w:val="24"/>
        </w:rPr>
        <w:t>(</w:t>
      </w:r>
      <w:r w:rsidR="00163C2C">
        <w:rPr>
          <w:sz w:val="24"/>
        </w:rPr>
        <w:t>4</w:t>
      </w:r>
      <w:r w:rsidR="00163C2C" w:rsidRPr="005327DA">
        <w:rPr>
          <w:sz w:val="24"/>
        </w:rPr>
        <w:t xml:space="preserve">) the importance of including specific reference to “sexual orientation and gender identity” </w:t>
      </w:r>
      <w:r w:rsidR="001477E4">
        <w:rPr>
          <w:sz w:val="24"/>
        </w:rPr>
        <w:t xml:space="preserve">and “intersex status” or “body diversity” </w:t>
      </w:r>
      <w:r w:rsidR="00163C2C" w:rsidRPr="005327DA">
        <w:rPr>
          <w:sz w:val="24"/>
        </w:rPr>
        <w:t>in the general comment</w:t>
      </w:r>
      <w:r w:rsidR="009C344B">
        <w:rPr>
          <w:sz w:val="24"/>
        </w:rPr>
        <w:t>.</w:t>
      </w:r>
    </w:p>
    <w:p w14:paraId="120FB461" w14:textId="77777777" w:rsidR="004A6AD6" w:rsidRDefault="004A6AD6" w:rsidP="00155E22">
      <w:pPr>
        <w:ind w:left="360"/>
        <w:jc w:val="both"/>
        <w:rPr>
          <w:sz w:val="24"/>
        </w:rPr>
      </w:pPr>
    </w:p>
    <w:p w14:paraId="7C321C8F" w14:textId="77777777" w:rsidR="0038092F" w:rsidRPr="00E33122" w:rsidRDefault="0038092F" w:rsidP="00155E22">
      <w:pPr>
        <w:ind w:left="360"/>
        <w:jc w:val="both"/>
        <w:rPr>
          <w:sz w:val="24"/>
        </w:rPr>
      </w:pPr>
    </w:p>
    <w:p w14:paraId="6CEE16ED" w14:textId="2039DF88" w:rsidR="004A6AD6" w:rsidRPr="00E33122" w:rsidRDefault="00E33122" w:rsidP="00155E22">
      <w:pPr>
        <w:pStyle w:val="ListParagraph"/>
        <w:numPr>
          <w:ilvl w:val="0"/>
          <w:numId w:val="5"/>
        </w:numPr>
        <w:ind w:left="450" w:hanging="450"/>
        <w:jc w:val="both"/>
        <w:rPr>
          <w:sz w:val="24"/>
        </w:rPr>
      </w:pPr>
      <w:r w:rsidRPr="00E33122">
        <w:rPr>
          <w:b/>
          <w:sz w:val="24"/>
        </w:rPr>
        <w:t xml:space="preserve">The Human Rights Committee must </w:t>
      </w:r>
      <w:r w:rsidR="00AE199C" w:rsidRPr="00AE199C">
        <w:rPr>
          <w:b/>
          <w:sz w:val="24"/>
        </w:rPr>
        <w:t xml:space="preserve">ensure “right to personal security” </w:t>
      </w:r>
      <w:r w:rsidR="00AE199C">
        <w:rPr>
          <w:b/>
          <w:sz w:val="24"/>
        </w:rPr>
        <w:t>includes individuals</w:t>
      </w:r>
      <w:r w:rsidR="00AE199C" w:rsidRPr="00AE199C">
        <w:rPr>
          <w:b/>
          <w:sz w:val="24"/>
        </w:rPr>
        <w:t xml:space="preserve"> targeted for violence, arrest, or persecution because of their actual or perceived sexual orientation and gender identity </w:t>
      </w:r>
      <w:r w:rsidRPr="00E33122">
        <w:rPr>
          <w:b/>
          <w:sz w:val="24"/>
        </w:rPr>
        <w:t>under Article 9(1)</w:t>
      </w:r>
      <w:r w:rsidR="00AE199C">
        <w:rPr>
          <w:b/>
          <w:sz w:val="24"/>
        </w:rPr>
        <w:t>.</w:t>
      </w:r>
    </w:p>
    <w:p w14:paraId="7AA69F1C" w14:textId="77777777" w:rsidR="00935EA4" w:rsidRPr="00E33122" w:rsidRDefault="00935EA4" w:rsidP="00155E22">
      <w:pPr>
        <w:pStyle w:val="ListParagraph"/>
        <w:jc w:val="both"/>
        <w:rPr>
          <w:sz w:val="24"/>
        </w:rPr>
      </w:pPr>
    </w:p>
    <w:p w14:paraId="6B55D57C" w14:textId="462DFC53" w:rsidR="00455375" w:rsidRDefault="005A5255" w:rsidP="00155E22">
      <w:pPr>
        <w:jc w:val="both"/>
        <w:rPr>
          <w:sz w:val="24"/>
        </w:rPr>
      </w:pPr>
      <w:r w:rsidRPr="00E33122">
        <w:rPr>
          <w:sz w:val="24"/>
        </w:rPr>
        <w:t xml:space="preserve">Article 9(1) </w:t>
      </w:r>
      <w:r w:rsidR="00AF674D">
        <w:rPr>
          <w:sz w:val="24"/>
        </w:rPr>
        <w:t xml:space="preserve">of the ICCPR </w:t>
      </w:r>
      <w:r w:rsidRPr="00E33122">
        <w:rPr>
          <w:sz w:val="24"/>
        </w:rPr>
        <w:t>states that “everyone has the right to liberty and security of person</w:t>
      </w:r>
      <w:r w:rsidR="00631EEC">
        <w:rPr>
          <w:sz w:val="24"/>
        </w:rPr>
        <w:t>.</w:t>
      </w:r>
      <w:r w:rsidRPr="00E33122">
        <w:rPr>
          <w:sz w:val="24"/>
        </w:rPr>
        <w:t>”</w:t>
      </w:r>
      <w:r w:rsidR="00180B91">
        <w:rPr>
          <w:rStyle w:val="FootnoteReference"/>
          <w:sz w:val="24"/>
        </w:rPr>
        <w:footnoteReference w:id="8"/>
      </w:r>
      <w:r w:rsidRPr="00E33122">
        <w:rPr>
          <w:sz w:val="24"/>
        </w:rPr>
        <w:t xml:space="preserve">  </w:t>
      </w:r>
      <w:r w:rsidR="00631EEC">
        <w:rPr>
          <w:sz w:val="24"/>
        </w:rPr>
        <w:t>This provision</w:t>
      </w:r>
      <w:r w:rsidR="00C3053C" w:rsidRPr="00E33122">
        <w:rPr>
          <w:sz w:val="24"/>
        </w:rPr>
        <w:t xml:space="preserve"> “obliges States parties to take appropriate measures …to protect individuals from foreseeable threats to life or bodily integrity proceeding from either governmental or private actors.”</w:t>
      </w:r>
      <w:r w:rsidR="00890DB0">
        <w:rPr>
          <w:rStyle w:val="FootnoteReference"/>
          <w:sz w:val="24"/>
        </w:rPr>
        <w:footnoteReference w:id="9"/>
      </w:r>
      <w:r w:rsidR="00C3053C" w:rsidRPr="00E33122">
        <w:rPr>
          <w:sz w:val="24"/>
        </w:rPr>
        <w:t xml:space="preserve">  </w:t>
      </w:r>
      <w:r w:rsidR="00631EEC">
        <w:rPr>
          <w:sz w:val="24"/>
        </w:rPr>
        <w:t>In the context of continued or increasing criminalization of bodily autonomy linked to actual or perceived sexual orientation, and of freedom of expression and assembly linked to advancing the human rights of everyone, regardless of their sexual orientation, the threat to life and bodily integrity of lesbian, gay, bisexual, trans</w:t>
      </w:r>
      <w:r w:rsidR="00CF7944">
        <w:rPr>
          <w:sz w:val="24"/>
        </w:rPr>
        <w:t>, and intersex</w:t>
      </w:r>
      <w:r w:rsidR="00631EEC">
        <w:rPr>
          <w:sz w:val="24"/>
        </w:rPr>
        <w:t xml:space="preserve"> persons is arguably foreseeable. </w:t>
      </w:r>
    </w:p>
    <w:p w14:paraId="7AF3B08A" w14:textId="77777777" w:rsidR="00276BA5" w:rsidRDefault="00276BA5" w:rsidP="00155E22">
      <w:pPr>
        <w:jc w:val="both"/>
        <w:rPr>
          <w:sz w:val="24"/>
        </w:rPr>
      </w:pPr>
    </w:p>
    <w:p w14:paraId="4C997961" w14:textId="5803E94A" w:rsidR="00DB27D9" w:rsidRDefault="00DB27D9" w:rsidP="00155E22">
      <w:pPr>
        <w:jc w:val="both"/>
        <w:rPr>
          <w:sz w:val="24"/>
        </w:rPr>
      </w:pPr>
      <w:r>
        <w:rPr>
          <w:sz w:val="24"/>
        </w:rPr>
        <w:lastRenderedPageBreak/>
        <w:t>From January 1, 2008 to March 31,</w:t>
      </w:r>
      <w:r w:rsidRPr="00276BA5">
        <w:rPr>
          <w:sz w:val="24"/>
        </w:rPr>
        <w:t xml:space="preserve"> 2014</w:t>
      </w:r>
      <w:r>
        <w:rPr>
          <w:sz w:val="24"/>
        </w:rPr>
        <w:t xml:space="preserve"> </w:t>
      </w:r>
      <w:r w:rsidR="00290209">
        <w:rPr>
          <w:sz w:val="24"/>
        </w:rPr>
        <w:t>at least</w:t>
      </w:r>
      <w:r w:rsidR="00276BA5">
        <w:rPr>
          <w:sz w:val="24"/>
        </w:rPr>
        <w:t xml:space="preserve"> </w:t>
      </w:r>
      <w:r w:rsidR="00276BA5" w:rsidRPr="00276BA5">
        <w:rPr>
          <w:sz w:val="24"/>
        </w:rPr>
        <w:t>1,509 cases of reported killings of trans</w:t>
      </w:r>
      <w:r w:rsidR="00290209">
        <w:rPr>
          <w:sz w:val="24"/>
        </w:rPr>
        <w:t>gender</w:t>
      </w:r>
      <w:r w:rsidR="00276BA5" w:rsidRPr="00276BA5">
        <w:rPr>
          <w:sz w:val="24"/>
        </w:rPr>
        <w:t xml:space="preserve"> and gender </w:t>
      </w:r>
      <w:r w:rsidR="00290209">
        <w:rPr>
          <w:sz w:val="24"/>
        </w:rPr>
        <w:t>non-conforming</w:t>
      </w:r>
      <w:r w:rsidR="00276BA5" w:rsidRPr="00276BA5">
        <w:rPr>
          <w:sz w:val="24"/>
        </w:rPr>
        <w:t xml:space="preserve"> people</w:t>
      </w:r>
      <w:r w:rsidR="00276BA5">
        <w:rPr>
          <w:sz w:val="24"/>
        </w:rPr>
        <w:t xml:space="preserve"> </w:t>
      </w:r>
      <w:r>
        <w:rPr>
          <w:sz w:val="24"/>
        </w:rPr>
        <w:t xml:space="preserve">have been </w:t>
      </w:r>
      <w:r w:rsidR="00290209">
        <w:rPr>
          <w:sz w:val="24"/>
        </w:rPr>
        <w:t>documented.</w:t>
      </w:r>
      <w:r w:rsidR="00290209">
        <w:rPr>
          <w:rStyle w:val="FootnoteReference"/>
          <w:sz w:val="24"/>
        </w:rPr>
        <w:footnoteReference w:id="10"/>
      </w:r>
      <w:r w:rsidR="00290209">
        <w:rPr>
          <w:sz w:val="24"/>
        </w:rPr>
        <w:t xml:space="preserve">  </w:t>
      </w:r>
      <w:r w:rsidR="00290209" w:rsidRPr="00290209">
        <w:rPr>
          <w:sz w:val="24"/>
        </w:rPr>
        <w:t>In the first three months of 2014, 75 reported murders</w:t>
      </w:r>
      <w:r w:rsidR="00290209">
        <w:rPr>
          <w:sz w:val="24"/>
        </w:rPr>
        <w:t xml:space="preserve"> </w:t>
      </w:r>
      <w:r w:rsidR="00290209" w:rsidRPr="00290209">
        <w:rPr>
          <w:sz w:val="24"/>
        </w:rPr>
        <w:t>of trans</w:t>
      </w:r>
      <w:r w:rsidR="00290209">
        <w:rPr>
          <w:sz w:val="24"/>
        </w:rPr>
        <w:t>gender</w:t>
      </w:r>
      <w:r w:rsidR="00290209" w:rsidRPr="00290209">
        <w:rPr>
          <w:sz w:val="24"/>
        </w:rPr>
        <w:t xml:space="preserve"> people </w:t>
      </w:r>
      <w:r w:rsidR="00290209">
        <w:rPr>
          <w:sz w:val="24"/>
        </w:rPr>
        <w:t>in 13 countries</w:t>
      </w:r>
      <w:r w:rsidR="00290209" w:rsidRPr="00290209">
        <w:rPr>
          <w:sz w:val="24"/>
        </w:rPr>
        <w:t xml:space="preserve"> have been </w:t>
      </w:r>
      <w:r w:rsidR="00290209">
        <w:rPr>
          <w:sz w:val="24"/>
        </w:rPr>
        <w:t>documented</w:t>
      </w:r>
      <w:r w:rsidR="00290209" w:rsidRPr="00290209">
        <w:rPr>
          <w:sz w:val="24"/>
        </w:rPr>
        <w:t>.</w:t>
      </w:r>
      <w:r w:rsidR="00290209">
        <w:rPr>
          <w:rStyle w:val="FootnoteReference"/>
          <w:sz w:val="24"/>
        </w:rPr>
        <w:footnoteReference w:id="11"/>
      </w:r>
      <w:r w:rsidR="00290209">
        <w:rPr>
          <w:sz w:val="24"/>
        </w:rPr>
        <w:t xml:space="preserve">  </w:t>
      </w:r>
      <w:r w:rsidR="00CF7944">
        <w:rPr>
          <w:sz w:val="24"/>
        </w:rPr>
        <w:t>There is little documentation on attacks against intersex persons, but press materials show evidence of an attempting lynching in Nigeria; the person’s fate is unknown.</w:t>
      </w:r>
      <w:r w:rsidR="00CF7944" w:rsidRPr="00CF7944">
        <w:rPr>
          <w:rStyle w:val="FootnoteReference"/>
          <w:sz w:val="24"/>
        </w:rPr>
        <w:t xml:space="preserve"> </w:t>
      </w:r>
      <w:r w:rsidR="00CF7944">
        <w:rPr>
          <w:rStyle w:val="FootnoteReference"/>
          <w:sz w:val="24"/>
        </w:rPr>
        <w:footnoteReference w:id="12"/>
      </w:r>
      <w:r w:rsidR="00CF7944">
        <w:rPr>
          <w:sz w:val="24"/>
        </w:rPr>
        <w:t xml:space="preserve"> Intersex persons are also subject to infanticide and mutilation.</w:t>
      </w:r>
      <w:r w:rsidR="00CF7944">
        <w:rPr>
          <w:rStyle w:val="FootnoteReference"/>
          <w:sz w:val="24"/>
        </w:rPr>
        <w:footnoteReference w:id="13"/>
      </w:r>
      <w:r w:rsidR="00CF7944">
        <w:rPr>
          <w:sz w:val="24"/>
        </w:rPr>
        <w:t xml:space="preserve"> </w:t>
      </w:r>
      <w:r w:rsidR="00290209">
        <w:rPr>
          <w:sz w:val="24"/>
        </w:rPr>
        <w:t xml:space="preserve">Given the drastic underreporting associated with violence against transgender and gender non-conforming people, </w:t>
      </w:r>
      <w:r w:rsidR="00CF7944">
        <w:rPr>
          <w:sz w:val="24"/>
        </w:rPr>
        <w:t xml:space="preserve">and intersex people, </w:t>
      </w:r>
      <w:r w:rsidR="00290209">
        <w:rPr>
          <w:sz w:val="24"/>
        </w:rPr>
        <w:t>civil society organizations estimate actual numbers to be much higher.</w:t>
      </w:r>
      <w:r w:rsidR="00F64263">
        <w:rPr>
          <w:sz w:val="24"/>
        </w:rPr>
        <w:t xml:space="preserve">  </w:t>
      </w:r>
    </w:p>
    <w:p w14:paraId="3E7E4975" w14:textId="77777777" w:rsidR="00DB27D9" w:rsidRDefault="00DB27D9" w:rsidP="00155E22">
      <w:pPr>
        <w:jc w:val="both"/>
        <w:rPr>
          <w:sz w:val="24"/>
        </w:rPr>
      </w:pPr>
    </w:p>
    <w:p w14:paraId="71C8A873" w14:textId="77D16182" w:rsidR="00276BA5" w:rsidRDefault="00F64263" w:rsidP="00155E22">
      <w:pPr>
        <w:jc w:val="both"/>
        <w:rPr>
          <w:sz w:val="24"/>
        </w:rPr>
      </w:pPr>
      <w:r>
        <w:rPr>
          <w:sz w:val="24"/>
        </w:rPr>
        <w:t>Recent laws criminalizing homosexuality and/or freedom of spee</w:t>
      </w:r>
      <w:r w:rsidR="00007403">
        <w:rPr>
          <w:sz w:val="24"/>
        </w:rPr>
        <w:t>ch surrounding homosexuality have</w:t>
      </w:r>
      <w:r>
        <w:rPr>
          <w:sz w:val="24"/>
        </w:rPr>
        <w:t xml:space="preserve"> </w:t>
      </w:r>
      <w:r w:rsidR="00007403">
        <w:rPr>
          <w:sz w:val="24"/>
        </w:rPr>
        <w:t xml:space="preserve">resulted in </w:t>
      </w:r>
      <w:r w:rsidR="00B7769E">
        <w:rPr>
          <w:sz w:val="24"/>
        </w:rPr>
        <w:t>surges of attacks against LGBT people</w:t>
      </w:r>
      <w:r>
        <w:rPr>
          <w:sz w:val="24"/>
        </w:rPr>
        <w:t>.</w:t>
      </w:r>
      <w:r w:rsidR="00D43862">
        <w:rPr>
          <w:sz w:val="24"/>
        </w:rPr>
        <w:t xml:space="preserve">  A local human rights organization in Uganda reports that since Ugandan p</w:t>
      </w:r>
      <w:r w:rsidR="00D43862" w:rsidRPr="00D43862">
        <w:rPr>
          <w:sz w:val="24"/>
        </w:rPr>
        <w:t xml:space="preserve">resident signed </w:t>
      </w:r>
      <w:r w:rsidR="00D43862">
        <w:rPr>
          <w:sz w:val="24"/>
        </w:rPr>
        <w:t>an Anti-Homosexuality Act</w:t>
      </w:r>
      <w:r w:rsidR="008D2F3D">
        <w:rPr>
          <w:rStyle w:val="FootnoteReference"/>
          <w:sz w:val="24"/>
        </w:rPr>
        <w:footnoteReference w:id="14"/>
      </w:r>
      <w:r w:rsidR="00D43862">
        <w:rPr>
          <w:sz w:val="24"/>
        </w:rPr>
        <w:t xml:space="preserve"> into law in</w:t>
      </w:r>
      <w:r w:rsidR="00D43862" w:rsidRPr="00D43862">
        <w:rPr>
          <w:sz w:val="24"/>
        </w:rPr>
        <w:t xml:space="preserve"> February</w:t>
      </w:r>
      <w:r w:rsidR="00D43862">
        <w:rPr>
          <w:sz w:val="24"/>
        </w:rPr>
        <w:t xml:space="preserve"> 2014</w:t>
      </w:r>
      <w:r w:rsidR="00D43862" w:rsidRPr="00D43862">
        <w:rPr>
          <w:sz w:val="24"/>
        </w:rPr>
        <w:t>, an LGBT security hotline in</w:t>
      </w:r>
      <w:r w:rsidR="00D43862">
        <w:rPr>
          <w:sz w:val="24"/>
        </w:rPr>
        <w:t xml:space="preserve"> Uganda has received reports of roughly </w:t>
      </w:r>
      <w:r w:rsidR="00D43862" w:rsidRPr="00D43862">
        <w:rPr>
          <w:sz w:val="24"/>
        </w:rPr>
        <w:t>130 incidents of evictions, arrests and mob attacks</w:t>
      </w:r>
      <w:r w:rsidR="00D43862">
        <w:rPr>
          <w:sz w:val="24"/>
        </w:rPr>
        <w:t>.</w:t>
      </w:r>
      <w:r w:rsidR="00D43862">
        <w:rPr>
          <w:rStyle w:val="FootnoteReference"/>
          <w:sz w:val="24"/>
        </w:rPr>
        <w:footnoteReference w:id="15"/>
      </w:r>
      <w:r w:rsidR="00C920D8">
        <w:rPr>
          <w:sz w:val="24"/>
        </w:rPr>
        <w:t xml:space="preserve">  Violent attacks in Nigeria have increased in recent time since it passed </w:t>
      </w:r>
      <w:r w:rsidR="00007403">
        <w:rPr>
          <w:sz w:val="24"/>
        </w:rPr>
        <w:t>a Same-</w:t>
      </w:r>
      <w:r w:rsidR="006B57F2">
        <w:rPr>
          <w:sz w:val="24"/>
        </w:rPr>
        <w:t xml:space="preserve">Sex (Prohibition) </w:t>
      </w:r>
      <w:r w:rsidR="00007403">
        <w:rPr>
          <w:sz w:val="24"/>
        </w:rPr>
        <w:t xml:space="preserve">Act </w:t>
      </w:r>
      <w:r w:rsidR="00007403" w:rsidRPr="00007403">
        <w:rPr>
          <w:sz w:val="24"/>
        </w:rPr>
        <w:t>prescribing 14 years imprisonment for LGBT people in the country</w:t>
      </w:r>
      <w:r w:rsidR="00C920D8">
        <w:rPr>
          <w:sz w:val="24"/>
        </w:rPr>
        <w:t>.</w:t>
      </w:r>
      <w:r w:rsidR="00007403">
        <w:rPr>
          <w:rStyle w:val="FootnoteReference"/>
          <w:sz w:val="24"/>
        </w:rPr>
        <w:footnoteReference w:id="16"/>
      </w:r>
      <w:r w:rsidR="00C920D8">
        <w:rPr>
          <w:sz w:val="24"/>
        </w:rPr>
        <w:t xml:space="preserve">  </w:t>
      </w:r>
      <w:r w:rsidR="00430505">
        <w:rPr>
          <w:sz w:val="24"/>
        </w:rPr>
        <w:t>In February 2014, 10 men</w:t>
      </w:r>
      <w:r w:rsidR="00430505" w:rsidRPr="00430505">
        <w:rPr>
          <w:sz w:val="24"/>
        </w:rPr>
        <w:t xml:space="preserve"> perceived to be gay, were beaten by a mob of </w:t>
      </w:r>
      <w:r w:rsidR="00430505">
        <w:rPr>
          <w:sz w:val="24"/>
        </w:rPr>
        <w:t>40 people near the capital city soon after the act was signed into law.</w:t>
      </w:r>
      <w:r w:rsidR="00430505">
        <w:rPr>
          <w:rStyle w:val="FootnoteReference"/>
          <w:sz w:val="24"/>
        </w:rPr>
        <w:footnoteReference w:id="17"/>
      </w:r>
    </w:p>
    <w:p w14:paraId="429A0D58" w14:textId="77777777" w:rsidR="00696AAD" w:rsidRDefault="00696AAD" w:rsidP="00155E22">
      <w:pPr>
        <w:jc w:val="both"/>
        <w:rPr>
          <w:sz w:val="24"/>
        </w:rPr>
      </w:pPr>
    </w:p>
    <w:p w14:paraId="2AFEB998" w14:textId="366174FF" w:rsidR="00696AAD" w:rsidRPr="00E33122" w:rsidRDefault="00696AAD" w:rsidP="00155E22">
      <w:pPr>
        <w:jc w:val="both"/>
        <w:rPr>
          <w:sz w:val="24"/>
        </w:rPr>
      </w:pPr>
      <w:r>
        <w:rPr>
          <w:sz w:val="24"/>
        </w:rPr>
        <w:t xml:space="preserve">Moreover, where the law requires the deprivation of liberty through prison sentences for actions that most adequately can be described as an exercise of human rights—such as freedom of speech or assembly, or adults engaging in consensual sexual behavior in private—these laws are, </w:t>
      </w:r>
      <w:r w:rsidRPr="00C30939">
        <w:rPr>
          <w:i/>
          <w:sz w:val="24"/>
        </w:rPr>
        <w:t>prima facie</w:t>
      </w:r>
      <w:r>
        <w:rPr>
          <w:sz w:val="24"/>
        </w:rPr>
        <w:t xml:space="preserve">, in violation of Covenant provisions on the right to liberty. It is paramount for the Committee to recognize this, and to call for the repeal of such laws. </w:t>
      </w:r>
    </w:p>
    <w:p w14:paraId="6403C245" w14:textId="77777777" w:rsidR="004A6AD6" w:rsidRDefault="004A6AD6" w:rsidP="00155E22">
      <w:pPr>
        <w:jc w:val="both"/>
        <w:rPr>
          <w:sz w:val="24"/>
        </w:rPr>
      </w:pPr>
    </w:p>
    <w:p w14:paraId="2FE1FFDA" w14:textId="77777777" w:rsidR="008F37DA" w:rsidRPr="00943402" w:rsidRDefault="008F37DA" w:rsidP="00155E22">
      <w:pPr>
        <w:jc w:val="both"/>
        <w:rPr>
          <w:sz w:val="24"/>
        </w:rPr>
      </w:pPr>
    </w:p>
    <w:p w14:paraId="7399CCCF" w14:textId="5B85253D" w:rsidR="004A6AD6" w:rsidRPr="00EC4CA3" w:rsidRDefault="009C344B" w:rsidP="00155E22">
      <w:pPr>
        <w:jc w:val="both"/>
        <w:rPr>
          <w:sz w:val="24"/>
        </w:rPr>
      </w:pPr>
      <w:r>
        <w:rPr>
          <w:b/>
          <w:sz w:val="24"/>
        </w:rPr>
        <w:t xml:space="preserve">III. </w:t>
      </w:r>
      <w:r w:rsidR="004A6AD6" w:rsidRPr="00EC4CA3">
        <w:rPr>
          <w:b/>
          <w:sz w:val="24"/>
        </w:rPr>
        <w:t>Arbitrary Arrest and Detention</w:t>
      </w:r>
    </w:p>
    <w:p w14:paraId="6E5321EC" w14:textId="77777777" w:rsidR="004A6AD6" w:rsidRPr="00EC4CA3" w:rsidRDefault="004A6AD6" w:rsidP="00155E22">
      <w:pPr>
        <w:jc w:val="both"/>
        <w:rPr>
          <w:sz w:val="24"/>
        </w:rPr>
      </w:pPr>
    </w:p>
    <w:p w14:paraId="2A4A4042" w14:textId="06343D74" w:rsidR="004A6AD6" w:rsidRPr="00EC4CA3" w:rsidRDefault="009A40DF" w:rsidP="00155E22">
      <w:pPr>
        <w:jc w:val="both"/>
        <w:rPr>
          <w:sz w:val="24"/>
        </w:rPr>
      </w:pPr>
      <w:r w:rsidRPr="00EC4CA3">
        <w:rPr>
          <w:sz w:val="24"/>
        </w:rPr>
        <w:t xml:space="preserve">States have an obligation to protect </w:t>
      </w:r>
      <w:r w:rsidR="00AD6F83">
        <w:rPr>
          <w:sz w:val="24"/>
        </w:rPr>
        <w:t>individuals</w:t>
      </w:r>
      <w:r w:rsidRPr="00EC4CA3">
        <w:rPr>
          <w:sz w:val="24"/>
        </w:rPr>
        <w:t xml:space="preserve"> against arbitrary detention.  International </w:t>
      </w:r>
      <w:r w:rsidR="00AD6F83">
        <w:rPr>
          <w:sz w:val="24"/>
        </w:rPr>
        <w:t xml:space="preserve">human rights </w:t>
      </w:r>
      <w:r w:rsidRPr="00EC4CA3">
        <w:rPr>
          <w:sz w:val="24"/>
        </w:rPr>
        <w:t>bodies have recognized in a variety of contexts that individuals are regularly targeted for arbitrary detention on the basis of their sexual orientation and gender identity</w:t>
      </w:r>
      <w:r w:rsidR="00AD6F83">
        <w:rPr>
          <w:sz w:val="24"/>
        </w:rPr>
        <w:t>, and that such persecution constitutes a violation of various human rights</w:t>
      </w:r>
      <w:r w:rsidRPr="00EC4CA3">
        <w:rPr>
          <w:sz w:val="24"/>
        </w:rPr>
        <w:t xml:space="preserve">.  </w:t>
      </w:r>
      <w:r w:rsidR="00481A60" w:rsidRPr="00EC4CA3">
        <w:rPr>
          <w:sz w:val="24"/>
        </w:rPr>
        <w:t xml:space="preserve">For example, </w:t>
      </w:r>
      <w:r w:rsidR="00AD6F83">
        <w:rPr>
          <w:sz w:val="24"/>
        </w:rPr>
        <w:t>t</w:t>
      </w:r>
      <w:r w:rsidR="00481A60" w:rsidRPr="00EC4CA3">
        <w:rPr>
          <w:sz w:val="24"/>
        </w:rPr>
        <w:t xml:space="preserve">he Working Group on </w:t>
      </w:r>
      <w:r w:rsidR="00481A60" w:rsidRPr="00EC4CA3">
        <w:rPr>
          <w:sz w:val="24"/>
        </w:rPr>
        <w:lastRenderedPageBreak/>
        <w:t xml:space="preserve">Arbitrary Detention has held that detention of an individual on the basis of </w:t>
      </w:r>
      <w:r w:rsidR="00A837F6" w:rsidRPr="00EC4CA3">
        <w:rPr>
          <w:sz w:val="24"/>
        </w:rPr>
        <w:t>the individual’s</w:t>
      </w:r>
      <w:r w:rsidR="00481A60" w:rsidRPr="00EC4CA3">
        <w:rPr>
          <w:sz w:val="24"/>
        </w:rPr>
        <w:t xml:space="preserve"> sexual orientation </w:t>
      </w:r>
      <w:r w:rsidR="00A837F6" w:rsidRPr="00EC4CA3">
        <w:rPr>
          <w:sz w:val="24"/>
        </w:rPr>
        <w:t xml:space="preserve">or gender identity </w:t>
      </w:r>
      <w:r w:rsidR="00481A60" w:rsidRPr="00EC4CA3">
        <w:rPr>
          <w:sz w:val="24"/>
        </w:rPr>
        <w:t>constitutes arbitrary detention in breach of article 9 of the ICCPR.</w:t>
      </w:r>
      <w:r w:rsidR="005115C8" w:rsidRPr="00EC4CA3">
        <w:rPr>
          <w:rStyle w:val="FootnoteReference"/>
          <w:sz w:val="24"/>
        </w:rPr>
        <w:footnoteReference w:id="18"/>
      </w:r>
      <w:r w:rsidR="005115C8" w:rsidRPr="00EC4CA3">
        <w:rPr>
          <w:sz w:val="24"/>
        </w:rPr>
        <w:t xml:space="preserve"> </w:t>
      </w:r>
      <w:r w:rsidR="00B95021" w:rsidRPr="00EC4CA3">
        <w:rPr>
          <w:sz w:val="24"/>
        </w:rPr>
        <w:t>Th</w:t>
      </w:r>
      <w:r w:rsidR="00EC4CA3" w:rsidRPr="00EC4CA3">
        <w:rPr>
          <w:sz w:val="24"/>
        </w:rPr>
        <w:t>e Human Rights Committee</w:t>
      </w:r>
      <w:r w:rsidR="00B95021" w:rsidRPr="00EC4CA3">
        <w:rPr>
          <w:sz w:val="24"/>
        </w:rPr>
        <w:t xml:space="preserve"> </w:t>
      </w:r>
      <w:r w:rsidR="00B66654" w:rsidRPr="00EC4CA3">
        <w:rPr>
          <w:sz w:val="24"/>
        </w:rPr>
        <w:t>and other treaty monitoring bodies have</w:t>
      </w:r>
      <w:r w:rsidR="00B95021" w:rsidRPr="00EC4CA3">
        <w:rPr>
          <w:sz w:val="24"/>
        </w:rPr>
        <w:t xml:space="preserve"> </w:t>
      </w:r>
      <w:r w:rsidR="00B66654" w:rsidRPr="00EC4CA3">
        <w:rPr>
          <w:sz w:val="24"/>
        </w:rPr>
        <w:t>expressed</w:t>
      </w:r>
      <w:r w:rsidR="00B95021" w:rsidRPr="00EC4CA3">
        <w:rPr>
          <w:sz w:val="24"/>
        </w:rPr>
        <w:t xml:space="preserve"> serious concern regarding arbitrary detention by police</w:t>
      </w:r>
      <w:r w:rsidR="00A52713">
        <w:rPr>
          <w:sz w:val="24"/>
        </w:rPr>
        <w:t xml:space="preserve"> of persons because of their actual or perceived sexual orientation, or because they are gender non-conforming</w:t>
      </w:r>
      <w:r w:rsidR="00355218">
        <w:rPr>
          <w:sz w:val="24"/>
        </w:rPr>
        <w:t>.</w:t>
      </w:r>
      <w:r w:rsidR="00943402" w:rsidRPr="00EC4CA3">
        <w:rPr>
          <w:rStyle w:val="FootnoteReference"/>
          <w:sz w:val="24"/>
        </w:rPr>
        <w:footnoteReference w:id="19"/>
      </w:r>
      <w:r w:rsidR="00B95021" w:rsidRPr="00EC4CA3">
        <w:rPr>
          <w:sz w:val="24"/>
        </w:rPr>
        <w:t xml:space="preserve"> </w:t>
      </w:r>
    </w:p>
    <w:p w14:paraId="13DAB83C" w14:textId="77777777" w:rsidR="00A837F6" w:rsidRPr="00EC4CA3" w:rsidRDefault="00A837F6" w:rsidP="00155E22">
      <w:pPr>
        <w:jc w:val="both"/>
        <w:rPr>
          <w:sz w:val="24"/>
        </w:rPr>
      </w:pPr>
    </w:p>
    <w:p w14:paraId="760000FA" w14:textId="3DBE400E" w:rsidR="00266041" w:rsidRDefault="00A837F6" w:rsidP="00155E22">
      <w:pPr>
        <w:jc w:val="both"/>
        <w:rPr>
          <w:sz w:val="24"/>
        </w:rPr>
      </w:pPr>
      <w:r w:rsidRPr="00EC4CA3">
        <w:rPr>
          <w:sz w:val="24"/>
        </w:rPr>
        <w:t xml:space="preserve">The </w:t>
      </w:r>
      <w:r w:rsidR="008B4F41" w:rsidRPr="00EC4CA3">
        <w:rPr>
          <w:sz w:val="24"/>
        </w:rPr>
        <w:t>restriction against</w:t>
      </w:r>
      <w:r w:rsidRPr="00EC4CA3">
        <w:rPr>
          <w:sz w:val="24"/>
        </w:rPr>
        <w:t xml:space="preserve"> detaining individuals because of their sexual orientation and gender identity is not limited to offenses related to sexual conduct, it ext</w:t>
      </w:r>
      <w:r w:rsidR="00EC4CA3" w:rsidRPr="00EC4CA3">
        <w:rPr>
          <w:sz w:val="24"/>
        </w:rPr>
        <w:t xml:space="preserve">ends to detention for offenses </w:t>
      </w:r>
      <w:r w:rsidRPr="00EC4CA3">
        <w:rPr>
          <w:sz w:val="24"/>
        </w:rPr>
        <w:t>pertaining to physical appearan</w:t>
      </w:r>
      <w:r w:rsidR="00EC4CA3" w:rsidRPr="00EC4CA3">
        <w:rPr>
          <w:sz w:val="24"/>
        </w:rPr>
        <w:t>ce</w:t>
      </w:r>
      <w:r w:rsidR="0000320F">
        <w:rPr>
          <w:sz w:val="24"/>
        </w:rPr>
        <w:t xml:space="preserve">, often through the use of </w:t>
      </w:r>
      <w:r w:rsidR="00EC4CA3" w:rsidRPr="00EC4CA3">
        <w:rPr>
          <w:sz w:val="24"/>
        </w:rPr>
        <w:t>so-called “public scandal”</w:t>
      </w:r>
      <w:r w:rsidRPr="00EC4CA3">
        <w:rPr>
          <w:sz w:val="24"/>
        </w:rPr>
        <w:t xml:space="preserve"> </w:t>
      </w:r>
      <w:r w:rsidR="0000320F">
        <w:rPr>
          <w:sz w:val="24"/>
        </w:rPr>
        <w:t xml:space="preserve">or morality </w:t>
      </w:r>
      <w:r w:rsidRPr="00EC4CA3">
        <w:rPr>
          <w:sz w:val="24"/>
        </w:rPr>
        <w:t>laws</w:t>
      </w:r>
      <w:r w:rsidR="0000320F">
        <w:rPr>
          <w:sz w:val="24"/>
        </w:rPr>
        <w:t>, laws that prohibit impersonation, or move-on ordinances which, in their implementation, target vulnerable or marginalized populations including in particular trans persons</w:t>
      </w:r>
      <w:r w:rsidR="00085345">
        <w:rPr>
          <w:sz w:val="24"/>
        </w:rPr>
        <w:t>, but also intersex persons</w:t>
      </w:r>
      <w:r w:rsidRPr="00EC4CA3">
        <w:rPr>
          <w:sz w:val="24"/>
        </w:rPr>
        <w:t xml:space="preserve">.  </w:t>
      </w:r>
      <w:r w:rsidR="006B4F69" w:rsidRPr="00EC4CA3">
        <w:rPr>
          <w:sz w:val="24"/>
        </w:rPr>
        <w:t xml:space="preserve">Authorities frequently use </w:t>
      </w:r>
      <w:r w:rsidR="0000320F">
        <w:rPr>
          <w:sz w:val="24"/>
        </w:rPr>
        <w:t>such</w:t>
      </w:r>
      <w:r w:rsidRPr="00EC4CA3">
        <w:rPr>
          <w:sz w:val="24"/>
        </w:rPr>
        <w:t xml:space="preserve"> laws </w:t>
      </w:r>
      <w:r w:rsidR="006B4F69" w:rsidRPr="00EC4CA3">
        <w:rPr>
          <w:sz w:val="24"/>
        </w:rPr>
        <w:t>to punish individuals who do not conform to social norms</w:t>
      </w:r>
      <w:r w:rsidR="0000320F">
        <w:rPr>
          <w:sz w:val="24"/>
        </w:rPr>
        <w:t xml:space="preserve">, and because many of them contain vague or overbroad provisions, they are often implemented in a discriminatory or arbitrary fashion, targeting the most marginalized. </w:t>
      </w:r>
    </w:p>
    <w:p w14:paraId="1DAB8E59" w14:textId="77777777" w:rsidR="00266041" w:rsidRDefault="00266041" w:rsidP="00155E22">
      <w:pPr>
        <w:jc w:val="both"/>
        <w:rPr>
          <w:sz w:val="24"/>
        </w:rPr>
      </w:pPr>
    </w:p>
    <w:p w14:paraId="48DA9AA8" w14:textId="79326722" w:rsidR="00A837F6" w:rsidRPr="00EC4CA3" w:rsidRDefault="0000320F" w:rsidP="00155E22">
      <w:pPr>
        <w:jc w:val="both"/>
        <w:rPr>
          <w:sz w:val="24"/>
        </w:rPr>
      </w:pPr>
      <w:r>
        <w:rPr>
          <w:sz w:val="24"/>
        </w:rPr>
        <w:t>In this connection, t</w:t>
      </w:r>
      <w:r w:rsidR="006569D4" w:rsidRPr="00EC4CA3">
        <w:rPr>
          <w:sz w:val="24"/>
        </w:rPr>
        <w:t>he Working Group on Arbitrary Detention</w:t>
      </w:r>
      <w:r>
        <w:rPr>
          <w:sz w:val="24"/>
        </w:rPr>
        <w:t>, for example,</w:t>
      </w:r>
      <w:r w:rsidR="006569D4" w:rsidRPr="00EC4CA3">
        <w:rPr>
          <w:sz w:val="24"/>
        </w:rPr>
        <w:t xml:space="preserve"> has voiced concern over the wide discretion given to </w:t>
      </w:r>
      <w:r w:rsidR="00DA0841">
        <w:rPr>
          <w:sz w:val="24"/>
        </w:rPr>
        <w:t>“m</w:t>
      </w:r>
      <w:r w:rsidR="006569D4" w:rsidRPr="00EC4CA3">
        <w:rPr>
          <w:sz w:val="24"/>
        </w:rPr>
        <w:t xml:space="preserve">orality </w:t>
      </w:r>
      <w:r w:rsidR="00DA0841">
        <w:rPr>
          <w:sz w:val="24"/>
        </w:rPr>
        <w:t>p</w:t>
      </w:r>
      <w:r w:rsidR="006569D4" w:rsidRPr="00EC4CA3">
        <w:rPr>
          <w:sz w:val="24"/>
        </w:rPr>
        <w:t>olice</w:t>
      </w:r>
      <w:r w:rsidR="00DA0841">
        <w:rPr>
          <w:sz w:val="24"/>
        </w:rPr>
        <w:t>” or other enforcement entities</w:t>
      </w:r>
      <w:r w:rsidR="006569D4" w:rsidRPr="00EC4CA3">
        <w:rPr>
          <w:sz w:val="24"/>
        </w:rPr>
        <w:t xml:space="preserve"> charged with oversight ‘moral’ or ‘immoral’ behavior and to determine what constitutes immoral actions</w:t>
      </w:r>
      <w:r w:rsidR="00442692">
        <w:rPr>
          <w:sz w:val="24"/>
        </w:rPr>
        <w:t xml:space="preserve">.  </w:t>
      </w:r>
      <w:r w:rsidR="0074221A">
        <w:rPr>
          <w:sz w:val="24"/>
        </w:rPr>
        <w:t xml:space="preserve">A </w:t>
      </w:r>
      <w:r w:rsidR="00442692">
        <w:rPr>
          <w:sz w:val="24"/>
        </w:rPr>
        <w:t>2008</w:t>
      </w:r>
      <w:r w:rsidR="0074221A">
        <w:rPr>
          <w:sz w:val="24"/>
        </w:rPr>
        <w:t xml:space="preserve"> case reviewed by the Working Group on Arbitrary Detention revealed</w:t>
      </w:r>
      <w:r w:rsidR="00442692">
        <w:rPr>
          <w:sz w:val="24"/>
        </w:rPr>
        <w:t xml:space="preserve"> four men in Egypt were imprisoned for</w:t>
      </w:r>
      <w:r w:rsidR="00442692" w:rsidRPr="00442692">
        <w:rPr>
          <w:sz w:val="24"/>
        </w:rPr>
        <w:t xml:space="preserve"> h</w:t>
      </w:r>
      <w:r w:rsidR="00442692">
        <w:rPr>
          <w:sz w:val="24"/>
        </w:rPr>
        <w:t>omosexual conduct</w:t>
      </w:r>
      <w:r w:rsidR="0074221A">
        <w:rPr>
          <w:sz w:val="24"/>
        </w:rPr>
        <w:t xml:space="preserve">, their </w:t>
      </w:r>
      <w:r w:rsidR="00442692" w:rsidRPr="00442692">
        <w:rPr>
          <w:sz w:val="24"/>
        </w:rPr>
        <w:t xml:space="preserve">convictions </w:t>
      </w:r>
      <w:r w:rsidR="00442692">
        <w:rPr>
          <w:sz w:val="24"/>
        </w:rPr>
        <w:t>“</w:t>
      </w:r>
      <w:r w:rsidR="00442692" w:rsidRPr="00442692">
        <w:rPr>
          <w:sz w:val="24"/>
        </w:rPr>
        <w:t>not b</w:t>
      </w:r>
      <w:r w:rsidR="00442692">
        <w:rPr>
          <w:sz w:val="24"/>
        </w:rPr>
        <w:t xml:space="preserve">ased on any evidence except for </w:t>
      </w:r>
      <w:r w:rsidR="00442692" w:rsidRPr="00442692">
        <w:rPr>
          <w:sz w:val="24"/>
        </w:rPr>
        <w:t>coe</w:t>
      </w:r>
      <w:r w:rsidR="0074221A">
        <w:rPr>
          <w:sz w:val="24"/>
        </w:rPr>
        <w:t>rced and repudiated statements…</w:t>
      </w:r>
      <w:r w:rsidR="00442692" w:rsidRPr="00442692">
        <w:rPr>
          <w:sz w:val="24"/>
        </w:rPr>
        <w:t>taken from them at the Ministry of Interior’s Morality Police Department</w:t>
      </w:r>
      <w:r w:rsidR="0074221A">
        <w:rPr>
          <w:sz w:val="24"/>
        </w:rPr>
        <w:t>.”  The</w:t>
      </w:r>
      <w:r w:rsidR="00442692">
        <w:rPr>
          <w:sz w:val="24"/>
        </w:rPr>
        <w:t xml:space="preserve"> Working Group </w:t>
      </w:r>
      <w:r w:rsidR="0074221A">
        <w:rPr>
          <w:sz w:val="24"/>
        </w:rPr>
        <w:t>reported</w:t>
      </w:r>
      <w:r w:rsidR="00442692">
        <w:rPr>
          <w:sz w:val="24"/>
        </w:rPr>
        <w:t xml:space="preserve"> the actions of morality police</w:t>
      </w:r>
      <w:r w:rsidR="008B4F41" w:rsidRPr="00EC4CA3">
        <w:rPr>
          <w:sz w:val="24"/>
        </w:rPr>
        <w:t xml:space="preserve"> “[do] not bode well for basic human rights such as right to privacy, right to own liberty, freedom of opinion and freedom of expression</w:t>
      </w:r>
      <w:r w:rsidR="006569D4" w:rsidRPr="00EC4CA3">
        <w:rPr>
          <w:sz w:val="24"/>
        </w:rPr>
        <w:t>.</w:t>
      </w:r>
      <w:r w:rsidR="00DA0841">
        <w:rPr>
          <w:sz w:val="24"/>
        </w:rPr>
        <w:t>”</w:t>
      </w:r>
      <w:r w:rsidR="006569D4" w:rsidRPr="00EC4CA3">
        <w:rPr>
          <w:rStyle w:val="FootnoteReference"/>
          <w:sz w:val="24"/>
        </w:rPr>
        <w:footnoteReference w:id="20"/>
      </w:r>
      <w:r w:rsidR="006569D4" w:rsidRPr="00EC4CA3">
        <w:rPr>
          <w:sz w:val="24"/>
        </w:rPr>
        <w:t xml:space="preserve"> </w:t>
      </w:r>
    </w:p>
    <w:p w14:paraId="253AF34E" w14:textId="77777777" w:rsidR="007106AF" w:rsidRPr="00EC4CA3" w:rsidRDefault="007106AF" w:rsidP="00155E22">
      <w:pPr>
        <w:jc w:val="both"/>
        <w:rPr>
          <w:sz w:val="24"/>
        </w:rPr>
      </w:pPr>
    </w:p>
    <w:p w14:paraId="745B793A" w14:textId="2EC6D8AA" w:rsidR="004A6AD6" w:rsidRPr="00EC4CA3" w:rsidRDefault="00A82BEF" w:rsidP="00155E22">
      <w:pPr>
        <w:jc w:val="both"/>
        <w:rPr>
          <w:sz w:val="24"/>
        </w:rPr>
      </w:pPr>
      <w:r w:rsidRPr="00EC4CA3">
        <w:rPr>
          <w:sz w:val="24"/>
        </w:rPr>
        <w:t xml:space="preserve">Since </w:t>
      </w:r>
      <w:proofErr w:type="spellStart"/>
      <w:r w:rsidRPr="00EC4CA3">
        <w:rPr>
          <w:i/>
          <w:sz w:val="24"/>
        </w:rPr>
        <w:t>Toonen</w:t>
      </w:r>
      <w:proofErr w:type="spellEnd"/>
      <w:r w:rsidR="00753613" w:rsidRPr="00EC4CA3">
        <w:rPr>
          <w:i/>
          <w:sz w:val="24"/>
        </w:rPr>
        <w:t xml:space="preserve"> v. Australia</w:t>
      </w:r>
      <w:r w:rsidRPr="00EC4CA3">
        <w:rPr>
          <w:sz w:val="24"/>
        </w:rPr>
        <w:t xml:space="preserve"> in 1994, the Human Rights Committee has held that laws </w:t>
      </w:r>
      <w:r w:rsidR="00266041">
        <w:rPr>
          <w:sz w:val="24"/>
        </w:rPr>
        <w:t>that</w:t>
      </w:r>
      <w:r w:rsidRPr="00EC4CA3">
        <w:rPr>
          <w:sz w:val="24"/>
        </w:rPr>
        <w:t xml:space="preserve"> criminalize private, adult, consensual same-sex sexual relations violate rights to privacy and to non-discrimination.</w:t>
      </w:r>
      <w:r w:rsidR="00753613" w:rsidRPr="00EC4CA3">
        <w:rPr>
          <w:rStyle w:val="FootnoteReference"/>
          <w:sz w:val="24"/>
        </w:rPr>
        <w:footnoteReference w:id="21"/>
      </w:r>
      <w:r w:rsidRPr="00EC4CA3">
        <w:rPr>
          <w:sz w:val="24"/>
        </w:rPr>
        <w:t xml:space="preserve"> </w:t>
      </w:r>
      <w:r w:rsidR="00753613" w:rsidRPr="00EC4CA3">
        <w:rPr>
          <w:sz w:val="24"/>
        </w:rPr>
        <w:t>States</w:t>
      </w:r>
      <w:r w:rsidR="00266041">
        <w:rPr>
          <w:sz w:val="24"/>
        </w:rPr>
        <w:t xml:space="preserve"> have attempted to</w:t>
      </w:r>
      <w:r w:rsidR="00753613" w:rsidRPr="00EC4CA3">
        <w:rPr>
          <w:sz w:val="24"/>
        </w:rPr>
        <w:t xml:space="preserve"> justify </w:t>
      </w:r>
      <w:r w:rsidRPr="00EC4CA3">
        <w:rPr>
          <w:sz w:val="24"/>
        </w:rPr>
        <w:t>criminalization as “reasonable” on grounds of protec</w:t>
      </w:r>
      <w:r w:rsidR="001E4886">
        <w:rPr>
          <w:sz w:val="24"/>
        </w:rPr>
        <w:t xml:space="preserve">tion of public health or morals but </w:t>
      </w:r>
      <w:r w:rsidR="00753613" w:rsidRPr="00EC4CA3">
        <w:rPr>
          <w:sz w:val="24"/>
        </w:rPr>
        <w:t xml:space="preserve">the Committee </w:t>
      </w:r>
      <w:r w:rsidR="00DA0841">
        <w:rPr>
          <w:sz w:val="24"/>
        </w:rPr>
        <w:t xml:space="preserve">consistently </w:t>
      </w:r>
      <w:r w:rsidR="00753613" w:rsidRPr="00EC4CA3">
        <w:rPr>
          <w:sz w:val="24"/>
        </w:rPr>
        <w:t xml:space="preserve">rejects these grounds indicating criminalization </w:t>
      </w:r>
      <w:r w:rsidRPr="00EC4CA3">
        <w:rPr>
          <w:sz w:val="24"/>
        </w:rPr>
        <w:t>is neither necessary nor proportionate.</w:t>
      </w:r>
      <w:r w:rsidR="00753613" w:rsidRPr="00EC4CA3">
        <w:rPr>
          <w:rStyle w:val="FootnoteReference"/>
          <w:sz w:val="24"/>
        </w:rPr>
        <w:footnoteReference w:id="22"/>
      </w:r>
      <w:r w:rsidR="00753613" w:rsidRPr="00EC4CA3">
        <w:rPr>
          <w:sz w:val="24"/>
        </w:rPr>
        <w:t xml:space="preserve"> </w:t>
      </w:r>
      <w:r w:rsidR="00AD689C" w:rsidRPr="00EC4CA3">
        <w:rPr>
          <w:sz w:val="24"/>
        </w:rPr>
        <w:t xml:space="preserve"> </w:t>
      </w:r>
    </w:p>
    <w:p w14:paraId="4790E0CB" w14:textId="77777777" w:rsidR="00E66A03" w:rsidRDefault="00E66A03" w:rsidP="00155E22">
      <w:pPr>
        <w:jc w:val="both"/>
      </w:pPr>
    </w:p>
    <w:p w14:paraId="08665BE5" w14:textId="4880362E" w:rsidR="00291343" w:rsidRDefault="00291343" w:rsidP="00155E22">
      <w:pPr>
        <w:jc w:val="both"/>
        <w:rPr>
          <w:b/>
          <w:sz w:val="24"/>
        </w:rPr>
      </w:pPr>
    </w:p>
    <w:p w14:paraId="1BD41DC7" w14:textId="77777777" w:rsidR="00155E22" w:rsidRDefault="00155E22" w:rsidP="00155E22">
      <w:pPr>
        <w:jc w:val="both"/>
        <w:rPr>
          <w:b/>
          <w:sz w:val="24"/>
        </w:rPr>
      </w:pPr>
    </w:p>
    <w:p w14:paraId="50FE0050" w14:textId="07CBA964" w:rsidR="00F75CC3" w:rsidRPr="009C344B" w:rsidRDefault="00F75CC3" w:rsidP="00155E22">
      <w:pPr>
        <w:pStyle w:val="ListParagraph"/>
        <w:numPr>
          <w:ilvl w:val="0"/>
          <w:numId w:val="8"/>
        </w:numPr>
        <w:jc w:val="both"/>
        <w:rPr>
          <w:b/>
          <w:sz w:val="24"/>
        </w:rPr>
      </w:pPr>
      <w:r w:rsidRPr="009C344B">
        <w:rPr>
          <w:b/>
          <w:sz w:val="24"/>
        </w:rPr>
        <w:t xml:space="preserve">Effective Remedy for Redress </w:t>
      </w:r>
    </w:p>
    <w:p w14:paraId="3B5ECB23" w14:textId="77777777" w:rsidR="00F75CC3" w:rsidRPr="00EC4CA3" w:rsidRDefault="00F75CC3" w:rsidP="00155E22">
      <w:pPr>
        <w:jc w:val="both"/>
        <w:rPr>
          <w:sz w:val="24"/>
        </w:rPr>
      </w:pPr>
    </w:p>
    <w:p w14:paraId="67AF489A" w14:textId="3B137AA5" w:rsidR="00216CDB" w:rsidRPr="00216CDB" w:rsidRDefault="00DE4147" w:rsidP="00155E22">
      <w:pPr>
        <w:jc w:val="both"/>
        <w:rPr>
          <w:sz w:val="24"/>
        </w:rPr>
      </w:pPr>
      <w:r>
        <w:rPr>
          <w:sz w:val="24"/>
        </w:rPr>
        <w:t>Article 9</w:t>
      </w:r>
      <w:r w:rsidR="00180B91">
        <w:rPr>
          <w:sz w:val="24"/>
        </w:rPr>
        <w:t>(5) provides</w:t>
      </w:r>
      <w:r>
        <w:rPr>
          <w:sz w:val="24"/>
        </w:rPr>
        <w:t>, “a</w:t>
      </w:r>
      <w:r w:rsidR="00216CDB" w:rsidRPr="00216CDB">
        <w:rPr>
          <w:sz w:val="24"/>
        </w:rPr>
        <w:t>nyone who has been the victim of unlawful arrest or detention shall have an enforceable right to compensation.</w:t>
      </w:r>
      <w:r>
        <w:rPr>
          <w:sz w:val="24"/>
        </w:rPr>
        <w:t>”</w:t>
      </w:r>
      <w:r w:rsidR="003936D1">
        <w:rPr>
          <w:rStyle w:val="FootnoteReference"/>
          <w:sz w:val="24"/>
        </w:rPr>
        <w:footnoteReference w:id="23"/>
      </w:r>
      <w:r>
        <w:rPr>
          <w:sz w:val="24"/>
        </w:rPr>
        <w:t xml:space="preserve">  </w:t>
      </w:r>
      <w:r w:rsidR="00180B91">
        <w:rPr>
          <w:sz w:val="24"/>
        </w:rPr>
        <w:t xml:space="preserve">Unfortunately, rarely do LGBT </w:t>
      </w:r>
      <w:r w:rsidR="00D93FBA">
        <w:rPr>
          <w:sz w:val="24"/>
        </w:rPr>
        <w:t xml:space="preserve">or intersex </w:t>
      </w:r>
      <w:r w:rsidR="00180B91">
        <w:rPr>
          <w:sz w:val="24"/>
        </w:rPr>
        <w:t xml:space="preserve">people have an effective method for seeking or achieving redress for unlawful arrest or arbitrary </w:t>
      </w:r>
      <w:proofErr w:type="gramStart"/>
      <w:r w:rsidR="00180B91">
        <w:rPr>
          <w:sz w:val="24"/>
        </w:rPr>
        <w:t>detention.</w:t>
      </w:r>
      <w:proofErr w:type="gramEnd"/>
      <w:r w:rsidR="00D93FBA">
        <w:rPr>
          <w:sz w:val="24"/>
        </w:rPr>
        <w:t xml:space="preserve"> Statutes of limitations and affect the ability of intersex persons to seek redress for childhood medical intervention.</w:t>
      </w:r>
    </w:p>
    <w:p w14:paraId="5706DCD7" w14:textId="77777777" w:rsidR="00216CDB" w:rsidRDefault="00216CDB" w:rsidP="00155E22">
      <w:pPr>
        <w:jc w:val="both"/>
        <w:rPr>
          <w:sz w:val="24"/>
        </w:rPr>
      </w:pPr>
    </w:p>
    <w:p w14:paraId="1C801D85" w14:textId="6D35DBAF" w:rsidR="00820795" w:rsidRDefault="00A84067" w:rsidP="00155E22">
      <w:pPr>
        <w:jc w:val="both"/>
        <w:rPr>
          <w:sz w:val="24"/>
        </w:rPr>
      </w:pPr>
      <w:r>
        <w:rPr>
          <w:sz w:val="24"/>
        </w:rPr>
        <w:t xml:space="preserve">Under international law, </w:t>
      </w:r>
      <w:r w:rsidRPr="00A84067">
        <w:rPr>
          <w:sz w:val="24"/>
        </w:rPr>
        <w:t xml:space="preserve">States must prohibit and punish acts of torture and </w:t>
      </w:r>
      <w:proofErr w:type="gramStart"/>
      <w:r w:rsidRPr="00A84067">
        <w:rPr>
          <w:sz w:val="24"/>
        </w:rPr>
        <w:t>ill-treatment</w:t>
      </w:r>
      <w:proofErr w:type="gramEnd"/>
      <w:r w:rsidRPr="00A84067">
        <w:rPr>
          <w:sz w:val="24"/>
        </w:rPr>
        <w:t>, and must provide redress to victims of such acts</w:t>
      </w:r>
      <w:r>
        <w:rPr>
          <w:sz w:val="24"/>
        </w:rPr>
        <w:t xml:space="preserve">.  However, police and other authorities are </w:t>
      </w:r>
      <w:r w:rsidR="008F0DFC">
        <w:rPr>
          <w:sz w:val="24"/>
        </w:rPr>
        <w:t xml:space="preserve">often </w:t>
      </w:r>
      <w:r>
        <w:rPr>
          <w:sz w:val="24"/>
        </w:rPr>
        <w:t>the</w:t>
      </w:r>
      <w:r w:rsidR="008F0DFC">
        <w:rPr>
          <w:sz w:val="24"/>
        </w:rPr>
        <w:t xml:space="preserve"> actors</w:t>
      </w:r>
      <w:r>
        <w:rPr>
          <w:sz w:val="24"/>
        </w:rPr>
        <w:t xml:space="preserve"> responsible for the widespread and systemic violence against LGBT </w:t>
      </w:r>
      <w:r w:rsidR="00D93FBA">
        <w:rPr>
          <w:sz w:val="24"/>
        </w:rPr>
        <w:t xml:space="preserve">and intersex </w:t>
      </w:r>
      <w:r>
        <w:rPr>
          <w:sz w:val="24"/>
        </w:rPr>
        <w:t xml:space="preserve">people.  Police often refuse to investigate and prosecute violence committed at the hands of non-State actors.  </w:t>
      </w:r>
      <w:r w:rsidR="005A0EA9">
        <w:rPr>
          <w:sz w:val="24"/>
        </w:rPr>
        <w:t xml:space="preserve">States </w:t>
      </w:r>
      <w:r w:rsidR="00F73A6E">
        <w:rPr>
          <w:sz w:val="24"/>
        </w:rPr>
        <w:t>have an obligation to ensure</w:t>
      </w:r>
      <w:r w:rsidR="005A0EA9" w:rsidRPr="005A0EA9">
        <w:rPr>
          <w:sz w:val="24"/>
        </w:rPr>
        <w:t xml:space="preserve"> that all acts of brutality by law enforcement officers and other agents of the State are independently, promptly and thoroughly investigated, and that those responsible are brought to justice.</w:t>
      </w:r>
      <w:r w:rsidR="005A0EA9">
        <w:rPr>
          <w:rStyle w:val="FootnoteReference"/>
          <w:sz w:val="24"/>
        </w:rPr>
        <w:footnoteReference w:id="24"/>
      </w:r>
    </w:p>
    <w:p w14:paraId="7E37C6CB" w14:textId="77777777" w:rsidR="00F73A6E" w:rsidRPr="00DE4147" w:rsidRDefault="00F73A6E" w:rsidP="00155E22">
      <w:pPr>
        <w:jc w:val="both"/>
        <w:rPr>
          <w:sz w:val="24"/>
        </w:rPr>
      </w:pPr>
    </w:p>
    <w:p w14:paraId="5E2FCA89" w14:textId="7554DFB5" w:rsidR="00DE4147" w:rsidRPr="00DE4147" w:rsidRDefault="00F73A6E" w:rsidP="00155E22">
      <w:pPr>
        <w:jc w:val="both"/>
        <w:rPr>
          <w:sz w:val="24"/>
        </w:rPr>
      </w:pPr>
      <w:r>
        <w:rPr>
          <w:sz w:val="24"/>
        </w:rPr>
        <w:t>In practice, retaliation</w:t>
      </w:r>
      <w:r w:rsidR="00524560">
        <w:rPr>
          <w:sz w:val="24"/>
        </w:rPr>
        <w:t xml:space="preserve"> and</w:t>
      </w:r>
      <w:r>
        <w:rPr>
          <w:sz w:val="24"/>
        </w:rPr>
        <w:t xml:space="preserve"> impunity </w:t>
      </w:r>
      <w:r w:rsidR="00524560">
        <w:rPr>
          <w:sz w:val="24"/>
        </w:rPr>
        <w:t>continue to leave many LGBT</w:t>
      </w:r>
      <w:r w:rsidR="00D93FBA">
        <w:rPr>
          <w:sz w:val="24"/>
        </w:rPr>
        <w:t xml:space="preserve"> and intersex</w:t>
      </w:r>
      <w:r w:rsidR="00524560">
        <w:rPr>
          <w:sz w:val="24"/>
        </w:rPr>
        <w:t xml:space="preserve"> individuals without an effective remedy for redress.</w:t>
      </w:r>
      <w:r w:rsidR="00DE4147" w:rsidRPr="00DE4147">
        <w:rPr>
          <w:sz w:val="24"/>
        </w:rPr>
        <w:t xml:space="preserve"> </w:t>
      </w:r>
    </w:p>
    <w:p w14:paraId="33D25749" w14:textId="77777777" w:rsidR="00FE1DBE" w:rsidRDefault="00FE1DBE" w:rsidP="00155E22">
      <w:pPr>
        <w:jc w:val="both"/>
      </w:pPr>
    </w:p>
    <w:p w14:paraId="276B4DC2" w14:textId="77777777" w:rsidR="00FE1DBE" w:rsidRDefault="00FE1DBE" w:rsidP="00155E22">
      <w:pPr>
        <w:jc w:val="both"/>
      </w:pPr>
    </w:p>
    <w:p w14:paraId="41A248BC" w14:textId="67F9839C" w:rsidR="00F16AF8" w:rsidRPr="007E51B8" w:rsidRDefault="00F16AF8" w:rsidP="00155E22">
      <w:pPr>
        <w:pStyle w:val="ListParagraph"/>
        <w:numPr>
          <w:ilvl w:val="0"/>
          <w:numId w:val="8"/>
        </w:numPr>
        <w:jc w:val="both"/>
        <w:rPr>
          <w:b/>
          <w:sz w:val="24"/>
        </w:rPr>
      </w:pPr>
      <w:r w:rsidRPr="007E51B8">
        <w:rPr>
          <w:b/>
          <w:sz w:val="24"/>
        </w:rPr>
        <w:t>The importance of including sexual orientation and gender identity</w:t>
      </w:r>
      <w:r w:rsidR="00D93FBA">
        <w:rPr>
          <w:b/>
          <w:sz w:val="24"/>
        </w:rPr>
        <w:t xml:space="preserve">, and intersex status </w:t>
      </w:r>
      <w:r w:rsidRPr="007E51B8">
        <w:rPr>
          <w:b/>
          <w:sz w:val="24"/>
        </w:rPr>
        <w:t>in the document</w:t>
      </w:r>
    </w:p>
    <w:p w14:paraId="09CD20E1" w14:textId="77777777" w:rsidR="00F16AF8" w:rsidRDefault="00F16AF8" w:rsidP="00155E22">
      <w:pPr>
        <w:ind w:left="360"/>
        <w:jc w:val="both"/>
        <w:rPr>
          <w:sz w:val="24"/>
        </w:rPr>
      </w:pPr>
    </w:p>
    <w:p w14:paraId="1D72FD48" w14:textId="2F7F8725" w:rsidR="00F16AF8" w:rsidRPr="00EC4CA3" w:rsidRDefault="006049F9" w:rsidP="00155E22">
      <w:pPr>
        <w:jc w:val="both"/>
        <w:rPr>
          <w:sz w:val="24"/>
        </w:rPr>
      </w:pPr>
      <w:r w:rsidRPr="005327DA">
        <w:rPr>
          <w:sz w:val="24"/>
        </w:rPr>
        <w:t xml:space="preserve">It is critical that the Committee </w:t>
      </w:r>
      <w:proofErr w:type="gramStart"/>
      <w:r w:rsidRPr="005327DA">
        <w:rPr>
          <w:sz w:val="24"/>
        </w:rPr>
        <w:t>include</w:t>
      </w:r>
      <w:proofErr w:type="gramEnd"/>
      <w:r w:rsidRPr="005327DA">
        <w:rPr>
          <w:sz w:val="24"/>
        </w:rPr>
        <w:t xml:space="preserve"> explicit reference to sexual orientation</w:t>
      </w:r>
      <w:r w:rsidR="00D93FBA">
        <w:rPr>
          <w:sz w:val="24"/>
        </w:rPr>
        <w:t>,</w:t>
      </w:r>
      <w:r w:rsidRPr="005327DA">
        <w:rPr>
          <w:sz w:val="24"/>
        </w:rPr>
        <w:t xml:space="preserve"> gender identity</w:t>
      </w:r>
      <w:r w:rsidR="00D93FBA">
        <w:rPr>
          <w:sz w:val="24"/>
        </w:rPr>
        <w:t xml:space="preserve"> and intersex status</w:t>
      </w:r>
      <w:r>
        <w:rPr>
          <w:sz w:val="24"/>
        </w:rPr>
        <w:t xml:space="preserve"> in any list of explicitly named prohibited grounds for discrimination</w:t>
      </w:r>
      <w:r w:rsidRPr="005327DA">
        <w:rPr>
          <w:sz w:val="24"/>
        </w:rPr>
        <w:t xml:space="preserve">.  </w:t>
      </w:r>
      <w:r w:rsidR="00F16AF8">
        <w:rPr>
          <w:sz w:val="24"/>
        </w:rPr>
        <w:t>S</w:t>
      </w:r>
      <w:r w:rsidR="00F16AF8" w:rsidRPr="00E33122">
        <w:rPr>
          <w:sz w:val="24"/>
        </w:rPr>
        <w:t>tate obligations under the ICCPR</w:t>
      </w:r>
      <w:r w:rsidR="00F16AF8">
        <w:rPr>
          <w:sz w:val="24"/>
        </w:rPr>
        <w:t xml:space="preserve"> require protection</w:t>
      </w:r>
      <w:r w:rsidR="00F16AF8" w:rsidRPr="00E33122">
        <w:rPr>
          <w:sz w:val="24"/>
        </w:rPr>
        <w:t xml:space="preserve"> against violence</w:t>
      </w:r>
      <w:r w:rsidR="00F16AF8">
        <w:rPr>
          <w:sz w:val="24"/>
        </w:rPr>
        <w:t xml:space="preserve"> (including violence motivated by hatred or prejudice)</w:t>
      </w:r>
      <w:r w:rsidR="00F16AF8" w:rsidRPr="00E33122">
        <w:rPr>
          <w:sz w:val="24"/>
        </w:rPr>
        <w:t xml:space="preserve">, preventing </w:t>
      </w:r>
      <w:r w:rsidR="00F16AF8">
        <w:rPr>
          <w:sz w:val="24"/>
        </w:rPr>
        <w:t xml:space="preserve">and punishing acts of </w:t>
      </w:r>
      <w:r w:rsidR="00F16AF8" w:rsidRPr="00E33122">
        <w:rPr>
          <w:sz w:val="24"/>
        </w:rPr>
        <w:t>torture and cruel, inhuman</w:t>
      </w:r>
      <w:r w:rsidR="008F0DFC">
        <w:rPr>
          <w:sz w:val="24"/>
        </w:rPr>
        <w:t>e</w:t>
      </w:r>
      <w:r w:rsidR="00F16AF8" w:rsidRPr="00E33122">
        <w:rPr>
          <w:sz w:val="24"/>
        </w:rPr>
        <w:t xml:space="preserve"> and degrading treatment </w:t>
      </w:r>
      <w:r w:rsidR="00F16AF8">
        <w:rPr>
          <w:sz w:val="24"/>
        </w:rPr>
        <w:t xml:space="preserve">against anyone, including LGBT </w:t>
      </w:r>
      <w:r w:rsidR="00D93FBA">
        <w:rPr>
          <w:sz w:val="24"/>
        </w:rPr>
        <w:t xml:space="preserve">and intersex </w:t>
      </w:r>
      <w:r w:rsidR="00F16AF8">
        <w:rPr>
          <w:sz w:val="24"/>
        </w:rPr>
        <w:t>people</w:t>
      </w:r>
      <w:r w:rsidR="00F16AF8" w:rsidRPr="00E33122">
        <w:rPr>
          <w:sz w:val="24"/>
        </w:rPr>
        <w:t xml:space="preserve">, decriminalizing </w:t>
      </w:r>
      <w:r w:rsidR="00F16AF8">
        <w:rPr>
          <w:sz w:val="24"/>
        </w:rPr>
        <w:t xml:space="preserve">consensual </w:t>
      </w:r>
      <w:r w:rsidR="00F16AF8" w:rsidRPr="00E33122">
        <w:rPr>
          <w:sz w:val="24"/>
        </w:rPr>
        <w:t xml:space="preserve">same-sex sexual acts, prohibiting discrimination based on </w:t>
      </w:r>
      <w:r w:rsidR="00F16AF8" w:rsidRPr="00EC4CA3">
        <w:rPr>
          <w:sz w:val="24"/>
        </w:rPr>
        <w:t>sexual orientation</w:t>
      </w:r>
      <w:r w:rsidR="00D93FBA">
        <w:rPr>
          <w:sz w:val="24"/>
        </w:rPr>
        <w:t>,</w:t>
      </w:r>
      <w:r w:rsidR="00F16AF8" w:rsidRPr="00EC4CA3">
        <w:rPr>
          <w:sz w:val="24"/>
        </w:rPr>
        <w:t xml:space="preserve"> gender identity, </w:t>
      </w:r>
      <w:r w:rsidR="00D93FBA">
        <w:rPr>
          <w:sz w:val="24"/>
        </w:rPr>
        <w:t xml:space="preserve">and intersex status, </w:t>
      </w:r>
      <w:r w:rsidR="00F16AF8" w:rsidRPr="00EC4CA3">
        <w:rPr>
          <w:sz w:val="24"/>
        </w:rPr>
        <w:t>and respecting freedom of expression, association and peaceful assembly.</w:t>
      </w:r>
      <w:r>
        <w:rPr>
          <w:sz w:val="24"/>
        </w:rPr>
        <w:t xml:space="preserve">  </w:t>
      </w:r>
    </w:p>
    <w:p w14:paraId="5F6B66B5" w14:textId="77777777" w:rsidR="00F16AF8" w:rsidRPr="005327DA" w:rsidRDefault="00F16AF8" w:rsidP="00155E22">
      <w:pPr>
        <w:ind w:left="360"/>
        <w:jc w:val="both"/>
        <w:rPr>
          <w:sz w:val="24"/>
        </w:rPr>
      </w:pPr>
    </w:p>
    <w:p w14:paraId="36500665" w14:textId="4A7068B6" w:rsidR="00F16AF8" w:rsidRDefault="00F16AF8" w:rsidP="00155E22">
      <w:pPr>
        <w:jc w:val="both"/>
        <w:rPr>
          <w:sz w:val="24"/>
        </w:rPr>
      </w:pPr>
      <w:r w:rsidRPr="005327DA">
        <w:rPr>
          <w:sz w:val="24"/>
        </w:rPr>
        <w:t>The</w:t>
      </w:r>
      <w:r w:rsidR="006049F9">
        <w:rPr>
          <w:sz w:val="24"/>
        </w:rPr>
        <w:t xml:space="preserve"> terms “sexual orientation and gender identity” </w:t>
      </w:r>
      <w:r w:rsidRPr="005327DA">
        <w:rPr>
          <w:sz w:val="24"/>
        </w:rPr>
        <w:t>have gained recognition in other international conventions and resolutions,</w:t>
      </w:r>
      <w:r w:rsidR="006049F9">
        <w:rPr>
          <w:rStyle w:val="FootnoteReference"/>
          <w:sz w:val="24"/>
        </w:rPr>
        <w:footnoteReference w:id="25"/>
      </w:r>
      <w:r w:rsidRPr="005327DA">
        <w:rPr>
          <w:sz w:val="24"/>
        </w:rPr>
        <w:t xml:space="preserve"> as well as in many nations’ domestic laws that protect the rights of </w:t>
      </w:r>
      <w:r w:rsidRPr="005327DA">
        <w:rPr>
          <w:sz w:val="24"/>
        </w:rPr>
        <w:lastRenderedPageBreak/>
        <w:t xml:space="preserve">LGBT people. </w:t>
      </w:r>
      <w:r w:rsidR="00D93FBA">
        <w:rPr>
          <w:sz w:val="24"/>
        </w:rPr>
        <w:t>Intersex status has gained recognition in Australia and the Council of Europe,</w:t>
      </w:r>
      <w:r w:rsidR="00D93FBA">
        <w:rPr>
          <w:rStyle w:val="FootnoteReference"/>
          <w:sz w:val="24"/>
        </w:rPr>
        <w:footnoteReference w:id="26"/>
      </w:r>
      <w:r w:rsidR="00D93FBA">
        <w:rPr>
          <w:sz w:val="24"/>
        </w:rPr>
        <w:t xml:space="preserve"> while the Inter-American Commission on Human Rights has made reference to “body diversity”. </w:t>
      </w:r>
      <w:r>
        <w:rPr>
          <w:sz w:val="24"/>
        </w:rPr>
        <w:t>As this submission has shown, discrimination on the grounds of sexual orientation</w:t>
      </w:r>
      <w:r w:rsidR="00D07E6B">
        <w:rPr>
          <w:sz w:val="24"/>
        </w:rPr>
        <w:t>,</w:t>
      </w:r>
      <w:r>
        <w:rPr>
          <w:sz w:val="24"/>
        </w:rPr>
        <w:t xml:space="preserve"> gender identity </w:t>
      </w:r>
      <w:r w:rsidR="00D07E6B">
        <w:rPr>
          <w:sz w:val="24"/>
        </w:rPr>
        <w:t xml:space="preserve">or intersex </w:t>
      </w:r>
      <w:proofErr w:type="gramStart"/>
      <w:r w:rsidR="00D07E6B">
        <w:rPr>
          <w:sz w:val="24"/>
        </w:rPr>
        <w:t xml:space="preserve">status </w:t>
      </w:r>
      <w:r>
        <w:rPr>
          <w:sz w:val="24"/>
        </w:rPr>
        <w:t>also take</w:t>
      </w:r>
      <w:proofErr w:type="gramEnd"/>
      <w:r>
        <w:rPr>
          <w:sz w:val="24"/>
        </w:rPr>
        <w:t xml:space="preserve"> on specific importance in the context of the right to liberty and security. </w:t>
      </w:r>
    </w:p>
    <w:p w14:paraId="177E276D" w14:textId="77777777" w:rsidR="006049F9" w:rsidRDefault="006049F9" w:rsidP="00155E22">
      <w:pPr>
        <w:jc w:val="both"/>
        <w:rPr>
          <w:sz w:val="24"/>
        </w:rPr>
      </w:pPr>
    </w:p>
    <w:p w14:paraId="5DBB4528" w14:textId="556DF8E4" w:rsidR="006049F9" w:rsidRPr="005327DA" w:rsidRDefault="006049F9" w:rsidP="00155E22">
      <w:pPr>
        <w:jc w:val="both"/>
        <w:rPr>
          <w:sz w:val="24"/>
        </w:rPr>
      </w:pPr>
      <w:r>
        <w:rPr>
          <w:sz w:val="24"/>
        </w:rPr>
        <w:t>To reflect this understanding, and to ensure proper guidance is given to States in their implementation of ICCPR obligations, it is paramount that any list of prohibited grounds of discrimination in the General Comment explicitly clarify that there can be no discrimination on the basis of sexual orientation</w:t>
      </w:r>
      <w:r w:rsidR="005C22A6">
        <w:rPr>
          <w:sz w:val="24"/>
        </w:rPr>
        <w:t>,</w:t>
      </w:r>
      <w:r>
        <w:rPr>
          <w:sz w:val="24"/>
        </w:rPr>
        <w:t xml:space="preserve"> gender identity</w:t>
      </w:r>
      <w:r w:rsidR="005C22A6">
        <w:rPr>
          <w:sz w:val="24"/>
        </w:rPr>
        <w:t xml:space="preserve"> or intersex status</w:t>
      </w:r>
      <w:r>
        <w:rPr>
          <w:sz w:val="24"/>
        </w:rPr>
        <w:t xml:space="preserve">. </w:t>
      </w:r>
    </w:p>
    <w:p w14:paraId="192F1E54" w14:textId="77777777" w:rsidR="00F16AF8" w:rsidRDefault="00F16AF8" w:rsidP="00155E22">
      <w:pPr>
        <w:jc w:val="both"/>
        <w:rPr>
          <w:b/>
          <w:sz w:val="24"/>
        </w:rPr>
      </w:pPr>
    </w:p>
    <w:p w14:paraId="0CF2E4A1" w14:textId="77777777" w:rsidR="00901955" w:rsidRDefault="00901955" w:rsidP="00155E22">
      <w:pPr>
        <w:jc w:val="both"/>
        <w:rPr>
          <w:b/>
          <w:sz w:val="24"/>
        </w:rPr>
      </w:pPr>
    </w:p>
    <w:p w14:paraId="2104A352" w14:textId="16821418" w:rsidR="0022414A" w:rsidRPr="00DE4147" w:rsidRDefault="00EC4CA3" w:rsidP="00155E22">
      <w:pPr>
        <w:pStyle w:val="ListParagraph"/>
        <w:numPr>
          <w:ilvl w:val="0"/>
          <w:numId w:val="8"/>
        </w:numPr>
        <w:jc w:val="both"/>
        <w:rPr>
          <w:b/>
          <w:sz w:val="24"/>
        </w:rPr>
      </w:pPr>
      <w:r w:rsidRPr="00DE4147">
        <w:rPr>
          <w:b/>
          <w:sz w:val="24"/>
        </w:rPr>
        <w:t xml:space="preserve">Conclusion </w:t>
      </w:r>
    </w:p>
    <w:p w14:paraId="60401C14" w14:textId="7CCB416A" w:rsidR="00DE4147" w:rsidRDefault="00DE4147" w:rsidP="00155E22">
      <w:pPr>
        <w:jc w:val="both"/>
        <w:rPr>
          <w:b/>
          <w:sz w:val="24"/>
        </w:rPr>
      </w:pPr>
    </w:p>
    <w:p w14:paraId="1C997273" w14:textId="76F21672" w:rsidR="00DE4147" w:rsidRDefault="00DE4147" w:rsidP="00155E22">
      <w:pPr>
        <w:jc w:val="both"/>
        <w:rPr>
          <w:sz w:val="24"/>
        </w:rPr>
      </w:pPr>
      <w:r>
        <w:rPr>
          <w:sz w:val="24"/>
        </w:rPr>
        <w:t>The Human Rights Committee has been a</w:t>
      </w:r>
      <w:r w:rsidR="00524560">
        <w:rPr>
          <w:sz w:val="24"/>
        </w:rPr>
        <w:t xml:space="preserve"> strong leader in human </w:t>
      </w:r>
      <w:proofErr w:type="gramStart"/>
      <w:r w:rsidR="00524560">
        <w:rPr>
          <w:sz w:val="24"/>
        </w:rPr>
        <w:t>rights,</w:t>
      </w:r>
      <w:proofErr w:type="gramEnd"/>
      <w:r w:rsidR="00524560">
        <w:rPr>
          <w:sz w:val="24"/>
        </w:rPr>
        <w:t xml:space="preserve"> particularly ensuring the human rights of individuals discriminated against on the basis of their sexual orientation and gender identity.  Due </w:t>
      </w:r>
      <w:r w:rsidR="008F0DFC">
        <w:rPr>
          <w:sz w:val="24"/>
        </w:rPr>
        <w:t xml:space="preserve">to </w:t>
      </w:r>
      <w:r w:rsidR="00524560">
        <w:rPr>
          <w:sz w:val="24"/>
        </w:rPr>
        <w:t xml:space="preserve">the disproportionate impact </w:t>
      </w:r>
      <w:r w:rsidR="005C22A6">
        <w:rPr>
          <w:sz w:val="24"/>
        </w:rPr>
        <w:t xml:space="preserve">violence, persecution and </w:t>
      </w:r>
      <w:r w:rsidR="00524560">
        <w:rPr>
          <w:sz w:val="24"/>
        </w:rPr>
        <w:t xml:space="preserve">arbitrary arrest has on LGBT </w:t>
      </w:r>
      <w:r w:rsidR="005C22A6">
        <w:rPr>
          <w:sz w:val="24"/>
        </w:rPr>
        <w:t xml:space="preserve">and intersex </w:t>
      </w:r>
      <w:r w:rsidR="00524560">
        <w:rPr>
          <w:sz w:val="24"/>
        </w:rPr>
        <w:t>people</w:t>
      </w:r>
      <w:r w:rsidR="00EC6383">
        <w:rPr>
          <w:sz w:val="24"/>
        </w:rPr>
        <w:t xml:space="preserve"> and the mandate for ensuring the protection of security of all individuals,</w:t>
      </w:r>
      <w:r w:rsidR="00524560">
        <w:rPr>
          <w:sz w:val="24"/>
        </w:rPr>
        <w:t xml:space="preserve"> it is imperative the Human Rights Committee include</w:t>
      </w:r>
      <w:r w:rsidR="008F0DFC">
        <w:rPr>
          <w:sz w:val="24"/>
        </w:rPr>
        <w:t>s</w:t>
      </w:r>
      <w:r w:rsidR="00524560">
        <w:rPr>
          <w:sz w:val="24"/>
        </w:rPr>
        <w:t xml:space="preserve"> sexual orientation</w:t>
      </w:r>
      <w:r w:rsidR="005C22A6">
        <w:rPr>
          <w:sz w:val="24"/>
        </w:rPr>
        <w:t>,</w:t>
      </w:r>
      <w:r w:rsidR="00524560">
        <w:rPr>
          <w:sz w:val="24"/>
        </w:rPr>
        <w:t xml:space="preserve"> gender identity </w:t>
      </w:r>
      <w:r w:rsidR="005C22A6">
        <w:rPr>
          <w:sz w:val="24"/>
        </w:rPr>
        <w:t xml:space="preserve">and intersex status </w:t>
      </w:r>
      <w:r w:rsidR="00524560">
        <w:rPr>
          <w:sz w:val="24"/>
        </w:rPr>
        <w:t xml:space="preserve">as express categories </w:t>
      </w:r>
      <w:r w:rsidR="00EC6383">
        <w:rPr>
          <w:sz w:val="24"/>
        </w:rPr>
        <w:t>for protection in General Comment 35 regarding liberty and security of person.</w:t>
      </w:r>
    </w:p>
    <w:p w14:paraId="482E9959" w14:textId="77777777" w:rsidR="003936D1" w:rsidRPr="00DE4147" w:rsidRDefault="003936D1" w:rsidP="00DE4147">
      <w:pPr>
        <w:rPr>
          <w:sz w:val="24"/>
        </w:rPr>
      </w:pPr>
    </w:p>
    <w:sectPr w:rsidR="003936D1" w:rsidRPr="00DE4147" w:rsidSect="00155E22">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90A0" w14:textId="77777777" w:rsidR="00274F38" w:rsidRDefault="00274F38" w:rsidP="005115C8">
      <w:r>
        <w:separator/>
      </w:r>
    </w:p>
  </w:endnote>
  <w:endnote w:type="continuationSeparator" w:id="0">
    <w:p w14:paraId="78213561" w14:textId="77777777" w:rsidR="00274F38" w:rsidRDefault="00274F38" w:rsidP="005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66E7" w14:textId="77777777" w:rsidR="00274F38" w:rsidRDefault="00274F38" w:rsidP="0051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5DD29" w14:textId="77777777" w:rsidR="00274F38" w:rsidRDefault="00274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965E" w14:textId="77777777" w:rsidR="00274F38" w:rsidRDefault="00274F38" w:rsidP="0051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FFE">
      <w:rPr>
        <w:rStyle w:val="PageNumber"/>
        <w:noProof/>
      </w:rPr>
      <w:t>1</w:t>
    </w:r>
    <w:r>
      <w:rPr>
        <w:rStyle w:val="PageNumber"/>
      </w:rPr>
      <w:fldChar w:fldCharType="end"/>
    </w:r>
  </w:p>
  <w:p w14:paraId="50C4BE26" w14:textId="77777777" w:rsidR="00274F38" w:rsidRDefault="00274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756D" w14:textId="77777777" w:rsidR="00274F38" w:rsidRDefault="00274F38" w:rsidP="005115C8">
      <w:r>
        <w:separator/>
      </w:r>
    </w:p>
  </w:footnote>
  <w:footnote w:type="continuationSeparator" w:id="0">
    <w:p w14:paraId="1CFDC88D" w14:textId="77777777" w:rsidR="00274F38" w:rsidRDefault="00274F38" w:rsidP="005115C8">
      <w:r>
        <w:continuationSeparator/>
      </w:r>
    </w:p>
  </w:footnote>
  <w:footnote w:id="1">
    <w:p w14:paraId="57AAB42E" w14:textId="0FECFD0B" w:rsidR="00274F38" w:rsidRPr="00180B91" w:rsidRDefault="00274F38" w:rsidP="00AE199C">
      <w:pPr>
        <w:pStyle w:val="FootnoteText"/>
        <w:rPr>
          <w:sz w:val="20"/>
          <w:szCs w:val="20"/>
        </w:rPr>
      </w:pPr>
      <w:r w:rsidRPr="00180B91">
        <w:rPr>
          <w:rStyle w:val="FootnoteReference"/>
          <w:sz w:val="20"/>
          <w:szCs w:val="20"/>
        </w:rPr>
        <w:footnoteRef/>
      </w:r>
      <w:r w:rsidRPr="00180B91">
        <w:rPr>
          <w:sz w:val="20"/>
          <w:szCs w:val="20"/>
        </w:rPr>
        <w:t xml:space="preserve"> Sexual orientation is understood to refer to each person’s capacity for profound emotional, </w:t>
      </w:r>
      <w:proofErr w:type="spellStart"/>
      <w:r w:rsidRPr="00180B91">
        <w:rPr>
          <w:sz w:val="20"/>
          <w:szCs w:val="20"/>
        </w:rPr>
        <w:t>affectional</w:t>
      </w:r>
      <w:proofErr w:type="spellEnd"/>
      <w:r w:rsidRPr="00180B91">
        <w:rPr>
          <w:sz w:val="20"/>
          <w:szCs w:val="20"/>
        </w:rPr>
        <w:t xml:space="preserve"> and sexual attraction to, and intimate and sexual relations with, individuals of a different gender or the same gender or more than one gender. International Commission of Jurists (ICJ), </w:t>
      </w:r>
      <w:r w:rsidRPr="00180B91">
        <w:rPr>
          <w:i/>
          <w:iCs/>
          <w:sz w:val="20"/>
          <w:szCs w:val="20"/>
        </w:rPr>
        <w:t>Yogyakarta Principles - Principles on the application of international human rights law in relation to sexual orientation and gender identity</w:t>
      </w:r>
      <w:r w:rsidRPr="00180B91">
        <w:rPr>
          <w:sz w:val="20"/>
          <w:szCs w:val="20"/>
        </w:rPr>
        <w:t>, March 2007, available at: http://www.refworld.org/docid/48244e602.html [accessed 1 May 2014].</w:t>
      </w:r>
    </w:p>
  </w:footnote>
  <w:footnote w:id="2">
    <w:p w14:paraId="59B58295" w14:textId="2ECC5C27"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Gender identity is understood to refer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 International Commission of Jurists (ICJ), </w:t>
      </w:r>
      <w:r w:rsidRPr="00180B91">
        <w:rPr>
          <w:i/>
          <w:iCs/>
          <w:sz w:val="20"/>
          <w:szCs w:val="20"/>
        </w:rPr>
        <w:t>Yogyakarta Principles - Principles on the application of international human rights law in relation to sexual orientation and gender identity</w:t>
      </w:r>
      <w:r w:rsidRPr="00180B91">
        <w:rPr>
          <w:sz w:val="20"/>
          <w:szCs w:val="20"/>
        </w:rPr>
        <w:t>, March 2007, available at: http://www.refworld.org/docid/48244e602.html [accessed 1 May 2014].</w:t>
      </w:r>
    </w:p>
  </w:footnote>
  <w:footnote w:id="3">
    <w:p w14:paraId="344004A2" w14:textId="43D238AF" w:rsidR="00274F38" w:rsidRPr="003B5F85" w:rsidRDefault="00274F38">
      <w:pPr>
        <w:pStyle w:val="FootnoteText"/>
        <w:rPr>
          <w:sz w:val="20"/>
          <w:szCs w:val="20"/>
        </w:rPr>
      </w:pPr>
      <w:r w:rsidRPr="003B5F85">
        <w:rPr>
          <w:rStyle w:val="FootnoteReference"/>
          <w:sz w:val="20"/>
          <w:szCs w:val="20"/>
        </w:rPr>
        <w:footnoteRef/>
      </w:r>
      <w:r w:rsidRPr="003B5F85">
        <w:rPr>
          <w:sz w:val="20"/>
          <w:szCs w:val="20"/>
        </w:rPr>
        <w:t xml:space="preserve"> Intersex status refers to congenital physical, hormonal or genetic features that are neither wholly male nor wholly female, a combination of female and male, or neither female nor male. Commonwealth of Australia Sex Discrimination Amendment (Sexual Orientation, Gender Identity and Intersex Status) Act 2013, </w:t>
      </w:r>
      <w:hyperlink r:id="rId1" w:history="1">
        <w:r w:rsidRPr="003B5F85">
          <w:rPr>
            <w:rStyle w:val="Hyperlink"/>
            <w:sz w:val="20"/>
            <w:szCs w:val="20"/>
          </w:rPr>
          <w:t>http://www.comlaw.gov.au/Details/C2013A00098</w:t>
        </w:r>
      </w:hyperlink>
      <w:r w:rsidRPr="003B5F85">
        <w:rPr>
          <w:sz w:val="20"/>
          <w:szCs w:val="20"/>
        </w:rPr>
        <w:t xml:space="preserve">; WHO’OHCHR/UN Women/UNAIDS/UNDP/UNFPA/UNICEF “Eliminating forced, coercive and otherwise involuntary sterilization, An interagency statement (2014); </w:t>
      </w:r>
      <w:r w:rsidRPr="00643D0B">
        <w:rPr>
          <w:sz w:val="20"/>
          <w:szCs w:val="20"/>
        </w:rPr>
        <w:t xml:space="preserve">Inter-American Commission on Human Rights, "The IACHR creates </w:t>
      </w:r>
      <w:proofErr w:type="spellStart"/>
      <w:r w:rsidRPr="00643D0B">
        <w:rPr>
          <w:sz w:val="20"/>
          <w:szCs w:val="20"/>
        </w:rPr>
        <w:t>Rapporteurship</w:t>
      </w:r>
      <w:proofErr w:type="spellEnd"/>
      <w:r w:rsidRPr="00643D0B">
        <w:rPr>
          <w:sz w:val="20"/>
          <w:szCs w:val="20"/>
        </w:rPr>
        <w:t xml:space="preserve"> to address issues of Sexual Orientation, Gender Identity, Gender Expression, and Body Diversity" (2013) http://www.oas.org/en/iachr/media_center/PReleases/2013/094.asp</w:t>
      </w:r>
    </w:p>
  </w:footnote>
  <w:footnote w:id="4">
    <w:p w14:paraId="5B846FA6" w14:textId="02162135" w:rsidR="00274F38" w:rsidRDefault="00274F38">
      <w:pPr>
        <w:pStyle w:val="FootnoteText"/>
      </w:pPr>
      <w:r>
        <w:rPr>
          <w:rStyle w:val="FootnoteReference"/>
        </w:rPr>
        <w:footnoteRef/>
      </w:r>
      <w:r>
        <w:t xml:space="preserve"> </w:t>
      </w:r>
      <w:r w:rsidRPr="003B5F85">
        <w:rPr>
          <w:sz w:val="20"/>
          <w:szCs w:val="20"/>
        </w:rPr>
        <w:t xml:space="preserve">Report of the Special Rapporteur on torture and other cruel, inhuman or degrading treatment or punishment, Juan E. </w:t>
      </w:r>
      <w:proofErr w:type="spellStart"/>
      <w:r w:rsidRPr="003B5F85">
        <w:rPr>
          <w:sz w:val="20"/>
          <w:szCs w:val="20"/>
        </w:rPr>
        <w:t>Méndez</w:t>
      </w:r>
      <w:proofErr w:type="spellEnd"/>
      <w:r w:rsidRPr="003B5F85">
        <w:rPr>
          <w:sz w:val="20"/>
          <w:szCs w:val="20"/>
        </w:rPr>
        <w:t>, A/HRC/22/53 (2013)</w:t>
      </w:r>
    </w:p>
  </w:footnote>
  <w:footnote w:id="5">
    <w:p w14:paraId="3D62C757" w14:textId="77777777" w:rsidR="00274F38" w:rsidRPr="00180B91" w:rsidRDefault="00274F38" w:rsidP="001E4886">
      <w:pPr>
        <w:pStyle w:val="FootnoteText"/>
        <w:rPr>
          <w:sz w:val="20"/>
          <w:szCs w:val="20"/>
        </w:rPr>
      </w:pPr>
      <w:r w:rsidRPr="00180B91">
        <w:rPr>
          <w:rStyle w:val="FootnoteReference"/>
          <w:sz w:val="20"/>
          <w:szCs w:val="20"/>
        </w:rPr>
        <w:footnoteRef/>
      </w:r>
      <w:r w:rsidRPr="00180B91">
        <w:rPr>
          <w:sz w:val="20"/>
          <w:szCs w:val="20"/>
        </w:rPr>
        <w:t xml:space="preserve"> </w:t>
      </w:r>
      <w:proofErr w:type="spellStart"/>
      <w:r w:rsidRPr="00180B91">
        <w:rPr>
          <w:i/>
          <w:sz w:val="20"/>
          <w:szCs w:val="20"/>
        </w:rPr>
        <w:t>Toonen</w:t>
      </w:r>
      <w:proofErr w:type="spellEnd"/>
      <w:r w:rsidRPr="00180B91">
        <w:rPr>
          <w:i/>
          <w:sz w:val="20"/>
          <w:szCs w:val="20"/>
        </w:rPr>
        <w:t xml:space="preserve"> v. Australia</w:t>
      </w:r>
      <w:r w:rsidRPr="00180B91">
        <w:rPr>
          <w:sz w:val="20"/>
          <w:szCs w:val="20"/>
        </w:rPr>
        <w:t xml:space="preserve">, Communication No. 488/1992 </w:t>
      </w:r>
      <w:r w:rsidRPr="00180B91">
        <w:rPr>
          <w:rFonts w:cs="Times New Roman"/>
          <w:sz w:val="20"/>
          <w:szCs w:val="20"/>
        </w:rPr>
        <w:t xml:space="preserve">¶ </w:t>
      </w:r>
      <w:r w:rsidRPr="00180B91">
        <w:rPr>
          <w:sz w:val="20"/>
          <w:szCs w:val="20"/>
        </w:rPr>
        <w:t>8(3), 8(7), U.N. Doc. CCPR/C/50/D/488/1992 (1994).</w:t>
      </w:r>
    </w:p>
  </w:footnote>
  <w:footnote w:id="6">
    <w:p w14:paraId="11862947" w14:textId="5F3D4D7D" w:rsidR="00274F38" w:rsidRPr="00180B91" w:rsidRDefault="00274F38" w:rsidP="001E4886">
      <w:pPr>
        <w:pStyle w:val="FootnoteText"/>
        <w:rPr>
          <w:sz w:val="20"/>
          <w:szCs w:val="20"/>
        </w:rPr>
      </w:pPr>
      <w:r w:rsidRPr="00180B91">
        <w:rPr>
          <w:rStyle w:val="FootnoteReference"/>
          <w:sz w:val="20"/>
          <w:szCs w:val="20"/>
        </w:rPr>
        <w:footnoteRef/>
      </w:r>
      <w:r w:rsidRPr="00180B91">
        <w:rPr>
          <w:sz w:val="20"/>
          <w:szCs w:val="20"/>
        </w:rPr>
        <w:t xml:space="preserve"> General Recommendation No. 27 on the Convention on the Elimination of All Forms of Discrimination against Women (CEDAW), ¶13, U.N. Doc. CEDAW/C/GC/27, General Recommendation No. 28 on CEDAW, ¶18, U.N. Doc. CEDAW/C/GC/28; General Comment No. 13 on the Convention on the Rights of the Child (CRC) ¶55, U.N. Doc. </w:t>
      </w:r>
      <w:r w:rsidRPr="00180B91">
        <w:rPr>
          <w:sz w:val="20"/>
          <w:szCs w:val="20"/>
          <w:lang w:val="en-GB"/>
        </w:rPr>
        <w:t>CRC/C/GC/14</w:t>
      </w:r>
      <w:r w:rsidRPr="00180B91">
        <w:rPr>
          <w:sz w:val="20"/>
          <w:szCs w:val="20"/>
        </w:rPr>
        <w:t xml:space="preserve"> (May 29, 2013), [referencing only “sexual orientation”]; General Comment No. 15 on CRC, </w:t>
      </w:r>
      <w:proofErr w:type="gramStart"/>
      <w:r w:rsidRPr="00180B91">
        <w:rPr>
          <w:sz w:val="20"/>
          <w:szCs w:val="20"/>
        </w:rPr>
        <w:t>II(</w:t>
      </w:r>
      <w:proofErr w:type="gramEnd"/>
      <w:r w:rsidRPr="00180B91">
        <w:rPr>
          <w:sz w:val="20"/>
          <w:szCs w:val="20"/>
        </w:rPr>
        <w:t>B), U.N. Doc. CRC/C/GC/15 (Apr. 17, 2013)</w:t>
      </w:r>
    </w:p>
  </w:footnote>
  <w:footnote w:id="7">
    <w:p w14:paraId="62EA4602" w14:textId="77777777" w:rsidR="00274F38" w:rsidRPr="00180B91" w:rsidRDefault="00274F38" w:rsidP="001E4886">
      <w:pPr>
        <w:pStyle w:val="FootnoteText"/>
        <w:rPr>
          <w:sz w:val="20"/>
          <w:szCs w:val="20"/>
        </w:rPr>
      </w:pPr>
      <w:r w:rsidRPr="00180B91">
        <w:rPr>
          <w:rStyle w:val="FootnoteReference"/>
          <w:sz w:val="20"/>
          <w:szCs w:val="20"/>
        </w:rPr>
        <w:footnoteRef/>
      </w:r>
      <w:r w:rsidRPr="00180B91">
        <w:rPr>
          <w:sz w:val="20"/>
          <w:szCs w:val="20"/>
        </w:rPr>
        <w:t xml:space="preserve"> Concluding Observations of the Human Rights Committee (Norway) U.N. Doc. CCPR/C/79/Add.27 (Nov. 4, 1993).</w:t>
      </w:r>
    </w:p>
  </w:footnote>
  <w:footnote w:id="8">
    <w:p w14:paraId="6691A1D1" w14:textId="1B154B57"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UN General Assembly, </w:t>
      </w:r>
      <w:r w:rsidRPr="00180B91">
        <w:rPr>
          <w:i/>
          <w:iCs/>
          <w:sz w:val="20"/>
          <w:szCs w:val="20"/>
        </w:rPr>
        <w:t>International Covenant on Civil and Political Rights</w:t>
      </w:r>
      <w:r w:rsidRPr="00180B91">
        <w:rPr>
          <w:sz w:val="20"/>
          <w:szCs w:val="20"/>
        </w:rPr>
        <w:t>, Ar1. 9(1) 16 December 1966, United Nations, Treaty Series, vol. 999, p. 171, </w:t>
      </w:r>
      <w:r w:rsidRPr="00180B91">
        <w:rPr>
          <w:i/>
          <w:sz w:val="20"/>
          <w:szCs w:val="20"/>
        </w:rPr>
        <w:t>available at</w:t>
      </w:r>
      <w:r w:rsidRPr="00180B91">
        <w:rPr>
          <w:sz w:val="20"/>
          <w:szCs w:val="20"/>
        </w:rPr>
        <w:t xml:space="preserve"> http://www.refworld.org/docid/3ae6b3aa0.html.</w:t>
      </w:r>
    </w:p>
  </w:footnote>
  <w:footnote w:id="9">
    <w:p w14:paraId="376289B4" w14:textId="1CB1461F"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Human Rights Committee, Draft general comment No. 35, Article 9: Liberty and security of person </w:t>
      </w:r>
      <w:r w:rsidRPr="00180B91">
        <w:rPr>
          <w:rFonts w:cs="Times New Roman"/>
          <w:sz w:val="20"/>
          <w:szCs w:val="20"/>
        </w:rPr>
        <w:t>¶ 7.</w:t>
      </w:r>
    </w:p>
  </w:footnote>
  <w:footnote w:id="10">
    <w:p w14:paraId="05755C58" w14:textId="3004F3CB" w:rsidR="00274F38" w:rsidRPr="00180B91" w:rsidRDefault="00274F38" w:rsidP="00290209">
      <w:pPr>
        <w:pStyle w:val="FootnoteText"/>
        <w:rPr>
          <w:sz w:val="20"/>
          <w:szCs w:val="20"/>
        </w:rPr>
      </w:pPr>
      <w:r w:rsidRPr="00180B91">
        <w:rPr>
          <w:rStyle w:val="FootnoteReference"/>
          <w:sz w:val="20"/>
          <w:szCs w:val="20"/>
        </w:rPr>
        <w:footnoteRef/>
      </w:r>
      <w:r w:rsidRPr="00180B91">
        <w:rPr>
          <w:sz w:val="20"/>
          <w:szCs w:val="20"/>
        </w:rPr>
        <w:t xml:space="preserve"> “Alarming figures: Transgender Europe’s Trans Murder Monitoring project unveils interactive map of more than 1,500 reported murders of trans people since January 2008,” Trans Murder Monitoring (TMM), May 1, 2014, </w:t>
      </w:r>
      <w:hyperlink r:id="rId2" w:history="1">
        <w:r w:rsidRPr="00180B91">
          <w:rPr>
            <w:rStyle w:val="Hyperlink"/>
            <w:sz w:val="20"/>
            <w:szCs w:val="20"/>
          </w:rPr>
          <w:t>http://www.transrespect-transphobia.org/en_US/tvt-project/tmm-results.htm/idahot-2014</w:t>
        </w:r>
      </w:hyperlink>
      <w:r w:rsidRPr="00180B91">
        <w:rPr>
          <w:sz w:val="20"/>
          <w:szCs w:val="20"/>
        </w:rPr>
        <w:t xml:space="preserve">. </w:t>
      </w:r>
    </w:p>
  </w:footnote>
  <w:footnote w:id="11">
    <w:p w14:paraId="09F66BD1" w14:textId="0655DE51"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“Alarming figures: Transgender Europe’s Trans Murder Monitoring project unveils interactive map of more than 1,500 reported murders of trans people since January 2008,” Trans Murder Monitoring (TMM), May 1, 2014, </w:t>
      </w:r>
      <w:hyperlink r:id="rId3" w:history="1">
        <w:r w:rsidRPr="00180B91">
          <w:rPr>
            <w:rStyle w:val="Hyperlink"/>
            <w:sz w:val="20"/>
            <w:szCs w:val="20"/>
          </w:rPr>
          <w:t>http://www.transrespect-transphobia.org/en_US/tvt-project/tmm-results.htm/idahot-2014</w:t>
        </w:r>
      </w:hyperlink>
      <w:r w:rsidRPr="00180B91">
        <w:rPr>
          <w:sz w:val="20"/>
          <w:szCs w:val="20"/>
        </w:rPr>
        <w:t>.</w:t>
      </w:r>
    </w:p>
  </w:footnote>
  <w:footnote w:id="12">
    <w:p w14:paraId="18282AF0" w14:textId="77777777" w:rsidR="00274F38" w:rsidRPr="00CF7944" w:rsidRDefault="00274F38" w:rsidP="00CF7944">
      <w:pPr>
        <w:pStyle w:val="FootnoteText"/>
        <w:rPr>
          <w:sz w:val="20"/>
          <w:szCs w:val="20"/>
        </w:rPr>
      </w:pPr>
      <w:r w:rsidRPr="00CF7944">
        <w:rPr>
          <w:rStyle w:val="FootnoteReference"/>
          <w:sz w:val="20"/>
          <w:szCs w:val="20"/>
        </w:rPr>
        <w:footnoteRef/>
      </w:r>
      <w:r w:rsidRPr="00CF7944">
        <w:rPr>
          <w:sz w:val="20"/>
          <w:szCs w:val="20"/>
        </w:rPr>
        <w:t xml:space="preserve"> See Daily Post (21 March 2013) “Police save hermaphrodite from getting lynched in </w:t>
      </w:r>
      <w:proofErr w:type="spellStart"/>
      <w:r w:rsidRPr="00CF7944">
        <w:rPr>
          <w:sz w:val="20"/>
          <w:szCs w:val="20"/>
        </w:rPr>
        <w:t>Sapele</w:t>
      </w:r>
      <w:proofErr w:type="spellEnd"/>
      <w:r w:rsidRPr="00CF7944">
        <w:rPr>
          <w:sz w:val="20"/>
          <w:szCs w:val="20"/>
        </w:rPr>
        <w:t xml:space="preserve">”, </w:t>
      </w:r>
      <w:hyperlink r:id="rId4" w:history="1">
        <w:r w:rsidRPr="00CF7944">
          <w:rPr>
            <w:rStyle w:val="Hyperlink"/>
            <w:sz w:val="20"/>
            <w:szCs w:val="20"/>
          </w:rPr>
          <w:t>http://oii.org.au/22107/nigeria-letter/</w:t>
        </w:r>
      </w:hyperlink>
      <w:r w:rsidRPr="00CF7944">
        <w:rPr>
          <w:sz w:val="20"/>
          <w:szCs w:val="20"/>
        </w:rPr>
        <w:t xml:space="preserve"> </w:t>
      </w:r>
    </w:p>
  </w:footnote>
  <w:footnote w:id="13">
    <w:p w14:paraId="0D711769" w14:textId="550B5DC5" w:rsidR="00274F38" w:rsidRPr="00CF7944" w:rsidRDefault="00274F38">
      <w:pPr>
        <w:pStyle w:val="FootnoteText"/>
        <w:rPr>
          <w:sz w:val="20"/>
          <w:szCs w:val="20"/>
        </w:rPr>
      </w:pPr>
      <w:r w:rsidRPr="00CF7944">
        <w:rPr>
          <w:rStyle w:val="FootnoteReference"/>
          <w:sz w:val="20"/>
          <w:szCs w:val="20"/>
        </w:rPr>
        <w:footnoteRef/>
      </w:r>
      <w:r w:rsidRPr="00CF7944">
        <w:rPr>
          <w:sz w:val="20"/>
          <w:szCs w:val="20"/>
        </w:rPr>
        <w:t xml:space="preserve"> Stanford Medicine (4 March 2014) In Uganda, offering support for those born with indeterminate sex, </w:t>
      </w:r>
      <w:hyperlink r:id="rId5" w:history="1">
        <w:r w:rsidRPr="00CF7944">
          <w:rPr>
            <w:rStyle w:val="Hyperlink"/>
            <w:sz w:val="20"/>
            <w:szCs w:val="20"/>
          </w:rPr>
          <w:t>http://scopeblog.stanford.edu/2014/03/04/in-uganda-offering-support-for-those-born-with-indeterminate-sex/</w:t>
        </w:r>
      </w:hyperlink>
      <w:r w:rsidRPr="00CF7944">
        <w:rPr>
          <w:sz w:val="20"/>
          <w:szCs w:val="20"/>
        </w:rPr>
        <w:t xml:space="preserve"> </w:t>
      </w:r>
    </w:p>
  </w:footnote>
  <w:footnote w:id="14">
    <w:p w14:paraId="256EA0CD" w14:textId="1BA4E3F5" w:rsidR="00274F38" w:rsidRPr="00180B91" w:rsidRDefault="00274F38" w:rsidP="008D2F3D">
      <w:pPr>
        <w:pStyle w:val="FootnoteText"/>
        <w:rPr>
          <w:sz w:val="20"/>
          <w:szCs w:val="20"/>
        </w:rPr>
      </w:pPr>
      <w:r w:rsidRPr="00180B91">
        <w:rPr>
          <w:rStyle w:val="FootnoteReference"/>
          <w:sz w:val="20"/>
          <w:szCs w:val="20"/>
        </w:rPr>
        <w:footnoteRef/>
      </w:r>
      <w:r w:rsidRPr="00180B91">
        <w:rPr>
          <w:sz w:val="20"/>
          <w:szCs w:val="20"/>
        </w:rPr>
        <w:t xml:space="preserve"> As stated in the bill, the Anti-Homosexuality Act in Uganda is “An Act to prohibit any form of sexual relations between persons of the same sex; prohibit the promotion or recognition of such relations and to provide for other related matters.” </w:t>
      </w:r>
      <w:proofErr w:type="gramStart"/>
      <w:r w:rsidRPr="00180B91">
        <w:rPr>
          <w:sz w:val="20"/>
          <w:szCs w:val="20"/>
        </w:rPr>
        <w:t>Anti-Homosexuality Act 2014, Uganda.</w:t>
      </w:r>
      <w:proofErr w:type="gramEnd"/>
    </w:p>
  </w:footnote>
  <w:footnote w:id="15">
    <w:p w14:paraId="5651FFD3" w14:textId="5BDC7F21"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Colin Stewart, “</w:t>
      </w:r>
      <w:r w:rsidRPr="00180B91">
        <w:rPr>
          <w:bCs/>
          <w:sz w:val="20"/>
          <w:szCs w:val="20"/>
        </w:rPr>
        <w:t xml:space="preserve">As many as 12 awaiting gay-sex trials in Uganda,” Erasing 76 Crimes (Apr. 25, 2014), </w:t>
      </w:r>
      <w:r w:rsidRPr="00180B91">
        <w:rPr>
          <w:bCs/>
          <w:i/>
          <w:sz w:val="20"/>
          <w:szCs w:val="20"/>
        </w:rPr>
        <w:t xml:space="preserve">available at </w:t>
      </w:r>
      <w:r w:rsidRPr="00180B91">
        <w:rPr>
          <w:sz w:val="20"/>
          <w:szCs w:val="20"/>
        </w:rPr>
        <w:t>http://76crimes.com/2014/04/25/as-many-as-12-awaiting-gay-sex-trials-in-uganda/.</w:t>
      </w:r>
    </w:p>
  </w:footnote>
  <w:footnote w:id="16">
    <w:p w14:paraId="2284CF4D" w14:textId="64D251E2"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w:t>
      </w:r>
      <w:proofErr w:type="gramStart"/>
      <w:r w:rsidRPr="00180B91">
        <w:rPr>
          <w:sz w:val="20"/>
          <w:szCs w:val="20"/>
        </w:rPr>
        <w:t>Same-Sex (Prohibition) Act 2014 (Nigeria).</w:t>
      </w:r>
      <w:proofErr w:type="gramEnd"/>
    </w:p>
  </w:footnote>
  <w:footnote w:id="17">
    <w:p w14:paraId="3D0009C3" w14:textId="4329043D" w:rsidR="00274F38" w:rsidRPr="00180B91" w:rsidRDefault="00274F38">
      <w:pPr>
        <w:pStyle w:val="FootnoteText"/>
        <w:rPr>
          <w:bCs/>
          <w:sz w:val="20"/>
          <w:szCs w:val="20"/>
        </w:rPr>
      </w:pPr>
      <w:r w:rsidRPr="00180B91">
        <w:rPr>
          <w:rStyle w:val="FootnoteReference"/>
          <w:sz w:val="20"/>
          <w:szCs w:val="20"/>
        </w:rPr>
        <w:footnoteRef/>
      </w:r>
      <w:r w:rsidRPr="00180B91">
        <w:rPr>
          <w:sz w:val="20"/>
          <w:szCs w:val="20"/>
        </w:rPr>
        <w:t xml:space="preserve"> </w:t>
      </w:r>
      <w:proofErr w:type="gramStart"/>
      <w:r w:rsidRPr="00180B91">
        <w:rPr>
          <w:bCs/>
          <w:sz w:val="20"/>
          <w:szCs w:val="20"/>
        </w:rPr>
        <w:t>IGLHRC Calls for Nigerian Government to Investigate Attacks Against People Thought to be Gay” International Gay and Lesbian Human Rights Commission (February 13, 2014).</w:t>
      </w:r>
      <w:proofErr w:type="gramEnd"/>
    </w:p>
  </w:footnote>
  <w:footnote w:id="18">
    <w:p w14:paraId="1FDD65CC" w14:textId="78685265"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w:t>
      </w:r>
      <w:proofErr w:type="spellStart"/>
      <w:r w:rsidRPr="00180B91">
        <w:rPr>
          <w:sz w:val="20"/>
          <w:szCs w:val="20"/>
        </w:rPr>
        <w:t>Discrim</w:t>
      </w:r>
      <w:proofErr w:type="spellEnd"/>
      <w:r w:rsidRPr="00180B91">
        <w:rPr>
          <w:sz w:val="20"/>
          <w:szCs w:val="20"/>
        </w:rPr>
        <w:t xml:space="preserve"> Laws/ Practices </w:t>
      </w:r>
      <w:r w:rsidRPr="00180B91">
        <w:rPr>
          <w:rFonts w:cs="Times New Roman"/>
          <w:sz w:val="20"/>
          <w:szCs w:val="20"/>
        </w:rPr>
        <w:t>¶</w:t>
      </w:r>
      <w:r w:rsidRPr="00180B91">
        <w:rPr>
          <w:sz w:val="20"/>
          <w:szCs w:val="20"/>
        </w:rPr>
        <w:t xml:space="preserve"> 47 p 15.</w:t>
      </w:r>
    </w:p>
  </w:footnote>
  <w:footnote w:id="19">
    <w:p w14:paraId="5A6CF50A" w14:textId="77777777" w:rsidR="00274F38" w:rsidRPr="00180B91" w:rsidRDefault="00274F38" w:rsidP="00943402">
      <w:pPr>
        <w:pStyle w:val="FootnoteText"/>
        <w:rPr>
          <w:sz w:val="20"/>
          <w:szCs w:val="20"/>
        </w:rPr>
      </w:pPr>
      <w:r w:rsidRPr="00180B91">
        <w:rPr>
          <w:rStyle w:val="FootnoteReference"/>
          <w:sz w:val="20"/>
          <w:szCs w:val="20"/>
        </w:rPr>
        <w:footnoteRef/>
      </w:r>
      <w:r w:rsidRPr="00180B91">
        <w:rPr>
          <w:sz w:val="20"/>
          <w:szCs w:val="20"/>
        </w:rPr>
        <w:t xml:space="preserve"> Concluding Observations of the Human Rights Committee, Ecuador, </w:t>
      </w:r>
      <w:r w:rsidRPr="00180B91">
        <w:rPr>
          <w:rFonts w:cs="Times New Roman"/>
          <w:sz w:val="20"/>
          <w:szCs w:val="20"/>
        </w:rPr>
        <w:t>¶ 12, U.N. Doc.</w:t>
      </w:r>
      <w:r w:rsidRPr="00180B91">
        <w:rPr>
          <w:sz w:val="20"/>
          <w:szCs w:val="20"/>
        </w:rPr>
        <w:t xml:space="preserve"> CCPR/C/ECU/CO/5 (November 4, 2009). Concluding Observations of the Human Rights Committee, Kyrgyzstan, </w:t>
      </w:r>
      <w:r w:rsidRPr="00180B91">
        <w:rPr>
          <w:rFonts w:cs="Times New Roman"/>
          <w:sz w:val="20"/>
          <w:szCs w:val="20"/>
        </w:rPr>
        <w:t>¶ 19, U.N. Doc.</w:t>
      </w:r>
      <w:r w:rsidRPr="00180B91">
        <w:rPr>
          <w:sz w:val="20"/>
          <w:szCs w:val="20"/>
        </w:rPr>
        <w:t xml:space="preserve"> CAT/C/KGZ/CO/2 (December 20, 2013); Concluding Observations of the Human Rights Committee, Peru, U.N. Doc. CAT/C/PER/CO/6 (December, 2012).</w:t>
      </w:r>
    </w:p>
  </w:footnote>
  <w:footnote w:id="20">
    <w:p w14:paraId="406BCB00" w14:textId="0A3F53CB"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“Promotion And Protection Of All Human Rights, Civil, Political, Economic, Social And Cultural Rights, Including The Right To Development Opinions adopted by the Working Group on Arbitrary Detention,” Human Rights Council 13</w:t>
      </w:r>
      <w:r w:rsidRPr="00180B91">
        <w:rPr>
          <w:sz w:val="20"/>
          <w:szCs w:val="20"/>
          <w:vertAlign w:val="superscript"/>
        </w:rPr>
        <w:t>th</w:t>
      </w:r>
      <w:r w:rsidRPr="00180B91">
        <w:rPr>
          <w:sz w:val="20"/>
          <w:szCs w:val="20"/>
        </w:rPr>
        <w:t xml:space="preserve"> Sess. ¶18 U.N. Doc. </w:t>
      </w:r>
      <w:proofErr w:type="gramStart"/>
      <w:r w:rsidRPr="00180B91">
        <w:rPr>
          <w:sz w:val="20"/>
          <w:szCs w:val="20"/>
        </w:rPr>
        <w:t xml:space="preserve">A/HRC/13/30/Add.1 (Mar. 2, 2010) </w:t>
      </w:r>
      <w:r w:rsidRPr="00180B91">
        <w:rPr>
          <w:i/>
          <w:sz w:val="20"/>
          <w:szCs w:val="20"/>
        </w:rPr>
        <w:t>available at</w:t>
      </w:r>
      <w:r w:rsidRPr="00180B91">
        <w:rPr>
          <w:sz w:val="20"/>
          <w:szCs w:val="20"/>
        </w:rPr>
        <w:t xml:space="preserve"> </w:t>
      </w:r>
      <w:hyperlink r:id="rId6" w:history="1">
        <w:r w:rsidRPr="00180B91">
          <w:rPr>
            <w:rStyle w:val="Hyperlink"/>
            <w:sz w:val="20"/>
            <w:szCs w:val="20"/>
          </w:rPr>
          <w:t>http://www2.ohchr.org/english/bodies/hrcouncil/docs/13session/A-HRC-13-30-Add1.pdf</w:t>
        </w:r>
      </w:hyperlink>
      <w:r w:rsidRPr="00180B91">
        <w:rPr>
          <w:sz w:val="20"/>
          <w:szCs w:val="20"/>
        </w:rPr>
        <w:t>.</w:t>
      </w:r>
      <w:proofErr w:type="gramEnd"/>
      <w:r w:rsidRPr="00180B91">
        <w:rPr>
          <w:sz w:val="20"/>
          <w:szCs w:val="20"/>
        </w:rPr>
        <w:t xml:space="preserve"> </w:t>
      </w:r>
    </w:p>
  </w:footnote>
  <w:footnote w:id="21">
    <w:p w14:paraId="751B8F8A" w14:textId="4D461F64" w:rsidR="00274F38" w:rsidRPr="00180B91" w:rsidRDefault="00274F38">
      <w:pPr>
        <w:pStyle w:val="FootnoteText"/>
        <w:rPr>
          <w:i/>
          <w:sz w:val="20"/>
          <w:szCs w:val="20"/>
        </w:rPr>
      </w:pPr>
      <w:r w:rsidRPr="00180B91">
        <w:rPr>
          <w:rStyle w:val="FootnoteReference"/>
          <w:sz w:val="20"/>
          <w:szCs w:val="20"/>
        </w:rPr>
        <w:footnoteRef/>
      </w:r>
      <w:r w:rsidRPr="00180B91">
        <w:rPr>
          <w:sz w:val="20"/>
          <w:szCs w:val="20"/>
        </w:rPr>
        <w:t xml:space="preserve"> </w:t>
      </w:r>
      <w:proofErr w:type="spellStart"/>
      <w:r w:rsidRPr="00180B91">
        <w:rPr>
          <w:i/>
          <w:sz w:val="20"/>
          <w:szCs w:val="20"/>
        </w:rPr>
        <w:t>Toonen</w:t>
      </w:r>
      <w:proofErr w:type="spellEnd"/>
      <w:r w:rsidRPr="00180B91">
        <w:rPr>
          <w:i/>
          <w:sz w:val="20"/>
          <w:szCs w:val="20"/>
        </w:rPr>
        <w:t xml:space="preserve"> v. Australia</w:t>
      </w:r>
      <w:r w:rsidRPr="00180B91">
        <w:rPr>
          <w:sz w:val="20"/>
          <w:szCs w:val="20"/>
        </w:rPr>
        <w:t xml:space="preserve">, Communication No. 488/1992 </w:t>
      </w:r>
      <w:r w:rsidRPr="00180B91">
        <w:rPr>
          <w:rFonts w:cs="Times New Roman"/>
          <w:sz w:val="20"/>
          <w:szCs w:val="20"/>
        </w:rPr>
        <w:t xml:space="preserve">¶ </w:t>
      </w:r>
      <w:r w:rsidRPr="00180B91">
        <w:rPr>
          <w:sz w:val="20"/>
          <w:szCs w:val="20"/>
        </w:rPr>
        <w:t>8(3), 8(7), U.N. Doc. CCPR/C/50/D/488/1992 (1994).</w:t>
      </w:r>
    </w:p>
  </w:footnote>
  <w:footnote w:id="22">
    <w:p w14:paraId="7A459AB4" w14:textId="658A3560" w:rsidR="00274F38" w:rsidRPr="00180B91" w:rsidRDefault="00274F38" w:rsidP="00753613">
      <w:pPr>
        <w:pStyle w:val="FootnoteText"/>
        <w:rPr>
          <w:sz w:val="20"/>
          <w:szCs w:val="20"/>
        </w:rPr>
      </w:pPr>
      <w:r w:rsidRPr="00180B91">
        <w:rPr>
          <w:rStyle w:val="FootnoteReference"/>
          <w:sz w:val="20"/>
          <w:szCs w:val="20"/>
        </w:rPr>
        <w:footnoteRef/>
      </w:r>
      <w:r w:rsidRPr="00180B91">
        <w:rPr>
          <w:sz w:val="20"/>
          <w:szCs w:val="20"/>
        </w:rPr>
        <w:t xml:space="preserve"> UN Human Rights Council, </w:t>
      </w:r>
      <w:r w:rsidRPr="00180B91">
        <w:rPr>
          <w:i/>
          <w:iCs/>
          <w:sz w:val="20"/>
          <w:szCs w:val="20"/>
        </w:rPr>
        <w:t>Report of the United Nations High Commissioner for Human Rights on Discriminatory laws and practices and acts of violence against individuals based on their sexual orientation and gender identity</w:t>
      </w:r>
      <w:r w:rsidRPr="00180B91">
        <w:rPr>
          <w:sz w:val="20"/>
          <w:szCs w:val="20"/>
        </w:rPr>
        <w:t xml:space="preserve">, 17 November 2011, available at: http://www.refworld.org/docid/4ef092022.html [accessed 30 April 2014] </w:t>
      </w:r>
      <w:r w:rsidRPr="00180B91">
        <w:rPr>
          <w:i/>
          <w:sz w:val="20"/>
          <w:szCs w:val="20"/>
        </w:rPr>
        <w:t xml:space="preserve">citing </w:t>
      </w:r>
      <w:proofErr w:type="spellStart"/>
      <w:r w:rsidRPr="00180B91">
        <w:rPr>
          <w:i/>
          <w:sz w:val="20"/>
          <w:szCs w:val="20"/>
        </w:rPr>
        <w:t>Toonen</w:t>
      </w:r>
      <w:proofErr w:type="spellEnd"/>
      <w:r w:rsidRPr="00180B91">
        <w:rPr>
          <w:i/>
          <w:sz w:val="20"/>
          <w:szCs w:val="20"/>
        </w:rPr>
        <w:t xml:space="preserve"> v. Australia</w:t>
      </w:r>
      <w:r w:rsidRPr="00180B91">
        <w:rPr>
          <w:sz w:val="20"/>
          <w:szCs w:val="20"/>
        </w:rPr>
        <w:t xml:space="preserve">, Communication No. 488/1992 </w:t>
      </w:r>
      <w:r w:rsidRPr="00180B91">
        <w:rPr>
          <w:rFonts w:cs="Times New Roman"/>
          <w:sz w:val="20"/>
          <w:szCs w:val="20"/>
        </w:rPr>
        <w:t xml:space="preserve">¶ </w:t>
      </w:r>
      <w:r w:rsidRPr="00180B91">
        <w:rPr>
          <w:sz w:val="20"/>
          <w:szCs w:val="20"/>
        </w:rPr>
        <w:t xml:space="preserve">8(3), 8(7), U.N. Doc. CCPR/C/50/D/488/1992 (1994). </w:t>
      </w:r>
    </w:p>
  </w:footnote>
  <w:footnote w:id="23">
    <w:p w14:paraId="32256041" w14:textId="0BEF7322"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UN General Assembly, </w:t>
      </w:r>
      <w:r w:rsidRPr="00180B91">
        <w:rPr>
          <w:i/>
          <w:iCs/>
          <w:sz w:val="20"/>
          <w:szCs w:val="20"/>
        </w:rPr>
        <w:t>International Covenant on Civil and Political Rights</w:t>
      </w:r>
      <w:r w:rsidRPr="00180B91">
        <w:rPr>
          <w:sz w:val="20"/>
          <w:szCs w:val="20"/>
        </w:rPr>
        <w:t xml:space="preserve">, </w:t>
      </w:r>
      <w:r>
        <w:rPr>
          <w:sz w:val="20"/>
          <w:szCs w:val="20"/>
        </w:rPr>
        <w:t>Ar1. 9(5</w:t>
      </w:r>
      <w:r w:rsidRPr="00180B91">
        <w:rPr>
          <w:sz w:val="20"/>
          <w:szCs w:val="20"/>
        </w:rPr>
        <w:t>) 16 December 1966, United Nations, Treaty Series, vol. 999, p. 171, </w:t>
      </w:r>
      <w:r w:rsidRPr="00180B91">
        <w:rPr>
          <w:i/>
          <w:sz w:val="20"/>
          <w:szCs w:val="20"/>
        </w:rPr>
        <w:t>available at</w:t>
      </w:r>
      <w:r w:rsidRPr="00180B91">
        <w:rPr>
          <w:sz w:val="20"/>
          <w:szCs w:val="20"/>
        </w:rPr>
        <w:t xml:space="preserve"> http://www.refworld.org/docid/3ae6b3aa0.html.</w:t>
      </w:r>
    </w:p>
  </w:footnote>
  <w:footnote w:id="24">
    <w:p w14:paraId="5646BC23" w14:textId="4D40809E" w:rsidR="00274F38" w:rsidRPr="00180B91" w:rsidRDefault="00274F38">
      <w:pPr>
        <w:pStyle w:val="FootnoteText"/>
        <w:rPr>
          <w:sz w:val="20"/>
          <w:szCs w:val="20"/>
        </w:rPr>
      </w:pPr>
      <w:r w:rsidRPr="00180B91">
        <w:rPr>
          <w:rStyle w:val="FootnoteReference"/>
          <w:sz w:val="20"/>
          <w:szCs w:val="20"/>
        </w:rPr>
        <w:footnoteRef/>
      </w:r>
      <w:r w:rsidRPr="00180B91">
        <w:rPr>
          <w:sz w:val="20"/>
          <w:szCs w:val="20"/>
        </w:rPr>
        <w:t xml:space="preserve"> Born Free and Equal: Sexual Orientation and Gender Identity in International Human Rights Law, Office of the High Commissioner for Human Rights (2012) </w:t>
      </w:r>
      <w:r w:rsidRPr="00180B91">
        <w:rPr>
          <w:i/>
          <w:sz w:val="20"/>
          <w:szCs w:val="20"/>
        </w:rPr>
        <w:t xml:space="preserve">available at </w:t>
      </w:r>
      <w:hyperlink r:id="rId7" w:history="1">
        <w:r w:rsidRPr="00180B91">
          <w:rPr>
            <w:rStyle w:val="Hyperlink"/>
            <w:sz w:val="20"/>
            <w:szCs w:val="20"/>
          </w:rPr>
          <w:t>http://www.ohchr.org/Documents/Publications/BornFreeAndEqualLowRes.pdf</w:t>
        </w:r>
      </w:hyperlink>
      <w:r w:rsidRPr="00180B91">
        <w:rPr>
          <w:sz w:val="20"/>
          <w:szCs w:val="20"/>
        </w:rPr>
        <w:t xml:space="preserve"> </w:t>
      </w:r>
      <w:r w:rsidRPr="00180B91">
        <w:rPr>
          <w:i/>
          <w:sz w:val="20"/>
          <w:szCs w:val="20"/>
        </w:rPr>
        <w:t xml:space="preserve">citing </w:t>
      </w:r>
      <w:r w:rsidRPr="00180B91">
        <w:rPr>
          <w:sz w:val="20"/>
          <w:szCs w:val="20"/>
        </w:rPr>
        <w:t xml:space="preserve">Human Rights Committee, General Comment No. 20; Committee against Torture, General Comment No. 2. </w:t>
      </w:r>
    </w:p>
  </w:footnote>
  <w:footnote w:id="25">
    <w:p w14:paraId="7B70EB6D" w14:textId="7DAF20A6" w:rsidR="00274F38" w:rsidRPr="00180B91" w:rsidRDefault="00274F38" w:rsidP="00F02748">
      <w:pPr>
        <w:pStyle w:val="FootnoteText"/>
        <w:rPr>
          <w:sz w:val="20"/>
          <w:szCs w:val="20"/>
        </w:rPr>
      </w:pPr>
      <w:r w:rsidRPr="00180B91">
        <w:rPr>
          <w:rStyle w:val="FootnoteReference"/>
          <w:sz w:val="20"/>
          <w:szCs w:val="20"/>
        </w:rPr>
        <w:footnoteRef/>
      </w:r>
      <w:r w:rsidRPr="00180B91">
        <w:rPr>
          <w:sz w:val="20"/>
          <w:szCs w:val="20"/>
        </w:rPr>
        <w:t xml:space="preserve"> </w:t>
      </w:r>
      <w:r w:rsidRPr="00180B91">
        <w:rPr>
          <w:i/>
          <w:sz w:val="20"/>
          <w:szCs w:val="20"/>
        </w:rPr>
        <w:t>See for example</w:t>
      </w:r>
      <w:r w:rsidRPr="00180B91">
        <w:rPr>
          <w:sz w:val="20"/>
          <w:szCs w:val="20"/>
        </w:rPr>
        <w:t>, Human Rights Council Res. 17/19, UN H.R.C. Res. 17th Sess. May 30 – June 17 2011, “Human rights, sexual orientation and gender identity” U.N. Doc., A/HRC/Res/17/19 (Jul. 14, 2011);</w:t>
      </w:r>
      <w:r w:rsidRPr="00180B91">
        <w:rPr>
          <w:i/>
          <w:sz w:val="20"/>
          <w:szCs w:val="20"/>
        </w:rPr>
        <w:t xml:space="preserve"> </w:t>
      </w:r>
      <w:r w:rsidRPr="00180B91">
        <w:rPr>
          <w:sz w:val="20"/>
          <w:szCs w:val="20"/>
        </w:rPr>
        <w:t xml:space="preserve">General Recommendation No. 27 on the Convention on the Elimination of All Forms of Discrimination against Women (CEDAW), ¶13, U.N. Doc. CEDAW/C/GC/27, General Recommendation No. 28 on CEDAW, ¶18, U.N. Doc. CEDAW/C/GC/28; General Comment No. 13 on the Convention on the Rights of the Child (CRC) ¶55, U.N. Doc. </w:t>
      </w:r>
      <w:r w:rsidRPr="00180B91">
        <w:rPr>
          <w:sz w:val="20"/>
          <w:szCs w:val="20"/>
          <w:lang w:val="en-GB"/>
        </w:rPr>
        <w:t>CRC/C/GC/14</w:t>
      </w:r>
      <w:r w:rsidRPr="00180B91">
        <w:rPr>
          <w:sz w:val="20"/>
          <w:szCs w:val="20"/>
        </w:rPr>
        <w:t xml:space="preserve"> (May 29, 2013), [referencing only “sexual orientation”]; General Comment No. 15 on CRC, II(B), U.N. Do</w:t>
      </w:r>
      <w:r>
        <w:rPr>
          <w:sz w:val="20"/>
          <w:szCs w:val="20"/>
        </w:rPr>
        <w:t>c. CRC/C/GC/15 (Apr. 17, 2013).</w:t>
      </w:r>
    </w:p>
  </w:footnote>
  <w:footnote w:id="26">
    <w:p w14:paraId="0C0F9205" w14:textId="21C5C2ED" w:rsidR="00274F38" w:rsidRPr="00D93FBA" w:rsidRDefault="00274F38">
      <w:pPr>
        <w:pStyle w:val="FootnoteText"/>
        <w:rPr>
          <w:sz w:val="20"/>
          <w:szCs w:val="20"/>
        </w:rPr>
      </w:pPr>
      <w:r w:rsidRPr="00D93FBA">
        <w:rPr>
          <w:rStyle w:val="FootnoteReference"/>
          <w:sz w:val="20"/>
          <w:szCs w:val="20"/>
        </w:rPr>
        <w:footnoteRef/>
      </w:r>
      <w:r w:rsidRPr="00D93FBA">
        <w:rPr>
          <w:sz w:val="20"/>
          <w:szCs w:val="20"/>
        </w:rPr>
        <w:t xml:space="preserve"> Human Rights Comment by Nils </w:t>
      </w:r>
      <w:proofErr w:type="spellStart"/>
      <w:r w:rsidRPr="00D93FBA">
        <w:rPr>
          <w:sz w:val="20"/>
          <w:szCs w:val="20"/>
        </w:rPr>
        <w:t>Muižnieks</w:t>
      </w:r>
      <w:proofErr w:type="spellEnd"/>
      <w:r w:rsidRPr="00D93FBA">
        <w:rPr>
          <w:sz w:val="20"/>
          <w:szCs w:val="20"/>
        </w:rPr>
        <w:t xml:space="preserve">, Human Rights Commissioner of the Council of Europe, "A boy or a girl or a person – intersex people lack recognition in Europe", </w:t>
      </w:r>
      <w:hyperlink r:id="rId8" w:history="1">
        <w:r w:rsidRPr="00BF0C40">
          <w:rPr>
            <w:rStyle w:val="Hyperlink"/>
            <w:sz w:val="20"/>
            <w:szCs w:val="20"/>
          </w:rPr>
          <w:t>http://humanrightscomment.org/2014/05/09/a-boy-or-a-girl-or-a-person-intersex-people-lack-recognition-in-europe/</w:t>
        </w:r>
      </w:hyperlink>
      <w:r>
        <w:rPr>
          <w:sz w:val="20"/>
          <w:szCs w:val="20"/>
        </w:rPr>
        <w:t xml:space="preserve">; </w:t>
      </w:r>
      <w:r w:rsidRPr="00D93FBA">
        <w:rPr>
          <w:sz w:val="20"/>
          <w:szCs w:val="20"/>
        </w:rPr>
        <w:t xml:space="preserve">Parliamentary Assembly of the Council of Europe, Resolution 1952 (2013), "Children’s right to physical integrity", </w:t>
      </w:r>
      <w:hyperlink r:id="rId9" w:history="1">
        <w:r w:rsidRPr="00D93FBA">
          <w:rPr>
            <w:rStyle w:val="Hyperlink"/>
            <w:sz w:val="20"/>
            <w:szCs w:val="20"/>
          </w:rPr>
          <w:t>http://assembly.coe.int/nw/xml/XRef/X2H-Xref-ViewPDF.asp?FileID=20174&amp;lang=en</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A23"/>
    <w:multiLevelType w:val="multilevel"/>
    <w:tmpl w:val="5E5A3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2D20FA"/>
    <w:multiLevelType w:val="hybridMultilevel"/>
    <w:tmpl w:val="539C00B6"/>
    <w:lvl w:ilvl="0" w:tplc="D9F299EC">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C841C3"/>
    <w:multiLevelType w:val="hybridMultilevel"/>
    <w:tmpl w:val="59C8B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114E46"/>
    <w:multiLevelType w:val="hybridMultilevel"/>
    <w:tmpl w:val="89ECA288"/>
    <w:lvl w:ilvl="0" w:tplc="D9F299EC">
      <w:start w:val="1"/>
      <w:numFmt w:val="upperRoman"/>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792CF7"/>
    <w:multiLevelType w:val="hybridMultilevel"/>
    <w:tmpl w:val="30E0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12D43"/>
    <w:multiLevelType w:val="hybridMultilevel"/>
    <w:tmpl w:val="353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A7379"/>
    <w:multiLevelType w:val="hybridMultilevel"/>
    <w:tmpl w:val="67FA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253CD"/>
    <w:multiLevelType w:val="hybridMultilevel"/>
    <w:tmpl w:val="89ECA288"/>
    <w:lvl w:ilvl="0" w:tplc="D9F299EC">
      <w:start w:val="1"/>
      <w:numFmt w:val="upperRoman"/>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revisionView w:markup="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52"/>
    <w:rsid w:val="0000320F"/>
    <w:rsid w:val="00007403"/>
    <w:rsid w:val="00011E14"/>
    <w:rsid w:val="00041572"/>
    <w:rsid w:val="000550AB"/>
    <w:rsid w:val="00061D7F"/>
    <w:rsid w:val="00085345"/>
    <w:rsid w:val="0009534B"/>
    <w:rsid w:val="000B0AC4"/>
    <w:rsid w:val="000E061A"/>
    <w:rsid w:val="00105A7C"/>
    <w:rsid w:val="00113492"/>
    <w:rsid w:val="001477E4"/>
    <w:rsid w:val="00155E22"/>
    <w:rsid w:val="00163C2C"/>
    <w:rsid w:val="0016559E"/>
    <w:rsid w:val="00180B91"/>
    <w:rsid w:val="00191C2C"/>
    <w:rsid w:val="001D284A"/>
    <w:rsid w:val="001D725D"/>
    <w:rsid w:val="001D7582"/>
    <w:rsid w:val="001E4886"/>
    <w:rsid w:val="00216CDB"/>
    <w:rsid w:val="0022414A"/>
    <w:rsid w:val="0024333F"/>
    <w:rsid w:val="00266041"/>
    <w:rsid w:val="00274F38"/>
    <w:rsid w:val="00276BA5"/>
    <w:rsid w:val="00290209"/>
    <w:rsid w:val="00291343"/>
    <w:rsid w:val="002A5FFE"/>
    <w:rsid w:val="002B2ABC"/>
    <w:rsid w:val="002D5E9A"/>
    <w:rsid w:val="00302FB5"/>
    <w:rsid w:val="0031540F"/>
    <w:rsid w:val="00324C92"/>
    <w:rsid w:val="00355218"/>
    <w:rsid w:val="0038092F"/>
    <w:rsid w:val="00380F3E"/>
    <w:rsid w:val="00385488"/>
    <w:rsid w:val="003936D1"/>
    <w:rsid w:val="00396758"/>
    <w:rsid w:val="003B5F85"/>
    <w:rsid w:val="003B629E"/>
    <w:rsid w:val="003E365D"/>
    <w:rsid w:val="003F5282"/>
    <w:rsid w:val="00411222"/>
    <w:rsid w:val="0042638D"/>
    <w:rsid w:val="00430505"/>
    <w:rsid w:val="00442692"/>
    <w:rsid w:val="00453838"/>
    <w:rsid w:val="00455375"/>
    <w:rsid w:val="00481A60"/>
    <w:rsid w:val="0049093D"/>
    <w:rsid w:val="004A6AD6"/>
    <w:rsid w:val="004D39A5"/>
    <w:rsid w:val="004D448A"/>
    <w:rsid w:val="005115C8"/>
    <w:rsid w:val="005179CF"/>
    <w:rsid w:val="00521792"/>
    <w:rsid w:val="00524560"/>
    <w:rsid w:val="005327DA"/>
    <w:rsid w:val="0054315E"/>
    <w:rsid w:val="00553DF2"/>
    <w:rsid w:val="00566DB5"/>
    <w:rsid w:val="005A06AF"/>
    <w:rsid w:val="005A0EA9"/>
    <w:rsid w:val="005A5255"/>
    <w:rsid w:val="005C22A6"/>
    <w:rsid w:val="006049F9"/>
    <w:rsid w:val="00612683"/>
    <w:rsid w:val="00631EEC"/>
    <w:rsid w:val="00643D0B"/>
    <w:rsid w:val="006569D4"/>
    <w:rsid w:val="00696AAD"/>
    <w:rsid w:val="006B4F69"/>
    <w:rsid w:val="006B57F2"/>
    <w:rsid w:val="006C6747"/>
    <w:rsid w:val="007106AF"/>
    <w:rsid w:val="007277AE"/>
    <w:rsid w:val="0074221A"/>
    <w:rsid w:val="00753613"/>
    <w:rsid w:val="00776E08"/>
    <w:rsid w:val="007A7C81"/>
    <w:rsid w:val="007B77F0"/>
    <w:rsid w:val="007E51B8"/>
    <w:rsid w:val="007E75FE"/>
    <w:rsid w:val="007E77B8"/>
    <w:rsid w:val="008078C1"/>
    <w:rsid w:val="00820795"/>
    <w:rsid w:val="00865F64"/>
    <w:rsid w:val="00890DB0"/>
    <w:rsid w:val="008B4F41"/>
    <w:rsid w:val="008D2F3D"/>
    <w:rsid w:val="008D31D3"/>
    <w:rsid w:val="008F0DFC"/>
    <w:rsid w:val="008F37DA"/>
    <w:rsid w:val="008F446C"/>
    <w:rsid w:val="00901955"/>
    <w:rsid w:val="00905873"/>
    <w:rsid w:val="00935EA4"/>
    <w:rsid w:val="00943402"/>
    <w:rsid w:val="009A40DF"/>
    <w:rsid w:val="009B22C5"/>
    <w:rsid w:val="009C344B"/>
    <w:rsid w:val="009D7C6D"/>
    <w:rsid w:val="00A32A23"/>
    <w:rsid w:val="00A52713"/>
    <w:rsid w:val="00A71CFD"/>
    <w:rsid w:val="00A73F6A"/>
    <w:rsid w:val="00A82BEF"/>
    <w:rsid w:val="00A837F6"/>
    <w:rsid w:val="00A84067"/>
    <w:rsid w:val="00A859E7"/>
    <w:rsid w:val="00AA40F8"/>
    <w:rsid w:val="00AA46BE"/>
    <w:rsid w:val="00AA6028"/>
    <w:rsid w:val="00AA745F"/>
    <w:rsid w:val="00AD689C"/>
    <w:rsid w:val="00AD6F83"/>
    <w:rsid w:val="00AE1255"/>
    <w:rsid w:val="00AE199C"/>
    <w:rsid w:val="00AE2189"/>
    <w:rsid w:val="00AF674D"/>
    <w:rsid w:val="00B246F0"/>
    <w:rsid w:val="00B335A3"/>
    <w:rsid w:val="00B33C74"/>
    <w:rsid w:val="00B40F54"/>
    <w:rsid w:val="00B64D5C"/>
    <w:rsid w:val="00B66654"/>
    <w:rsid w:val="00B7769E"/>
    <w:rsid w:val="00B802A1"/>
    <w:rsid w:val="00B95021"/>
    <w:rsid w:val="00BA3452"/>
    <w:rsid w:val="00BE34C8"/>
    <w:rsid w:val="00C26147"/>
    <w:rsid w:val="00C27E56"/>
    <w:rsid w:val="00C3053C"/>
    <w:rsid w:val="00C30939"/>
    <w:rsid w:val="00C36763"/>
    <w:rsid w:val="00C920D8"/>
    <w:rsid w:val="00C927CA"/>
    <w:rsid w:val="00CC3F0F"/>
    <w:rsid w:val="00CD21C3"/>
    <w:rsid w:val="00CF7944"/>
    <w:rsid w:val="00D04F87"/>
    <w:rsid w:val="00D07E6B"/>
    <w:rsid w:val="00D43862"/>
    <w:rsid w:val="00D73B63"/>
    <w:rsid w:val="00D93FBA"/>
    <w:rsid w:val="00DA0841"/>
    <w:rsid w:val="00DB27D9"/>
    <w:rsid w:val="00DB366C"/>
    <w:rsid w:val="00DE4147"/>
    <w:rsid w:val="00DF5D55"/>
    <w:rsid w:val="00E22C7A"/>
    <w:rsid w:val="00E33122"/>
    <w:rsid w:val="00E45C68"/>
    <w:rsid w:val="00E45CE1"/>
    <w:rsid w:val="00E500D0"/>
    <w:rsid w:val="00E65A45"/>
    <w:rsid w:val="00E66A03"/>
    <w:rsid w:val="00EA19A1"/>
    <w:rsid w:val="00EB0093"/>
    <w:rsid w:val="00EC4CA3"/>
    <w:rsid w:val="00EC6383"/>
    <w:rsid w:val="00ED0DD7"/>
    <w:rsid w:val="00ED10AA"/>
    <w:rsid w:val="00F02748"/>
    <w:rsid w:val="00F16AF8"/>
    <w:rsid w:val="00F179D4"/>
    <w:rsid w:val="00F532C4"/>
    <w:rsid w:val="00F64263"/>
    <w:rsid w:val="00F7375E"/>
    <w:rsid w:val="00F73A6E"/>
    <w:rsid w:val="00F75CC3"/>
    <w:rsid w:val="00F9342F"/>
    <w:rsid w:val="00FA7A15"/>
    <w:rsid w:val="00FB0216"/>
    <w:rsid w:val="00FE1D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8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D4"/>
    <w:rPr>
      <w:rFonts w:ascii="Times New Roman" w:hAnsi="Times New Roman"/>
      <w:sz w:val="20"/>
    </w:rPr>
  </w:style>
  <w:style w:type="paragraph" w:styleId="Heading2">
    <w:name w:val="heading 2"/>
    <w:basedOn w:val="Normal"/>
    <w:next w:val="Normal"/>
    <w:link w:val="Heading2Char"/>
    <w:uiPriority w:val="9"/>
    <w:semiHidden/>
    <w:unhideWhenUsed/>
    <w:qFormat/>
    <w:rsid w:val="00B776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6C"/>
    <w:pPr>
      <w:ind w:left="720"/>
      <w:contextualSpacing/>
    </w:pPr>
  </w:style>
  <w:style w:type="paragraph" w:styleId="FootnoteText">
    <w:name w:val="footnote text"/>
    <w:basedOn w:val="Normal"/>
    <w:link w:val="FootnoteTextChar"/>
    <w:uiPriority w:val="99"/>
    <w:unhideWhenUsed/>
    <w:rsid w:val="005115C8"/>
    <w:rPr>
      <w:sz w:val="24"/>
    </w:rPr>
  </w:style>
  <w:style w:type="character" w:customStyle="1" w:styleId="FootnoteTextChar">
    <w:name w:val="Footnote Text Char"/>
    <w:basedOn w:val="DefaultParagraphFont"/>
    <w:link w:val="FootnoteText"/>
    <w:uiPriority w:val="99"/>
    <w:rsid w:val="005115C8"/>
    <w:rPr>
      <w:rFonts w:ascii="Times New Roman" w:hAnsi="Times New Roman"/>
    </w:rPr>
  </w:style>
  <w:style w:type="character" w:styleId="FootnoteReference">
    <w:name w:val="footnote reference"/>
    <w:basedOn w:val="DefaultParagraphFont"/>
    <w:uiPriority w:val="99"/>
    <w:unhideWhenUsed/>
    <w:rsid w:val="005115C8"/>
    <w:rPr>
      <w:vertAlign w:val="superscript"/>
    </w:rPr>
  </w:style>
  <w:style w:type="paragraph" w:styleId="Footer">
    <w:name w:val="footer"/>
    <w:basedOn w:val="Normal"/>
    <w:link w:val="FooterChar"/>
    <w:uiPriority w:val="99"/>
    <w:unhideWhenUsed/>
    <w:rsid w:val="00B335A3"/>
    <w:pPr>
      <w:tabs>
        <w:tab w:val="center" w:pos="4320"/>
        <w:tab w:val="right" w:pos="8640"/>
      </w:tabs>
    </w:pPr>
  </w:style>
  <w:style w:type="character" w:customStyle="1" w:styleId="FooterChar">
    <w:name w:val="Footer Char"/>
    <w:basedOn w:val="DefaultParagraphFont"/>
    <w:link w:val="Footer"/>
    <w:uiPriority w:val="99"/>
    <w:rsid w:val="00B335A3"/>
    <w:rPr>
      <w:rFonts w:ascii="Times New Roman" w:hAnsi="Times New Roman"/>
      <w:sz w:val="20"/>
    </w:rPr>
  </w:style>
  <w:style w:type="character" w:styleId="PageNumber">
    <w:name w:val="page number"/>
    <w:basedOn w:val="DefaultParagraphFont"/>
    <w:uiPriority w:val="99"/>
    <w:semiHidden/>
    <w:unhideWhenUsed/>
    <w:rsid w:val="00B335A3"/>
  </w:style>
  <w:style w:type="paragraph" w:styleId="Header">
    <w:name w:val="header"/>
    <w:basedOn w:val="Normal"/>
    <w:link w:val="HeaderChar"/>
    <w:uiPriority w:val="99"/>
    <w:unhideWhenUsed/>
    <w:rsid w:val="005179CF"/>
    <w:pPr>
      <w:tabs>
        <w:tab w:val="center" w:pos="4320"/>
        <w:tab w:val="right" w:pos="8640"/>
      </w:tabs>
    </w:pPr>
  </w:style>
  <w:style w:type="character" w:customStyle="1" w:styleId="HeaderChar">
    <w:name w:val="Header Char"/>
    <w:basedOn w:val="DefaultParagraphFont"/>
    <w:link w:val="Header"/>
    <w:uiPriority w:val="99"/>
    <w:rsid w:val="005179CF"/>
    <w:rPr>
      <w:rFonts w:ascii="Times New Roman" w:hAnsi="Times New Roman"/>
      <w:sz w:val="20"/>
    </w:rPr>
  </w:style>
  <w:style w:type="character" w:styleId="CommentReference">
    <w:name w:val="annotation reference"/>
    <w:basedOn w:val="DefaultParagraphFont"/>
    <w:uiPriority w:val="99"/>
    <w:semiHidden/>
    <w:unhideWhenUsed/>
    <w:rsid w:val="003F5282"/>
    <w:rPr>
      <w:sz w:val="18"/>
      <w:szCs w:val="18"/>
    </w:rPr>
  </w:style>
  <w:style w:type="paragraph" w:styleId="CommentText">
    <w:name w:val="annotation text"/>
    <w:basedOn w:val="Normal"/>
    <w:link w:val="CommentTextChar"/>
    <w:uiPriority w:val="99"/>
    <w:semiHidden/>
    <w:unhideWhenUsed/>
    <w:rsid w:val="003F5282"/>
    <w:rPr>
      <w:sz w:val="24"/>
    </w:rPr>
  </w:style>
  <w:style w:type="character" w:customStyle="1" w:styleId="CommentTextChar">
    <w:name w:val="Comment Text Char"/>
    <w:basedOn w:val="DefaultParagraphFont"/>
    <w:link w:val="CommentText"/>
    <w:uiPriority w:val="99"/>
    <w:semiHidden/>
    <w:rsid w:val="003F528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F5282"/>
    <w:rPr>
      <w:b/>
      <w:bCs/>
      <w:sz w:val="20"/>
      <w:szCs w:val="20"/>
    </w:rPr>
  </w:style>
  <w:style w:type="character" w:customStyle="1" w:styleId="CommentSubjectChar">
    <w:name w:val="Comment Subject Char"/>
    <w:basedOn w:val="CommentTextChar"/>
    <w:link w:val="CommentSubject"/>
    <w:uiPriority w:val="99"/>
    <w:semiHidden/>
    <w:rsid w:val="003F5282"/>
    <w:rPr>
      <w:rFonts w:ascii="Times New Roman" w:hAnsi="Times New Roman"/>
      <w:b/>
      <w:bCs/>
      <w:sz w:val="20"/>
      <w:szCs w:val="20"/>
    </w:rPr>
  </w:style>
  <w:style w:type="paragraph" w:styleId="BalloonText">
    <w:name w:val="Balloon Text"/>
    <w:basedOn w:val="Normal"/>
    <w:link w:val="BalloonTextChar"/>
    <w:uiPriority w:val="99"/>
    <w:semiHidden/>
    <w:unhideWhenUsed/>
    <w:rsid w:val="003F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282"/>
    <w:rPr>
      <w:rFonts w:ascii="Lucida Grande" w:hAnsi="Lucida Grande" w:cs="Lucida Grande"/>
      <w:sz w:val="18"/>
      <w:szCs w:val="18"/>
    </w:rPr>
  </w:style>
  <w:style w:type="character" w:styleId="Hyperlink">
    <w:name w:val="Hyperlink"/>
    <w:basedOn w:val="DefaultParagraphFont"/>
    <w:uiPriority w:val="99"/>
    <w:unhideWhenUsed/>
    <w:rsid w:val="00AE199C"/>
    <w:rPr>
      <w:color w:val="0000FF" w:themeColor="hyperlink"/>
      <w:u w:val="single"/>
    </w:rPr>
  </w:style>
  <w:style w:type="paragraph" w:styleId="Revision">
    <w:name w:val="Revision"/>
    <w:hidden/>
    <w:uiPriority w:val="99"/>
    <w:semiHidden/>
    <w:rsid w:val="00291343"/>
    <w:rPr>
      <w:rFonts w:ascii="Times New Roman" w:hAnsi="Times New Roman"/>
      <w:sz w:val="20"/>
    </w:rPr>
  </w:style>
  <w:style w:type="character" w:customStyle="1" w:styleId="Heading2Char">
    <w:name w:val="Heading 2 Char"/>
    <w:basedOn w:val="DefaultParagraphFont"/>
    <w:link w:val="Heading2"/>
    <w:uiPriority w:val="9"/>
    <w:semiHidden/>
    <w:rsid w:val="00B7769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79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D4"/>
    <w:rPr>
      <w:rFonts w:ascii="Times New Roman" w:hAnsi="Times New Roman"/>
      <w:sz w:val="20"/>
    </w:rPr>
  </w:style>
  <w:style w:type="paragraph" w:styleId="Heading2">
    <w:name w:val="heading 2"/>
    <w:basedOn w:val="Normal"/>
    <w:next w:val="Normal"/>
    <w:link w:val="Heading2Char"/>
    <w:uiPriority w:val="9"/>
    <w:semiHidden/>
    <w:unhideWhenUsed/>
    <w:qFormat/>
    <w:rsid w:val="00B776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6C"/>
    <w:pPr>
      <w:ind w:left="720"/>
      <w:contextualSpacing/>
    </w:pPr>
  </w:style>
  <w:style w:type="paragraph" w:styleId="FootnoteText">
    <w:name w:val="footnote text"/>
    <w:basedOn w:val="Normal"/>
    <w:link w:val="FootnoteTextChar"/>
    <w:uiPriority w:val="99"/>
    <w:unhideWhenUsed/>
    <w:rsid w:val="005115C8"/>
    <w:rPr>
      <w:sz w:val="24"/>
    </w:rPr>
  </w:style>
  <w:style w:type="character" w:customStyle="1" w:styleId="FootnoteTextChar">
    <w:name w:val="Footnote Text Char"/>
    <w:basedOn w:val="DefaultParagraphFont"/>
    <w:link w:val="FootnoteText"/>
    <w:uiPriority w:val="99"/>
    <w:rsid w:val="005115C8"/>
    <w:rPr>
      <w:rFonts w:ascii="Times New Roman" w:hAnsi="Times New Roman"/>
    </w:rPr>
  </w:style>
  <w:style w:type="character" w:styleId="FootnoteReference">
    <w:name w:val="footnote reference"/>
    <w:basedOn w:val="DefaultParagraphFont"/>
    <w:uiPriority w:val="99"/>
    <w:unhideWhenUsed/>
    <w:rsid w:val="005115C8"/>
    <w:rPr>
      <w:vertAlign w:val="superscript"/>
    </w:rPr>
  </w:style>
  <w:style w:type="paragraph" w:styleId="Footer">
    <w:name w:val="footer"/>
    <w:basedOn w:val="Normal"/>
    <w:link w:val="FooterChar"/>
    <w:uiPriority w:val="99"/>
    <w:unhideWhenUsed/>
    <w:rsid w:val="00B335A3"/>
    <w:pPr>
      <w:tabs>
        <w:tab w:val="center" w:pos="4320"/>
        <w:tab w:val="right" w:pos="8640"/>
      </w:tabs>
    </w:pPr>
  </w:style>
  <w:style w:type="character" w:customStyle="1" w:styleId="FooterChar">
    <w:name w:val="Footer Char"/>
    <w:basedOn w:val="DefaultParagraphFont"/>
    <w:link w:val="Footer"/>
    <w:uiPriority w:val="99"/>
    <w:rsid w:val="00B335A3"/>
    <w:rPr>
      <w:rFonts w:ascii="Times New Roman" w:hAnsi="Times New Roman"/>
      <w:sz w:val="20"/>
    </w:rPr>
  </w:style>
  <w:style w:type="character" w:styleId="PageNumber">
    <w:name w:val="page number"/>
    <w:basedOn w:val="DefaultParagraphFont"/>
    <w:uiPriority w:val="99"/>
    <w:semiHidden/>
    <w:unhideWhenUsed/>
    <w:rsid w:val="00B335A3"/>
  </w:style>
  <w:style w:type="paragraph" w:styleId="Header">
    <w:name w:val="header"/>
    <w:basedOn w:val="Normal"/>
    <w:link w:val="HeaderChar"/>
    <w:uiPriority w:val="99"/>
    <w:unhideWhenUsed/>
    <w:rsid w:val="005179CF"/>
    <w:pPr>
      <w:tabs>
        <w:tab w:val="center" w:pos="4320"/>
        <w:tab w:val="right" w:pos="8640"/>
      </w:tabs>
    </w:pPr>
  </w:style>
  <w:style w:type="character" w:customStyle="1" w:styleId="HeaderChar">
    <w:name w:val="Header Char"/>
    <w:basedOn w:val="DefaultParagraphFont"/>
    <w:link w:val="Header"/>
    <w:uiPriority w:val="99"/>
    <w:rsid w:val="005179CF"/>
    <w:rPr>
      <w:rFonts w:ascii="Times New Roman" w:hAnsi="Times New Roman"/>
      <w:sz w:val="20"/>
    </w:rPr>
  </w:style>
  <w:style w:type="character" w:styleId="CommentReference">
    <w:name w:val="annotation reference"/>
    <w:basedOn w:val="DefaultParagraphFont"/>
    <w:uiPriority w:val="99"/>
    <w:semiHidden/>
    <w:unhideWhenUsed/>
    <w:rsid w:val="003F5282"/>
    <w:rPr>
      <w:sz w:val="18"/>
      <w:szCs w:val="18"/>
    </w:rPr>
  </w:style>
  <w:style w:type="paragraph" w:styleId="CommentText">
    <w:name w:val="annotation text"/>
    <w:basedOn w:val="Normal"/>
    <w:link w:val="CommentTextChar"/>
    <w:uiPriority w:val="99"/>
    <w:semiHidden/>
    <w:unhideWhenUsed/>
    <w:rsid w:val="003F5282"/>
    <w:rPr>
      <w:sz w:val="24"/>
    </w:rPr>
  </w:style>
  <w:style w:type="character" w:customStyle="1" w:styleId="CommentTextChar">
    <w:name w:val="Comment Text Char"/>
    <w:basedOn w:val="DefaultParagraphFont"/>
    <w:link w:val="CommentText"/>
    <w:uiPriority w:val="99"/>
    <w:semiHidden/>
    <w:rsid w:val="003F528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F5282"/>
    <w:rPr>
      <w:b/>
      <w:bCs/>
      <w:sz w:val="20"/>
      <w:szCs w:val="20"/>
    </w:rPr>
  </w:style>
  <w:style w:type="character" w:customStyle="1" w:styleId="CommentSubjectChar">
    <w:name w:val="Comment Subject Char"/>
    <w:basedOn w:val="CommentTextChar"/>
    <w:link w:val="CommentSubject"/>
    <w:uiPriority w:val="99"/>
    <w:semiHidden/>
    <w:rsid w:val="003F5282"/>
    <w:rPr>
      <w:rFonts w:ascii="Times New Roman" w:hAnsi="Times New Roman"/>
      <w:b/>
      <w:bCs/>
      <w:sz w:val="20"/>
      <w:szCs w:val="20"/>
    </w:rPr>
  </w:style>
  <w:style w:type="paragraph" w:styleId="BalloonText">
    <w:name w:val="Balloon Text"/>
    <w:basedOn w:val="Normal"/>
    <w:link w:val="BalloonTextChar"/>
    <w:uiPriority w:val="99"/>
    <w:semiHidden/>
    <w:unhideWhenUsed/>
    <w:rsid w:val="003F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282"/>
    <w:rPr>
      <w:rFonts w:ascii="Lucida Grande" w:hAnsi="Lucida Grande" w:cs="Lucida Grande"/>
      <w:sz w:val="18"/>
      <w:szCs w:val="18"/>
    </w:rPr>
  </w:style>
  <w:style w:type="character" w:styleId="Hyperlink">
    <w:name w:val="Hyperlink"/>
    <w:basedOn w:val="DefaultParagraphFont"/>
    <w:uiPriority w:val="99"/>
    <w:unhideWhenUsed/>
    <w:rsid w:val="00AE199C"/>
    <w:rPr>
      <w:color w:val="0000FF" w:themeColor="hyperlink"/>
      <w:u w:val="single"/>
    </w:rPr>
  </w:style>
  <w:style w:type="paragraph" w:styleId="Revision">
    <w:name w:val="Revision"/>
    <w:hidden/>
    <w:uiPriority w:val="99"/>
    <w:semiHidden/>
    <w:rsid w:val="00291343"/>
    <w:rPr>
      <w:rFonts w:ascii="Times New Roman" w:hAnsi="Times New Roman"/>
      <w:sz w:val="20"/>
    </w:rPr>
  </w:style>
  <w:style w:type="character" w:customStyle="1" w:styleId="Heading2Char">
    <w:name w:val="Heading 2 Char"/>
    <w:basedOn w:val="DefaultParagraphFont"/>
    <w:link w:val="Heading2"/>
    <w:uiPriority w:val="9"/>
    <w:semiHidden/>
    <w:rsid w:val="00B7769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7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9329">
      <w:bodyDiv w:val="1"/>
      <w:marLeft w:val="0"/>
      <w:marRight w:val="0"/>
      <w:marTop w:val="0"/>
      <w:marBottom w:val="0"/>
      <w:divBdr>
        <w:top w:val="none" w:sz="0" w:space="0" w:color="auto"/>
        <w:left w:val="none" w:sz="0" w:space="0" w:color="auto"/>
        <w:bottom w:val="none" w:sz="0" w:space="0" w:color="auto"/>
        <w:right w:val="none" w:sz="0" w:space="0" w:color="auto"/>
      </w:divBdr>
      <w:divsChild>
        <w:div w:id="523401932">
          <w:marLeft w:val="0"/>
          <w:marRight w:val="0"/>
          <w:marTop w:val="0"/>
          <w:marBottom w:val="0"/>
          <w:divBdr>
            <w:top w:val="none" w:sz="0" w:space="0" w:color="auto"/>
            <w:left w:val="none" w:sz="0" w:space="0" w:color="auto"/>
            <w:bottom w:val="none" w:sz="0" w:space="0" w:color="auto"/>
            <w:right w:val="none" w:sz="0" w:space="0" w:color="auto"/>
          </w:divBdr>
          <w:divsChild>
            <w:div w:id="158813467">
              <w:marLeft w:val="0"/>
              <w:marRight w:val="0"/>
              <w:marTop w:val="0"/>
              <w:marBottom w:val="0"/>
              <w:divBdr>
                <w:top w:val="none" w:sz="0" w:space="0" w:color="auto"/>
                <w:left w:val="none" w:sz="0" w:space="0" w:color="auto"/>
                <w:bottom w:val="none" w:sz="0" w:space="0" w:color="auto"/>
                <w:right w:val="none" w:sz="0" w:space="0" w:color="auto"/>
              </w:divBdr>
            </w:div>
          </w:divsChild>
        </w:div>
        <w:div w:id="479808568">
          <w:marLeft w:val="0"/>
          <w:marRight w:val="0"/>
          <w:marTop w:val="0"/>
          <w:marBottom w:val="0"/>
          <w:divBdr>
            <w:top w:val="none" w:sz="0" w:space="0" w:color="auto"/>
            <w:left w:val="none" w:sz="0" w:space="0" w:color="auto"/>
            <w:bottom w:val="none" w:sz="0" w:space="0" w:color="auto"/>
            <w:right w:val="none" w:sz="0" w:space="0" w:color="auto"/>
          </w:divBdr>
          <w:divsChild>
            <w:div w:id="1667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5718">
      <w:bodyDiv w:val="1"/>
      <w:marLeft w:val="0"/>
      <w:marRight w:val="0"/>
      <w:marTop w:val="0"/>
      <w:marBottom w:val="0"/>
      <w:divBdr>
        <w:top w:val="none" w:sz="0" w:space="0" w:color="auto"/>
        <w:left w:val="none" w:sz="0" w:space="0" w:color="auto"/>
        <w:bottom w:val="none" w:sz="0" w:space="0" w:color="auto"/>
        <w:right w:val="none" w:sz="0" w:space="0" w:color="auto"/>
      </w:divBdr>
    </w:div>
    <w:div w:id="417219093">
      <w:bodyDiv w:val="1"/>
      <w:marLeft w:val="0"/>
      <w:marRight w:val="0"/>
      <w:marTop w:val="0"/>
      <w:marBottom w:val="0"/>
      <w:divBdr>
        <w:top w:val="none" w:sz="0" w:space="0" w:color="auto"/>
        <w:left w:val="none" w:sz="0" w:space="0" w:color="auto"/>
        <w:bottom w:val="none" w:sz="0" w:space="0" w:color="auto"/>
        <w:right w:val="none" w:sz="0" w:space="0" w:color="auto"/>
      </w:divBdr>
    </w:div>
    <w:div w:id="554699985">
      <w:bodyDiv w:val="1"/>
      <w:marLeft w:val="0"/>
      <w:marRight w:val="0"/>
      <w:marTop w:val="0"/>
      <w:marBottom w:val="0"/>
      <w:divBdr>
        <w:top w:val="none" w:sz="0" w:space="0" w:color="auto"/>
        <w:left w:val="none" w:sz="0" w:space="0" w:color="auto"/>
        <w:bottom w:val="none" w:sz="0" w:space="0" w:color="auto"/>
        <w:right w:val="none" w:sz="0" w:space="0" w:color="auto"/>
      </w:divBdr>
    </w:div>
    <w:div w:id="555429809">
      <w:bodyDiv w:val="1"/>
      <w:marLeft w:val="0"/>
      <w:marRight w:val="0"/>
      <w:marTop w:val="0"/>
      <w:marBottom w:val="0"/>
      <w:divBdr>
        <w:top w:val="none" w:sz="0" w:space="0" w:color="auto"/>
        <w:left w:val="none" w:sz="0" w:space="0" w:color="auto"/>
        <w:bottom w:val="none" w:sz="0" w:space="0" w:color="auto"/>
        <w:right w:val="none" w:sz="0" w:space="0" w:color="auto"/>
      </w:divBdr>
    </w:div>
    <w:div w:id="711997332">
      <w:bodyDiv w:val="1"/>
      <w:marLeft w:val="0"/>
      <w:marRight w:val="0"/>
      <w:marTop w:val="0"/>
      <w:marBottom w:val="0"/>
      <w:divBdr>
        <w:top w:val="none" w:sz="0" w:space="0" w:color="auto"/>
        <w:left w:val="none" w:sz="0" w:space="0" w:color="auto"/>
        <w:bottom w:val="none" w:sz="0" w:space="0" w:color="auto"/>
        <w:right w:val="none" w:sz="0" w:space="0" w:color="auto"/>
      </w:divBdr>
    </w:div>
    <w:div w:id="887765148">
      <w:bodyDiv w:val="1"/>
      <w:marLeft w:val="0"/>
      <w:marRight w:val="0"/>
      <w:marTop w:val="0"/>
      <w:marBottom w:val="0"/>
      <w:divBdr>
        <w:top w:val="none" w:sz="0" w:space="0" w:color="auto"/>
        <w:left w:val="none" w:sz="0" w:space="0" w:color="auto"/>
        <w:bottom w:val="none" w:sz="0" w:space="0" w:color="auto"/>
        <w:right w:val="none" w:sz="0" w:space="0" w:color="auto"/>
      </w:divBdr>
    </w:div>
    <w:div w:id="972104973">
      <w:bodyDiv w:val="1"/>
      <w:marLeft w:val="0"/>
      <w:marRight w:val="0"/>
      <w:marTop w:val="0"/>
      <w:marBottom w:val="0"/>
      <w:divBdr>
        <w:top w:val="none" w:sz="0" w:space="0" w:color="auto"/>
        <w:left w:val="none" w:sz="0" w:space="0" w:color="auto"/>
        <w:bottom w:val="none" w:sz="0" w:space="0" w:color="auto"/>
        <w:right w:val="none" w:sz="0" w:space="0" w:color="auto"/>
      </w:divBdr>
    </w:div>
    <w:div w:id="1081755494">
      <w:bodyDiv w:val="1"/>
      <w:marLeft w:val="0"/>
      <w:marRight w:val="0"/>
      <w:marTop w:val="0"/>
      <w:marBottom w:val="0"/>
      <w:divBdr>
        <w:top w:val="none" w:sz="0" w:space="0" w:color="auto"/>
        <w:left w:val="none" w:sz="0" w:space="0" w:color="auto"/>
        <w:bottom w:val="none" w:sz="0" w:space="0" w:color="auto"/>
        <w:right w:val="none" w:sz="0" w:space="0" w:color="auto"/>
      </w:divBdr>
    </w:div>
    <w:div w:id="1170563700">
      <w:bodyDiv w:val="1"/>
      <w:marLeft w:val="0"/>
      <w:marRight w:val="0"/>
      <w:marTop w:val="0"/>
      <w:marBottom w:val="0"/>
      <w:divBdr>
        <w:top w:val="none" w:sz="0" w:space="0" w:color="auto"/>
        <w:left w:val="none" w:sz="0" w:space="0" w:color="auto"/>
        <w:bottom w:val="none" w:sz="0" w:space="0" w:color="auto"/>
        <w:right w:val="none" w:sz="0" w:space="0" w:color="auto"/>
      </w:divBdr>
      <w:divsChild>
        <w:div w:id="1004941282">
          <w:marLeft w:val="0"/>
          <w:marRight w:val="0"/>
          <w:marTop w:val="0"/>
          <w:marBottom w:val="0"/>
          <w:divBdr>
            <w:top w:val="none" w:sz="0" w:space="0" w:color="auto"/>
            <w:left w:val="none" w:sz="0" w:space="0" w:color="auto"/>
            <w:bottom w:val="none" w:sz="0" w:space="0" w:color="auto"/>
            <w:right w:val="none" w:sz="0" w:space="0" w:color="auto"/>
          </w:divBdr>
          <w:divsChild>
            <w:div w:id="1248227814">
              <w:marLeft w:val="0"/>
              <w:marRight w:val="0"/>
              <w:marTop w:val="0"/>
              <w:marBottom w:val="0"/>
              <w:divBdr>
                <w:top w:val="none" w:sz="0" w:space="0" w:color="auto"/>
                <w:left w:val="none" w:sz="0" w:space="0" w:color="auto"/>
                <w:bottom w:val="none" w:sz="0" w:space="0" w:color="auto"/>
                <w:right w:val="none" w:sz="0" w:space="0" w:color="auto"/>
              </w:divBdr>
            </w:div>
          </w:divsChild>
        </w:div>
        <w:div w:id="1441681916">
          <w:marLeft w:val="0"/>
          <w:marRight w:val="0"/>
          <w:marTop w:val="0"/>
          <w:marBottom w:val="0"/>
          <w:divBdr>
            <w:top w:val="none" w:sz="0" w:space="0" w:color="auto"/>
            <w:left w:val="none" w:sz="0" w:space="0" w:color="auto"/>
            <w:bottom w:val="none" w:sz="0" w:space="0" w:color="auto"/>
            <w:right w:val="none" w:sz="0" w:space="0" w:color="auto"/>
          </w:divBdr>
          <w:divsChild>
            <w:div w:id="573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6406">
      <w:bodyDiv w:val="1"/>
      <w:marLeft w:val="0"/>
      <w:marRight w:val="0"/>
      <w:marTop w:val="0"/>
      <w:marBottom w:val="0"/>
      <w:divBdr>
        <w:top w:val="none" w:sz="0" w:space="0" w:color="auto"/>
        <w:left w:val="none" w:sz="0" w:space="0" w:color="auto"/>
        <w:bottom w:val="none" w:sz="0" w:space="0" w:color="auto"/>
        <w:right w:val="none" w:sz="0" w:space="0" w:color="auto"/>
      </w:divBdr>
    </w:div>
    <w:div w:id="1423721976">
      <w:bodyDiv w:val="1"/>
      <w:marLeft w:val="0"/>
      <w:marRight w:val="0"/>
      <w:marTop w:val="0"/>
      <w:marBottom w:val="0"/>
      <w:divBdr>
        <w:top w:val="none" w:sz="0" w:space="0" w:color="auto"/>
        <w:left w:val="none" w:sz="0" w:space="0" w:color="auto"/>
        <w:bottom w:val="none" w:sz="0" w:space="0" w:color="auto"/>
        <w:right w:val="none" w:sz="0" w:space="0" w:color="auto"/>
      </w:divBdr>
    </w:div>
    <w:div w:id="1466268981">
      <w:bodyDiv w:val="1"/>
      <w:marLeft w:val="0"/>
      <w:marRight w:val="0"/>
      <w:marTop w:val="0"/>
      <w:marBottom w:val="0"/>
      <w:divBdr>
        <w:top w:val="none" w:sz="0" w:space="0" w:color="auto"/>
        <w:left w:val="none" w:sz="0" w:space="0" w:color="auto"/>
        <w:bottom w:val="none" w:sz="0" w:space="0" w:color="auto"/>
        <w:right w:val="none" w:sz="0" w:space="0" w:color="auto"/>
      </w:divBdr>
    </w:div>
    <w:div w:id="1663118338">
      <w:bodyDiv w:val="1"/>
      <w:marLeft w:val="0"/>
      <w:marRight w:val="0"/>
      <w:marTop w:val="0"/>
      <w:marBottom w:val="0"/>
      <w:divBdr>
        <w:top w:val="none" w:sz="0" w:space="0" w:color="auto"/>
        <w:left w:val="none" w:sz="0" w:space="0" w:color="auto"/>
        <w:bottom w:val="none" w:sz="0" w:space="0" w:color="auto"/>
        <w:right w:val="none" w:sz="0" w:space="0" w:color="auto"/>
      </w:divBdr>
      <w:divsChild>
        <w:div w:id="74969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2286">
              <w:marLeft w:val="0"/>
              <w:marRight w:val="0"/>
              <w:marTop w:val="0"/>
              <w:marBottom w:val="0"/>
              <w:divBdr>
                <w:top w:val="none" w:sz="0" w:space="0" w:color="auto"/>
                <w:left w:val="none" w:sz="0" w:space="0" w:color="auto"/>
                <w:bottom w:val="none" w:sz="0" w:space="0" w:color="auto"/>
                <w:right w:val="none" w:sz="0" w:space="0" w:color="auto"/>
              </w:divBdr>
              <w:divsChild>
                <w:div w:id="471601635">
                  <w:marLeft w:val="0"/>
                  <w:marRight w:val="0"/>
                  <w:marTop w:val="0"/>
                  <w:marBottom w:val="0"/>
                  <w:divBdr>
                    <w:top w:val="none" w:sz="0" w:space="0" w:color="auto"/>
                    <w:left w:val="none" w:sz="0" w:space="0" w:color="auto"/>
                    <w:bottom w:val="none" w:sz="0" w:space="0" w:color="auto"/>
                    <w:right w:val="none" w:sz="0" w:space="0" w:color="auto"/>
                  </w:divBdr>
                  <w:divsChild>
                    <w:div w:id="1809858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081373">
                          <w:marLeft w:val="0"/>
                          <w:marRight w:val="0"/>
                          <w:marTop w:val="0"/>
                          <w:marBottom w:val="0"/>
                          <w:divBdr>
                            <w:top w:val="none" w:sz="0" w:space="0" w:color="auto"/>
                            <w:left w:val="none" w:sz="0" w:space="0" w:color="auto"/>
                            <w:bottom w:val="none" w:sz="0" w:space="0" w:color="auto"/>
                            <w:right w:val="none" w:sz="0" w:space="0" w:color="auto"/>
                          </w:divBdr>
                          <w:divsChild>
                            <w:div w:id="995109000">
                              <w:marLeft w:val="0"/>
                              <w:marRight w:val="0"/>
                              <w:marTop w:val="0"/>
                              <w:marBottom w:val="0"/>
                              <w:divBdr>
                                <w:top w:val="none" w:sz="0" w:space="0" w:color="auto"/>
                                <w:left w:val="none" w:sz="0" w:space="0" w:color="auto"/>
                                <w:bottom w:val="none" w:sz="0" w:space="0" w:color="auto"/>
                                <w:right w:val="none" w:sz="0" w:space="0" w:color="auto"/>
                              </w:divBdr>
                              <w:divsChild>
                                <w:div w:id="436944855">
                                  <w:marLeft w:val="0"/>
                                  <w:marRight w:val="0"/>
                                  <w:marTop w:val="0"/>
                                  <w:marBottom w:val="0"/>
                                  <w:divBdr>
                                    <w:top w:val="none" w:sz="0" w:space="0" w:color="auto"/>
                                    <w:left w:val="none" w:sz="0" w:space="0" w:color="auto"/>
                                    <w:bottom w:val="none" w:sz="0" w:space="0" w:color="auto"/>
                                    <w:right w:val="none" w:sz="0" w:space="0" w:color="auto"/>
                                  </w:divBdr>
                                  <w:divsChild>
                                    <w:div w:id="1619024072">
                                      <w:marLeft w:val="0"/>
                                      <w:marRight w:val="0"/>
                                      <w:marTop w:val="0"/>
                                      <w:marBottom w:val="0"/>
                                      <w:divBdr>
                                        <w:top w:val="none" w:sz="0" w:space="0" w:color="auto"/>
                                        <w:left w:val="none" w:sz="0" w:space="0" w:color="auto"/>
                                        <w:bottom w:val="none" w:sz="0" w:space="0" w:color="auto"/>
                                        <w:right w:val="none" w:sz="0" w:space="0" w:color="auto"/>
                                      </w:divBdr>
                                      <w:divsChild>
                                        <w:div w:id="31306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671089">
                                              <w:marLeft w:val="0"/>
                                              <w:marRight w:val="0"/>
                                              <w:marTop w:val="0"/>
                                              <w:marBottom w:val="0"/>
                                              <w:divBdr>
                                                <w:top w:val="none" w:sz="0" w:space="0" w:color="auto"/>
                                                <w:left w:val="none" w:sz="0" w:space="0" w:color="auto"/>
                                                <w:bottom w:val="none" w:sz="0" w:space="0" w:color="auto"/>
                                                <w:right w:val="none" w:sz="0" w:space="0" w:color="auto"/>
                                              </w:divBdr>
                                              <w:divsChild>
                                                <w:div w:id="586891166">
                                                  <w:marLeft w:val="0"/>
                                                  <w:marRight w:val="0"/>
                                                  <w:marTop w:val="0"/>
                                                  <w:marBottom w:val="0"/>
                                                  <w:divBdr>
                                                    <w:top w:val="none" w:sz="0" w:space="0" w:color="auto"/>
                                                    <w:left w:val="none" w:sz="0" w:space="0" w:color="auto"/>
                                                    <w:bottom w:val="none" w:sz="0" w:space="0" w:color="auto"/>
                                                    <w:right w:val="none" w:sz="0" w:space="0" w:color="auto"/>
                                                  </w:divBdr>
                                                  <w:divsChild>
                                                    <w:div w:id="2035615412">
                                                      <w:marLeft w:val="0"/>
                                                      <w:marRight w:val="0"/>
                                                      <w:marTop w:val="0"/>
                                                      <w:marBottom w:val="0"/>
                                                      <w:divBdr>
                                                        <w:top w:val="none" w:sz="0" w:space="0" w:color="auto"/>
                                                        <w:left w:val="none" w:sz="0" w:space="0" w:color="auto"/>
                                                        <w:bottom w:val="none" w:sz="0" w:space="0" w:color="auto"/>
                                                        <w:right w:val="none" w:sz="0" w:space="0" w:color="auto"/>
                                                      </w:divBdr>
                                                      <w:divsChild>
                                                        <w:div w:id="481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198331">
      <w:bodyDiv w:val="1"/>
      <w:marLeft w:val="0"/>
      <w:marRight w:val="0"/>
      <w:marTop w:val="0"/>
      <w:marBottom w:val="0"/>
      <w:divBdr>
        <w:top w:val="none" w:sz="0" w:space="0" w:color="auto"/>
        <w:left w:val="none" w:sz="0" w:space="0" w:color="auto"/>
        <w:bottom w:val="none" w:sz="0" w:space="0" w:color="auto"/>
        <w:right w:val="none" w:sz="0" w:space="0" w:color="auto"/>
      </w:divBdr>
    </w:div>
    <w:div w:id="1941647372">
      <w:bodyDiv w:val="1"/>
      <w:marLeft w:val="0"/>
      <w:marRight w:val="0"/>
      <w:marTop w:val="0"/>
      <w:marBottom w:val="0"/>
      <w:divBdr>
        <w:top w:val="none" w:sz="0" w:space="0" w:color="auto"/>
        <w:left w:val="none" w:sz="0" w:space="0" w:color="auto"/>
        <w:bottom w:val="none" w:sz="0" w:space="0" w:color="auto"/>
        <w:right w:val="none" w:sz="0" w:space="0" w:color="auto"/>
      </w:divBdr>
    </w:div>
    <w:div w:id="2134596478">
      <w:bodyDiv w:val="1"/>
      <w:marLeft w:val="0"/>
      <w:marRight w:val="0"/>
      <w:marTop w:val="0"/>
      <w:marBottom w:val="0"/>
      <w:divBdr>
        <w:top w:val="none" w:sz="0" w:space="0" w:color="auto"/>
        <w:left w:val="none" w:sz="0" w:space="0" w:color="auto"/>
        <w:bottom w:val="none" w:sz="0" w:space="0" w:color="auto"/>
        <w:right w:val="none" w:sz="0" w:space="0" w:color="auto"/>
      </w:divBdr>
    </w:div>
    <w:div w:id="2137527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transrespect-transphobia.org/en_US/tvt-project/tmm-results.htm/idahot-2014" TargetMode="External"/><Relationship Id="rId4" Type="http://schemas.openxmlformats.org/officeDocument/2006/relationships/hyperlink" Target="http://oii.org.au/22107/nigeria-letter/" TargetMode="External"/><Relationship Id="rId5" Type="http://schemas.openxmlformats.org/officeDocument/2006/relationships/hyperlink" Target="http://scopeblog.stanford.edu/2014/03/04/in-uganda-offering-support-for-those-born-with-indeterminate-sex/" TargetMode="External"/><Relationship Id="rId6" Type="http://schemas.openxmlformats.org/officeDocument/2006/relationships/hyperlink" Target="http://www2.ohchr.org/english/bodies/hrcouncil/docs/13session/A-HRC-13-30-Add1.pdf" TargetMode="External"/><Relationship Id="rId7" Type="http://schemas.openxmlformats.org/officeDocument/2006/relationships/hyperlink" Target="http://www.ohchr.org/Documents/Publications/BornFreeAndEqualLowRes.pdf" TargetMode="External"/><Relationship Id="rId8" Type="http://schemas.openxmlformats.org/officeDocument/2006/relationships/hyperlink" Target="http://humanrightscomment.org/2014/05/09/a-boy-or-a-girl-or-a-person-intersex-people-lack-recognition-in-europe/" TargetMode="External"/><Relationship Id="rId9" Type="http://schemas.openxmlformats.org/officeDocument/2006/relationships/hyperlink" Target="http://assembly.coe.int/nw/xml/XRef/X2H-Xref-ViewPDF.asp?FileID=20174&amp;lang=en" TargetMode="External"/><Relationship Id="rId1" Type="http://schemas.openxmlformats.org/officeDocument/2006/relationships/hyperlink" Target="http://www.comlaw.gov.au/Details/C2013A00098" TargetMode="External"/><Relationship Id="rId2" Type="http://schemas.openxmlformats.org/officeDocument/2006/relationships/hyperlink" Target="http://www.transrespect-transphobia.org/en_US/tvt-project/tmm-results.htm/idahot-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82A73-7F9D-432F-BDD5-6FE557E10D2D}"/>
</file>

<file path=customXml/itemProps2.xml><?xml version="1.0" encoding="utf-8"?>
<ds:datastoreItem xmlns:ds="http://schemas.openxmlformats.org/officeDocument/2006/customXml" ds:itemID="{56AFCE6C-7B03-4F28-9C78-F58C4D9E45E7}"/>
</file>

<file path=customXml/itemProps3.xml><?xml version="1.0" encoding="utf-8"?>
<ds:datastoreItem xmlns:ds="http://schemas.openxmlformats.org/officeDocument/2006/customXml" ds:itemID="{09615FC0-B384-476B-9641-18FE961AB168}"/>
</file>

<file path=docProps/app.xml><?xml version="1.0" encoding="utf-8"?>
<Properties xmlns="http://schemas.openxmlformats.org/officeDocument/2006/extended-properties" xmlns:vt="http://schemas.openxmlformats.org/officeDocument/2006/docPropsVTypes">
  <Template>Normal.dotm</Template>
  <TotalTime>4</TotalTime>
  <Pages>7</Pages>
  <Words>2354</Words>
  <Characters>13424</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IGLHRC</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bdecktor</dc:creator>
  <cp:lastModifiedBy>D W</cp:lastModifiedBy>
  <cp:revision>4</cp:revision>
  <dcterms:created xsi:type="dcterms:W3CDTF">2014-06-01T21:25:00Z</dcterms:created>
  <dcterms:modified xsi:type="dcterms:W3CDTF">2014-06-01T21:30:00Z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2398300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