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B3" w:rsidRDefault="003C2738" w:rsidP="003C2738">
      <w:pPr>
        <w:jc w:val="center"/>
        <w:rPr>
          <w:rFonts w:ascii="Garamond" w:hAnsi="Garamond"/>
          <w:b/>
          <w:sz w:val="40"/>
          <w:szCs w:val="40"/>
        </w:rPr>
      </w:pPr>
      <w:r>
        <w:rPr>
          <w:rFonts w:ascii="Garamond" w:hAnsi="Garamond"/>
          <w:b/>
          <w:sz w:val="40"/>
          <w:szCs w:val="40"/>
        </w:rPr>
        <w:t xml:space="preserve">Submission to the UN Human Rights Committee on Draft General Comment </w:t>
      </w:r>
      <w:r w:rsidR="0092485B">
        <w:rPr>
          <w:rFonts w:ascii="Garamond" w:hAnsi="Garamond"/>
          <w:b/>
          <w:sz w:val="40"/>
          <w:szCs w:val="40"/>
        </w:rPr>
        <w:t xml:space="preserve">No </w:t>
      </w:r>
      <w:r>
        <w:rPr>
          <w:rFonts w:ascii="Garamond" w:hAnsi="Garamond"/>
          <w:b/>
          <w:sz w:val="40"/>
          <w:szCs w:val="40"/>
        </w:rPr>
        <w:t>35</w:t>
      </w:r>
      <w:r w:rsidR="00466E27">
        <w:rPr>
          <w:rFonts w:ascii="Garamond" w:hAnsi="Garamond"/>
          <w:b/>
          <w:sz w:val="40"/>
          <w:szCs w:val="40"/>
        </w:rPr>
        <w:t xml:space="preserve"> (Article 9 ICCPR)</w:t>
      </w:r>
    </w:p>
    <w:p w:rsidR="003C2738" w:rsidRDefault="003C2738" w:rsidP="003C2738">
      <w:pPr>
        <w:jc w:val="center"/>
        <w:rPr>
          <w:rFonts w:ascii="Garamond" w:hAnsi="Garamond"/>
          <w:b/>
          <w:sz w:val="40"/>
          <w:szCs w:val="40"/>
        </w:rPr>
      </w:pPr>
    </w:p>
    <w:p w:rsidR="003C2738" w:rsidRDefault="003C2738" w:rsidP="003C2738">
      <w:pPr>
        <w:jc w:val="center"/>
        <w:rPr>
          <w:rFonts w:ascii="Garamond" w:hAnsi="Garamond"/>
          <w:sz w:val="40"/>
          <w:szCs w:val="40"/>
        </w:rPr>
      </w:pPr>
      <w:proofErr w:type="spellStart"/>
      <w:r>
        <w:rPr>
          <w:rFonts w:ascii="Garamond" w:hAnsi="Garamond"/>
          <w:sz w:val="40"/>
          <w:szCs w:val="40"/>
        </w:rPr>
        <w:t>Mads</w:t>
      </w:r>
      <w:proofErr w:type="spellEnd"/>
      <w:r>
        <w:rPr>
          <w:rFonts w:ascii="Garamond" w:hAnsi="Garamond"/>
          <w:sz w:val="40"/>
          <w:szCs w:val="40"/>
        </w:rPr>
        <w:t xml:space="preserve"> </w:t>
      </w:r>
      <w:proofErr w:type="spellStart"/>
      <w:r>
        <w:rPr>
          <w:rFonts w:ascii="Garamond" w:hAnsi="Garamond"/>
          <w:sz w:val="40"/>
          <w:szCs w:val="40"/>
        </w:rPr>
        <w:t>An</w:t>
      </w:r>
      <w:r w:rsidR="006E6EA1">
        <w:rPr>
          <w:rFonts w:ascii="Garamond" w:hAnsi="Garamond"/>
          <w:sz w:val="40"/>
          <w:szCs w:val="40"/>
        </w:rPr>
        <w:t>den</w:t>
      </w:r>
      <w:r w:rsidR="006E6EA1" w:rsidRPr="006E6EA1">
        <w:rPr>
          <w:rFonts w:ascii="Garamond" w:hAnsi="Garamond"/>
          <w:sz w:val="40"/>
          <w:szCs w:val="40"/>
        </w:rPr>
        <w:t>æ</w:t>
      </w:r>
      <w:r w:rsidR="00F81099">
        <w:rPr>
          <w:rFonts w:ascii="Garamond" w:hAnsi="Garamond"/>
          <w:sz w:val="40"/>
          <w:szCs w:val="40"/>
        </w:rPr>
        <w:t>s</w:t>
      </w:r>
      <w:proofErr w:type="spellEnd"/>
      <w:r w:rsidR="00F81099">
        <w:rPr>
          <w:rFonts w:ascii="Garamond" w:hAnsi="Garamond"/>
          <w:sz w:val="40"/>
          <w:szCs w:val="40"/>
        </w:rPr>
        <w:t xml:space="preserve"> &amp;</w:t>
      </w:r>
      <w:r w:rsidR="00F81099">
        <w:rPr>
          <w:rFonts w:ascii="Garamond" w:hAnsi="Garamond"/>
          <w:sz w:val="40"/>
          <w:szCs w:val="40"/>
        </w:rPr>
        <w:br/>
        <w:t>Lawrence Hill-Cawthorne</w:t>
      </w:r>
    </w:p>
    <w:p w:rsidR="00F81099" w:rsidRDefault="00F81099" w:rsidP="00F81099">
      <w:pPr>
        <w:jc w:val="center"/>
        <w:rPr>
          <w:rFonts w:ascii="Garamond" w:hAnsi="Garamond"/>
          <w:sz w:val="24"/>
          <w:szCs w:val="24"/>
        </w:rPr>
      </w:pPr>
    </w:p>
    <w:p w:rsidR="00F81099" w:rsidRPr="00F81099" w:rsidRDefault="00F81099" w:rsidP="00F81099">
      <w:pPr>
        <w:jc w:val="center"/>
        <w:rPr>
          <w:rFonts w:ascii="Garamond" w:hAnsi="Garamond"/>
          <w:sz w:val="24"/>
          <w:szCs w:val="24"/>
        </w:rPr>
      </w:pPr>
      <w:r>
        <w:rPr>
          <w:rFonts w:ascii="Garamond" w:hAnsi="Garamond"/>
          <w:sz w:val="24"/>
          <w:szCs w:val="24"/>
        </w:rPr>
        <w:t xml:space="preserve">This submission is a response to the UN Human Rights Committee’s invitation for comments on its Draft General Comment </w:t>
      </w:r>
      <w:r w:rsidR="0092485B">
        <w:rPr>
          <w:rFonts w:ascii="Garamond" w:hAnsi="Garamond"/>
          <w:sz w:val="24"/>
          <w:szCs w:val="24"/>
        </w:rPr>
        <w:t xml:space="preserve">No </w:t>
      </w:r>
      <w:r>
        <w:rPr>
          <w:rFonts w:ascii="Garamond" w:hAnsi="Garamond"/>
          <w:sz w:val="24"/>
          <w:szCs w:val="24"/>
        </w:rPr>
        <w:t>35 concerning Article 9 of the International Covenant on Civil and Political Rights.</w:t>
      </w:r>
    </w:p>
    <w:p w:rsidR="00F81099" w:rsidRDefault="00F81099" w:rsidP="003C2738">
      <w:pPr>
        <w:jc w:val="center"/>
        <w:rPr>
          <w:rFonts w:ascii="Garamond" w:hAnsi="Garamond"/>
          <w:sz w:val="40"/>
          <w:szCs w:val="40"/>
        </w:rPr>
      </w:pPr>
    </w:p>
    <w:p w:rsidR="00F81099" w:rsidRPr="00F81099" w:rsidRDefault="00F81099" w:rsidP="00F81099">
      <w:pPr>
        <w:jc w:val="both"/>
        <w:rPr>
          <w:rFonts w:ascii="Garamond" w:hAnsi="Garamond"/>
          <w:sz w:val="24"/>
          <w:szCs w:val="24"/>
        </w:rPr>
      </w:pPr>
      <w:r w:rsidRPr="00F81099">
        <w:rPr>
          <w:rFonts w:ascii="Garamond" w:hAnsi="Garamond"/>
          <w:b/>
          <w:iCs/>
          <w:sz w:val="24"/>
          <w:szCs w:val="24"/>
        </w:rPr>
        <w:t>Lawrence Hill-Cawthorne</w:t>
      </w:r>
      <w:r w:rsidR="00FB0645">
        <w:rPr>
          <w:rFonts w:ascii="Garamond" w:hAnsi="Garamond"/>
          <w:iCs/>
          <w:sz w:val="24"/>
          <w:szCs w:val="24"/>
        </w:rPr>
        <w:t xml:space="preserve"> </w:t>
      </w:r>
      <w:r>
        <w:rPr>
          <w:rFonts w:ascii="Garamond" w:hAnsi="Garamond"/>
          <w:iCs/>
          <w:sz w:val="24"/>
          <w:szCs w:val="24"/>
        </w:rPr>
        <w:t>is a Lecturer in L</w:t>
      </w:r>
      <w:r w:rsidRPr="00F81099">
        <w:rPr>
          <w:rFonts w:ascii="Garamond" w:hAnsi="Garamond"/>
          <w:iCs/>
          <w:sz w:val="24"/>
          <w:szCs w:val="24"/>
        </w:rPr>
        <w:t xml:space="preserve">aw at the University of Reading and </w:t>
      </w:r>
      <w:r>
        <w:rPr>
          <w:rFonts w:ascii="Garamond" w:hAnsi="Garamond"/>
          <w:iCs/>
          <w:sz w:val="24"/>
          <w:szCs w:val="24"/>
        </w:rPr>
        <w:t xml:space="preserve">a DPhil candidate </w:t>
      </w:r>
      <w:r w:rsidR="00FB0645">
        <w:rPr>
          <w:rFonts w:ascii="Garamond" w:hAnsi="Garamond"/>
          <w:iCs/>
          <w:sz w:val="24"/>
          <w:szCs w:val="24"/>
        </w:rPr>
        <w:t xml:space="preserve">in public international law </w:t>
      </w:r>
      <w:r>
        <w:rPr>
          <w:rFonts w:ascii="Garamond" w:hAnsi="Garamond"/>
          <w:iCs/>
          <w:sz w:val="24"/>
          <w:szCs w:val="24"/>
        </w:rPr>
        <w:t>at the University of</w:t>
      </w:r>
      <w:r w:rsidRPr="00F81099">
        <w:rPr>
          <w:rFonts w:ascii="Garamond" w:hAnsi="Garamond"/>
          <w:iCs/>
          <w:sz w:val="24"/>
          <w:szCs w:val="24"/>
        </w:rPr>
        <w:t xml:space="preserve"> Oxford</w:t>
      </w:r>
      <w:r>
        <w:rPr>
          <w:rFonts w:ascii="Garamond" w:hAnsi="Garamond"/>
          <w:iCs/>
          <w:sz w:val="24"/>
          <w:szCs w:val="24"/>
        </w:rPr>
        <w:t xml:space="preserve">. </w:t>
      </w:r>
    </w:p>
    <w:p w:rsidR="00F81099" w:rsidRPr="006E6EA1" w:rsidRDefault="006E6EA1" w:rsidP="00F81099">
      <w:pPr>
        <w:jc w:val="both"/>
        <w:rPr>
          <w:rFonts w:ascii="Garamond" w:hAnsi="Garamond"/>
          <w:sz w:val="24"/>
          <w:szCs w:val="24"/>
        </w:rPr>
      </w:pPr>
      <w:proofErr w:type="spellStart"/>
      <w:r>
        <w:rPr>
          <w:rFonts w:ascii="Garamond" w:hAnsi="Garamond"/>
          <w:b/>
          <w:sz w:val="24"/>
          <w:szCs w:val="24"/>
        </w:rPr>
        <w:t>Mads</w:t>
      </w:r>
      <w:proofErr w:type="spellEnd"/>
      <w:r>
        <w:rPr>
          <w:rFonts w:ascii="Garamond" w:hAnsi="Garamond"/>
          <w:b/>
          <w:sz w:val="24"/>
          <w:szCs w:val="24"/>
        </w:rPr>
        <w:t xml:space="preserve"> </w:t>
      </w:r>
      <w:proofErr w:type="spellStart"/>
      <w:r>
        <w:rPr>
          <w:rFonts w:ascii="Garamond" w:hAnsi="Garamond"/>
          <w:b/>
          <w:sz w:val="24"/>
          <w:szCs w:val="24"/>
        </w:rPr>
        <w:t>Andenæs</w:t>
      </w:r>
      <w:proofErr w:type="spellEnd"/>
      <w:r w:rsidR="00FB0645">
        <w:rPr>
          <w:rFonts w:ascii="Garamond" w:hAnsi="Garamond"/>
          <w:sz w:val="24"/>
          <w:szCs w:val="24"/>
        </w:rPr>
        <w:t xml:space="preserve"> is Professor of Law at the University of Oslo and the UN Chair-Rapporteur of the Working Group on Arbitrary Detention.</w:t>
      </w:r>
    </w:p>
    <w:p w:rsidR="003C2738" w:rsidRDefault="003C2738" w:rsidP="003C2738">
      <w:pPr>
        <w:jc w:val="center"/>
        <w:rPr>
          <w:rFonts w:ascii="Garamond" w:hAnsi="Garamond"/>
          <w:sz w:val="40"/>
          <w:szCs w:val="40"/>
        </w:rPr>
      </w:pPr>
    </w:p>
    <w:p w:rsidR="003C2738" w:rsidRDefault="003C2738" w:rsidP="003C2738">
      <w:pPr>
        <w:jc w:val="center"/>
        <w:rPr>
          <w:rFonts w:ascii="Garamond" w:hAnsi="Garamond"/>
          <w:sz w:val="40"/>
          <w:szCs w:val="40"/>
        </w:rPr>
      </w:pPr>
    </w:p>
    <w:p w:rsidR="003C2738" w:rsidRDefault="003C2738" w:rsidP="003C2738">
      <w:pPr>
        <w:jc w:val="center"/>
        <w:rPr>
          <w:rFonts w:ascii="Garamond" w:hAnsi="Garamond"/>
          <w:sz w:val="40"/>
          <w:szCs w:val="40"/>
        </w:rPr>
      </w:pPr>
    </w:p>
    <w:p w:rsidR="003C2738" w:rsidRDefault="003C2738" w:rsidP="003C2738">
      <w:pPr>
        <w:jc w:val="center"/>
        <w:rPr>
          <w:rFonts w:ascii="Garamond" w:hAnsi="Garamond"/>
          <w:sz w:val="40"/>
          <w:szCs w:val="40"/>
        </w:rPr>
      </w:pPr>
    </w:p>
    <w:p w:rsidR="003C2738" w:rsidRDefault="003C2738" w:rsidP="003C2738">
      <w:pPr>
        <w:jc w:val="center"/>
        <w:rPr>
          <w:rFonts w:ascii="Garamond" w:hAnsi="Garamond"/>
          <w:sz w:val="40"/>
          <w:szCs w:val="40"/>
        </w:rPr>
      </w:pPr>
    </w:p>
    <w:p w:rsidR="003C2738" w:rsidRDefault="003C2738" w:rsidP="003C2738">
      <w:pPr>
        <w:jc w:val="center"/>
        <w:rPr>
          <w:rFonts w:ascii="Garamond" w:hAnsi="Garamond"/>
          <w:sz w:val="40"/>
          <w:szCs w:val="40"/>
        </w:rPr>
      </w:pPr>
    </w:p>
    <w:p w:rsidR="00FB0645" w:rsidRDefault="00FB0645">
      <w:pPr>
        <w:rPr>
          <w:rFonts w:ascii="Garamond" w:hAnsi="Garamond"/>
          <w:b/>
          <w:sz w:val="24"/>
          <w:szCs w:val="24"/>
        </w:rPr>
      </w:pPr>
      <w:r>
        <w:rPr>
          <w:rFonts w:ascii="Garamond" w:hAnsi="Garamond"/>
          <w:b/>
          <w:sz w:val="24"/>
          <w:szCs w:val="24"/>
        </w:rPr>
        <w:br w:type="page"/>
      </w:r>
    </w:p>
    <w:p w:rsidR="003C2738" w:rsidRDefault="004A79E4" w:rsidP="003C2738">
      <w:pPr>
        <w:rPr>
          <w:rFonts w:ascii="Garamond" w:hAnsi="Garamond"/>
          <w:b/>
          <w:sz w:val="24"/>
          <w:szCs w:val="24"/>
        </w:rPr>
      </w:pPr>
      <w:r>
        <w:rPr>
          <w:rFonts w:ascii="Garamond" w:hAnsi="Garamond"/>
          <w:b/>
          <w:sz w:val="24"/>
          <w:szCs w:val="24"/>
        </w:rPr>
        <w:lastRenderedPageBreak/>
        <w:t xml:space="preserve">I. </w:t>
      </w:r>
      <w:r w:rsidR="0038401D">
        <w:rPr>
          <w:rFonts w:ascii="Garamond" w:hAnsi="Garamond"/>
          <w:b/>
          <w:sz w:val="24"/>
          <w:szCs w:val="24"/>
        </w:rPr>
        <w:t>Introduction</w:t>
      </w:r>
    </w:p>
    <w:p w:rsidR="003C2738" w:rsidRDefault="007C40C1" w:rsidP="007C40C1">
      <w:pPr>
        <w:tabs>
          <w:tab w:val="left" w:pos="567"/>
        </w:tabs>
        <w:jc w:val="both"/>
        <w:rPr>
          <w:rFonts w:ascii="Garamond" w:hAnsi="Garamond"/>
          <w:sz w:val="24"/>
          <w:szCs w:val="24"/>
        </w:rPr>
      </w:pPr>
      <w:r>
        <w:rPr>
          <w:rFonts w:ascii="Garamond" w:hAnsi="Garamond"/>
          <w:sz w:val="24"/>
          <w:szCs w:val="24"/>
        </w:rPr>
        <w:t xml:space="preserve">1. </w:t>
      </w:r>
      <w:r>
        <w:rPr>
          <w:rFonts w:ascii="Garamond" w:hAnsi="Garamond"/>
          <w:sz w:val="24"/>
          <w:szCs w:val="24"/>
        </w:rPr>
        <w:tab/>
      </w:r>
      <w:r w:rsidR="0038401D">
        <w:rPr>
          <w:rFonts w:ascii="Garamond" w:hAnsi="Garamond"/>
          <w:sz w:val="24"/>
          <w:szCs w:val="24"/>
        </w:rPr>
        <w:t xml:space="preserve">We are responding to the request of the UN Human Rights Committee </w:t>
      </w:r>
      <w:r w:rsidR="00F94F46">
        <w:rPr>
          <w:rFonts w:ascii="Garamond" w:hAnsi="Garamond"/>
          <w:sz w:val="24"/>
          <w:szCs w:val="24"/>
        </w:rPr>
        <w:t xml:space="preserve">(HRC) </w:t>
      </w:r>
      <w:r w:rsidR="0038401D">
        <w:rPr>
          <w:rFonts w:ascii="Garamond" w:hAnsi="Garamond"/>
          <w:sz w:val="24"/>
          <w:szCs w:val="24"/>
        </w:rPr>
        <w:t xml:space="preserve">for submissions and comments on its Draft General Comment 35 on Article 9 of the International Covenant on Civil and Political Rights (ICCPR). </w:t>
      </w:r>
    </w:p>
    <w:p w:rsidR="0038401D" w:rsidRDefault="007C40C1" w:rsidP="007C40C1">
      <w:pPr>
        <w:tabs>
          <w:tab w:val="left" w:pos="567"/>
        </w:tabs>
        <w:jc w:val="both"/>
        <w:rPr>
          <w:rFonts w:ascii="Garamond" w:hAnsi="Garamond"/>
          <w:sz w:val="24"/>
          <w:szCs w:val="24"/>
        </w:rPr>
      </w:pPr>
      <w:r>
        <w:rPr>
          <w:rFonts w:ascii="Garamond" w:hAnsi="Garamond"/>
          <w:sz w:val="24"/>
          <w:szCs w:val="24"/>
        </w:rPr>
        <w:t xml:space="preserve">2. </w:t>
      </w:r>
      <w:r>
        <w:rPr>
          <w:rFonts w:ascii="Garamond" w:hAnsi="Garamond"/>
          <w:sz w:val="24"/>
          <w:szCs w:val="24"/>
        </w:rPr>
        <w:tab/>
      </w:r>
      <w:r w:rsidR="0038401D">
        <w:rPr>
          <w:rFonts w:ascii="Garamond" w:hAnsi="Garamond"/>
          <w:sz w:val="24"/>
          <w:szCs w:val="24"/>
        </w:rPr>
        <w:t xml:space="preserve">We consider the current draft to represent an excellent </w:t>
      </w:r>
      <w:r w:rsidR="00FB0645">
        <w:rPr>
          <w:rFonts w:ascii="Garamond" w:hAnsi="Garamond"/>
          <w:sz w:val="24"/>
          <w:szCs w:val="24"/>
        </w:rPr>
        <w:t xml:space="preserve">clarification, restatement and </w:t>
      </w:r>
      <w:r w:rsidR="0038401D">
        <w:rPr>
          <w:rFonts w:ascii="Garamond" w:hAnsi="Garamond"/>
          <w:sz w:val="24"/>
          <w:szCs w:val="24"/>
        </w:rPr>
        <w:t xml:space="preserve">reference point for the current law on arbitrary detention, both under the ICCPR and, generally, </w:t>
      </w:r>
      <w:r w:rsidR="0096768A">
        <w:rPr>
          <w:rFonts w:ascii="Garamond" w:hAnsi="Garamond"/>
          <w:sz w:val="24"/>
          <w:szCs w:val="24"/>
        </w:rPr>
        <w:t xml:space="preserve">under </w:t>
      </w:r>
      <w:r w:rsidR="0038401D">
        <w:rPr>
          <w:rFonts w:ascii="Garamond" w:hAnsi="Garamond"/>
          <w:sz w:val="24"/>
          <w:szCs w:val="24"/>
        </w:rPr>
        <w:t>other human rights treaty regimes</w:t>
      </w:r>
      <w:r w:rsidR="00FB0645">
        <w:rPr>
          <w:rFonts w:ascii="Garamond" w:hAnsi="Garamond"/>
          <w:sz w:val="24"/>
          <w:szCs w:val="24"/>
        </w:rPr>
        <w:t xml:space="preserve"> and customary international law</w:t>
      </w:r>
      <w:r w:rsidR="0038401D">
        <w:rPr>
          <w:rFonts w:ascii="Garamond" w:hAnsi="Garamond"/>
          <w:sz w:val="24"/>
          <w:szCs w:val="24"/>
        </w:rPr>
        <w:t xml:space="preserve">. It is an important and timely contribution to the field and we applaud the work of the Committee. </w:t>
      </w:r>
      <w:r w:rsidR="000B11AF">
        <w:rPr>
          <w:rFonts w:ascii="Garamond" w:hAnsi="Garamond"/>
          <w:sz w:val="24"/>
          <w:szCs w:val="24"/>
        </w:rPr>
        <w:t xml:space="preserve">The International Court of Justice </w:t>
      </w:r>
      <w:r w:rsidR="00AC44C0">
        <w:rPr>
          <w:rFonts w:ascii="Garamond" w:hAnsi="Garamond"/>
          <w:sz w:val="24"/>
          <w:szCs w:val="24"/>
        </w:rPr>
        <w:t>over 30 years ago r</w:t>
      </w:r>
      <w:r w:rsidR="000B11AF">
        <w:rPr>
          <w:rFonts w:ascii="Garamond" w:hAnsi="Garamond"/>
          <w:sz w:val="24"/>
          <w:szCs w:val="24"/>
        </w:rPr>
        <w:t>ecognised that ‘wrongfully to deprive human beings of their freedom and to subject them to physical constraint in conditions of hardship is in itself manifestly incompatible with the principles of the Charter of the United Nations, as well as with the fundamental principles enunciated in the Universal Declaration of Human Rights’.</w:t>
      </w:r>
      <w:r w:rsidR="000B11AF">
        <w:rPr>
          <w:rStyle w:val="FootnoteReference"/>
          <w:rFonts w:ascii="Garamond" w:hAnsi="Garamond"/>
          <w:sz w:val="24"/>
          <w:szCs w:val="24"/>
        </w:rPr>
        <w:footnoteReference w:id="1"/>
      </w:r>
      <w:r w:rsidR="000B11AF">
        <w:rPr>
          <w:rFonts w:ascii="Garamond" w:hAnsi="Garamond"/>
          <w:sz w:val="24"/>
          <w:szCs w:val="24"/>
        </w:rPr>
        <w:t xml:space="preserve"> A comprehensive elaboration of the norms of international law applicable to detention serves to protect these fundamental principles. </w:t>
      </w:r>
      <w:r w:rsidR="00466E27">
        <w:rPr>
          <w:rFonts w:ascii="Garamond" w:hAnsi="Garamond"/>
          <w:sz w:val="24"/>
          <w:szCs w:val="24"/>
        </w:rPr>
        <w:t xml:space="preserve">Our comments below merely seek to highlight several points that we feel could be expanded or elaborated upon, in order to facilitate the work of the Committee. </w:t>
      </w:r>
    </w:p>
    <w:p w:rsidR="00E26F09" w:rsidRDefault="00E26F09" w:rsidP="0038401D">
      <w:pPr>
        <w:jc w:val="both"/>
        <w:rPr>
          <w:rFonts w:ascii="Garamond" w:hAnsi="Garamond"/>
          <w:sz w:val="24"/>
          <w:szCs w:val="24"/>
        </w:rPr>
      </w:pPr>
    </w:p>
    <w:p w:rsidR="00E26F09" w:rsidRDefault="004A79E4" w:rsidP="0038401D">
      <w:pPr>
        <w:jc w:val="both"/>
        <w:rPr>
          <w:rFonts w:ascii="Garamond" w:hAnsi="Garamond"/>
          <w:b/>
          <w:sz w:val="24"/>
          <w:szCs w:val="24"/>
        </w:rPr>
      </w:pPr>
      <w:r>
        <w:rPr>
          <w:rFonts w:ascii="Garamond" w:hAnsi="Garamond"/>
          <w:b/>
          <w:sz w:val="24"/>
          <w:szCs w:val="24"/>
        </w:rPr>
        <w:t xml:space="preserve">II. </w:t>
      </w:r>
      <w:r w:rsidR="00E26F09">
        <w:rPr>
          <w:rFonts w:ascii="Garamond" w:hAnsi="Garamond"/>
          <w:b/>
          <w:sz w:val="24"/>
          <w:szCs w:val="24"/>
        </w:rPr>
        <w:t>General Remarks</w:t>
      </w:r>
    </w:p>
    <w:p w:rsidR="00E26F09" w:rsidRDefault="000E43C8" w:rsidP="000E43C8">
      <w:pPr>
        <w:tabs>
          <w:tab w:val="left" w:pos="567"/>
        </w:tabs>
        <w:jc w:val="both"/>
        <w:rPr>
          <w:rFonts w:ascii="Garamond" w:hAnsi="Garamond"/>
          <w:sz w:val="24"/>
          <w:szCs w:val="24"/>
        </w:rPr>
      </w:pPr>
      <w:r>
        <w:rPr>
          <w:rFonts w:ascii="Garamond" w:hAnsi="Garamond"/>
          <w:sz w:val="24"/>
          <w:szCs w:val="24"/>
        </w:rPr>
        <w:t xml:space="preserve">3. </w:t>
      </w:r>
      <w:r>
        <w:rPr>
          <w:rFonts w:ascii="Garamond" w:hAnsi="Garamond"/>
          <w:sz w:val="24"/>
          <w:szCs w:val="24"/>
        </w:rPr>
        <w:tab/>
      </w:r>
      <w:r w:rsidR="0045213D">
        <w:rPr>
          <w:rFonts w:ascii="Garamond" w:hAnsi="Garamond"/>
          <w:sz w:val="24"/>
          <w:szCs w:val="24"/>
        </w:rPr>
        <w:t xml:space="preserve">Draft General Comment 35 </w:t>
      </w:r>
      <w:r w:rsidR="00B35296">
        <w:rPr>
          <w:rFonts w:ascii="Garamond" w:hAnsi="Garamond"/>
          <w:sz w:val="24"/>
          <w:szCs w:val="24"/>
        </w:rPr>
        <w:t>states that ‘S</w:t>
      </w:r>
      <w:r w:rsidR="0045213D" w:rsidRPr="0045213D">
        <w:rPr>
          <w:rFonts w:ascii="Garamond" w:hAnsi="Garamond"/>
          <w:sz w:val="24"/>
          <w:szCs w:val="24"/>
        </w:rPr>
        <w:t>tates parties must take appropriate measures for the purpose of protecting individuals against abduction or detention by individual criminals or irregular groups, including armed or terrorist groups, operating within their territory.’</w:t>
      </w:r>
      <w:r w:rsidR="0045213D">
        <w:rPr>
          <w:rStyle w:val="FootnoteReference"/>
          <w:rFonts w:ascii="Garamond" w:hAnsi="Garamond"/>
          <w:sz w:val="24"/>
          <w:szCs w:val="24"/>
        </w:rPr>
        <w:footnoteReference w:id="2"/>
      </w:r>
      <w:r w:rsidR="0045213D">
        <w:rPr>
          <w:rFonts w:ascii="Garamond" w:hAnsi="Garamond"/>
          <w:sz w:val="24"/>
          <w:szCs w:val="24"/>
        </w:rPr>
        <w:t xml:space="preserve"> We feel that this issue of positive obligations under Article 9 ICCPR requires elaboration. This is particularly the case for persons detained by non-State actors in territory under the control of those non-State actors. Some have suggested that all positive obligations are subject to a due diligence test, even in the territory of the State, such that a State is unlikely to have such positive obligations in areas under the control of insurgents.</w:t>
      </w:r>
      <w:r w:rsidR="0045213D">
        <w:rPr>
          <w:rStyle w:val="FootnoteReference"/>
          <w:rFonts w:ascii="Garamond" w:hAnsi="Garamond"/>
          <w:sz w:val="24"/>
          <w:szCs w:val="24"/>
        </w:rPr>
        <w:footnoteReference w:id="3"/>
      </w:r>
      <w:r w:rsidR="0045213D">
        <w:rPr>
          <w:rFonts w:ascii="Garamond" w:hAnsi="Garamond"/>
          <w:sz w:val="24"/>
          <w:szCs w:val="24"/>
        </w:rPr>
        <w:t xml:space="preserve"> Others appear not to take this view, such that a State’s positive obligations would apply even in territory over which they did not exercise effective control.</w:t>
      </w:r>
      <w:r w:rsidR="0045213D">
        <w:rPr>
          <w:rStyle w:val="FootnoteReference"/>
          <w:rFonts w:ascii="Garamond" w:hAnsi="Garamond"/>
          <w:sz w:val="24"/>
          <w:szCs w:val="24"/>
        </w:rPr>
        <w:footnoteReference w:id="4"/>
      </w:r>
      <w:r w:rsidR="0045213D">
        <w:rPr>
          <w:rFonts w:ascii="Garamond" w:hAnsi="Garamond"/>
          <w:sz w:val="24"/>
          <w:szCs w:val="24"/>
        </w:rPr>
        <w:t xml:space="preserve"> </w:t>
      </w:r>
      <w:r w:rsidR="00A66FB6">
        <w:rPr>
          <w:rFonts w:ascii="Garamond" w:hAnsi="Garamond"/>
          <w:sz w:val="24"/>
          <w:szCs w:val="24"/>
        </w:rPr>
        <w:t xml:space="preserve">This latter view appears to offer the most protection to persons deprived of their liberty. </w:t>
      </w:r>
      <w:r w:rsidR="00B35296">
        <w:rPr>
          <w:rFonts w:ascii="Garamond" w:hAnsi="Garamond"/>
          <w:sz w:val="24"/>
          <w:szCs w:val="24"/>
        </w:rPr>
        <w:t>We feel that the General Comment would benefit from a clarification of the Committee’s view on this</w:t>
      </w:r>
      <w:r w:rsidR="00C63DA7">
        <w:rPr>
          <w:rFonts w:ascii="Garamond" w:hAnsi="Garamond"/>
          <w:sz w:val="24"/>
          <w:szCs w:val="24"/>
        </w:rPr>
        <w:t>.</w:t>
      </w:r>
    </w:p>
    <w:p w:rsidR="00C63DA7" w:rsidRDefault="00B6413A" w:rsidP="00B6413A">
      <w:pPr>
        <w:tabs>
          <w:tab w:val="left" w:pos="567"/>
        </w:tabs>
        <w:jc w:val="both"/>
        <w:rPr>
          <w:rFonts w:ascii="Garamond" w:hAnsi="Garamond"/>
          <w:sz w:val="24"/>
          <w:szCs w:val="24"/>
        </w:rPr>
      </w:pPr>
      <w:r>
        <w:rPr>
          <w:rFonts w:ascii="Garamond" w:hAnsi="Garamond"/>
          <w:sz w:val="24"/>
          <w:szCs w:val="24"/>
        </w:rPr>
        <w:t xml:space="preserve">4. </w:t>
      </w:r>
      <w:r>
        <w:rPr>
          <w:rFonts w:ascii="Garamond" w:hAnsi="Garamond"/>
          <w:sz w:val="24"/>
          <w:szCs w:val="24"/>
        </w:rPr>
        <w:tab/>
      </w:r>
      <w:r w:rsidR="00C63DA7">
        <w:rPr>
          <w:rFonts w:ascii="Garamond" w:hAnsi="Garamond"/>
          <w:sz w:val="24"/>
          <w:szCs w:val="24"/>
        </w:rPr>
        <w:t xml:space="preserve">Draft General Comment 35 also states that </w:t>
      </w:r>
      <w:r w:rsidR="00943E5D">
        <w:rPr>
          <w:rFonts w:ascii="Garamond" w:hAnsi="Garamond"/>
          <w:sz w:val="24"/>
          <w:szCs w:val="24"/>
        </w:rPr>
        <w:t>‘S</w:t>
      </w:r>
      <w:r w:rsidR="00C63DA7" w:rsidRPr="00C63DA7">
        <w:rPr>
          <w:rFonts w:ascii="Garamond" w:hAnsi="Garamond"/>
          <w:sz w:val="24"/>
          <w:szCs w:val="24"/>
        </w:rPr>
        <w:t>tates parties should do their utmost to take appropriate measures to protect personal liberty against the activities of another State within their territory.’</w:t>
      </w:r>
      <w:r w:rsidR="00B6399D">
        <w:rPr>
          <w:rStyle w:val="FootnoteReference"/>
          <w:rFonts w:ascii="Garamond" w:hAnsi="Garamond"/>
          <w:sz w:val="24"/>
          <w:szCs w:val="24"/>
        </w:rPr>
        <w:footnoteReference w:id="5"/>
      </w:r>
      <w:r w:rsidR="00B6399D">
        <w:rPr>
          <w:rFonts w:ascii="Garamond" w:hAnsi="Garamond"/>
          <w:sz w:val="24"/>
          <w:szCs w:val="24"/>
        </w:rPr>
        <w:t xml:space="preserve"> This suggests that the host S</w:t>
      </w:r>
      <w:r w:rsidR="00C63DA7" w:rsidRPr="00C63DA7">
        <w:rPr>
          <w:rFonts w:ascii="Garamond" w:hAnsi="Garamond"/>
          <w:sz w:val="24"/>
          <w:szCs w:val="24"/>
        </w:rPr>
        <w:t xml:space="preserve">tate remains subject to the positive obligation to ‘do </w:t>
      </w:r>
      <w:r w:rsidR="00C63DA7" w:rsidRPr="00C63DA7">
        <w:rPr>
          <w:rFonts w:ascii="Garamond" w:hAnsi="Garamond"/>
          <w:sz w:val="24"/>
          <w:szCs w:val="24"/>
        </w:rPr>
        <w:lastRenderedPageBreak/>
        <w:t>their utmost’ to preve</w:t>
      </w:r>
      <w:r w:rsidR="00B6399D">
        <w:rPr>
          <w:rFonts w:ascii="Garamond" w:hAnsi="Garamond"/>
          <w:sz w:val="24"/>
          <w:szCs w:val="24"/>
        </w:rPr>
        <w:t>nt violations by the assisting S</w:t>
      </w:r>
      <w:r w:rsidR="00C63DA7" w:rsidRPr="00C63DA7">
        <w:rPr>
          <w:rFonts w:ascii="Garamond" w:hAnsi="Garamond"/>
          <w:sz w:val="24"/>
          <w:szCs w:val="24"/>
        </w:rPr>
        <w:t xml:space="preserve">tate. </w:t>
      </w:r>
      <w:r w:rsidR="00B6399D">
        <w:rPr>
          <w:rFonts w:ascii="Garamond" w:hAnsi="Garamond"/>
          <w:sz w:val="24"/>
          <w:szCs w:val="24"/>
        </w:rPr>
        <w:t xml:space="preserve">Whilst we agree with this, we </w:t>
      </w:r>
      <w:r w:rsidR="00A66FB6">
        <w:rPr>
          <w:rFonts w:ascii="Garamond" w:hAnsi="Garamond"/>
          <w:sz w:val="24"/>
          <w:szCs w:val="24"/>
        </w:rPr>
        <w:t xml:space="preserve">suggest that this aspect of the Draft General Comment </w:t>
      </w:r>
      <w:r w:rsidR="000E25F7">
        <w:rPr>
          <w:rFonts w:ascii="Garamond" w:hAnsi="Garamond"/>
          <w:sz w:val="24"/>
          <w:szCs w:val="24"/>
        </w:rPr>
        <w:t xml:space="preserve">would </w:t>
      </w:r>
      <w:r w:rsidR="00A66FB6">
        <w:rPr>
          <w:rFonts w:ascii="Garamond" w:hAnsi="Garamond"/>
          <w:sz w:val="24"/>
          <w:szCs w:val="24"/>
        </w:rPr>
        <w:t xml:space="preserve">benefit from further clarification and nuance. </w:t>
      </w:r>
      <w:r w:rsidR="00C63DA7" w:rsidRPr="00C63DA7">
        <w:rPr>
          <w:rFonts w:ascii="Garamond" w:hAnsi="Garamond"/>
          <w:sz w:val="24"/>
          <w:szCs w:val="24"/>
        </w:rPr>
        <w:t xml:space="preserve">First, where organs of another </w:t>
      </w:r>
      <w:r w:rsidR="00B6399D">
        <w:rPr>
          <w:rFonts w:ascii="Garamond" w:hAnsi="Garamond"/>
          <w:sz w:val="24"/>
          <w:szCs w:val="24"/>
        </w:rPr>
        <w:t>S</w:t>
      </w:r>
      <w:r w:rsidR="00C63DA7" w:rsidRPr="00C63DA7">
        <w:rPr>
          <w:rFonts w:ascii="Garamond" w:hAnsi="Garamond"/>
          <w:sz w:val="24"/>
          <w:szCs w:val="24"/>
        </w:rPr>
        <w:t>tate are operatin</w:t>
      </w:r>
      <w:r w:rsidR="00B6399D">
        <w:rPr>
          <w:rFonts w:ascii="Garamond" w:hAnsi="Garamond"/>
          <w:sz w:val="24"/>
          <w:szCs w:val="24"/>
        </w:rPr>
        <w:t>g on the territory of the host S</w:t>
      </w:r>
      <w:r w:rsidR="00C63DA7" w:rsidRPr="00C63DA7">
        <w:rPr>
          <w:rFonts w:ascii="Garamond" w:hAnsi="Garamond"/>
          <w:sz w:val="24"/>
          <w:szCs w:val="24"/>
        </w:rPr>
        <w:t>tate, but have been ‘place</w:t>
      </w:r>
      <w:r w:rsidR="00B6399D">
        <w:rPr>
          <w:rFonts w:ascii="Garamond" w:hAnsi="Garamond"/>
          <w:sz w:val="24"/>
          <w:szCs w:val="24"/>
        </w:rPr>
        <w:t>d at the disposal’ of the host S</w:t>
      </w:r>
      <w:r w:rsidR="00C63DA7" w:rsidRPr="00C63DA7">
        <w:rPr>
          <w:rFonts w:ascii="Garamond" w:hAnsi="Garamond"/>
          <w:sz w:val="24"/>
          <w:szCs w:val="24"/>
        </w:rPr>
        <w:t>tate</w:t>
      </w:r>
      <w:r w:rsidR="00B6399D">
        <w:rPr>
          <w:rFonts w:ascii="Garamond" w:hAnsi="Garamond"/>
          <w:sz w:val="24"/>
          <w:szCs w:val="24"/>
        </w:rPr>
        <w:t>, then the host S</w:t>
      </w:r>
      <w:r w:rsidR="00C63DA7" w:rsidRPr="00C63DA7">
        <w:rPr>
          <w:rFonts w:ascii="Garamond" w:hAnsi="Garamond"/>
          <w:sz w:val="24"/>
          <w:szCs w:val="24"/>
        </w:rPr>
        <w:t>tate’s negative (as well as positive) obligations under the ICCPR will be engaged by actions of those organs ‘in the exercise of elements of the governmental authority of the state at whose disposal it is placed’</w:t>
      </w:r>
      <w:r w:rsidR="00B6399D">
        <w:rPr>
          <w:rFonts w:ascii="Garamond" w:hAnsi="Garamond"/>
          <w:sz w:val="24"/>
          <w:szCs w:val="24"/>
        </w:rPr>
        <w:t>.</w:t>
      </w:r>
      <w:r w:rsidR="00B6399D">
        <w:rPr>
          <w:rStyle w:val="FootnoteReference"/>
          <w:rFonts w:ascii="Garamond" w:hAnsi="Garamond"/>
          <w:sz w:val="24"/>
          <w:szCs w:val="24"/>
        </w:rPr>
        <w:footnoteReference w:id="6"/>
      </w:r>
      <w:r w:rsidR="00C63DA7" w:rsidRPr="00C63DA7">
        <w:rPr>
          <w:rFonts w:ascii="Garamond" w:hAnsi="Garamond"/>
          <w:sz w:val="24"/>
          <w:szCs w:val="24"/>
        </w:rPr>
        <w:t xml:space="preserve"> S</w:t>
      </w:r>
      <w:r w:rsidR="00D3226A">
        <w:rPr>
          <w:rFonts w:ascii="Garamond" w:hAnsi="Garamond"/>
          <w:sz w:val="24"/>
          <w:szCs w:val="24"/>
        </w:rPr>
        <w:t>econd, where organs of another S</w:t>
      </w:r>
      <w:r w:rsidR="00C63DA7" w:rsidRPr="00C63DA7">
        <w:rPr>
          <w:rFonts w:ascii="Garamond" w:hAnsi="Garamond"/>
          <w:sz w:val="24"/>
          <w:szCs w:val="24"/>
        </w:rPr>
        <w:t>tate operat</w:t>
      </w:r>
      <w:r w:rsidR="00D3226A">
        <w:rPr>
          <w:rFonts w:ascii="Garamond" w:hAnsi="Garamond"/>
          <w:sz w:val="24"/>
          <w:szCs w:val="24"/>
        </w:rPr>
        <w:t>e in the territory of the host S</w:t>
      </w:r>
      <w:r w:rsidR="00C63DA7" w:rsidRPr="00C63DA7">
        <w:rPr>
          <w:rFonts w:ascii="Garamond" w:hAnsi="Garamond"/>
          <w:sz w:val="24"/>
          <w:szCs w:val="24"/>
        </w:rPr>
        <w:t>tate und</w:t>
      </w:r>
      <w:r w:rsidR="00D3226A">
        <w:rPr>
          <w:rFonts w:ascii="Garamond" w:hAnsi="Garamond"/>
          <w:sz w:val="24"/>
          <w:szCs w:val="24"/>
        </w:rPr>
        <w:t>er the authority of that other S</w:t>
      </w:r>
      <w:r w:rsidR="00C63DA7" w:rsidRPr="00C63DA7">
        <w:rPr>
          <w:rFonts w:ascii="Garamond" w:hAnsi="Garamond"/>
          <w:sz w:val="24"/>
          <w:szCs w:val="24"/>
        </w:rPr>
        <w:t>tate, responsibility for the actions of those organs that are inconsistent with the IC</w:t>
      </w:r>
      <w:r w:rsidR="00D3226A">
        <w:rPr>
          <w:rFonts w:ascii="Garamond" w:hAnsi="Garamond"/>
          <w:sz w:val="24"/>
          <w:szCs w:val="24"/>
        </w:rPr>
        <w:t>CPR will fall on the host State where the host S</w:t>
      </w:r>
      <w:r w:rsidR="00C63DA7" w:rsidRPr="00C63DA7">
        <w:rPr>
          <w:rFonts w:ascii="Garamond" w:hAnsi="Garamond"/>
          <w:sz w:val="24"/>
          <w:szCs w:val="24"/>
        </w:rPr>
        <w:t xml:space="preserve">tate’s positive obligations are engaged. As noted above, the test to be used for determining the extent of positive obligations under the ICCPR requires </w:t>
      </w:r>
      <w:r w:rsidR="00153659">
        <w:rPr>
          <w:rFonts w:ascii="Garamond" w:hAnsi="Garamond"/>
          <w:sz w:val="24"/>
          <w:szCs w:val="24"/>
        </w:rPr>
        <w:t>clarification</w:t>
      </w:r>
      <w:r w:rsidR="00C63DA7" w:rsidRPr="00C63DA7">
        <w:rPr>
          <w:rFonts w:ascii="Garamond" w:hAnsi="Garamond"/>
          <w:sz w:val="24"/>
          <w:szCs w:val="24"/>
        </w:rPr>
        <w:t>. Finally, in this seco</w:t>
      </w:r>
      <w:r w:rsidR="00A02812">
        <w:rPr>
          <w:rFonts w:ascii="Garamond" w:hAnsi="Garamond"/>
          <w:sz w:val="24"/>
          <w:szCs w:val="24"/>
        </w:rPr>
        <w:t>nd scenario, although the host S</w:t>
      </w:r>
      <w:r w:rsidR="00C63DA7" w:rsidRPr="00C63DA7">
        <w:rPr>
          <w:rFonts w:ascii="Garamond" w:hAnsi="Garamond"/>
          <w:sz w:val="24"/>
          <w:szCs w:val="24"/>
        </w:rPr>
        <w:t xml:space="preserve">tate’s negative obligations under the ICCPR </w:t>
      </w:r>
      <w:r w:rsidR="00A02812">
        <w:rPr>
          <w:rFonts w:ascii="Garamond" w:hAnsi="Garamond"/>
          <w:sz w:val="24"/>
          <w:szCs w:val="24"/>
        </w:rPr>
        <w:t>will not be engaged, the other S</w:t>
      </w:r>
      <w:r w:rsidR="00C63DA7" w:rsidRPr="00C63DA7">
        <w:rPr>
          <w:rFonts w:ascii="Garamond" w:hAnsi="Garamond"/>
          <w:sz w:val="24"/>
          <w:szCs w:val="24"/>
        </w:rPr>
        <w:t xml:space="preserve">tate’s negative obligations under the human rights treaties by which </w:t>
      </w:r>
      <w:r w:rsidR="00C63DA7" w:rsidRPr="00A02812">
        <w:rPr>
          <w:rFonts w:ascii="Garamond" w:hAnsi="Garamond"/>
          <w:i/>
          <w:sz w:val="24"/>
          <w:szCs w:val="24"/>
        </w:rPr>
        <w:t xml:space="preserve">it </w:t>
      </w:r>
      <w:r w:rsidR="00C63DA7" w:rsidRPr="00C63DA7">
        <w:rPr>
          <w:rFonts w:ascii="Garamond" w:hAnsi="Garamond"/>
          <w:sz w:val="24"/>
          <w:szCs w:val="24"/>
        </w:rPr>
        <w:t xml:space="preserve">is bound will apply to those </w:t>
      </w:r>
      <w:r w:rsidR="00A02812">
        <w:rPr>
          <w:rFonts w:ascii="Garamond" w:hAnsi="Garamond"/>
          <w:sz w:val="24"/>
          <w:szCs w:val="24"/>
        </w:rPr>
        <w:t>over whom that State exercises jurisdiction</w:t>
      </w:r>
      <w:r w:rsidR="00C63DA7" w:rsidRPr="00C63DA7">
        <w:rPr>
          <w:rFonts w:ascii="Garamond" w:hAnsi="Garamond"/>
          <w:sz w:val="24"/>
          <w:szCs w:val="24"/>
        </w:rPr>
        <w:t>.</w:t>
      </w:r>
      <w:r w:rsidR="003D375D">
        <w:rPr>
          <w:rFonts w:ascii="Garamond" w:hAnsi="Garamond"/>
          <w:sz w:val="24"/>
          <w:szCs w:val="24"/>
        </w:rPr>
        <w:t xml:space="preserve"> Indeed, with regard to Article 9 ICCPR, extra-territorial detention of persons necessarily brings such persons within the detaining State’s jurisdiction for the purposes of </w:t>
      </w:r>
      <w:r w:rsidR="000E25F7">
        <w:rPr>
          <w:rFonts w:ascii="Garamond" w:hAnsi="Garamond"/>
          <w:sz w:val="24"/>
          <w:szCs w:val="24"/>
        </w:rPr>
        <w:t>the Covenant</w:t>
      </w:r>
      <w:r w:rsidR="006D27A3">
        <w:rPr>
          <w:rFonts w:ascii="Garamond" w:hAnsi="Garamond"/>
          <w:sz w:val="24"/>
          <w:szCs w:val="24"/>
        </w:rPr>
        <w:t>;</w:t>
      </w:r>
      <w:r w:rsidR="003D375D">
        <w:rPr>
          <w:rFonts w:ascii="Garamond" w:hAnsi="Garamond"/>
          <w:sz w:val="24"/>
          <w:szCs w:val="24"/>
        </w:rPr>
        <w:t xml:space="preserve"> this has been confirmed in the jurisprudence of a number of human rights treaty bodies.</w:t>
      </w:r>
      <w:r w:rsidR="003D375D">
        <w:rPr>
          <w:rStyle w:val="FootnoteReference"/>
          <w:rFonts w:ascii="Garamond" w:hAnsi="Garamond"/>
          <w:sz w:val="24"/>
          <w:szCs w:val="24"/>
        </w:rPr>
        <w:footnoteReference w:id="7"/>
      </w:r>
    </w:p>
    <w:p w:rsidR="00091AA1" w:rsidRDefault="000E25F7" w:rsidP="000E25F7">
      <w:pPr>
        <w:tabs>
          <w:tab w:val="left" w:pos="567"/>
        </w:tabs>
        <w:jc w:val="both"/>
        <w:rPr>
          <w:rFonts w:ascii="Garamond" w:hAnsi="Garamond"/>
          <w:sz w:val="24"/>
          <w:szCs w:val="24"/>
        </w:rPr>
      </w:pPr>
      <w:r>
        <w:rPr>
          <w:rFonts w:ascii="Garamond" w:hAnsi="Garamond"/>
          <w:sz w:val="24"/>
          <w:szCs w:val="24"/>
        </w:rPr>
        <w:t xml:space="preserve">5. </w:t>
      </w:r>
      <w:r>
        <w:rPr>
          <w:rFonts w:ascii="Garamond" w:hAnsi="Garamond"/>
          <w:sz w:val="24"/>
          <w:szCs w:val="24"/>
        </w:rPr>
        <w:tab/>
      </w:r>
      <w:r w:rsidR="006261E4">
        <w:rPr>
          <w:rFonts w:ascii="Garamond" w:hAnsi="Garamond"/>
          <w:sz w:val="24"/>
          <w:szCs w:val="24"/>
        </w:rPr>
        <w:t>The present authors feel that Draft General Comment 35 would benefit from a fuller elaboration of the HRC’s view of the relationship between Article 9 ICCPR and international humanitarian law (IHL). For example, w</w:t>
      </w:r>
      <w:r w:rsidR="006261E4" w:rsidRPr="006261E4">
        <w:rPr>
          <w:rFonts w:ascii="Garamond" w:hAnsi="Garamond"/>
          <w:sz w:val="24"/>
          <w:szCs w:val="24"/>
        </w:rPr>
        <w:t>hilst it is noted that the rules of IHL applicable in international armed conflicts might help inform the interpretation of Art</w:t>
      </w:r>
      <w:r w:rsidR="00272821">
        <w:rPr>
          <w:rFonts w:ascii="Garamond" w:hAnsi="Garamond"/>
          <w:sz w:val="24"/>
          <w:szCs w:val="24"/>
        </w:rPr>
        <w:t>icle</w:t>
      </w:r>
      <w:r w:rsidR="006261E4" w:rsidRPr="006261E4">
        <w:rPr>
          <w:rFonts w:ascii="Garamond" w:hAnsi="Garamond"/>
          <w:sz w:val="24"/>
          <w:szCs w:val="24"/>
        </w:rPr>
        <w:t xml:space="preserve"> 9(1) ICCPR</w:t>
      </w:r>
      <w:r w:rsidR="006261E4">
        <w:rPr>
          <w:rFonts w:ascii="Garamond" w:hAnsi="Garamond"/>
          <w:sz w:val="24"/>
          <w:szCs w:val="24"/>
        </w:rPr>
        <w:t>,</w:t>
      </w:r>
      <w:r w:rsidR="006261E4">
        <w:rPr>
          <w:rStyle w:val="FootnoteReference"/>
          <w:rFonts w:ascii="Garamond" w:hAnsi="Garamond"/>
          <w:sz w:val="24"/>
          <w:szCs w:val="24"/>
        </w:rPr>
        <w:footnoteReference w:id="8"/>
      </w:r>
      <w:r w:rsidR="006261E4" w:rsidRPr="006261E4">
        <w:rPr>
          <w:rFonts w:ascii="Garamond" w:hAnsi="Garamond"/>
          <w:sz w:val="24"/>
          <w:szCs w:val="24"/>
        </w:rPr>
        <w:t xml:space="preserve"> it is unclear whether the same is true regarding Art</w:t>
      </w:r>
      <w:r w:rsidR="00272821">
        <w:rPr>
          <w:rFonts w:ascii="Garamond" w:hAnsi="Garamond"/>
          <w:sz w:val="24"/>
          <w:szCs w:val="24"/>
        </w:rPr>
        <w:t>icle</w:t>
      </w:r>
      <w:r w:rsidR="006261E4" w:rsidRPr="006261E4">
        <w:rPr>
          <w:rFonts w:ascii="Garamond" w:hAnsi="Garamond"/>
          <w:sz w:val="24"/>
          <w:szCs w:val="24"/>
        </w:rPr>
        <w:t xml:space="preserve"> 9(4) ICCPR, which does not, on its face, appear open to interpretation consistent </w:t>
      </w:r>
      <w:r w:rsidR="0099133C">
        <w:rPr>
          <w:rFonts w:ascii="Garamond" w:hAnsi="Garamond"/>
          <w:sz w:val="24"/>
          <w:szCs w:val="24"/>
        </w:rPr>
        <w:t>with IHL.</w:t>
      </w:r>
      <w:r w:rsidR="006261E4" w:rsidRPr="006261E4">
        <w:rPr>
          <w:rFonts w:ascii="Garamond" w:hAnsi="Garamond"/>
          <w:sz w:val="24"/>
          <w:szCs w:val="24"/>
        </w:rPr>
        <w:t xml:space="preserve"> Indeed, we submit that the HRC </w:t>
      </w:r>
      <w:r w:rsidR="00563C50">
        <w:rPr>
          <w:rFonts w:ascii="Garamond" w:hAnsi="Garamond"/>
          <w:sz w:val="24"/>
          <w:szCs w:val="24"/>
        </w:rPr>
        <w:t>might overplay</w:t>
      </w:r>
      <w:r w:rsidR="006261E4" w:rsidRPr="006261E4">
        <w:rPr>
          <w:rFonts w:ascii="Garamond" w:hAnsi="Garamond"/>
          <w:sz w:val="24"/>
          <w:szCs w:val="24"/>
        </w:rPr>
        <w:t xml:space="preserve"> the extent to which relevant rules of IHL </w:t>
      </w:r>
      <w:r w:rsidR="00563C50">
        <w:rPr>
          <w:rFonts w:ascii="Garamond" w:hAnsi="Garamond"/>
          <w:sz w:val="24"/>
          <w:szCs w:val="24"/>
        </w:rPr>
        <w:t xml:space="preserve">are consistent </w:t>
      </w:r>
      <w:r w:rsidR="006261E4" w:rsidRPr="006261E4">
        <w:rPr>
          <w:rFonts w:ascii="Garamond" w:hAnsi="Garamond"/>
          <w:sz w:val="24"/>
          <w:szCs w:val="24"/>
        </w:rPr>
        <w:t>with Art</w:t>
      </w:r>
      <w:r w:rsidR="00272821">
        <w:rPr>
          <w:rFonts w:ascii="Garamond" w:hAnsi="Garamond"/>
          <w:sz w:val="24"/>
          <w:szCs w:val="24"/>
        </w:rPr>
        <w:t>icle</w:t>
      </w:r>
      <w:r w:rsidR="006261E4" w:rsidRPr="006261E4">
        <w:rPr>
          <w:rFonts w:ascii="Garamond" w:hAnsi="Garamond"/>
          <w:sz w:val="24"/>
          <w:szCs w:val="24"/>
        </w:rPr>
        <w:t xml:space="preserve"> 9 ICCPR. The Committee states that the ‘detailed substantive and procedural rules of international humanitarian law … inform the interpretation of Article 9, paragraph 1’.</w:t>
      </w:r>
      <w:r w:rsidR="00272821">
        <w:rPr>
          <w:rStyle w:val="FootnoteReference"/>
          <w:rFonts w:ascii="Garamond" w:hAnsi="Garamond"/>
          <w:sz w:val="24"/>
          <w:szCs w:val="24"/>
        </w:rPr>
        <w:footnoteReference w:id="9"/>
      </w:r>
      <w:r w:rsidR="006261E4" w:rsidRPr="006261E4">
        <w:rPr>
          <w:rFonts w:ascii="Garamond" w:hAnsi="Garamond"/>
          <w:sz w:val="24"/>
          <w:szCs w:val="24"/>
        </w:rPr>
        <w:t xml:space="preserve"> In reality, however, the relevant IHL rules are far from detailed</w:t>
      </w:r>
      <w:r w:rsidR="00CC1E3C">
        <w:rPr>
          <w:rFonts w:ascii="Garamond" w:hAnsi="Garamond"/>
          <w:sz w:val="24"/>
          <w:szCs w:val="24"/>
        </w:rPr>
        <w:t xml:space="preserve"> and</w:t>
      </w:r>
      <w:r w:rsidR="00F51729">
        <w:rPr>
          <w:rFonts w:ascii="Garamond" w:hAnsi="Garamond"/>
          <w:sz w:val="24"/>
          <w:szCs w:val="24"/>
        </w:rPr>
        <w:t>, without regard to other applicable rules including international human rights law,</w:t>
      </w:r>
      <w:r w:rsidR="00CC1E3C">
        <w:rPr>
          <w:rFonts w:ascii="Garamond" w:hAnsi="Garamond"/>
          <w:sz w:val="24"/>
          <w:szCs w:val="24"/>
        </w:rPr>
        <w:t xml:space="preserve"> leave considerable discretion to the detaining authorities</w:t>
      </w:r>
      <w:r w:rsidR="00272821">
        <w:rPr>
          <w:rFonts w:ascii="Garamond" w:hAnsi="Garamond"/>
          <w:sz w:val="24"/>
          <w:szCs w:val="24"/>
        </w:rPr>
        <w:t>.</w:t>
      </w:r>
      <w:r w:rsidR="00272821">
        <w:rPr>
          <w:rStyle w:val="FootnoteReference"/>
          <w:rFonts w:ascii="Garamond" w:hAnsi="Garamond"/>
          <w:sz w:val="24"/>
          <w:szCs w:val="24"/>
        </w:rPr>
        <w:footnoteReference w:id="10"/>
      </w:r>
      <w:r w:rsidR="006261E4" w:rsidRPr="006261E4">
        <w:rPr>
          <w:rFonts w:ascii="Garamond" w:hAnsi="Garamond"/>
          <w:sz w:val="24"/>
          <w:szCs w:val="24"/>
        </w:rPr>
        <w:t xml:space="preserve"> </w:t>
      </w:r>
      <w:r w:rsidR="00F0001F">
        <w:rPr>
          <w:rFonts w:ascii="Garamond" w:hAnsi="Garamond"/>
          <w:sz w:val="24"/>
          <w:szCs w:val="24"/>
        </w:rPr>
        <w:t xml:space="preserve">Moreover, in non-international armed conflicts, applicable treaty rules of IHL provide no guidance on the rules governing detention. Whilst reference is often made in this area to the principle of </w:t>
      </w:r>
      <w:proofErr w:type="spellStart"/>
      <w:r w:rsidR="00F0001F">
        <w:rPr>
          <w:rFonts w:ascii="Garamond" w:hAnsi="Garamond"/>
          <w:i/>
          <w:sz w:val="24"/>
          <w:szCs w:val="24"/>
        </w:rPr>
        <w:t>lex</w:t>
      </w:r>
      <w:proofErr w:type="spellEnd"/>
      <w:r w:rsidR="00F0001F">
        <w:rPr>
          <w:rFonts w:ascii="Garamond" w:hAnsi="Garamond"/>
          <w:i/>
          <w:sz w:val="24"/>
          <w:szCs w:val="24"/>
        </w:rPr>
        <w:t xml:space="preserve"> </w:t>
      </w:r>
      <w:proofErr w:type="spellStart"/>
      <w:r w:rsidR="00F0001F">
        <w:rPr>
          <w:rFonts w:ascii="Garamond" w:hAnsi="Garamond"/>
          <w:i/>
          <w:sz w:val="24"/>
          <w:szCs w:val="24"/>
        </w:rPr>
        <w:t>specialis</w:t>
      </w:r>
      <w:proofErr w:type="spellEnd"/>
      <w:r w:rsidR="00F0001F">
        <w:rPr>
          <w:rFonts w:ascii="Garamond" w:hAnsi="Garamond"/>
          <w:sz w:val="24"/>
          <w:szCs w:val="24"/>
        </w:rPr>
        <w:t>,</w:t>
      </w:r>
      <w:r w:rsidR="00093460">
        <w:rPr>
          <w:rStyle w:val="FootnoteReference"/>
          <w:rFonts w:ascii="Garamond" w:hAnsi="Garamond"/>
          <w:sz w:val="24"/>
          <w:szCs w:val="24"/>
        </w:rPr>
        <w:footnoteReference w:id="11"/>
      </w:r>
      <w:r w:rsidR="00F0001F">
        <w:rPr>
          <w:rFonts w:ascii="Garamond" w:hAnsi="Garamond"/>
          <w:sz w:val="24"/>
          <w:szCs w:val="24"/>
        </w:rPr>
        <w:t xml:space="preserve"> this is not sufficient to answer the pressing questions posed here. </w:t>
      </w:r>
      <w:r w:rsidR="00F0001F">
        <w:rPr>
          <w:rFonts w:ascii="Garamond" w:hAnsi="Garamond"/>
          <w:sz w:val="24"/>
          <w:szCs w:val="24"/>
        </w:rPr>
        <w:lastRenderedPageBreak/>
        <w:t xml:space="preserve">Indeed, </w:t>
      </w:r>
      <w:proofErr w:type="spellStart"/>
      <w:r w:rsidR="00F0001F">
        <w:rPr>
          <w:rFonts w:ascii="Garamond" w:hAnsi="Garamond"/>
          <w:i/>
          <w:sz w:val="24"/>
          <w:szCs w:val="24"/>
        </w:rPr>
        <w:t>lex</w:t>
      </w:r>
      <w:proofErr w:type="spellEnd"/>
      <w:r w:rsidR="00F0001F">
        <w:rPr>
          <w:rFonts w:ascii="Garamond" w:hAnsi="Garamond"/>
          <w:i/>
          <w:sz w:val="24"/>
          <w:szCs w:val="24"/>
        </w:rPr>
        <w:t xml:space="preserve"> </w:t>
      </w:r>
      <w:proofErr w:type="spellStart"/>
      <w:r w:rsidR="00F0001F">
        <w:rPr>
          <w:rFonts w:ascii="Garamond" w:hAnsi="Garamond"/>
          <w:i/>
          <w:sz w:val="24"/>
          <w:szCs w:val="24"/>
        </w:rPr>
        <w:t>specialis</w:t>
      </w:r>
      <w:proofErr w:type="spellEnd"/>
      <w:r w:rsidR="00F0001F">
        <w:rPr>
          <w:rFonts w:ascii="Garamond" w:hAnsi="Garamond"/>
          <w:sz w:val="24"/>
          <w:szCs w:val="24"/>
        </w:rPr>
        <w:t xml:space="preserve"> is simply a principle that points to one among many factors that are of relevance in interpreting treaty provisions; it is not a decisive reference point.</w:t>
      </w:r>
      <w:r w:rsidR="00F0001F">
        <w:rPr>
          <w:rStyle w:val="FootnoteReference"/>
          <w:rFonts w:ascii="Garamond" w:hAnsi="Garamond"/>
          <w:sz w:val="24"/>
          <w:szCs w:val="24"/>
        </w:rPr>
        <w:footnoteReference w:id="12"/>
      </w:r>
      <w:r w:rsidR="00F0001F">
        <w:rPr>
          <w:rFonts w:ascii="Garamond" w:hAnsi="Garamond"/>
          <w:sz w:val="24"/>
          <w:szCs w:val="24"/>
        </w:rPr>
        <w:t xml:space="preserve"> </w:t>
      </w:r>
      <w:r w:rsidR="00CC1E3C">
        <w:rPr>
          <w:rFonts w:ascii="Garamond" w:hAnsi="Garamond"/>
          <w:sz w:val="24"/>
          <w:szCs w:val="24"/>
        </w:rPr>
        <w:t xml:space="preserve">We feel that the Committee should elaborate its views on the relationship between these rules and Article 9 ICCPR in order to ensure that the protections afforded by the latter are not undermined. </w:t>
      </w:r>
    </w:p>
    <w:p w:rsidR="00A84DC3" w:rsidRPr="00670915" w:rsidRDefault="00FA6404" w:rsidP="00FA6404">
      <w:pPr>
        <w:tabs>
          <w:tab w:val="left" w:pos="567"/>
        </w:tabs>
        <w:jc w:val="both"/>
        <w:rPr>
          <w:rFonts w:ascii="Garamond" w:hAnsi="Garamond"/>
          <w:sz w:val="24"/>
          <w:szCs w:val="24"/>
        </w:rPr>
      </w:pPr>
      <w:r>
        <w:rPr>
          <w:rFonts w:ascii="Garamond" w:hAnsi="Garamond"/>
          <w:sz w:val="24"/>
          <w:szCs w:val="24"/>
        </w:rPr>
        <w:t xml:space="preserve">6. </w:t>
      </w:r>
      <w:r>
        <w:rPr>
          <w:rFonts w:ascii="Garamond" w:hAnsi="Garamond"/>
          <w:sz w:val="24"/>
          <w:szCs w:val="24"/>
        </w:rPr>
        <w:tab/>
      </w:r>
      <w:r w:rsidR="00A84DC3">
        <w:rPr>
          <w:rFonts w:ascii="Garamond" w:hAnsi="Garamond"/>
          <w:sz w:val="24"/>
          <w:szCs w:val="24"/>
        </w:rPr>
        <w:t xml:space="preserve">Our final general observation concerns derogation. </w:t>
      </w:r>
      <w:r w:rsidR="00A84DC3" w:rsidRPr="00A84DC3">
        <w:rPr>
          <w:rFonts w:ascii="Garamond" w:hAnsi="Garamond"/>
          <w:sz w:val="24"/>
          <w:szCs w:val="24"/>
        </w:rPr>
        <w:t>We agree that the ‘guarantee against arbitrary detention is non-derogable’.</w:t>
      </w:r>
      <w:r w:rsidR="00A84DC3">
        <w:rPr>
          <w:rStyle w:val="FootnoteReference"/>
          <w:rFonts w:ascii="Garamond" w:hAnsi="Garamond"/>
          <w:sz w:val="24"/>
          <w:szCs w:val="24"/>
        </w:rPr>
        <w:footnoteReference w:id="13"/>
      </w:r>
      <w:r w:rsidR="00A84DC3" w:rsidRPr="00A84DC3">
        <w:rPr>
          <w:rFonts w:ascii="Garamond" w:hAnsi="Garamond"/>
          <w:sz w:val="24"/>
          <w:szCs w:val="24"/>
        </w:rPr>
        <w:t xml:space="preserve"> However, we feel that this should be </w:t>
      </w:r>
      <w:r w:rsidR="00060C14">
        <w:rPr>
          <w:rFonts w:ascii="Garamond" w:hAnsi="Garamond"/>
          <w:sz w:val="24"/>
          <w:szCs w:val="24"/>
        </w:rPr>
        <w:t xml:space="preserve">even </w:t>
      </w:r>
      <w:r w:rsidR="00A84DC3" w:rsidRPr="00A84DC3">
        <w:rPr>
          <w:rFonts w:ascii="Garamond" w:hAnsi="Garamond"/>
          <w:sz w:val="24"/>
          <w:szCs w:val="24"/>
        </w:rPr>
        <w:t xml:space="preserve">more clearly justified. In particular, </w:t>
      </w:r>
      <w:r w:rsidR="00247B35">
        <w:rPr>
          <w:rFonts w:ascii="Garamond" w:hAnsi="Garamond"/>
          <w:sz w:val="24"/>
          <w:szCs w:val="24"/>
        </w:rPr>
        <w:t xml:space="preserve">the present authors take the view that </w:t>
      </w:r>
      <w:r w:rsidR="00A84DC3" w:rsidRPr="00A84DC3">
        <w:rPr>
          <w:rFonts w:ascii="Garamond" w:hAnsi="Garamond"/>
          <w:sz w:val="24"/>
          <w:szCs w:val="24"/>
        </w:rPr>
        <w:t>the arbitrary deprivation of liberty prohibition is non-derogable on the basis that the necessity-based concerns for which derogation is designed to give effect have already been factored into the arbitrariness standard. Thus, it can never be necessary to detain someone arbitrarily.</w:t>
      </w:r>
      <w:r w:rsidR="00A84DC3">
        <w:rPr>
          <w:rStyle w:val="FootnoteReference"/>
          <w:rFonts w:ascii="Garamond" w:hAnsi="Garamond"/>
          <w:sz w:val="24"/>
          <w:szCs w:val="24"/>
        </w:rPr>
        <w:footnoteReference w:id="14"/>
      </w:r>
    </w:p>
    <w:p w:rsidR="00E26F09" w:rsidRDefault="00E26F09" w:rsidP="0038401D">
      <w:pPr>
        <w:jc w:val="both"/>
        <w:rPr>
          <w:rFonts w:ascii="Garamond" w:hAnsi="Garamond"/>
          <w:b/>
          <w:sz w:val="24"/>
          <w:szCs w:val="24"/>
        </w:rPr>
      </w:pPr>
    </w:p>
    <w:p w:rsidR="00E26F09" w:rsidRDefault="004A79E4" w:rsidP="0038401D">
      <w:pPr>
        <w:jc w:val="both"/>
        <w:rPr>
          <w:rFonts w:ascii="Garamond" w:hAnsi="Garamond"/>
          <w:b/>
          <w:sz w:val="24"/>
          <w:szCs w:val="24"/>
        </w:rPr>
      </w:pPr>
      <w:r>
        <w:rPr>
          <w:rFonts w:ascii="Garamond" w:hAnsi="Garamond"/>
          <w:b/>
          <w:sz w:val="24"/>
          <w:szCs w:val="24"/>
        </w:rPr>
        <w:t xml:space="preserve">III. </w:t>
      </w:r>
      <w:r w:rsidR="006324FD">
        <w:rPr>
          <w:rFonts w:ascii="Garamond" w:hAnsi="Garamond"/>
          <w:b/>
          <w:sz w:val="24"/>
          <w:szCs w:val="24"/>
        </w:rPr>
        <w:t>The Prohibition of Arbitrary and Unlawful Detention</w:t>
      </w:r>
    </w:p>
    <w:p w:rsidR="006324FD" w:rsidRDefault="00AE5A7C" w:rsidP="00AE5A7C">
      <w:pPr>
        <w:tabs>
          <w:tab w:val="left" w:pos="567"/>
        </w:tabs>
        <w:jc w:val="both"/>
        <w:rPr>
          <w:rFonts w:ascii="Garamond" w:hAnsi="Garamond"/>
          <w:sz w:val="24"/>
          <w:szCs w:val="24"/>
        </w:rPr>
      </w:pPr>
      <w:r>
        <w:rPr>
          <w:rFonts w:ascii="Garamond" w:hAnsi="Garamond"/>
          <w:sz w:val="24"/>
          <w:szCs w:val="24"/>
        </w:rPr>
        <w:t xml:space="preserve">7. </w:t>
      </w:r>
      <w:r>
        <w:rPr>
          <w:rFonts w:ascii="Garamond" w:hAnsi="Garamond"/>
          <w:sz w:val="24"/>
          <w:szCs w:val="24"/>
        </w:rPr>
        <w:tab/>
      </w:r>
      <w:r w:rsidR="00E17CC9">
        <w:rPr>
          <w:rFonts w:ascii="Garamond" w:hAnsi="Garamond"/>
          <w:sz w:val="24"/>
          <w:szCs w:val="24"/>
        </w:rPr>
        <w:t>Draft General Comment 35 excellently summarises the Committee’s jurisprudence on the cumulative requirements of legality and non-arbitrariness for any arrest or detention to be in conformity with Article 9(1) ICCPR.</w:t>
      </w:r>
      <w:r w:rsidR="00E17CC9">
        <w:rPr>
          <w:rStyle w:val="FootnoteReference"/>
          <w:rFonts w:ascii="Garamond" w:hAnsi="Garamond"/>
          <w:sz w:val="24"/>
          <w:szCs w:val="24"/>
        </w:rPr>
        <w:footnoteReference w:id="15"/>
      </w:r>
      <w:r w:rsidR="00E17CC9">
        <w:rPr>
          <w:rFonts w:ascii="Garamond" w:hAnsi="Garamond"/>
          <w:sz w:val="24"/>
          <w:szCs w:val="24"/>
        </w:rPr>
        <w:t xml:space="preserve"> </w:t>
      </w:r>
      <w:r w:rsidR="009F1901">
        <w:rPr>
          <w:rFonts w:ascii="Garamond" w:hAnsi="Garamond"/>
          <w:sz w:val="24"/>
          <w:szCs w:val="24"/>
        </w:rPr>
        <w:t>As the Comment notes, ‘[t]he notion of “arbitrariness” is not to be equated with “against the law”, but must be interpreted more broadly to include el</w:t>
      </w:r>
      <w:r w:rsidR="00DC0B90">
        <w:rPr>
          <w:rFonts w:ascii="Garamond" w:hAnsi="Garamond"/>
          <w:sz w:val="24"/>
          <w:szCs w:val="24"/>
        </w:rPr>
        <w:t>ements of inappropriateness, in</w:t>
      </w:r>
      <w:r w:rsidR="009F1901">
        <w:rPr>
          <w:rFonts w:ascii="Garamond" w:hAnsi="Garamond"/>
          <w:sz w:val="24"/>
          <w:szCs w:val="24"/>
        </w:rPr>
        <w:t>justice, lack of predictability, and du</w:t>
      </w:r>
      <w:r w:rsidR="00DC0B90">
        <w:rPr>
          <w:rFonts w:ascii="Garamond" w:hAnsi="Garamond"/>
          <w:sz w:val="24"/>
          <w:szCs w:val="24"/>
        </w:rPr>
        <w:t>e process of law, as well as el</w:t>
      </w:r>
      <w:r w:rsidR="009F1901">
        <w:rPr>
          <w:rFonts w:ascii="Garamond" w:hAnsi="Garamond"/>
          <w:sz w:val="24"/>
          <w:szCs w:val="24"/>
        </w:rPr>
        <w:t>ements of reasonableness, necessity, and proportionality.’</w:t>
      </w:r>
      <w:r w:rsidR="009F1901">
        <w:rPr>
          <w:rStyle w:val="FootnoteReference"/>
          <w:rFonts w:ascii="Garamond" w:hAnsi="Garamond"/>
          <w:sz w:val="24"/>
          <w:szCs w:val="24"/>
        </w:rPr>
        <w:footnoteReference w:id="16"/>
      </w:r>
      <w:r w:rsidR="009F1901">
        <w:rPr>
          <w:rFonts w:ascii="Garamond" w:hAnsi="Garamond"/>
          <w:sz w:val="24"/>
          <w:szCs w:val="24"/>
        </w:rPr>
        <w:t xml:space="preserve"> </w:t>
      </w:r>
      <w:r w:rsidR="003E1C5E">
        <w:rPr>
          <w:rFonts w:ascii="Garamond" w:hAnsi="Garamond"/>
          <w:sz w:val="24"/>
          <w:szCs w:val="24"/>
        </w:rPr>
        <w:t>This is supported by the jurisprudence of other human rights treaty bodies, including the European Court of Human Rights (</w:t>
      </w:r>
      <w:proofErr w:type="spellStart"/>
      <w:r w:rsidR="003E1C5E">
        <w:rPr>
          <w:rFonts w:ascii="Garamond" w:hAnsi="Garamond"/>
          <w:sz w:val="24"/>
          <w:szCs w:val="24"/>
        </w:rPr>
        <w:t>ECtHR</w:t>
      </w:r>
      <w:proofErr w:type="spellEnd"/>
      <w:r w:rsidR="003E1C5E">
        <w:rPr>
          <w:rFonts w:ascii="Garamond" w:hAnsi="Garamond"/>
          <w:sz w:val="24"/>
          <w:szCs w:val="24"/>
        </w:rPr>
        <w:t>),</w:t>
      </w:r>
      <w:r w:rsidR="003E1C5E">
        <w:rPr>
          <w:rStyle w:val="FootnoteReference"/>
          <w:rFonts w:ascii="Garamond" w:hAnsi="Garamond"/>
          <w:sz w:val="24"/>
          <w:szCs w:val="24"/>
        </w:rPr>
        <w:footnoteReference w:id="17"/>
      </w:r>
      <w:r w:rsidR="003E1C5E">
        <w:rPr>
          <w:rFonts w:ascii="Garamond" w:hAnsi="Garamond"/>
          <w:sz w:val="24"/>
          <w:szCs w:val="24"/>
        </w:rPr>
        <w:t xml:space="preserve"> the Inter-American Court of Human Rights (</w:t>
      </w:r>
      <w:proofErr w:type="spellStart"/>
      <w:r w:rsidR="003E1C5E">
        <w:rPr>
          <w:rFonts w:ascii="Garamond" w:hAnsi="Garamond"/>
          <w:sz w:val="24"/>
          <w:szCs w:val="24"/>
        </w:rPr>
        <w:t>IACtHR</w:t>
      </w:r>
      <w:proofErr w:type="spellEnd"/>
      <w:r w:rsidR="003E1C5E">
        <w:rPr>
          <w:rFonts w:ascii="Garamond" w:hAnsi="Garamond"/>
          <w:sz w:val="24"/>
          <w:szCs w:val="24"/>
        </w:rPr>
        <w:t>),</w:t>
      </w:r>
      <w:r w:rsidR="003E1C5E">
        <w:rPr>
          <w:rStyle w:val="FootnoteReference"/>
          <w:rFonts w:ascii="Garamond" w:hAnsi="Garamond"/>
          <w:sz w:val="24"/>
          <w:szCs w:val="24"/>
        </w:rPr>
        <w:footnoteReference w:id="18"/>
      </w:r>
      <w:r w:rsidR="003E1C5E">
        <w:rPr>
          <w:rFonts w:ascii="Garamond" w:hAnsi="Garamond"/>
          <w:sz w:val="24"/>
          <w:szCs w:val="24"/>
        </w:rPr>
        <w:t xml:space="preserve"> and the African Commission on Human and Peoples’ Rights (</w:t>
      </w:r>
      <w:proofErr w:type="spellStart"/>
      <w:r w:rsidR="003E1C5E">
        <w:rPr>
          <w:rFonts w:ascii="Garamond" w:hAnsi="Garamond"/>
          <w:sz w:val="24"/>
          <w:szCs w:val="24"/>
        </w:rPr>
        <w:t>ACiHPR</w:t>
      </w:r>
      <w:proofErr w:type="spellEnd"/>
      <w:r w:rsidR="003E1C5E">
        <w:rPr>
          <w:rFonts w:ascii="Garamond" w:hAnsi="Garamond"/>
          <w:sz w:val="24"/>
          <w:szCs w:val="24"/>
        </w:rPr>
        <w:t>).</w:t>
      </w:r>
      <w:r w:rsidR="003E1C5E">
        <w:rPr>
          <w:rStyle w:val="FootnoteReference"/>
          <w:rFonts w:ascii="Garamond" w:hAnsi="Garamond"/>
          <w:sz w:val="24"/>
          <w:szCs w:val="24"/>
        </w:rPr>
        <w:footnoteReference w:id="19"/>
      </w:r>
    </w:p>
    <w:p w:rsidR="006D60F0" w:rsidRDefault="00DC0B90" w:rsidP="00DC0B90">
      <w:pPr>
        <w:tabs>
          <w:tab w:val="left" w:pos="567"/>
        </w:tabs>
        <w:jc w:val="both"/>
        <w:rPr>
          <w:rFonts w:ascii="Garamond" w:hAnsi="Garamond"/>
          <w:sz w:val="24"/>
          <w:szCs w:val="24"/>
        </w:rPr>
      </w:pPr>
      <w:r>
        <w:rPr>
          <w:rFonts w:ascii="Garamond" w:hAnsi="Garamond"/>
          <w:sz w:val="24"/>
          <w:szCs w:val="24"/>
        </w:rPr>
        <w:t xml:space="preserve">8. </w:t>
      </w:r>
      <w:r>
        <w:rPr>
          <w:rFonts w:ascii="Garamond" w:hAnsi="Garamond"/>
          <w:sz w:val="24"/>
          <w:szCs w:val="24"/>
        </w:rPr>
        <w:tab/>
      </w:r>
      <w:r w:rsidR="006D60F0">
        <w:rPr>
          <w:rFonts w:ascii="Garamond" w:hAnsi="Garamond"/>
          <w:sz w:val="24"/>
          <w:szCs w:val="24"/>
        </w:rPr>
        <w:t>As a result of these dual requirements of legality and non-arbitrariness, international jurisprudence has confirmed that the law permitting detention ‘be clearly defined and that the law itself be foreseeable in its application.’</w:t>
      </w:r>
      <w:r w:rsidR="006D60F0">
        <w:rPr>
          <w:rStyle w:val="FootnoteReference"/>
          <w:rFonts w:ascii="Garamond" w:hAnsi="Garamond"/>
          <w:sz w:val="24"/>
          <w:szCs w:val="24"/>
        </w:rPr>
        <w:footnoteReference w:id="20"/>
      </w:r>
      <w:r w:rsidR="00156F45">
        <w:rPr>
          <w:rFonts w:ascii="Garamond" w:hAnsi="Garamond"/>
          <w:sz w:val="24"/>
          <w:szCs w:val="24"/>
        </w:rPr>
        <w:t xml:space="preserve"> </w:t>
      </w:r>
      <w:r w:rsidR="00251B61">
        <w:rPr>
          <w:rFonts w:ascii="Garamond" w:hAnsi="Garamond"/>
          <w:sz w:val="24"/>
          <w:szCs w:val="24"/>
        </w:rPr>
        <w:t xml:space="preserve">The authors feel that this in particular requires emphasising given the increasing tendency of certain States to rely on very vague legal bases and grounds to justify detention, particularly in the context of national security. For example, the commentary to the 2012 Copenhagen Principles on the Handling of Detainees in International Military Operations refers to the possibility of relying on UN </w:t>
      </w:r>
      <w:r w:rsidR="00FA3EDF">
        <w:rPr>
          <w:rFonts w:ascii="Garamond" w:hAnsi="Garamond"/>
          <w:sz w:val="24"/>
          <w:szCs w:val="24"/>
        </w:rPr>
        <w:t>authorisations</w:t>
      </w:r>
      <w:r w:rsidR="00251B61">
        <w:rPr>
          <w:rFonts w:ascii="Garamond" w:hAnsi="Garamond"/>
          <w:sz w:val="24"/>
          <w:szCs w:val="24"/>
        </w:rPr>
        <w:t xml:space="preserve"> to detain in specific circumstances.</w:t>
      </w:r>
      <w:r w:rsidR="00251B61">
        <w:rPr>
          <w:rStyle w:val="FootnoteReference"/>
          <w:rFonts w:ascii="Garamond" w:hAnsi="Garamond"/>
          <w:sz w:val="24"/>
          <w:szCs w:val="24"/>
        </w:rPr>
        <w:footnoteReference w:id="21"/>
      </w:r>
      <w:r w:rsidR="00251B61">
        <w:rPr>
          <w:rFonts w:ascii="Garamond" w:hAnsi="Garamond"/>
          <w:sz w:val="24"/>
          <w:szCs w:val="24"/>
        </w:rPr>
        <w:t xml:space="preserve"> </w:t>
      </w:r>
      <w:r w:rsidR="00D175F7">
        <w:rPr>
          <w:rFonts w:ascii="Garamond" w:hAnsi="Garamond"/>
          <w:sz w:val="24"/>
          <w:szCs w:val="24"/>
        </w:rPr>
        <w:t xml:space="preserve">Whilst this is certainly possible and has indeed been invoked by particular </w:t>
      </w:r>
      <w:r w:rsidR="00D175F7">
        <w:rPr>
          <w:rFonts w:ascii="Garamond" w:hAnsi="Garamond"/>
          <w:sz w:val="24"/>
          <w:szCs w:val="24"/>
        </w:rPr>
        <w:lastRenderedPageBreak/>
        <w:t>States,</w:t>
      </w:r>
      <w:r w:rsidR="00D175F7">
        <w:rPr>
          <w:rStyle w:val="FootnoteReference"/>
          <w:rFonts w:ascii="Garamond" w:hAnsi="Garamond"/>
          <w:sz w:val="24"/>
          <w:szCs w:val="24"/>
        </w:rPr>
        <w:footnoteReference w:id="22"/>
      </w:r>
      <w:r w:rsidR="00D175F7">
        <w:rPr>
          <w:rFonts w:ascii="Garamond" w:hAnsi="Garamond"/>
          <w:sz w:val="24"/>
          <w:szCs w:val="24"/>
        </w:rPr>
        <w:t xml:space="preserve"> </w:t>
      </w:r>
      <w:r w:rsidR="007314AC">
        <w:rPr>
          <w:rFonts w:ascii="Garamond" w:hAnsi="Garamond"/>
          <w:sz w:val="24"/>
          <w:szCs w:val="24"/>
        </w:rPr>
        <w:t xml:space="preserve">in our view </w:t>
      </w:r>
      <w:r w:rsidR="00D175F7">
        <w:rPr>
          <w:rFonts w:ascii="Garamond" w:hAnsi="Garamond"/>
          <w:sz w:val="24"/>
          <w:szCs w:val="24"/>
        </w:rPr>
        <w:t xml:space="preserve">it </w:t>
      </w:r>
      <w:r w:rsidR="007314AC">
        <w:rPr>
          <w:rFonts w:ascii="Garamond" w:hAnsi="Garamond"/>
          <w:sz w:val="24"/>
          <w:szCs w:val="24"/>
        </w:rPr>
        <w:t xml:space="preserve">could </w:t>
      </w:r>
      <w:r w:rsidR="00D175F7">
        <w:rPr>
          <w:rFonts w:ascii="Garamond" w:hAnsi="Garamond"/>
          <w:sz w:val="24"/>
          <w:szCs w:val="24"/>
        </w:rPr>
        <w:t xml:space="preserve">be highlighted that, in order to comply with the requirements of non-arbitrariness and legality under Article 9 ICCPR (and </w:t>
      </w:r>
      <w:r w:rsidR="00FA3EDF">
        <w:rPr>
          <w:rFonts w:ascii="Garamond" w:hAnsi="Garamond"/>
          <w:sz w:val="24"/>
          <w:szCs w:val="24"/>
        </w:rPr>
        <w:t xml:space="preserve">equivalent </w:t>
      </w:r>
      <w:r w:rsidR="00D175F7">
        <w:rPr>
          <w:rFonts w:ascii="Garamond" w:hAnsi="Garamond"/>
          <w:sz w:val="24"/>
          <w:szCs w:val="24"/>
        </w:rPr>
        <w:t>obligations</w:t>
      </w:r>
      <w:r w:rsidR="00415120">
        <w:rPr>
          <w:rFonts w:ascii="Garamond" w:hAnsi="Garamond"/>
          <w:sz w:val="24"/>
          <w:szCs w:val="24"/>
        </w:rPr>
        <w:t xml:space="preserve"> under other human rights treaties</w:t>
      </w:r>
      <w:r w:rsidR="00D175F7">
        <w:rPr>
          <w:rFonts w:ascii="Garamond" w:hAnsi="Garamond"/>
          <w:sz w:val="24"/>
          <w:szCs w:val="24"/>
        </w:rPr>
        <w:t xml:space="preserve">), such sources of legal authority must be explicit in both their authorisation of detention and the particular grounds on which detention is so authorised. </w:t>
      </w:r>
      <w:r w:rsidR="00FD780C">
        <w:rPr>
          <w:rFonts w:ascii="Garamond" w:hAnsi="Garamond"/>
          <w:sz w:val="24"/>
          <w:szCs w:val="24"/>
        </w:rPr>
        <w:t xml:space="preserve">Indeed, both of these requirements appear entirely to be absent in certain cases. This is true, for example, in the recent case of </w:t>
      </w:r>
      <w:proofErr w:type="spellStart"/>
      <w:r w:rsidR="00FD780C">
        <w:rPr>
          <w:rFonts w:ascii="Garamond" w:hAnsi="Garamond"/>
          <w:i/>
          <w:sz w:val="24"/>
          <w:szCs w:val="24"/>
        </w:rPr>
        <w:t>Serdar</w:t>
      </w:r>
      <w:proofErr w:type="spellEnd"/>
      <w:r w:rsidR="00FD780C">
        <w:rPr>
          <w:rFonts w:ascii="Garamond" w:hAnsi="Garamond"/>
          <w:i/>
          <w:sz w:val="24"/>
          <w:szCs w:val="24"/>
        </w:rPr>
        <w:t xml:space="preserve"> Mohammed v Ministry of Defence </w:t>
      </w:r>
      <w:r w:rsidR="00FD780C">
        <w:rPr>
          <w:rFonts w:ascii="Garamond" w:hAnsi="Garamond"/>
          <w:sz w:val="24"/>
          <w:szCs w:val="24"/>
        </w:rPr>
        <w:t>in the High Court</w:t>
      </w:r>
      <w:r w:rsidR="00FD780C" w:rsidRPr="00FD780C">
        <w:rPr>
          <w:rFonts w:ascii="Garamond" w:hAnsi="Garamond"/>
          <w:sz w:val="24"/>
          <w:szCs w:val="24"/>
        </w:rPr>
        <w:t xml:space="preserve"> </w:t>
      </w:r>
      <w:r w:rsidR="00FD780C">
        <w:rPr>
          <w:rFonts w:ascii="Garamond" w:hAnsi="Garamond"/>
          <w:sz w:val="24"/>
          <w:szCs w:val="24"/>
        </w:rPr>
        <w:t xml:space="preserve">of England &amp; Wales, in which the Ministry of Defence unsuccessfully sought to rely on an implicit legal basis in international humanitarian law to </w:t>
      </w:r>
      <w:r w:rsidR="00D84996">
        <w:rPr>
          <w:rFonts w:ascii="Garamond" w:hAnsi="Garamond"/>
          <w:sz w:val="24"/>
          <w:szCs w:val="24"/>
        </w:rPr>
        <w:t>intern</w:t>
      </w:r>
      <w:r w:rsidR="00FD780C">
        <w:rPr>
          <w:rFonts w:ascii="Garamond" w:hAnsi="Garamond"/>
          <w:sz w:val="24"/>
          <w:szCs w:val="24"/>
        </w:rPr>
        <w:t xml:space="preserve"> persons in non-international armed conflicts.</w:t>
      </w:r>
      <w:r w:rsidR="00FD780C">
        <w:rPr>
          <w:rStyle w:val="FootnoteReference"/>
          <w:rFonts w:ascii="Garamond" w:hAnsi="Garamond"/>
          <w:sz w:val="24"/>
          <w:szCs w:val="24"/>
        </w:rPr>
        <w:footnoteReference w:id="23"/>
      </w:r>
      <w:r w:rsidR="00FD780C">
        <w:rPr>
          <w:rFonts w:ascii="Garamond" w:hAnsi="Garamond"/>
          <w:sz w:val="24"/>
          <w:szCs w:val="24"/>
        </w:rPr>
        <w:t xml:space="preserve"> A similar example may be seen in the US government’s reliance on the </w:t>
      </w:r>
      <w:r w:rsidR="00D84996">
        <w:rPr>
          <w:rFonts w:ascii="Garamond" w:hAnsi="Garamond"/>
          <w:sz w:val="24"/>
          <w:szCs w:val="24"/>
        </w:rPr>
        <w:t xml:space="preserve">general </w:t>
      </w:r>
      <w:r w:rsidR="00FD780C">
        <w:rPr>
          <w:rFonts w:ascii="Garamond" w:hAnsi="Garamond"/>
          <w:sz w:val="24"/>
          <w:szCs w:val="24"/>
        </w:rPr>
        <w:t xml:space="preserve">authorisation by the US Congress to use ‘all necessary </w:t>
      </w:r>
      <w:r w:rsidR="00D84996">
        <w:rPr>
          <w:rFonts w:ascii="Garamond" w:hAnsi="Garamond"/>
          <w:sz w:val="24"/>
          <w:szCs w:val="24"/>
        </w:rPr>
        <w:t xml:space="preserve">and appropriate force’ to combat those responsible for the 9/11 attacks as providing a legal basis to detain individuals </w:t>
      </w:r>
      <w:r w:rsidR="00DF5803">
        <w:rPr>
          <w:rFonts w:ascii="Garamond" w:hAnsi="Garamond"/>
          <w:sz w:val="24"/>
          <w:szCs w:val="24"/>
        </w:rPr>
        <w:t>associated with the war on terror</w:t>
      </w:r>
      <w:r w:rsidR="00D84996">
        <w:rPr>
          <w:rFonts w:ascii="Garamond" w:hAnsi="Garamond"/>
          <w:sz w:val="24"/>
          <w:szCs w:val="24"/>
        </w:rPr>
        <w:t>.</w:t>
      </w:r>
      <w:r w:rsidR="00D84996">
        <w:rPr>
          <w:rStyle w:val="FootnoteReference"/>
          <w:rFonts w:ascii="Garamond" w:hAnsi="Garamond"/>
          <w:sz w:val="24"/>
          <w:szCs w:val="24"/>
        </w:rPr>
        <w:footnoteReference w:id="24"/>
      </w:r>
      <w:r w:rsidR="00D84996">
        <w:rPr>
          <w:rFonts w:ascii="Garamond" w:hAnsi="Garamond"/>
          <w:sz w:val="24"/>
          <w:szCs w:val="24"/>
        </w:rPr>
        <w:t xml:space="preserve"> </w:t>
      </w:r>
      <w:r w:rsidR="00543CCF">
        <w:rPr>
          <w:rFonts w:ascii="Garamond" w:hAnsi="Garamond"/>
          <w:sz w:val="24"/>
          <w:szCs w:val="24"/>
        </w:rPr>
        <w:t xml:space="preserve">The authors feel that it would be appropriate, in light of developments in the jurisprudence of the Human Rights Committee and other bodies, to emphasise the need for certainty and clarity in the authorisation and grounds on which a State relies when detaining. This not only ensures the effectiveness of the principle enshrined in Article 9(1) ICCPR, but it also ensures that States do not circumvent Article 9(4) ICCPR through the adoption of malleable standards governing detention, against which a court is to judge its legality. </w:t>
      </w:r>
    </w:p>
    <w:p w:rsidR="00466C78" w:rsidRDefault="00466C78" w:rsidP="0038401D">
      <w:pPr>
        <w:jc w:val="both"/>
        <w:rPr>
          <w:rFonts w:ascii="Garamond" w:hAnsi="Garamond"/>
          <w:sz w:val="24"/>
          <w:szCs w:val="24"/>
        </w:rPr>
      </w:pPr>
    </w:p>
    <w:p w:rsidR="00466C78" w:rsidRDefault="004A79E4" w:rsidP="0038401D">
      <w:pPr>
        <w:jc w:val="both"/>
        <w:rPr>
          <w:rFonts w:ascii="Garamond" w:hAnsi="Garamond"/>
          <w:b/>
          <w:sz w:val="24"/>
          <w:szCs w:val="24"/>
        </w:rPr>
      </w:pPr>
      <w:r>
        <w:rPr>
          <w:rFonts w:ascii="Garamond" w:hAnsi="Garamond"/>
          <w:b/>
          <w:sz w:val="24"/>
          <w:szCs w:val="24"/>
        </w:rPr>
        <w:t xml:space="preserve">IV. </w:t>
      </w:r>
      <w:r w:rsidR="00466C78">
        <w:rPr>
          <w:rFonts w:ascii="Garamond" w:hAnsi="Garamond"/>
          <w:b/>
          <w:sz w:val="24"/>
          <w:szCs w:val="24"/>
        </w:rPr>
        <w:t>Reasons for Arrest/Detention</w:t>
      </w:r>
    </w:p>
    <w:p w:rsidR="006A486E" w:rsidRDefault="00691D81" w:rsidP="00691D81">
      <w:pPr>
        <w:tabs>
          <w:tab w:val="left" w:pos="567"/>
        </w:tabs>
        <w:jc w:val="both"/>
        <w:rPr>
          <w:rFonts w:ascii="Garamond" w:hAnsi="Garamond"/>
          <w:sz w:val="24"/>
          <w:szCs w:val="24"/>
        </w:rPr>
      </w:pPr>
      <w:r>
        <w:rPr>
          <w:rFonts w:ascii="Garamond" w:hAnsi="Garamond"/>
          <w:sz w:val="24"/>
          <w:szCs w:val="24"/>
        </w:rPr>
        <w:t xml:space="preserve">9. </w:t>
      </w:r>
      <w:r>
        <w:rPr>
          <w:rFonts w:ascii="Garamond" w:hAnsi="Garamond"/>
          <w:sz w:val="24"/>
          <w:szCs w:val="24"/>
        </w:rPr>
        <w:tab/>
      </w:r>
      <w:r w:rsidR="007A14BC">
        <w:rPr>
          <w:rFonts w:ascii="Garamond" w:hAnsi="Garamond"/>
          <w:sz w:val="24"/>
          <w:szCs w:val="24"/>
        </w:rPr>
        <w:t>Draft General Comment 35 correctly notes that the requirement that detainees be informed of the reasons for their detention serves the overriding goal of providing them with the necessary information to challenge the basis for their detention.</w:t>
      </w:r>
      <w:r w:rsidR="007A14BC">
        <w:rPr>
          <w:rStyle w:val="FootnoteReference"/>
          <w:rFonts w:ascii="Garamond" w:hAnsi="Garamond"/>
          <w:sz w:val="24"/>
          <w:szCs w:val="24"/>
        </w:rPr>
        <w:footnoteReference w:id="25"/>
      </w:r>
      <w:r w:rsidR="007A14BC">
        <w:rPr>
          <w:rFonts w:ascii="Garamond" w:hAnsi="Garamond"/>
          <w:sz w:val="24"/>
          <w:szCs w:val="24"/>
        </w:rPr>
        <w:t xml:space="preserve"> It is then noted that </w:t>
      </w:r>
      <w:r w:rsidR="007A14BC" w:rsidRPr="007A14BC">
        <w:rPr>
          <w:rFonts w:ascii="Garamond" w:hAnsi="Garamond"/>
          <w:sz w:val="24"/>
          <w:szCs w:val="24"/>
        </w:rPr>
        <w:t>‘[t]he reasons must include not only the general legal basis of the arrest, but enough factual specifics to indicate the substance of the complaint, such as the wrongful act and the identity of an alleged victim’</w:t>
      </w:r>
      <w:r w:rsidR="007A14BC">
        <w:rPr>
          <w:rFonts w:ascii="Garamond" w:hAnsi="Garamond"/>
          <w:sz w:val="24"/>
          <w:szCs w:val="24"/>
        </w:rPr>
        <w:t>.</w:t>
      </w:r>
      <w:r w:rsidR="007A14BC">
        <w:rPr>
          <w:rStyle w:val="FootnoteReference"/>
          <w:rFonts w:ascii="Garamond" w:hAnsi="Garamond"/>
          <w:sz w:val="24"/>
          <w:szCs w:val="24"/>
        </w:rPr>
        <w:footnoteReference w:id="26"/>
      </w:r>
      <w:r w:rsidR="007A14BC">
        <w:rPr>
          <w:rFonts w:ascii="Garamond" w:hAnsi="Garamond"/>
          <w:sz w:val="24"/>
          <w:szCs w:val="24"/>
        </w:rPr>
        <w:t xml:space="preserve"> </w:t>
      </w:r>
    </w:p>
    <w:p w:rsidR="00466C78" w:rsidRDefault="00C359DD" w:rsidP="00C359DD">
      <w:pPr>
        <w:tabs>
          <w:tab w:val="left" w:pos="567"/>
        </w:tabs>
        <w:jc w:val="both"/>
        <w:rPr>
          <w:rFonts w:ascii="Garamond" w:hAnsi="Garamond"/>
          <w:sz w:val="24"/>
          <w:szCs w:val="24"/>
        </w:rPr>
      </w:pPr>
      <w:r>
        <w:rPr>
          <w:rFonts w:ascii="Garamond" w:hAnsi="Garamond"/>
          <w:sz w:val="24"/>
          <w:szCs w:val="24"/>
        </w:rPr>
        <w:t xml:space="preserve">10. </w:t>
      </w:r>
      <w:r>
        <w:rPr>
          <w:rFonts w:ascii="Garamond" w:hAnsi="Garamond"/>
          <w:sz w:val="24"/>
          <w:szCs w:val="24"/>
        </w:rPr>
        <w:tab/>
      </w:r>
      <w:r w:rsidR="006A486E">
        <w:rPr>
          <w:rFonts w:ascii="Garamond" w:hAnsi="Garamond"/>
          <w:sz w:val="24"/>
          <w:szCs w:val="24"/>
        </w:rPr>
        <w:t xml:space="preserve">The present authors entirely </w:t>
      </w:r>
      <w:r w:rsidR="006A486E" w:rsidRPr="006A486E">
        <w:rPr>
          <w:rFonts w:ascii="Garamond" w:hAnsi="Garamond"/>
          <w:sz w:val="24"/>
          <w:szCs w:val="24"/>
        </w:rPr>
        <w:t>agree with this</w:t>
      </w:r>
      <w:r w:rsidR="006A486E">
        <w:rPr>
          <w:rFonts w:ascii="Garamond" w:hAnsi="Garamond"/>
          <w:sz w:val="24"/>
          <w:szCs w:val="24"/>
        </w:rPr>
        <w:t>. However</w:t>
      </w:r>
      <w:r w:rsidR="006A486E" w:rsidRPr="006A486E">
        <w:rPr>
          <w:rFonts w:ascii="Garamond" w:hAnsi="Garamond"/>
          <w:sz w:val="24"/>
          <w:szCs w:val="24"/>
        </w:rPr>
        <w:t>, we feel that</w:t>
      </w:r>
      <w:r w:rsidR="008D093B">
        <w:rPr>
          <w:rFonts w:ascii="Garamond" w:hAnsi="Garamond"/>
          <w:sz w:val="24"/>
          <w:szCs w:val="24"/>
        </w:rPr>
        <w:t>, as has been supported in the jurisprudence of the UN Working Group on Arbitrary Detention,</w:t>
      </w:r>
      <w:r w:rsidR="006A486E" w:rsidRPr="006A486E">
        <w:rPr>
          <w:rFonts w:ascii="Garamond" w:hAnsi="Garamond"/>
          <w:sz w:val="24"/>
          <w:szCs w:val="24"/>
        </w:rPr>
        <w:t xml:space="preserve"> the o</w:t>
      </w:r>
      <w:r w:rsidR="006A486E">
        <w:rPr>
          <w:rFonts w:ascii="Garamond" w:hAnsi="Garamond"/>
          <w:sz w:val="24"/>
          <w:szCs w:val="24"/>
        </w:rPr>
        <w:t>bject and purpose of this right</w:t>
      </w:r>
      <w:r w:rsidR="006A486E" w:rsidRPr="006A486E">
        <w:rPr>
          <w:rFonts w:ascii="Garamond" w:hAnsi="Garamond"/>
          <w:sz w:val="24"/>
          <w:szCs w:val="24"/>
        </w:rPr>
        <w:t xml:space="preserve">, as confirmed </w:t>
      </w:r>
      <w:r w:rsidR="006A486E">
        <w:rPr>
          <w:rFonts w:ascii="Garamond" w:hAnsi="Garamond"/>
          <w:sz w:val="24"/>
          <w:szCs w:val="24"/>
        </w:rPr>
        <w:t>above</w:t>
      </w:r>
      <w:r w:rsidR="006A486E" w:rsidRPr="006A486E">
        <w:rPr>
          <w:rFonts w:ascii="Garamond" w:hAnsi="Garamond"/>
          <w:sz w:val="24"/>
          <w:szCs w:val="24"/>
        </w:rPr>
        <w:t xml:space="preserve">, should inform the content of this norm, such that the amount and quality of information provided should always be sufficient so as to allow an effective challenge of the basis of detention. </w:t>
      </w:r>
      <w:r w:rsidR="00702E4D">
        <w:rPr>
          <w:rFonts w:ascii="Garamond" w:hAnsi="Garamond"/>
          <w:sz w:val="24"/>
          <w:szCs w:val="24"/>
        </w:rPr>
        <w:t>This</w:t>
      </w:r>
      <w:r w:rsidR="006A486E" w:rsidRPr="006A486E">
        <w:rPr>
          <w:rFonts w:ascii="Garamond" w:hAnsi="Garamond"/>
          <w:sz w:val="24"/>
          <w:szCs w:val="24"/>
        </w:rPr>
        <w:t xml:space="preserve"> is necessary to state explicitly given the security-</w:t>
      </w:r>
      <w:r w:rsidR="008071DD">
        <w:rPr>
          <w:rFonts w:ascii="Garamond" w:hAnsi="Garamond"/>
          <w:sz w:val="24"/>
          <w:szCs w:val="24"/>
        </w:rPr>
        <w:t>based claims sometimes raised by S</w:t>
      </w:r>
      <w:r w:rsidR="006A486E" w:rsidRPr="006A486E">
        <w:rPr>
          <w:rFonts w:ascii="Garamond" w:hAnsi="Garamond"/>
          <w:sz w:val="24"/>
          <w:szCs w:val="24"/>
        </w:rPr>
        <w:t>tates that seek to justify a narrowing of this right</w:t>
      </w:r>
      <w:r w:rsidR="008071DD">
        <w:rPr>
          <w:rFonts w:ascii="Garamond" w:hAnsi="Garamond"/>
          <w:sz w:val="24"/>
          <w:szCs w:val="24"/>
        </w:rPr>
        <w:t xml:space="preserve">. </w:t>
      </w:r>
      <w:r w:rsidR="009E019E">
        <w:rPr>
          <w:rFonts w:ascii="Garamond" w:hAnsi="Garamond"/>
          <w:sz w:val="24"/>
          <w:szCs w:val="24"/>
        </w:rPr>
        <w:t>For example, the commentary to the Copenhagen Principles states that ‘[o]</w:t>
      </w:r>
      <w:proofErr w:type="spellStart"/>
      <w:r w:rsidR="009E019E" w:rsidRPr="009E019E">
        <w:rPr>
          <w:rFonts w:ascii="Garamond" w:hAnsi="Garamond"/>
          <w:sz w:val="24"/>
          <w:szCs w:val="24"/>
        </w:rPr>
        <w:t>perational</w:t>
      </w:r>
      <w:proofErr w:type="spellEnd"/>
      <w:r w:rsidR="009E019E" w:rsidRPr="009E019E">
        <w:rPr>
          <w:rFonts w:ascii="Garamond" w:hAnsi="Garamond"/>
          <w:sz w:val="24"/>
          <w:szCs w:val="24"/>
        </w:rPr>
        <w:t xml:space="preserve"> necessities or resource constraints, such as force protection or the availability of interpreters, may sometimes make it difficult to advise the detainee of the specific reasons for the detention at the precise moment of </w:t>
      </w:r>
      <w:r w:rsidR="009E019E" w:rsidRPr="009E019E">
        <w:rPr>
          <w:rFonts w:ascii="Garamond" w:hAnsi="Garamond"/>
          <w:sz w:val="24"/>
          <w:szCs w:val="24"/>
        </w:rPr>
        <w:lastRenderedPageBreak/>
        <w:t>detention.</w:t>
      </w:r>
      <w:r w:rsidR="009E019E">
        <w:rPr>
          <w:rFonts w:ascii="Garamond" w:hAnsi="Garamond"/>
          <w:sz w:val="24"/>
          <w:szCs w:val="24"/>
        </w:rPr>
        <w:t>’</w:t>
      </w:r>
      <w:r w:rsidR="009E019E">
        <w:rPr>
          <w:rStyle w:val="FootnoteReference"/>
          <w:rFonts w:ascii="Garamond" w:hAnsi="Garamond"/>
          <w:sz w:val="24"/>
          <w:szCs w:val="24"/>
        </w:rPr>
        <w:footnoteReference w:id="27"/>
      </w:r>
      <w:r w:rsidR="006A486E" w:rsidRPr="006A486E">
        <w:rPr>
          <w:rFonts w:ascii="Garamond" w:hAnsi="Garamond"/>
          <w:sz w:val="24"/>
          <w:szCs w:val="24"/>
        </w:rPr>
        <w:t xml:space="preserve"> </w:t>
      </w:r>
      <w:r w:rsidR="009E019E">
        <w:rPr>
          <w:rFonts w:ascii="Garamond" w:hAnsi="Garamond"/>
          <w:sz w:val="24"/>
          <w:szCs w:val="24"/>
        </w:rPr>
        <w:t xml:space="preserve">Whilst </w:t>
      </w:r>
      <w:r w:rsidR="00DC6148">
        <w:rPr>
          <w:rFonts w:ascii="Garamond" w:hAnsi="Garamond"/>
          <w:sz w:val="24"/>
          <w:szCs w:val="24"/>
        </w:rPr>
        <w:t xml:space="preserve">other treaty bodies have accepted that </w:t>
      </w:r>
      <w:r w:rsidR="009E019E">
        <w:rPr>
          <w:rFonts w:ascii="Garamond" w:hAnsi="Garamond"/>
          <w:sz w:val="24"/>
          <w:szCs w:val="24"/>
        </w:rPr>
        <w:t xml:space="preserve">the particular circumstances </w:t>
      </w:r>
      <w:r w:rsidR="00DC6148">
        <w:rPr>
          <w:rFonts w:ascii="Garamond" w:hAnsi="Garamond"/>
          <w:sz w:val="24"/>
          <w:szCs w:val="24"/>
        </w:rPr>
        <w:t>may well be relevant to the precise operation of this norm,</w:t>
      </w:r>
      <w:r w:rsidR="00DC6148">
        <w:rPr>
          <w:rStyle w:val="FootnoteReference"/>
          <w:rFonts w:ascii="Garamond" w:hAnsi="Garamond"/>
          <w:sz w:val="24"/>
          <w:szCs w:val="24"/>
        </w:rPr>
        <w:footnoteReference w:id="28"/>
      </w:r>
      <w:r w:rsidR="00DC6148">
        <w:rPr>
          <w:rFonts w:ascii="Garamond" w:hAnsi="Garamond"/>
          <w:sz w:val="24"/>
          <w:szCs w:val="24"/>
        </w:rPr>
        <w:t xml:space="preserve"> the present authors feel it necessary to emphasise that such circumstances should never be invoked to undermine the core of this right, given its role as a </w:t>
      </w:r>
      <w:r w:rsidR="00DC6148">
        <w:rPr>
          <w:rFonts w:ascii="Garamond" w:hAnsi="Garamond"/>
          <w:i/>
          <w:sz w:val="24"/>
          <w:szCs w:val="24"/>
        </w:rPr>
        <w:t>sine qua non</w:t>
      </w:r>
      <w:r w:rsidR="00DC6148">
        <w:rPr>
          <w:rFonts w:ascii="Garamond" w:hAnsi="Garamond"/>
          <w:sz w:val="24"/>
          <w:szCs w:val="24"/>
        </w:rPr>
        <w:t xml:space="preserve"> to the effective exercise of the right to </w:t>
      </w:r>
      <w:r w:rsidR="00DC6148">
        <w:rPr>
          <w:rFonts w:ascii="Garamond" w:hAnsi="Garamond"/>
          <w:i/>
          <w:sz w:val="24"/>
          <w:szCs w:val="24"/>
        </w:rPr>
        <w:t>habeas corpus</w:t>
      </w:r>
      <w:r w:rsidR="00DC6148">
        <w:rPr>
          <w:rFonts w:ascii="Garamond" w:hAnsi="Garamond"/>
          <w:sz w:val="24"/>
          <w:szCs w:val="24"/>
        </w:rPr>
        <w:t xml:space="preserve">. </w:t>
      </w:r>
    </w:p>
    <w:p w:rsidR="000A16F3" w:rsidRDefault="000A16F3" w:rsidP="009E019E">
      <w:pPr>
        <w:jc w:val="both"/>
        <w:rPr>
          <w:rFonts w:ascii="Garamond" w:hAnsi="Garamond"/>
          <w:sz w:val="24"/>
          <w:szCs w:val="24"/>
        </w:rPr>
      </w:pPr>
    </w:p>
    <w:p w:rsidR="00E642EE" w:rsidRDefault="00E642EE" w:rsidP="009E019E">
      <w:pPr>
        <w:jc w:val="both"/>
        <w:rPr>
          <w:rFonts w:ascii="Garamond" w:hAnsi="Garamond"/>
          <w:b/>
          <w:sz w:val="24"/>
          <w:szCs w:val="24"/>
        </w:rPr>
      </w:pPr>
      <w:r>
        <w:rPr>
          <w:rFonts w:ascii="Garamond" w:hAnsi="Garamond"/>
          <w:b/>
          <w:sz w:val="24"/>
          <w:szCs w:val="24"/>
        </w:rPr>
        <w:t xml:space="preserve">V. Judicial Control of Criminal Detention </w:t>
      </w:r>
    </w:p>
    <w:p w:rsidR="00497713" w:rsidRDefault="003B34D7" w:rsidP="003B34D7">
      <w:pPr>
        <w:tabs>
          <w:tab w:val="left" w:pos="567"/>
        </w:tabs>
        <w:jc w:val="both"/>
        <w:rPr>
          <w:rFonts w:ascii="Garamond" w:hAnsi="Garamond"/>
          <w:sz w:val="24"/>
          <w:szCs w:val="24"/>
        </w:rPr>
      </w:pPr>
      <w:r>
        <w:rPr>
          <w:rFonts w:ascii="Garamond" w:hAnsi="Garamond"/>
          <w:sz w:val="24"/>
          <w:szCs w:val="24"/>
        </w:rPr>
        <w:t xml:space="preserve">11. </w:t>
      </w:r>
      <w:r>
        <w:rPr>
          <w:rFonts w:ascii="Garamond" w:hAnsi="Garamond"/>
          <w:sz w:val="24"/>
          <w:szCs w:val="24"/>
        </w:rPr>
        <w:tab/>
      </w:r>
      <w:r w:rsidR="00497713" w:rsidRPr="00062D60">
        <w:rPr>
          <w:rFonts w:ascii="Garamond" w:hAnsi="Garamond"/>
          <w:sz w:val="24"/>
          <w:szCs w:val="24"/>
        </w:rPr>
        <w:t>The present authors fully agree with the Committee’s view that, whilst the ‘promptness’ requirement in Article 9(3) ICCPR ‘may vary depending on objective circumstances … delays should not exceed a few days from the time of arrest’</w:t>
      </w:r>
      <w:r w:rsidR="00497713">
        <w:rPr>
          <w:rFonts w:ascii="Garamond" w:hAnsi="Garamond"/>
          <w:sz w:val="24"/>
          <w:szCs w:val="24"/>
        </w:rPr>
        <w:t>,</w:t>
      </w:r>
      <w:r w:rsidR="00497713" w:rsidRPr="00F411C4">
        <w:rPr>
          <w:rFonts w:ascii="Garamond" w:hAnsi="Garamond"/>
          <w:sz w:val="24"/>
          <w:szCs w:val="24"/>
        </w:rPr>
        <w:t xml:space="preserve"> </w:t>
      </w:r>
      <w:r w:rsidR="00497713">
        <w:rPr>
          <w:rFonts w:ascii="Garamond" w:hAnsi="Garamond"/>
          <w:sz w:val="24"/>
          <w:szCs w:val="24"/>
        </w:rPr>
        <w:t>a</w:t>
      </w:r>
      <w:r w:rsidR="00497713" w:rsidRPr="00F411C4">
        <w:rPr>
          <w:rFonts w:ascii="Garamond" w:hAnsi="Garamond"/>
          <w:sz w:val="24"/>
          <w:szCs w:val="24"/>
        </w:rPr>
        <w:t>nd that ‘</w:t>
      </w:r>
      <w:r w:rsidR="00497713" w:rsidRPr="00062D60">
        <w:rPr>
          <w:rFonts w:ascii="Garamond" w:hAnsi="Garamond"/>
          <w:sz w:val="24"/>
          <w:szCs w:val="24"/>
        </w:rPr>
        <w:t>forty-eight hours is ordinarily sufficient to transport the individual and to pr</w:t>
      </w:r>
      <w:r w:rsidR="00497713">
        <w:rPr>
          <w:rFonts w:ascii="Garamond" w:hAnsi="Garamond"/>
          <w:sz w:val="24"/>
          <w:szCs w:val="24"/>
        </w:rPr>
        <w:t>epare for the judicial hearing;</w:t>
      </w:r>
      <w:r w:rsidR="00497713" w:rsidRPr="00062D60">
        <w:rPr>
          <w:rFonts w:ascii="Garamond" w:hAnsi="Garamond"/>
          <w:sz w:val="24"/>
          <w:szCs w:val="24"/>
        </w:rPr>
        <w:t xml:space="preserve"> any delay longer than forty-eight hours must remain absolutely exceptional and be justified under the circumstances’.</w:t>
      </w:r>
      <w:r w:rsidR="00497713" w:rsidRPr="00062D60">
        <w:rPr>
          <w:rStyle w:val="FootnoteReference"/>
          <w:rFonts w:ascii="Garamond" w:hAnsi="Garamond"/>
          <w:sz w:val="24"/>
          <w:szCs w:val="24"/>
        </w:rPr>
        <w:footnoteReference w:id="29"/>
      </w:r>
      <w:r w:rsidR="00497713" w:rsidRPr="00062D60">
        <w:rPr>
          <w:rFonts w:ascii="Garamond" w:hAnsi="Garamond"/>
          <w:sz w:val="24"/>
          <w:szCs w:val="24"/>
        </w:rPr>
        <w:t xml:space="preserve"> We feel that this is important to emphasise </w:t>
      </w:r>
      <w:r w:rsidR="00497713">
        <w:rPr>
          <w:rFonts w:ascii="Garamond" w:hAnsi="Garamond"/>
          <w:sz w:val="24"/>
          <w:szCs w:val="24"/>
        </w:rPr>
        <w:t>given that this concerns an issue for which international supervision is especially necessary, as domestic authorities seek solutions to</w:t>
      </w:r>
      <w:r w:rsidR="00497713" w:rsidRPr="005E64E4">
        <w:t xml:space="preserve"> </w:t>
      </w:r>
      <w:r w:rsidR="00497713" w:rsidRPr="005E64E4">
        <w:rPr>
          <w:rFonts w:ascii="Garamond" w:hAnsi="Garamond"/>
          <w:sz w:val="24"/>
          <w:szCs w:val="24"/>
        </w:rPr>
        <w:t>pressing problems</w:t>
      </w:r>
      <w:r w:rsidR="00497713">
        <w:rPr>
          <w:rFonts w:ascii="Garamond" w:hAnsi="Garamond"/>
          <w:sz w:val="24"/>
          <w:szCs w:val="24"/>
        </w:rPr>
        <w:t>. T</w:t>
      </w:r>
      <w:r w:rsidR="00497713" w:rsidRPr="00062D60">
        <w:rPr>
          <w:rFonts w:ascii="Garamond" w:hAnsi="Garamond"/>
          <w:sz w:val="24"/>
          <w:szCs w:val="24"/>
        </w:rPr>
        <w:t xml:space="preserve">he </w:t>
      </w:r>
      <w:proofErr w:type="spellStart"/>
      <w:r w:rsidR="00497713" w:rsidRPr="00062D60">
        <w:rPr>
          <w:rFonts w:ascii="Garamond" w:hAnsi="Garamond"/>
          <w:sz w:val="24"/>
          <w:szCs w:val="24"/>
        </w:rPr>
        <w:t>ECtHR</w:t>
      </w:r>
      <w:proofErr w:type="spellEnd"/>
      <w:r w:rsidR="00497713">
        <w:rPr>
          <w:rFonts w:ascii="Garamond" w:hAnsi="Garamond"/>
          <w:sz w:val="24"/>
          <w:szCs w:val="24"/>
        </w:rPr>
        <w:t>,</w:t>
      </w:r>
      <w:r w:rsidR="00497713" w:rsidRPr="00062D60">
        <w:rPr>
          <w:rFonts w:ascii="Garamond" w:hAnsi="Garamond"/>
          <w:sz w:val="24"/>
          <w:szCs w:val="24"/>
        </w:rPr>
        <w:t xml:space="preserve"> </w:t>
      </w:r>
      <w:r w:rsidR="00497713">
        <w:rPr>
          <w:rFonts w:ascii="Garamond" w:hAnsi="Garamond"/>
          <w:sz w:val="24"/>
          <w:szCs w:val="24"/>
        </w:rPr>
        <w:t xml:space="preserve">with the narrowest possible majority, </w:t>
      </w:r>
      <w:r w:rsidR="00497713" w:rsidRPr="00062D60">
        <w:rPr>
          <w:rFonts w:ascii="Garamond" w:hAnsi="Garamond"/>
          <w:sz w:val="24"/>
          <w:szCs w:val="24"/>
        </w:rPr>
        <w:t xml:space="preserve">in </w:t>
      </w:r>
      <w:proofErr w:type="spellStart"/>
      <w:r w:rsidR="00497713" w:rsidRPr="00062D60">
        <w:rPr>
          <w:rFonts w:ascii="Garamond" w:hAnsi="Garamond"/>
          <w:i/>
          <w:sz w:val="24"/>
          <w:szCs w:val="24"/>
        </w:rPr>
        <w:t>Medvedyev</w:t>
      </w:r>
      <w:proofErr w:type="spellEnd"/>
      <w:r w:rsidR="00497713">
        <w:rPr>
          <w:rFonts w:ascii="Garamond" w:hAnsi="Garamond"/>
          <w:i/>
          <w:sz w:val="24"/>
          <w:szCs w:val="24"/>
        </w:rPr>
        <w:t xml:space="preserve"> and others v France</w:t>
      </w:r>
      <w:r w:rsidR="00497713">
        <w:rPr>
          <w:rFonts w:ascii="Garamond" w:hAnsi="Garamond"/>
          <w:sz w:val="24"/>
          <w:szCs w:val="24"/>
        </w:rPr>
        <w:t xml:space="preserve"> held that the ‘</w:t>
      </w:r>
      <w:r w:rsidR="00497713" w:rsidRPr="00DB0745">
        <w:rPr>
          <w:rFonts w:ascii="Garamond" w:hAnsi="Garamond"/>
          <w:sz w:val="24"/>
          <w:szCs w:val="24"/>
        </w:rPr>
        <w:t>w</w:t>
      </w:r>
      <w:r w:rsidR="00497713">
        <w:rPr>
          <w:rFonts w:ascii="Garamond" w:hAnsi="Garamond"/>
          <w:sz w:val="24"/>
          <w:szCs w:val="24"/>
        </w:rPr>
        <w:t>holly exceptional circumstances’</w:t>
      </w:r>
      <w:r w:rsidR="00497713" w:rsidRPr="00DB0745">
        <w:rPr>
          <w:rFonts w:ascii="Garamond" w:hAnsi="Garamond"/>
          <w:sz w:val="24"/>
          <w:szCs w:val="24"/>
        </w:rPr>
        <w:t xml:space="preserve"> </w:t>
      </w:r>
      <w:r w:rsidR="00497713">
        <w:rPr>
          <w:rFonts w:ascii="Garamond" w:hAnsi="Garamond"/>
          <w:sz w:val="24"/>
          <w:szCs w:val="24"/>
        </w:rPr>
        <w:t xml:space="preserve">where </w:t>
      </w:r>
      <w:r w:rsidR="00497713" w:rsidRPr="00DB0745">
        <w:rPr>
          <w:rFonts w:ascii="Garamond" w:hAnsi="Garamond"/>
          <w:sz w:val="24"/>
          <w:szCs w:val="24"/>
        </w:rPr>
        <w:t xml:space="preserve">detainees </w:t>
      </w:r>
      <w:r w:rsidR="00497713">
        <w:rPr>
          <w:rFonts w:ascii="Garamond" w:hAnsi="Garamond"/>
          <w:sz w:val="24"/>
          <w:szCs w:val="24"/>
        </w:rPr>
        <w:t>had been</w:t>
      </w:r>
      <w:r w:rsidR="00497713" w:rsidRPr="00DB0745">
        <w:rPr>
          <w:rFonts w:ascii="Garamond" w:hAnsi="Garamond"/>
          <w:sz w:val="24"/>
          <w:szCs w:val="24"/>
        </w:rPr>
        <w:t xml:space="preserve"> intercepted on the high seas and then taken back to France </w:t>
      </w:r>
      <w:r w:rsidR="00497713">
        <w:rPr>
          <w:rFonts w:ascii="Garamond" w:hAnsi="Garamond"/>
          <w:sz w:val="24"/>
          <w:szCs w:val="24"/>
        </w:rPr>
        <w:t>could</w:t>
      </w:r>
      <w:r w:rsidR="00497713" w:rsidRPr="00DB0745">
        <w:rPr>
          <w:rFonts w:ascii="Garamond" w:hAnsi="Garamond"/>
          <w:sz w:val="24"/>
          <w:szCs w:val="24"/>
        </w:rPr>
        <w:t xml:space="preserve"> justif</w:t>
      </w:r>
      <w:r w:rsidR="00497713">
        <w:rPr>
          <w:rFonts w:ascii="Garamond" w:hAnsi="Garamond"/>
          <w:sz w:val="24"/>
          <w:szCs w:val="24"/>
        </w:rPr>
        <w:t>y a delay of 13 days.</w:t>
      </w:r>
      <w:r w:rsidR="00497713">
        <w:rPr>
          <w:rStyle w:val="FootnoteReference"/>
          <w:rFonts w:ascii="Garamond" w:hAnsi="Garamond"/>
          <w:sz w:val="24"/>
          <w:szCs w:val="24"/>
        </w:rPr>
        <w:footnoteReference w:id="30"/>
      </w:r>
      <w:r w:rsidR="00497713">
        <w:rPr>
          <w:rFonts w:ascii="Garamond" w:hAnsi="Garamond"/>
          <w:sz w:val="24"/>
          <w:szCs w:val="24"/>
        </w:rPr>
        <w:t xml:space="preserve"> </w:t>
      </w:r>
      <w:r w:rsidR="00497713" w:rsidRPr="00F411C4">
        <w:rPr>
          <w:rFonts w:ascii="Garamond" w:hAnsi="Garamond"/>
          <w:sz w:val="24"/>
          <w:szCs w:val="24"/>
        </w:rPr>
        <w:t xml:space="preserve">The minority </w:t>
      </w:r>
      <w:r w:rsidR="004D433D">
        <w:rPr>
          <w:rFonts w:ascii="Garamond" w:hAnsi="Garamond"/>
          <w:sz w:val="24"/>
          <w:szCs w:val="24"/>
        </w:rPr>
        <w:t xml:space="preserve">(Judges </w:t>
      </w:r>
      <w:proofErr w:type="spellStart"/>
      <w:r w:rsidR="004D433D">
        <w:rPr>
          <w:rFonts w:ascii="Garamond" w:hAnsi="Garamond"/>
          <w:sz w:val="24"/>
          <w:szCs w:val="24"/>
        </w:rPr>
        <w:t>Tulkens</w:t>
      </w:r>
      <w:proofErr w:type="spellEnd"/>
      <w:r w:rsidR="004D433D">
        <w:rPr>
          <w:rFonts w:ascii="Garamond" w:hAnsi="Garamond"/>
          <w:sz w:val="24"/>
          <w:szCs w:val="24"/>
        </w:rPr>
        <w:t xml:space="preserve">, </w:t>
      </w:r>
      <w:proofErr w:type="spellStart"/>
      <w:r w:rsidR="004D433D">
        <w:rPr>
          <w:rFonts w:ascii="Garamond" w:hAnsi="Garamond"/>
          <w:sz w:val="24"/>
          <w:szCs w:val="24"/>
        </w:rPr>
        <w:t>Bonello</w:t>
      </w:r>
      <w:proofErr w:type="spellEnd"/>
      <w:r w:rsidR="004D433D">
        <w:rPr>
          <w:rFonts w:ascii="Garamond" w:hAnsi="Garamond"/>
          <w:sz w:val="24"/>
          <w:szCs w:val="24"/>
        </w:rPr>
        <w:t xml:space="preserve">, </w:t>
      </w:r>
      <w:proofErr w:type="spellStart"/>
      <w:r w:rsidR="004D433D">
        <w:rPr>
          <w:rFonts w:ascii="Garamond" w:hAnsi="Garamond"/>
          <w:sz w:val="24"/>
          <w:szCs w:val="24"/>
        </w:rPr>
        <w:t>Zupančič</w:t>
      </w:r>
      <w:proofErr w:type="spellEnd"/>
      <w:r w:rsidR="004D433D">
        <w:rPr>
          <w:rFonts w:ascii="Garamond" w:hAnsi="Garamond"/>
          <w:sz w:val="24"/>
          <w:szCs w:val="24"/>
        </w:rPr>
        <w:t xml:space="preserve">, </w:t>
      </w:r>
      <w:proofErr w:type="spellStart"/>
      <w:r w:rsidR="004D433D">
        <w:rPr>
          <w:rFonts w:ascii="Garamond" w:hAnsi="Garamond"/>
          <w:sz w:val="24"/>
          <w:szCs w:val="24"/>
        </w:rPr>
        <w:t>Fura</w:t>
      </w:r>
      <w:proofErr w:type="spellEnd"/>
      <w:r w:rsidR="004D433D">
        <w:rPr>
          <w:rFonts w:ascii="Garamond" w:hAnsi="Garamond"/>
          <w:sz w:val="24"/>
          <w:szCs w:val="24"/>
        </w:rPr>
        <w:t xml:space="preserve">, </w:t>
      </w:r>
      <w:proofErr w:type="spellStart"/>
      <w:r w:rsidR="004D433D">
        <w:rPr>
          <w:rFonts w:ascii="Garamond" w:hAnsi="Garamond"/>
          <w:sz w:val="24"/>
          <w:szCs w:val="24"/>
        </w:rPr>
        <w:t>Spielmann</w:t>
      </w:r>
      <w:proofErr w:type="spellEnd"/>
      <w:r w:rsidR="004D433D">
        <w:rPr>
          <w:rFonts w:ascii="Garamond" w:hAnsi="Garamond"/>
          <w:sz w:val="24"/>
          <w:szCs w:val="24"/>
        </w:rPr>
        <w:t xml:space="preserve">, </w:t>
      </w:r>
      <w:proofErr w:type="spellStart"/>
      <w:r w:rsidR="004D433D">
        <w:rPr>
          <w:rFonts w:ascii="Garamond" w:hAnsi="Garamond"/>
          <w:sz w:val="24"/>
          <w:szCs w:val="24"/>
        </w:rPr>
        <w:t>Tsotsoria</w:t>
      </w:r>
      <w:proofErr w:type="spellEnd"/>
      <w:r w:rsidR="004D433D">
        <w:rPr>
          <w:rFonts w:ascii="Garamond" w:hAnsi="Garamond"/>
          <w:sz w:val="24"/>
          <w:szCs w:val="24"/>
        </w:rPr>
        <w:t xml:space="preserve">, Power and </w:t>
      </w:r>
      <w:proofErr w:type="spellStart"/>
      <w:r w:rsidR="004D433D">
        <w:rPr>
          <w:rFonts w:ascii="Garamond" w:hAnsi="Garamond"/>
          <w:sz w:val="24"/>
          <w:szCs w:val="24"/>
        </w:rPr>
        <w:t>Poalelungi</w:t>
      </w:r>
      <w:proofErr w:type="spellEnd"/>
      <w:r w:rsidR="004D433D">
        <w:rPr>
          <w:rFonts w:ascii="Garamond" w:hAnsi="Garamond"/>
          <w:sz w:val="24"/>
          <w:szCs w:val="24"/>
        </w:rPr>
        <w:t>)</w:t>
      </w:r>
      <w:bookmarkStart w:id="0" w:name="_GoBack"/>
      <w:bookmarkEnd w:id="0"/>
      <w:r w:rsidR="004D433D">
        <w:rPr>
          <w:rFonts w:ascii="Garamond" w:hAnsi="Garamond"/>
          <w:sz w:val="24"/>
          <w:szCs w:val="24"/>
        </w:rPr>
        <w:t xml:space="preserve"> </w:t>
      </w:r>
      <w:r w:rsidR="00497713" w:rsidRPr="00F411C4">
        <w:rPr>
          <w:rFonts w:ascii="Garamond" w:hAnsi="Garamond"/>
          <w:sz w:val="24"/>
          <w:szCs w:val="24"/>
        </w:rPr>
        <w:t xml:space="preserve">referred to </w:t>
      </w:r>
      <w:r w:rsidR="00497713">
        <w:rPr>
          <w:rFonts w:ascii="Garamond" w:hAnsi="Garamond"/>
          <w:i/>
          <w:sz w:val="24"/>
          <w:szCs w:val="24"/>
        </w:rPr>
        <w:t>Brogan and Others v</w:t>
      </w:r>
      <w:r w:rsidR="00497713" w:rsidRPr="00F411C4">
        <w:rPr>
          <w:rFonts w:ascii="Garamond" w:hAnsi="Garamond"/>
          <w:i/>
          <w:sz w:val="24"/>
          <w:szCs w:val="24"/>
        </w:rPr>
        <w:t xml:space="preserve"> United Kingdom</w:t>
      </w:r>
      <w:r w:rsidR="00497713" w:rsidRPr="00F411C4">
        <w:rPr>
          <w:rStyle w:val="FootnoteReference"/>
          <w:rFonts w:ascii="Garamond" w:hAnsi="Garamond"/>
          <w:i/>
          <w:sz w:val="24"/>
          <w:szCs w:val="24"/>
        </w:rPr>
        <w:footnoteReference w:id="31"/>
      </w:r>
      <w:r w:rsidR="00497713" w:rsidRPr="00F411C4">
        <w:rPr>
          <w:rFonts w:ascii="Garamond" w:hAnsi="Garamond"/>
          <w:sz w:val="24"/>
          <w:szCs w:val="24"/>
        </w:rPr>
        <w:t xml:space="preserve"> where the Court held that a period of detention in police custody amounting to four days and six hours without judicial review fell outside the strict constraints permitted by Article 5 § 3 </w:t>
      </w:r>
      <w:r w:rsidR="00FE36E1">
        <w:rPr>
          <w:rFonts w:ascii="Garamond" w:hAnsi="Garamond"/>
          <w:sz w:val="24"/>
          <w:szCs w:val="24"/>
        </w:rPr>
        <w:t>of the European Convention on Human Rights (ECHR)</w:t>
      </w:r>
      <w:r w:rsidR="00497713" w:rsidRPr="00F411C4">
        <w:rPr>
          <w:rFonts w:ascii="Garamond" w:hAnsi="Garamond"/>
          <w:sz w:val="24"/>
          <w:szCs w:val="24"/>
        </w:rPr>
        <w:t xml:space="preserve">, notwithstanding the fact that it was aimed at protecting the community as a whole from terrorism. The minority also referred to </w:t>
      </w:r>
      <w:proofErr w:type="spellStart"/>
      <w:r w:rsidR="00497713">
        <w:rPr>
          <w:rFonts w:ascii="Garamond" w:hAnsi="Garamond"/>
          <w:i/>
          <w:sz w:val="24"/>
          <w:szCs w:val="24"/>
        </w:rPr>
        <w:t>Öcalan</w:t>
      </w:r>
      <w:proofErr w:type="spellEnd"/>
      <w:r w:rsidR="00497713">
        <w:rPr>
          <w:rFonts w:ascii="Garamond" w:hAnsi="Garamond"/>
          <w:i/>
          <w:sz w:val="24"/>
          <w:szCs w:val="24"/>
        </w:rPr>
        <w:t xml:space="preserve"> v</w:t>
      </w:r>
      <w:r w:rsidR="00497713" w:rsidRPr="00F411C4">
        <w:rPr>
          <w:rFonts w:ascii="Garamond" w:hAnsi="Garamond"/>
          <w:i/>
          <w:sz w:val="24"/>
          <w:szCs w:val="24"/>
        </w:rPr>
        <w:t xml:space="preserve"> Turkey</w:t>
      </w:r>
      <w:r w:rsidR="00497713">
        <w:rPr>
          <w:rStyle w:val="FootnoteReference"/>
          <w:rFonts w:ascii="Garamond" w:hAnsi="Garamond"/>
          <w:i/>
          <w:sz w:val="24"/>
          <w:szCs w:val="24"/>
        </w:rPr>
        <w:footnoteReference w:id="32"/>
      </w:r>
      <w:r w:rsidR="00497713" w:rsidRPr="00F411C4">
        <w:rPr>
          <w:rFonts w:ascii="Garamond" w:hAnsi="Garamond"/>
          <w:sz w:val="24"/>
          <w:szCs w:val="24"/>
        </w:rPr>
        <w:t xml:space="preserve"> where a period of seven days’ detention without being brought before a judge was </w:t>
      </w:r>
      <w:r w:rsidR="00497713">
        <w:rPr>
          <w:rFonts w:ascii="Garamond" w:hAnsi="Garamond"/>
          <w:sz w:val="24"/>
          <w:szCs w:val="24"/>
        </w:rPr>
        <w:t xml:space="preserve">held to be </w:t>
      </w:r>
      <w:r w:rsidR="00497713" w:rsidRPr="00F411C4">
        <w:rPr>
          <w:rFonts w:ascii="Garamond" w:hAnsi="Garamond"/>
          <w:sz w:val="24"/>
          <w:szCs w:val="24"/>
        </w:rPr>
        <w:t>incompatibl</w:t>
      </w:r>
      <w:r w:rsidR="00497713">
        <w:rPr>
          <w:rFonts w:ascii="Garamond" w:hAnsi="Garamond"/>
          <w:sz w:val="24"/>
          <w:szCs w:val="24"/>
        </w:rPr>
        <w:t>e with Article 5 § 3 ECHR. Whilst</w:t>
      </w:r>
      <w:r w:rsidR="00497713" w:rsidRPr="00F411C4">
        <w:rPr>
          <w:rFonts w:ascii="Garamond" w:hAnsi="Garamond"/>
          <w:sz w:val="24"/>
          <w:szCs w:val="24"/>
        </w:rPr>
        <w:t xml:space="preserve"> the minority did not exclude the possibility t</w:t>
      </w:r>
      <w:r w:rsidR="00497713">
        <w:rPr>
          <w:rFonts w:ascii="Garamond" w:hAnsi="Garamond"/>
          <w:sz w:val="24"/>
          <w:szCs w:val="24"/>
        </w:rPr>
        <w:t>hat there may, at times, exist ‘</w:t>
      </w:r>
      <w:r w:rsidR="00497713" w:rsidRPr="00F411C4">
        <w:rPr>
          <w:rFonts w:ascii="Garamond" w:hAnsi="Garamond"/>
          <w:sz w:val="24"/>
          <w:szCs w:val="24"/>
        </w:rPr>
        <w:t>w</w:t>
      </w:r>
      <w:r w:rsidR="00497713">
        <w:rPr>
          <w:rFonts w:ascii="Garamond" w:hAnsi="Garamond"/>
          <w:sz w:val="24"/>
          <w:szCs w:val="24"/>
        </w:rPr>
        <w:t>holly exceptional circumstances’, they</w:t>
      </w:r>
      <w:r w:rsidR="00497713" w:rsidRPr="00F411C4">
        <w:rPr>
          <w:rFonts w:ascii="Garamond" w:hAnsi="Garamond"/>
          <w:sz w:val="24"/>
          <w:szCs w:val="24"/>
        </w:rPr>
        <w:t xml:space="preserve"> demonstrated that </w:t>
      </w:r>
      <w:r w:rsidR="00A3722A">
        <w:rPr>
          <w:rFonts w:ascii="Garamond" w:hAnsi="Garamond"/>
          <w:sz w:val="24"/>
          <w:szCs w:val="24"/>
        </w:rPr>
        <w:t xml:space="preserve">a number of alternative options existed that would have enabled </w:t>
      </w:r>
      <w:r w:rsidR="00E659D1">
        <w:rPr>
          <w:rFonts w:ascii="Garamond" w:hAnsi="Garamond"/>
          <w:sz w:val="24"/>
          <w:szCs w:val="24"/>
        </w:rPr>
        <w:t xml:space="preserve">France </w:t>
      </w:r>
      <w:r w:rsidR="00A3722A">
        <w:rPr>
          <w:rFonts w:ascii="Garamond" w:hAnsi="Garamond"/>
          <w:sz w:val="24"/>
          <w:szCs w:val="24"/>
        </w:rPr>
        <w:t xml:space="preserve">to comply </w:t>
      </w:r>
      <w:r w:rsidR="00497713" w:rsidRPr="00F411C4">
        <w:rPr>
          <w:rFonts w:ascii="Garamond" w:hAnsi="Garamond"/>
          <w:sz w:val="24"/>
          <w:szCs w:val="24"/>
        </w:rPr>
        <w:t>with their obligation</w:t>
      </w:r>
      <w:r w:rsidR="00E659D1">
        <w:rPr>
          <w:rFonts w:ascii="Garamond" w:hAnsi="Garamond"/>
          <w:sz w:val="24"/>
          <w:szCs w:val="24"/>
        </w:rPr>
        <w:t>s</w:t>
      </w:r>
      <w:r w:rsidR="00497713" w:rsidRPr="00F411C4">
        <w:rPr>
          <w:rFonts w:ascii="Garamond" w:hAnsi="Garamond"/>
          <w:sz w:val="24"/>
          <w:szCs w:val="24"/>
        </w:rPr>
        <w:t xml:space="preserve"> to provide access to a lawyer and </w:t>
      </w:r>
      <w:r w:rsidR="00497713">
        <w:rPr>
          <w:rFonts w:ascii="Garamond" w:hAnsi="Garamond"/>
          <w:sz w:val="24"/>
          <w:szCs w:val="24"/>
        </w:rPr>
        <w:t xml:space="preserve">to </w:t>
      </w:r>
      <w:r w:rsidR="00497713" w:rsidRPr="00F411C4">
        <w:rPr>
          <w:rFonts w:ascii="Garamond" w:hAnsi="Garamond"/>
          <w:sz w:val="24"/>
          <w:szCs w:val="24"/>
        </w:rPr>
        <w:t xml:space="preserve">bring detainees promptly before a judge. </w:t>
      </w:r>
      <w:r w:rsidR="00497713">
        <w:rPr>
          <w:rFonts w:ascii="Garamond" w:hAnsi="Garamond"/>
          <w:sz w:val="24"/>
          <w:szCs w:val="24"/>
        </w:rPr>
        <w:t>T</w:t>
      </w:r>
      <w:r w:rsidR="00497713" w:rsidRPr="00F411C4">
        <w:rPr>
          <w:rFonts w:ascii="Garamond" w:hAnsi="Garamond"/>
          <w:sz w:val="24"/>
          <w:szCs w:val="24"/>
        </w:rPr>
        <w:t>he European Court has</w:t>
      </w:r>
      <w:r w:rsidR="00497713">
        <w:rPr>
          <w:rFonts w:ascii="Garamond" w:hAnsi="Garamond"/>
          <w:sz w:val="24"/>
          <w:szCs w:val="24"/>
        </w:rPr>
        <w:t xml:space="preserve"> narrowed down the </w:t>
      </w:r>
      <w:r w:rsidR="00A3722A">
        <w:rPr>
          <w:rFonts w:ascii="Garamond" w:hAnsi="Garamond"/>
          <w:sz w:val="24"/>
          <w:szCs w:val="24"/>
        </w:rPr>
        <w:t>‘</w:t>
      </w:r>
      <w:r w:rsidR="00497713" w:rsidRPr="00F411C4">
        <w:rPr>
          <w:rFonts w:ascii="Garamond" w:hAnsi="Garamond"/>
          <w:sz w:val="24"/>
          <w:szCs w:val="24"/>
        </w:rPr>
        <w:t>who</w:t>
      </w:r>
      <w:r w:rsidR="00497713">
        <w:rPr>
          <w:rFonts w:ascii="Garamond" w:hAnsi="Garamond"/>
          <w:sz w:val="24"/>
          <w:szCs w:val="24"/>
        </w:rPr>
        <w:t>lly exceptional circumstances</w:t>
      </w:r>
      <w:r w:rsidR="00A3722A">
        <w:rPr>
          <w:rFonts w:ascii="Garamond" w:hAnsi="Garamond"/>
          <w:sz w:val="24"/>
          <w:szCs w:val="24"/>
        </w:rPr>
        <w:t>’</w:t>
      </w:r>
      <w:r w:rsidR="00497713">
        <w:rPr>
          <w:rFonts w:ascii="Garamond" w:hAnsi="Garamond"/>
          <w:sz w:val="24"/>
          <w:szCs w:val="24"/>
        </w:rPr>
        <w:t xml:space="preserve"> in several decisions, </w:t>
      </w:r>
      <w:r w:rsidR="00A3722A">
        <w:rPr>
          <w:rFonts w:ascii="Garamond" w:hAnsi="Garamond"/>
          <w:sz w:val="24"/>
          <w:szCs w:val="24"/>
        </w:rPr>
        <w:t>including</w:t>
      </w:r>
      <w:r w:rsidR="00497713">
        <w:rPr>
          <w:rFonts w:ascii="Garamond" w:hAnsi="Garamond"/>
          <w:sz w:val="24"/>
          <w:szCs w:val="24"/>
        </w:rPr>
        <w:t xml:space="preserve"> </w:t>
      </w:r>
      <w:proofErr w:type="spellStart"/>
      <w:r w:rsidR="00A3722A">
        <w:rPr>
          <w:rFonts w:ascii="Garamond" w:hAnsi="Garamond"/>
          <w:i/>
          <w:sz w:val="24"/>
          <w:szCs w:val="24"/>
        </w:rPr>
        <w:t>Vassis</w:t>
      </w:r>
      <w:proofErr w:type="spellEnd"/>
      <w:r w:rsidR="00A3722A">
        <w:rPr>
          <w:rFonts w:ascii="Garamond" w:hAnsi="Garamond"/>
          <w:i/>
          <w:sz w:val="24"/>
          <w:szCs w:val="24"/>
        </w:rPr>
        <w:t xml:space="preserve"> and Others v</w:t>
      </w:r>
      <w:r w:rsidR="00497713" w:rsidRPr="00F411C4">
        <w:rPr>
          <w:rFonts w:ascii="Garamond" w:hAnsi="Garamond"/>
          <w:i/>
          <w:sz w:val="24"/>
          <w:szCs w:val="24"/>
        </w:rPr>
        <w:t xml:space="preserve"> France</w:t>
      </w:r>
      <w:r w:rsidR="00A3722A">
        <w:rPr>
          <w:rFonts w:ascii="Garamond" w:hAnsi="Garamond"/>
          <w:sz w:val="24"/>
          <w:szCs w:val="24"/>
        </w:rPr>
        <w:t>,</w:t>
      </w:r>
      <w:r w:rsidR="00497713">
        <w:rPr>
          <w:rStyle w:val="FootnoteReference"/>
          <w:rFonts w:ascii="Garamond" w:hAnsi="Garamond"/>
          <w:i/>
          <w:sz w:val="24"/>
          <w:szCs w:val="24"/>
        </w:rPr>
        <w:footnoteReference w:id="33"/>
      </w:r>
      <w:r w:rsidR="00497713">
        <w:rPr>
          <w:rFonts w:ascii="Garamond" w:hAnsi="Garamond"/>
          <w:sz w:val="24"/>
          <w:szCs w:val="24"/>
        </w:rPr>
        <w:t xml:space="preserve"> </w:t>
      </w:r>
      <w:r w:rsidR="00A3722A">
        <w:rPr>
          <w:rFonts w:ascii="Garamond" w:hAnsi="Garamond"/>
          <w:sz w:val="24"/>
          <w:szCs w:val="24"/>
        </w:rPr>
        <w:t xml:space="preserve">in which </w:t>
      </w:r>
      <w:r w:rsidR="00497713">
        <w:rPr>
          <w:rFonts w:ascii="Garamond" w:hAnsi="Garamond"/>
          <w:sz w:val="24"/>
          <w:szCs w:val="24"/>
        </w:rPr>
        <w:t xml:space="preserve">France was held </w:t>
      </w:r>
      <w:r w:rsidR="00E659D1">
        <w:rPr>
          <w:rFonts w:ascii="Garamond" w:hAnsi="Garamond"/>
          <w:sz w:val="24"/>
          <w:szCs w:val="24"/>
        </w:rPr>
        <w:t xml:space="preserve">to be </w:t>
      </w:r>
      <w:r w:rsidR="00497713">
        <w:rPr>
          <w:rFonts w:ascii="Garamond" w:hAnsi="Garamond"/>
          <w:sz w:val="24"/>
          <w:szCs w:val="24"/>
        </w:rPr>
        <w:t xml:space="preserve">in breach as the detainees had to wait an additional 48 hours before they </w:t>
      </w:r>
      <w:r w:rsidR="00A3722A">
        <w:rPr>
          <w:rFonts w:ascii="Garamond" w:hAnsi="Garamond"/>
          <w:sz w:val="24"/>
          <w:szCs w:val="24"/>
        </w:rPr>
        <w:t xml:space="preserve">were </w:t>
      </w:r>
      <w:r w:rsidR="00497713">
        <w:rPr>
          <w:rFonts w:ascii="Garamond" w:hAnsi="Garamond"/>
          <w:sz w:val="24"/>
          <w:szCs w:val="24"/>
        </w:rPr>
        <w:t xml:space="preserve">brought before a judicial authority after their arrival in France.  In the aftermath of </w:t>
      </w:r>
      <w:proofErr w:type="spellStart"/>
      <w:r w:rsidR="00497713" w:rsidRPr="00164B29">
        <w:rPr>
          <w:rFonts w:ascii="Garamond" w:hAnsi="Garamond"/>
          <w:i/>
          <w:sz w:val="24"/>
          <w:szCs w:val="24"/>
        </w:rPr>
        <w:t>Medvedyev</w:t>
      </w:r>
      <w:proofErr w:type="spellEnd"/>
      <w:r w:rsidR="00497713" w:rsidRPr="00164B29">
        <w:rPr>
          <w:rFonts w:ascii="Garamond" w:hAnsi="Garamond"/>
          <w:i/>
          <w:sz w:val="24"/>
          <w:szCs w:val="24"/>
        </w:rPr>
        <w:t xml:space="preserve"> and others v France</w:t>
      </w:r>
      <w:r w:rsidR="00497713" w:rsidRPr="00164B29">
        <w:rPr>
          <w:rFonts w:ascii="Garamond" w:hAnsi="Garamond"/>
          <w:sz w:val="24"/>
          <w:szCs w:val="24"/>
        </w:rPr>
        <w:t xml:space="preserve"> </w:t>
      </w:r>
      <w:r w:rsidR="00BD6923">
        <w:rPr>
          <w:rFonts w:ascii="Garamond" w:hAnsi="Garamond"/>
          <w:sz w:val="24"/>
          <w:szCs w:val="24"/>
        </w:rPr>
        <w:t>some S</w:t>
      </w:r>
      <w:r w:rsidR="00497713">
        <w:rPr>
          <w:rFonts w:ascii="Garamond" w:hAnsi="Garamond"/>
          <w:sz w:val="24"/>
          <w:szCs w:val="24"/>
        </w:rPr>
        <w:t xml:space="preserve">tates have legislated </w:t>
      </w:r>
      <w:r w:rsidR="00754EEA">
        <w:rPr>
          <w:rFonts w:ascii="Garamond" w:hAnsi="Garamond"/>
          <w:sz w:val="24"/>
          <w:szCs w:val="24"/>
        </w:rPr>
        <w:t xml:space="preserve">in a manner that exploits this apparent </w:t>
      </w:r>
      <w:r w:rsidR="00497713">
        <w:rPr>
          <w:rFonts w:ascii="Garamond" w:hAnsi="Garamond"/>
          <w:sz w:val="24"/>
          <w:szCs w:val="24"/>
        </w:rPr>
        <w:t xml:space="preserve">exception </w:t>
      </w:r>
      <w:r w:rsidR="00754EEA">
        <w:rPr>
          <w:rFonts w:ascii="Garamond" w:hAnsi="Garamond"/>
          <w:sz w:val="24"/>
          <w:szCs w:val="24"/>
        </w:rPr>
        <w:t xml:space="preserve">to Article 5(3) ECHR </w:t>
      </w:r>
      <w:r w:rsidR="00497713">
        <w:rPr>
          <w:rFonts w:ascii="Garamond" w:hAnsi="Garamond"/>
          <w:sz w:val="24"/>
          <w:szCs w:val="24"/>
        </w:rPr>
        <w:t xml:space="preserve">for the period in transit, no matter how long. This is already in breach of the restrictions on what constitutes </w:t>
      </w:r>
      <w:r w:rsidR="00754EEA">
        <w:rPr>
          <w:rFonts w:ascii="Garamond" w:hAnsi="Garamond"/>
          <w:sz w:val="24"/>
          <w:szCs w:val="24"/>
        </w:rPr>
        <w:t>‘</w:t>
      </w:r>
      <w:r w:rsidR="00497713" w:rsidRPr="00F411C4">
        <w:rPr>
          <w:rFonts w:ascii="Garamond" w:hAnsi="Garamond"/>
          <w:sz w:val="24"/>
          <w:szCs w:val="24"/>
        </w:rPr>
        <w:t>who</w:t>
      </w:r>
      <w:r w:rsidR="00754EEA">
        <w:rPr>
          <w:rFonts w:ascii="Garamond" w:hAnsi="Garamond"/>
          <w:sz w:val="24"/>
          <w:szCs w:val="24"/>
        </w:rPr>
        <w:t>lly exceptional circumstances’</w:t>
      </w:r>
      <w:r w:rsidR="00497713">
        <w:rPr>
          <w:rFonts w:ascii="Garamond" w:hAnsi="Garamond"/>
          <w:sz w:val="24"/>
          <w:szCs w:val="24"/>
        </w:rPr>
        <w:t xml:space="preserve"> and will </w:t>
      </w:r>
      <w:r w:rsidR="00754EEA">
        <w:rPr>
          <w:rFonts w:ascii="Garamond" w:hAnsi="Garamond"/>
          <w:sz w:val="24"/>
          <w:szCs w:val="24"/>
        </w:rPr>
        <w:t xml:space="preserve">no doubt </w:t>
      </w:r>
      <w:r w:rsidR="00497713">
        <w:rPr>
          <w:rFonts w:ascii="Garamond" w:hAnsi="Garamond"/>
          <w:sz w:val="24"/>
          <w:szCs w:val="24"/>
        </w:rPr>
        <w:t xml:space="preserve">fall afoul of the </w:t>
      </w:r>
      <w:r w:rsidR="00754EEA">
        <w:rPr>
          <w:rFonts w:ascii="Garamond" w:hAnsi="Garamond"/>
          <w:sz w:val="24"/>
          <w:szCs w:val="24"/>
        </w:rPr>
        <w:t>subsequent</w:t>
      </w:r>
      <w:r w:rsidR="00497713">
        <w:rPr>
          <w:rFonts w:ascii="Garamond" w:hAnsi="Garamond"/>
          <w:sz w:val="24"/>
          <w:szCs w:val="24"/>
        </w:rPr>
        <w:t xml:space="preserve"> </w:t>
      </w:r>
      <w:r w:rsidR="00754EEA">
        <w:rPr>
          <w:rFonts w:ascii="Garamond" w:hAnsi="Garamond"/>
          <w:sz w:val="24"/>
          <w:szCs w:val="24"/>
        </w:rPr>
        <w:t xml:space="preserve">case law of the </w:t>
      </w:r>
      <w:proofErr w:type="spellStart"/>
      <w:r w:rsidR="00754EEA">
        <w:rPr>
          <w:rFonts w:ascii="Garamond" w:hAnsi="Garamond"/>
          <w:sz w:val="24"/>
          <w:szCs w:val="24"/>
        </w:rPr>
        <w:t>ECtHR</w:t>
      </w:r>
      <w:proofErr w:type="spellEnd"/>
      <w:r w:rsidR="00754EEA">
        <w:rPr>
          <w:rFonts w:ascii="Garamond" w:hAnsi="Garamond"/>
          <w:sz w:val="24"/>
          <w:szCs w:val="24"/>
        </w:rPr>
        <w:t xml:space="preserve"> here in which it can be expected to give incremental </w:t>
      </w:r>
      <w:r w:rsidR="00497713">
        <w:rPr>
          <w:rFonts w:ascii="Garamond" w:hAnsi="Garamond"/>
          <w:sz w:val="24"/>
          <w:szCs w:val="24"/>
        </w:rPr>
        <w:t xml:space="preserve">effect </w:t>
      </w:r>
      <w:r w:rsidR="00754EEA">
        <w:rPr>
          <w:rFonts w:ascii="Garamond" w:hAnsi="Garamond"/>
          <w:sz w:val="24"/>
          <w:szCs w:val="24"/>
        </w:rPr>
        <w:t xml:space="preserve">to </w:t>
      </w:r>
      <w:r w:rsidR="00497713">
        <w:rPr>
          <w:rFonts w:ascii="Garamond" w:hAnsi="Garamond"/>
          <w:sz w:val="24"/>
          <w:szCs w:val="24"/>
        </w:rPr>
        <w:t>the promptness requirement.</w:t>
      </w:r>
    </w:p>
    <w:p w:rsidR="00E642EE" w:rsidRPr="00BC137E" w:rsidRDefault="00754EEA" w:rsidP="00754EEA">
      <w:pPr>
        <w:tabs>
          <w:tab w:val="left" w:pos="567"/>
        </w:tabs>
        <w:jc w:val="both"/>
        <w:rPr>
          <w:rFonts w:ascii="Garamond" w:hAnsi="Garamond"/>
          <w:sz w:val="24"/>
          <w:szCs w:val="24"/>
        </w:rPr>
      </w:pPr>
      <w:r>
        <w:rPr>
          <w:rFonts w:ascii="Garamond" w:hAnsi="Garamond"/>
          <w:sz w:val="24"/>
          <w:szCs w:val="24"/>
        </w:rPr>
        <w:lastRenderedPageBreak/>
        <w:t xml:space="preserve">12. </w:t>
      </w:r>
      <w:r>
        <w:rPr>
          <w:rFonts w:ascii="Garamond" w:hAnsi="Garamond"/>
          <w:sz w:val="24"/>
          <w:szCs w:val="24"/>
        </w:rPr>
        <w:tab/>
      </w:r>
      <w:r w:rsidR="00631EEF">
        <w:rPr>
          <w:rFonts w:ascii="Garamond" w:hAnsi="Garamond"/>
          <w:sz w:val="24"/>
          <w:szCs w:val="24"/>
        </w:rPr>
        <w:t xml:space="preserve">The present authors cannot accept the view </w:t>
      </w:r>
      <w:r>
        <w:rPr>
          <w:rFonts w:ascii="Garamond" w:hAnsi="Garamond"/>
          <w:sz w:val="24"/>
          <w:szCs w:val="24"/>
        </w:rPr>
        <w:t xml:space="preserve">in </w:t>
      </w:r>
      <w:proofErr w:type="spellStart"/>
      <w:r>
        <w:rPr>
          <w:rFonts w:ascii="Garamond" w:hAnsi="Garamond"/>
          <w:i/>
          <w:sz w:val="24"/>
          <w:szCs w:val="24"/>
        </w:rPr>
        <w:t>Medvedyev</w:t>
      </w:r>
      <w:proofErr w:type="spellEnd"/>
      <w:r>
        <w:rPr>
          <w:rFonts w:ascii="Garamond" w:hAnsi="Garamond"/>
          <w:i/>
          <w:sz w:val="24"/>
          <w:szCs w:val="24"/>
        </w:rPr>
        <w:t xml:space="preserve"> </w:t>
      </w:r>
      <w:r w:rsidR="00631EEF">
        <w:rPr>
          <w:rFonts w:ascii="Garamond" w:hAnsi="Garamond"/>
          <w:sz w:val="24"/>
          <w:szCs w:val="24"/>
        </w:rPr>
        <w:t xml:space="preserve">that the promptness requirement </w:t>
      </w:r>
      <w:r w:rsidR="00DF08E3">
        <w:rPr>
          <w:rFonts w:ascii="Garamond" w:hAnsi="Garamond"/>
          <w:sz w:val="24"/>
          <w:szCs w:val="24"/>
        </w:rPr>
        <w:t>is</w:t>
      </w:r>
      <w:r w:rsidR="00631EEF">
        <w:rPr>
          <w:rFonts w:ascii="Garamond" w:hAnsi="Garamond"/>
          <w:sz w:val="24"/>
          <w:szCs w:val="24"/>
        </w:rPr>
        <w:t xml:space="preserve"> effectively suspended until a detainee is taken to an appropriate place where they can </w:t>
      </w:r>
      <w:r w:rsidR="00BD6923">
        <w:rPr>
          <w:rFonts w:ascii="Garamond" w:hAnsi="Garamond"/>
          <w:sz w:val="24"/>
          <w:szCs w:val="24"/>
        </w:rPr>
        <w:t>appear</w:t>
      </w:r>
      <w:r w:rsidR="00631EEF">
        <w:rPr>
          <w:rFonts w:ascii="Garamond" w:hAnsi="Garamond"/>
          <w:sz w:val="24"/>
          <w:szCs w:val="24"/>
        </w:rPr>
        <w:t xml:space="preserve"> before a judicial officer. We feel this is a worrying suggestion especially in light of the development of anti-piracy measures, as part of which individuals could be detained on board ships. In such circumstances, their right to judicial control of detention must not </w:t>
      </w:r>
      <w:r w:rsidR="00DF08E3">
        <w:rPr>
          <w:rFonts w:ascii="Garamond" w:hAnsi="Garamond"/>
          <w:sz w:val="24"/>
          <w:szCs w:val="24"/>
        </w:rPr>
        <w:t>unduly</w:t>
      </w:r>
      <w:r w:rsidR="00631EEF">
        <w:rPr>
          <w:rFonts w:ascii="Garamond" w:hAnsi="Garamond"/>
          <w:sz w:val="24"/>
          <w:szCs w:val="24"/>
        </w:rPr>
        <w:t xml:space="preserve"> be </w:t>
      </w:r>
      <w:r w:rsidR="00DF08E3">
        <w:rPr>
          <w:rFonts w:ascii="Garamond" w:hAnsi="Garamond"/>
          <w:sz w:val="24"/>
          <w:szCs w:val="24"/>
        </w:rPr>
        <w:t>restricted</w:t>
      </w:r>
      <w:r w:rsidR="00631EEF">
        <w:rPr>
          <w:rFonts w:ascii="Garamond" w:hAnsi="Garamond"/>
          <w:sz w:val="24"/>
          <w:szCs w:val="24"/>
        </w:rPr>
        <w:t xml:space="preserve"> by virtue of their location. </w:t>
      </w:r>
    </w:p>
    <w:p w:rsidR="00E642EE" w:rsidRPr="00E642EE" w:rsidRDefault="00E642EE" w:rsidP="009E019E">
      <w:pPr>
        <w:jc w:val="both"/>
        <w:rPr>
          <w:rFonts w:ascii="Garamond" w:hAnsi="Garamond"/>
          <w:sz w:val="24"/>
          <w:szCs w:val="24"/>
        </w:rPr>
      </w:pPr>
    </w:p>
    <w:p w:rsidR="000A16F3" w:rsidRDefault="004A79E4" w:rsidP="009E019E">
      <w:pPr>
        <w:jc w:val="both"/>
        <w:rPr>
          <w:rFonts w:ascii="Garamond" w:hAnsi="Garamond"/>
          <w:b/>
          <w:sz w:val="24"/>
          <w:szCs w:val="24"/>
        </w:rPr>
      </w:pPr>
      <w:r>
        <w:rPr>
          <w:rFonts w:ascii="Garamond" w:hAnsi="Garamond"/>
          <w:b/>
          <w:sz w:val="24"/>
          <w:szCs w:val="24"/>
        </w:rPr>
        <w:t>V</w:t>
      </w:r>
      <w:r w:rsidR="00BD52F7">
        <w:rPr>
          <w:rFonts w:ascii="Garamond" w:hAnsi="Garamond"/>
          <w:b/>
          <w:sz w:val="24"/>
          <w:szCs w:val="24"/>
        </w:rPr>
        <w:t>I</w:t>
      </w:r>
      <w:r>
        <w:rPr>
          <w:rFonts w:ascii="Garamond" w:hAnsi="Garamond"/>
          <w:b/>
          <w:sz w:val="24"/>
          <w:szCs w:val="24"/>
        </w:rPr>
        <w:t xml:space="preserve">. </w:t>
      </w:r>
      <w:r w:rsidR="000A16F3">
        <w:rPr>
          <w:rFonts w:ascii="Garamond" w:hAnsi="Garamond"/>
          <w:b/>
          <w:i/>
          <w:sz w:val="24"/>
          <w:szCs w:val="24"/>
        </w:rPr>
        <w:t>Habeas Corpus</w:t>
      </w:r>
    </w:p>
    <w:p w:rsidR="003A4514" w:rsidRDefault="005C0E64" w:rsidP="00C56BD7">
      <w:pPr>
        <w:tabs>
          <w:tab w:val="left" w:pos="567"/>
        </w:tabs>
        <w:jc w:val="both"/>
        <w:rPr>
          <w:rFonts w:ascii="Garamond" w:hAnsi="Garamond"/>
          <w:sz w:val="24"/>
          <w:szCs w:val="24"/>
        </w:rPr>
      </w:pPr>
      <w:r>
        <w:rPr>
          <w:rFonts w:ascii="Garamond" w:hAnsi="Garamond"/>
          <w:sz w:val="24"/>
          <w:szCs w:val="24"/>
        </w:rPr>
        <w:t>13</w:t>
      </w:r>
      <w:r w:rsidR="00C56BD7">
        <w:rPr>
          <w:rFonts w:ascii="Garamond" w:hAnsi="Garamond"/>
          <w:sz w:val="24"/>
          <w:szCs w:val="24"/>
        </w:rPr>
        <w:t xml:space="preserve">. </w:t>
      </w:r>
      <w:r w:rsidR="00C56BD7">
        <w:rPr>
          <w:rFonts w:ascii="Garamond" w:hAnsi="Garamond"/>
          <w:sz w:val="24"/>
          <w:szCs w:val="24"/>
        </w:rPr>
        <w:tab/>
      </w:r>
      <w:r w:rsidR="0036798D">
        <w:rPr>
          <w:rFonts w:ascii="Garamond" w:hAnsi="Garamond"/>
          <w:sz w:val="24"/>
          <w:szCs w:val="24"/>
        </w:rPr>
        <w:t xml:space="preserve">We agree with the Human Rights Committee that </w:t>
      </w:r>
      <w:r w:rsidR="00927DAD">
        <w:rPr>
          <w:rFonts w:ascii="Garamond" w:hAnsi="Garamond"/>
          <w:sz w:val="24"/>
          <w:szCs w:val="24"/>
        </w:rPr>
        <w:t xml:space="preserve">the </w:t>
      </w:r>
      <w:r w:rsidR="0036798D">
        <w:rPr>
          <w:rFonts w:ascii="Garamond" w:hAnsi="Garamond"/>
          <w:sz w:val="24"/>
          <w:szCs w:val="24"/>
        </w:rPr>
        <w:t>‘court’ review</w:t>
      </w:r>
      <w:r w:rsidR="00927DAD">
        <w:rPr>
          <w:rFonts w:ascii="Garamond" w:hAnsi="Garamond"/>
          <w:sz w:val="24"/>
          <w:szCs w:val="24"/>
        </w:rPr>
        <w:t>ing</w:t>
      </w:r>
      <w:r w:rsidR="0036798D">
        <w:rPr>
          <w:rFonts w:ascii="Garamond" w:hAnsi="Garamond"/>
          <w:sz w:val="24"/>
          <w:szCs w:val="24"/>
        </w:rPr>
        <w:t xml:space="preserve"> the legality of detention </w:t>
      </w:r>
      <w:r w:rsidR="00927DAD">
        <w:rPr>
          <w:rFonts w:ascii="Garamond" w:hAnsi="Garamond"/>
          <w:sz w:val="24"/>
          <w:szCs w:val="24"/>
        </w:rPr>
        <w:t xml:space="preserve">under </w:t>
      </w:r>
      <w:r w:rsidR="0036798D">
        <w:rPr>
          <w:rFonts w:ascii="Garamond" w:hAnsi="Garamond"/>
          <w:sz w:val="24"/>
          <w:szCs w:val="24"/>
        </w:rPr>
        <w:t>Article 9(4) ICCPR, although not defined in strict terms, must always be a body that is impartial and independent of the authority that ordered the initial detention</w:t>
      </w:r>
      <w:r w:rsidR="006E081B">
        <w:rPr>
          <w:rFonts w:ascii="Garamond" w:hAnsi="Garamond"/>
          <w:sz w:val="24"/>
          <w:szCs w:val="24"/>
        </w:rPr>
        <w:t>,</w:t>
      </w:r>
      <w:r w:rsidR="0036798D">
        <w:rPr>
          <w:rStyle w:val="FootnoteReference"/>
          <w:rFonts w:ascii="Garamond" w:hAnsi="Garamond"/>
          <w:sz w:val="24"/>
          <w:szCs w:val="24"/>
        </w:rPr>
        <w:footnoteReference w:id="34"/>
      </w:r>
      <w:r w:rsidR="006E081B">
        <w:rPr>
          <w:rFonts w:ascii="Garamond" w:hAnsi="Garamond"/>
          <w:sz w:val="24"/>
          <w:szCs w:val="24"/>
        </w:rPr>
        <w:t xml:space="preserve"> and have the authority to order release where detention is found to be unlawful.</w:t>
      </w:r>
      <w:r w:rsidR="006E081B">
        <w:rPr>
          <w:rStyle w:val="FootnoteReference"/>
          <w:rFonts w:ascii="Garamond" w:hAnsi="Garamond"/>
          <w:sz w:val="24"/>
          <w:szCs w:val="24"/>
        </w:rPr>
        <w:footnoteReference w:id="35"/>
      </w:r>
      <w:r w:rsidR="0036798D">
        <w:rPr>
          <w:rFonts w:ascii="Garamond" w:hAnsi="Garamond"/>
          <w:sz w:val="24"/>
          <w:szCs w:val="24"/>
        </w:rPr>
        <w:t xml:space="preserve"> </w:t>
      </w:r>
      <w:r w:rsidR="008201D1">
        <w:rPr>
          <w:rFonts w:ascii="Garamond" w:hAnsi="Garamond"/>
          <w:sz w:val="24"/>
          <w:szCs w:val="24"/>
        </w:rPr>
        <w:t xml:space="preserve">We do, however, feel that this point could be made more strongly by relying on the object and purpose of the right to </w:t>
      </w:r>
      <w:r w:rsidR="008201D1">
        <w:rPr>
          <w:rFonts w:ascii="Garamond" w:hAnsi="Garamond"/>
          <w:i/>
          <w:sz w:val="24"/>
          <w:szCs w:val="24"/>
        </w:rPr>
        <w:t>habeas corpus</w:t>
      </w:r>
      <w:r w:rsidR="008201D1">
        <w:rPr>
          <w:rFonts w:ascii="Garamond" w:hAnsi="Garamond"/>
          <w:sz w:val="24"/>
          <w:szCs w:val="24"/>
        </w:rPr>
        <w:t xml:space="preserve">. </w:t>
      </w:r>
      <w:r w:rsidR="00B0085E">
        <w:rPr>
          <w:rFonts w:ascii="Garamond" w:hAnsi="Garamond"/>
          <w:sz w:val="24"/>
          <w:szCs w:val="24"/>
        </w:rPr>
        <w:t>Thus, international jurisprudence has confirmed that the object and purpose of this right is to provide a check on the detention authority of the State and enforce the basic prohibition of arbitrary detention.</w:t>
      </w:r>
      <w:r w:rsidR="00BF1B02">
        <w:rPr>
          <w:rStyle w:val="FootnoteReference"/>
          <w:rFonts w:ascii="Garamond" w:hAnsi="Garamond"/>
          <w:sz w:val="24"/>
          <w:szCs w:val="24"/>
        </w:rPr>
        <w:footnoteReference w:id="36"/>
      </w:r>
      <w:r w:rsidR="00B0085E">
        <w:rPr>
          <w:rFonts w:ascii="Garamond" w:hAnsi="Garamond"/>
          <w:sz w:val="24"/>
          <w:szCs w:val="24"/>
        </w:rPr>
        <w:t xml:space="preserve"> </w:t>
      </w:r>
      <w:r w:rsidR="00FB1B31">
        <w:rPr>
          <w:rFonts w:ascii="Garamond" w:hAnsi="Garamond"/>
          <w:sz w:val="24"/>
          <w:szCs w:val="24"/>
        </w:rPr>
        <w:t>This can only be achieved if the reviewing body is impartial and independent from the State authority that ordered the initial detention</w:t>
      </w:r>
      <w:r w:rsidR="006E081B">
        <w:rPr>
          <w:rFonts w:ascii="Garamond" w:hAnsi="Garamond"/>
          <w:sz w:val="24"/>
          <w:szCs w:val="24"/>
        </w:rPr>
        <w:t xml:space="preserve"> and has the power to order release where it finds detention to be unlawful</w:t>
      </w:r>
      <w:r w:rsidR="00FB1B31">
        <w:rPr>
          <w:rFonts w:ascii="Garamond" w:hAnsi="Garamond"/>
          <w:sz w:val="24"/>
          <w:szCs w:val="24"/>
        </w:rPr>
        <w:t xml:space="preserve">. </w:t>
      </w:r>
      <w:r w:rsidR="00B031B3">
        <w:rPr>
          <w:rFonts w:ascii="Garamond" w:hAnsi="Garamond"/>
          <w:sz w:val="24"/>
          <w:szCs w:val="24"/>
        </w:rPr>
        <w:t>Indeed, other human rights treaty bodies have confirmed these requirements.</w:t>
      </w:r>
      <w:r w:rsidR="00B031B3">
        <w:rPr>
          <w:rStyle w:val="FootnoteReference"/>
          <w:rFonts w:ascii="Garamond" w:hAnsi="Garamond"/>
          <w:sz w:val="24"/>
          <w:szCs w:val="24"/>
        </w:rPr>
        <w:footnoteReference w:id="37"/>
      </w:r>
    </w:p>
    <w:p w:rsidR="000A16F3" w:rsidRDefault="005C0E64" w:rsidP="00927DAD">
      <w:pPr>
        <w:tabs>
          <w:tab w:val="left" w:pos="567"/>
        </w:tabs>
        <w:jc w:val="both"/>
        <w:rPr>
          <w:rFonts w:ascii="Garamond" w:hAnsi="Garamond"/>
          <w:sz w:val="24"/>
          <w:szCs w:val="24"/>
        </w:rPr>
      </w:pPr>
      <w:r>
        <w:rPr>
          <w:rFonts w:ascii="Garamond" w:hAnsi="Garamond"/>
          <w:sz w:val="24"/>
          <w:szCs w:val="24"/>
        </w:rPr>
        <w:t>14</w:t>
      </w:r>
      <w:r w:rsidR="00927DAD">
        <w:rPr>
          <w:rFonts w:ascii="Garamond" w:hAnsi="Garamond"/>
          <w:sz w:val="24"/>
          <w:szCs w:val="24"/>
        </w:rPr>
        <w:t xml:space="preserve">. </w:t>
      </w:r>
      <w:r w:rsidR="00927DAD">
        <w:rPr>
          <w:rFonts w:ascii="Garamond" w:hAnsi="Garamond"/>
          <w:sz w:val="24"/>
          <w:szCs w:val="24"/>
        </w:rPr>
        <w:tab/>
      </w:r>
      <w:r w:rsidR="002256F6">
        <w:rPr>
          <w:rFonts w:ascii="Garamond" w:hAnsi="Garamond"/>
          <w:sz w:val="24"/>
          <w:szCs w:val="24"/>
        </w:rPr>
        <w:t xml:space="preserve">We consider this point to be especially worthy of clarification given that certain </w:t>
      </w:r>
      <w:r w:rsidR="00404BCD">
        <w:rPr>
          <w:rFonts w:ascii="Garamond" w:hAnsi="Garamond"/>
          <w:sz w:val="24"/>
          <w:szCs w:val="24"/>
        </w:rPr>
        <w:t xml:space="preserve">(minority) </w:t>
      </w:r>
      <w:r w:rsidR="002256F6">
        <w:rPr>
          <w:rFonts w:ascii="Garamond" w:hAnsi="Garamond"/>
          <w:sz w:val="24"/>
          <w:szCs w:val="24"/>
        </w:rPr>
        <w:t>jurisprudence</w:t>
      </w:r>
      <w:r w:rsidR="00404BCD">
        <w:rPr>
          <w:rFonts w:ascii="Garamond" w:hAnsi="Garamond"/>
          <w:sz w:val="24"/>
          <w:szCs w:val="24"/>
        </w:rPr>
        <w:t xml:space="preserve"> appears to accept a far less stringent standard, permitting the use of non-judicial bodies for the purposes of </w:t>
      </w:r>
      <w:r w:rsidR="00404BCD">
        <w:rPr>
          <w:rFonts w:ascii="Garamond" w:hAnsi="Garamond"/>
          <w:i/>
          <w:sz w:val="24"/>
          <w:szCs w:val="24"/>
        </w:rPr>
        <w:t>habeas</w:t>
      </w:r>
      <w:r w:rsidR="00404BCD">
        <w:rPr>
          <w:rFonts w:ascii="Garamond" w:hAnsi="Garamond"/>
          <w:sz w:val="24"/>
          <w:szCs w:val="24"/>
        </w:rPr>
        <w:t xml:space="preserve"> review.</w:t>
      </w:r>
      <w:r w:rsidR="00404BCD">
        <w:rPr>
          <w:rStyle w:val="FootnoteReference"/>
          <w:rFonts w:ascii="Garamond" w:hAnsi="Garamond"/>
          <w:sz w:val="24"/>
          <w:szCs w:val="24"/>
        </w:rPr>
        <w:footnoteReference w:id="38"/>
      </w:r>
      <w:r w:rsidR="00404BCD">
        <w:rPr>
          <w:rFonts w:ascii="Garamond" w:hAnsi="Garamond"/>
          <w:sz w:val="24"/>
          <w:szCs w:val="24"/>
        </w:rPr>
        <w:t xml:space="preserve"> </w:t>
      </w:r>
      <w:r w:rsidR="006E081B">
        <w:rPr>
          <w:rFonts w:ascii="Garamond" w:hAnsi="Garamond"/>
          <w:sz w:val="24"/>
          <w:szCs w:val="24"/>
        </w:rPr>
        <w:t xml:space="preserve">Furthermore, </w:t>
      </w:r>
      <w:r w:rsidR="00316E64">
        <w:rPr>
          <w:rFonts w:ascii="Garamond" w:hAnsi="Garamond"/>
          <w:sz w:val="24"/>
          <w:szCs w:val="24"/>
        </w:rPr>
        <w:t xml:space="preserve">certain recent practice appears to attempt to transgress the requirement that </w:t>
      </w:r>
      <w:r w:rsidR="00BF0D32">
        <w:rPr>
          <w:rFonts w:ascii="Garamond" w:hAnsi="Garamond"/>
          <w:sz w:val="24"/>
          <w:szCs w:val="24"/>
        </w:rPr>
        <w:t xml:space="preserve">the </w:t>
      </w:r>
      <w:r w:rsidR="00316E64">
        <w:rPr>
          <w:rFonts w:ascii="Garamond" w:hAnsi="Garamond"/>
          <w:sz w:val="24"/>
          <w:szCs w:val="24"/>
        </w:rPr>
        <w:t>reviewing body have the power to order release. Thus, the commentary to the Copenhagen Principles suggests that the review body need not necessarily have the power to order release, whether from preventive, security detention or penal detention.</w:t>
      </w:r>
      <w:r w:rsidR="00316E64">
        <w:rPr>
          <w:rStyle w:val="FootnoteReference"/>
          <w:rFonts w:ascii="Garamond" w:hAnsi="Garamond"/>
          <w:sz w:val="24"/>
          <w:szCs w:val="24"/>
        </w:rPr>
        <w:footnoteReference w:id="39"/>
      </w:r>
      <w:r w:rsidR="00304856">
        <w:rPr>
          <w:rFonts w:ascii="Garamond" w:hAnsi="Garamond"/>
          <w:sz w:val="24"/>
          <w:szCs w:val="24"/>
        </w:rPr>
        <w:t xml:space="preserve"> It is clear that this would entirely undermine the core of the right to </w:t>
      </w:r>
      <w:r w:rsidR="00304856">
        <w:rPr>
          <w:rFonts w:ascii="Garamond" w:hAnsi="Garamond"/>
          <w:i/>
          <w:sz w:val="24"/>
          <w:szCs w:val="24"/>
        </w:rPr>
        <w:t xml:space="preserve">habeas corpus </w:t>
      </w:r>
      <w:r w:rsidR="00304856">
        <w:rPr>
          <w:rFonts w:ascii="Garamond" w:hAnsi="Garamond"/>
          <w:sz w:val="24"/>
          <w:szCs w:val="24"/>
        </w:rPr>
        <w:t xml:space="preserve">and would thus be inconsistent with Article 9(4) ICCPR. </w:t>
      </w:r>
    </w:p>
    <w:p w:rsidR="00EB1170" w:rsidRDefault="005C0E64" w:rsidP="00905890">
      <w:pPr>
        <w:tabs>
          <w:tab w:val="left" w:pos="567"/>
        </w:tabs>
        <w:jc w:val="both"/>
        <w:rPr>
          <w:rFonts w:ascii="Garamond" w:hAnsi="Garamond"/>
          <w:sz w:val="24"/>
          <w:szCs w:val="24"/>
        </w:rPr>
      </w:pPr>
      <w:r>
        <w:rPr>
          <w:rFonts w:ascii="Garamond" w:hAnsi="Garamond"/>
          <w:sz w:val="24"/>
          <w:szCs w:val="24"/>
        </w:rPr>
        <w:lastRenderedPageBreak/>
        <w:t>15</w:t>
      </w:r>
      <w:r w:rsidR="00905890">
        <w:rPr>
          <w:rFonts w:ascii="Garamond" w:hAnsi="Garamond"/>
          <w:sz w:val="24"/>
          <w:szCs w:val="24"/>
        </w:rPr>
        <w:t xml:space="preserve">. </w:t>
      </w:r>
      <w:r w:rsidR="00905890">
        <w:rPr>
          <w:rFonts w:ascii="Garamond" w:hAnsi="Garamond"/>
          <w:sz w:val="24"/>
          <w:szCs w:val="24"/>
        </w:rPr>
        <w:tab/>
      </w:r>
      <w:r w:rsidR="00EB1170">
        <w:rPr>
          <w:rFonts w:ascii="Garamond" w:hAnsi="Garamond"/>
          <w:sz w:val="24"/>
          <w:szCs w:val="24"/>
        </w:rPr>
        <w:t xml:space="preserve">Draft General Comment 35 also correctly acknowledges that the right to </w:t>
      </w:r>
      <w:r w:rsidR="00EB1170">
        <w:rPr>
          <w:rFonts w:ascii="Garamond" w:hAnsi="Garamond"/>
          <w:i/>
          <w:sz w:val="24"/>
          <w:szCs w:val="24"/>
        </w:rPr>
        <w:t>habeas corpus</w:t>
      </w:r>
      <w:r w:rsidR="00EB1170">
        <w:rPr>
          <w:rFonts w:ascii="Garamond" w:hAnsi="Garamond"/>
          <w:sz w:val="24"/>
          <w:szCs w:val="24"/>
        </w:rPr>
        <w:t xml:space="preserve"> contains within it a right to periodic review.</w:t>
      </w:r>
      <w:r w:rsidR="00EB1170">
        <w:rPr>
          <w:rStyle w:val="FootnoteReference"/>
          <w:rFonts w:ascii="Garamond" w:hAnsi="Garamond"/>
          <w:sz w:val="24"/>
          <w:szCs w:val="24"/>
        </w:rPr>
        <w:footnoteReference w:id="40"/>
      </w:r>
      <w:r w:rsidR="00EB1170">
        <w:rPr>
          <w:rFonts w:ascii="Garamond" w:hAnsi="Garamond"/>
          <w:sz w:val="24"/>
          <w:szCs w:val="24"/>
        </w:rPr>
        <w:t xml:space="preserve"> </w:t>
      </w:r>
      <w:r w:rsidR="00F62FD9">
        <w:rPr>
          <w:rFonts w:ascii="Garamond" w:hAnsi="Garamond"/>
          <w:sz w:val="24"/>
          <w:szCs w:val="24"/>
        </w:rPr>
        <w:t>As the Comment notes, the appropriate length of time between reviews will vary according to the particular circumstances.</w:t>
      </w:r>
      <w:r w:rsidR="00F62FD9">
        <w:rPr>
          <w:rStyle w:val="FootnoteReference"/>
          <w:rFonts w:ascii="Garamond" w:hAnsi="Garamond"/>
          <w:sz w:val="24"/>
          <w:szCs w:val="24"/>
        </w:rPr>
        <w:footnoteReference w:id="41"/>
      </w:r>
      <w:r w:rsidR="00F62FD9">
        <w:rPr>
          <w:rFonts w:ascii="Garamond" w:hAnsi="Garamond"/>
          <w:sz w:val="24"/>
          <w:szCs w:val="24"/>
        </w:rPr>
        <w:t xml:space="preserve"> </w:t>
      </w:r>
      <w:r w:rsidR="00C9013A">
        <w:rPr>
          <w:rFonts w:ascii="Garamond" w:hAnsi="Garamond"/>
          <w:sz w:val="24"/>
          <w:szCs w:val="24"/>
        </w:rPr>
        <w:t>The present authors wish at this point to emphasise their concern with the claim by certain States that, in particular circumstances, subsequent periodic review may be more delayed where a previous review has been especially rigorous.</w:t>
      </w:r>
      <w:r w:rsidR="00C9013A">
        <w:rPr>
          <w:rStyle w:val="FootnoteReference"/>
          <w:rFonts w:ascii="Garamond" w:hAnsi="Garamond"/>
          <w:sz w:val="24"/>
          <w:szCs w:val="24"/>
        </w:rPr>
        <w:footnoteReference w:id="42"/>
      </w:r>
      <w:r w:rsidR="00C9013A">
        <w:rPr>
          <w:rFonts w:ascii="Garamond" w:hAnsi="Garamond"/>
          <w:sz w:val="24"/>
          <w:szCs w:val="24"/>
        </w:rPr>
        <w:t xml:space="preserve"> We cannot accept this. Periodic review serves the purpose of reassessing the necessity of detention in light of changing circumstances</w:t>
      </w:r>
      <w:r w:rsidR="00D948B7">
        <w:rPr>
          <w:rFonts w:ascii="Garamond" w:hAnsi="Garamond"/>
          <w:sz w:val="24"/>
          <w:szCs w:val="24"/>
        </w:rPr>
        <w:t xml:space="preserve"> and ensuring no person is held beyond the point at which it is necessary</w:t>
      </w:r>
      <w:r w:rsidR="005A34A3">
        <w:rPr>
          <w:rFonts w:ascii="Garamond" w:hAnsi="Garamond"/>
          <w:sz w:val="24"/>
          <w:szCs w:val="24"/>
        </w:rPr>
        <w:t>;</w:t>
      </w:r>
      <w:r w:rsidR="005A34A3">
        <w:rPr>
          <w:rStyle w:val="FootnoteReference"/>
          <w:rFonts w:ascii="Garamond" w:hAnsi="Garamond"/>
          <w:sz w:val="24"/>
          <w:szCs w:val="24"/>
        </w:rPr>
        <w:footnoteReference w:id="43"/>
      </w:r>
      <w:r w:rsidR="00D948B7">
        <w:rPr>
          <w:rFonts w:ascii="Garamond" w:hAnsi="Garamond"/>
          <w:sz w:val="24"/>
          <w:szCs w:val="24"/>
        </w:rPr>
        <w:t xml:space="preserve"> </w:t>
      </w:r>
      <w:r w:rsidR="00CC0CCC">
        <w:rPr>
          <w:rFonts w:ascii="Garamond" w:hAnsi="Garamond"/>
          <w:sz w:val="24"/>
          <w:szCs w:val="24"/>
        </w:rPr>
        <w:t>the degree of rigour in any previous reviews has no effect on the subsequent necessity of detention in light of changed circumstances. As soon as detention is no longer necessary, it becomes arbitrary and release must follow. It is especially in cases of preventive, administrative detention that frequent periodic review is essential to protect against breaches of Article 9(1) ICCPR.</w:t>
      </w:r>
    </w:p>
    <w:p w:rsidR="00833103" w:rsidRDefault="00833103" w:rsidP="009E019E">
      <w:pPr>
        <w:jc w:val="both"/>
        <w:rPr>
          <w:rFonts w:ascii="Garamond" w:hAnsi="Garamond"/>
          <w:sz w:val="24"/>
          <w:szCs w:val="24"/>
        </w:rPr>
      </w:pPr>
    </w:p>
    <w:p w:rsidR="00833103" w:rsidRDefault="00833103" w:rsidP="009E019E">
      <w:pPr>
        <w:jc w:val="both"/>
        <w:rPr>
          <w:rFonts w:ascii="Garamond" w:hAnsi="Garamond"/>
          <w:b/>
          <w:sz w:val="24"/>
          <w:szCs w:val="24"/>
        </w:rPr>
      </w:pPr>
      <w:r>
        <w:rPr>
          <w:rFonts w:ascii="Garamond" w:hAnsi="Garamond"/>
          <w:b/>
          <w:sz w:val="24"/>
          <w:szCs w:val="24"/>
        </w:rPr>
        <w:t>VI</w:t>
      </w:r>
      <w:r w:rsidR="00BD52F7">
        <w:rPr>
          <w:rFonts w:ascii="Garamond" w:hAnsi="Garamond"/>
          <w:b/>
          <w:sz w:val="24"/>
          <w:szCs w:val="24"/>
        </w:rPr>
        <w:t>I</w:t>
      </w:r>
      <w:r>
        <w:rPr>
          <w:rFonts w:ascii="Garamond" w:hAnsi="Garamond"/>
          <w:b/>
          <w:sz w:val="24"/>
          <w:szCs w:val="24"/>
        </w:rPr>
        <w:t>. Concluding Remarks</w:t>
      </w:r>
    </w:p>
    <w:p w:rsidR="00993491" w:rsidRDefault="005C0E64" w:rsidP="00CE2DDC">
      <w:pPr>
        <w:tabs>
          <w:tab w:val="left" w:pos="567"/>
        </w:tabs>
        <w:jc w:val="both"/>
        <w:rPr>
          <w:rFonts w:ascii="Garamond" w:hAnsi="Garamond"/>
          <w:sz w:val="24"/>
          <w:szCs w:val="24"/>
        </w:rPr>
      </w:pPr>
      <w:r>
        <w:rPr>
          <w:rFonts w:ascii="Garamond" w:hAnsi="Garamond"/>
          <w:sz w:val="24"/>
          <w:szCs w:val="24"/>
        </w:rPr>
        <w:t>16</w:t>
      </w:r>
      <w:r w:rsidR="00CE2DDC">
        <w:rPr>
          <w:rFonts w:ascii="Garamond" w:hAnsi="Garamond"/>
          <w:sz w:val="24"/>
          <w:szCs w:val="24"/>
        </w:rPr>
        <w:t xml:space="preserve">. </w:t>
      </w:r>
      <w:r w:rsidR="00CE2DDC">
        <w:rPr>
          <w:rFonts w:ascii="Garamond" w:hAnsi="Garamond"/>
          <w:sz w:val="24"/>
          <w:szCs w:val="24"/>
        </w:rPr>
        <w:tab/>
      </w:r>
      <w:r w:rsidR="00833103" w:rsidRPr="00833103">
        <w:rPr>
          <w:rFonts w:ascii="Garamond" w:hAnsi="Garamond"/>
          <w:sz w:val="24"/>
          <w:szCs w:val="24"/>
        </w:rPr>
        <w:t>Having set out our comments above, we wish to reiterate our support for the excellent work of the Human Rights Committee on its Draft General Comment 35. The need for legal clarity in this area is great</w:t>
      </w:r>
      <w:r w:rsidR="00993491">
        <w:rPr>
          <w:rFonts w:ascii="Garamond" w:hAnsi="Garamond"/>
          <w:sz w:val="24"/>
          <w:szCs w:val="24"/>
        </w:rPr>
        <w:t>, and the Draft General Comment contributes to this endeavour hugely</w:t>
      </w:r>
      <w:r w:rsidR="00833103" w:rsidRPr="00833103">
        <w:rPr>
          <w:rFonts w:ascii="Garamond" w:hAnsi="Garamond"/>
          <w:sz w:val="24"/>
          <w:szCs w:val="24"/>
        </w:rPr>
        <w:t xml:space="preserve">. </w:t>
      </w:r>
    </w:p>
    <w:p w:rsidR="00833103" w:rsidRPr="00833103" w:rsidRDefault="005C0E64" w:rsidP="00993491">
      <w:pPr>
        <w:tabs>
          <w:tab w:val="left" w:pos="567"/>
        </w:tabs>
        <w:jc w:val="both"/>
        <w:rPr>
          <w:sz w:val="24"/>
          <w:szCs w:val="24"/>
        </w:rPr>
      </w:pPr>
      <w:r>
        <w:rPr>
          <w:rFonts w:ascii="Garamond" w:hAnsi="Garamond"/>
          <w:sz w:val="24"/>
          <w:szCs w:val="24"/>
        </w:rPr>
        <w:t>17</w:t>
      </w:r>
      <w:r w:rsidR="00993491">
        <w:rPr>
          <w:rFonts w:ascii="Garamond" w:hAnsi="Garamond"/>
          <w:sz w:val="24"/>
          <w:szCs w:val="24"/>
        </w:rPr>
        <w:t xml:space="preserve">. </w:t>
      </w:r>
      <w:r w:rsidR="00993491">
        <w:rPr>
          <w:rFonts w:ascii="Garamond" w:hAnsi="Garamond"/>
          <w:sz w:val="24"/>
          <w:szCs w:val="24"/>
        </w:rPr>
        <w:tab/>
        <w:t>As a final remark, t</w:t>
      </w:r>
      <w:r w:rsidR="00833103">
        <w:rPr>
          <w:rFonts w:ascii="Garamond" w:hAnsi="Garamond"/>
          <w:sz w:val="24"/>
          <w:szCs w:val="24"/>
        </w:rPr>
        <w:t xml:space="preserve">he present authors </w:t>
      </w:r>
      <w:r w:rsidR="00993491">
        <w:rPr>
          <w:rFonts w:ascii="Garamond" w:hAnsi="Garamond"/>
          <w:sz w:val="24"/>
          <w:szCs w:val="24"/>
        </w:rPr>
        <w:t xml:space="preserve">wish to note </w:t>
      </w:r>
      <w:r w:rsidR="00833103">
        <w:rPr>
          <w:rFonts w:ascii="Garamond" w:hAnsi="Garamond"/>
          <w:sz w:val="24"/>
          <w:szCs w:val="24"/>
        </w:rPr>
        <w:t xml:space="preserve">that certain issues relating to detention generally are </w:t>
      </w:r>
      <w:r w:rsidR="00993491">
        <w:rPr>
          <w:rFonts w:ascii="Garamond" w:hAnsi="Garamond"/>
          <w:sz w:val="24"/>
          <w:szCs w:val="24"/>
        </w:rPr>
        <w:t xml:space="preserve">in need </w:t>
      </w:r>
      <w:r w:rsidR="00833103">
        <w:rPr>
          <w:rFonts w:ascii="Garamond" w:hAnsi="Garamond"/>
          <w:sz w:val="24"/>
          <w:szCs w:val="24"/>
        </w:rPr>
        <w:t>of further research. In particular, d</w:t>
      </w:r>
      <w:r w:rsidR="00833103" w:rsidRPr="00833103">
        <w:rPr>
          <w:rFonts w:ascii="Garamond" w:hAnsi="Garamond"/>
          <w:sz w:val="24"/>
          <w:szCs w:val="24"/>
        </w:rPr>
        <w:t>etention is a profoundly political tool that appears to have been employed, both overtly and cover</w:t>
      </w:r>
      <w:r w:rsidR="00993491">
        <w:rPr>
          <w:rFonts w:ascii="Garamond" w:hAnsi="Garamond"/>
          <w:sz w:val="24"/>
          <w:szCs w:val="24"/>
        </w:rPr>
        <w:t>tly, by States and non-S</w:t>
      </w:r>
      <w:r w:rsidR="00833103" w:rsidRPr="00833103">
        <w:rPr>
          <w:rFonts w:ascii="Garamond" w:hAnsi="Garamond"/>
          <w:sz w:val="24"/>
          <w:szCs w:val="24"/>
        </w:rPr>
        <w:t>tate actors in a highly partial manner. Susan Marks and Andrew Clapham have suggested a need to ask not merely under what conditions and procedures persons are deprived of their liberty, but for what reasons different persons are held and with what consequences.</w:t>
      </w:r>
      <w:r w:rsidR="00833103" w:rsidRPr="00833103">
        <w:rPr>
          <w:rStyle w:val="FootnoteReference"/>
          <w:rFonts w:ascii="Garamond" w:hAnsi="Garamond"/>
          <w:sz w:val="24"/>
          <w:szCs w:val="24"/>
        </w:rPr>
        <w:footnoteReference w:id="44"/>
      </w:r>
      <w:r w:rsidR="00833103" w:rsidRPr="00833103">
        <w:rPr>
          <w:rFonts w:ascii="Garamond" w:hAnsi="Garamond"/>
          <w:sz w:val="24"/>
          <w:szCs w:val="24"/>
        </w:rPr>
        <w:t xml:space="preserve"> This has received attention in recent years in light of administrative detention of terror suspects throughout the post-9/11 world. But, as Marks and Clapham point out, it appears highly relevant even to the more accepted, institutionalised detentions related to penal processes, whereby those most vulnerable to detention are also those most vulnerable to other human rights violations, including minorities and the impoverished. Elsewhere, Susan Marks has emphasised the need to explore the ‘root causes’ of human rights violations, referring to recent UN practice that seems to get closer to this core issue.</w:t>
      </w:r>
      <w:r w:rsidR="00833103" w:rsidRPr="00833103">
        <w:rPr>
          <w:rStyle w:val="FootnoteReference"/>
          <w:rFonts w:ascii="Garamond" w:hAnsi="Garamond"/>
          <w:sz w:val="24"/>
          <w:szCs w:val="24"/>
        </w:rPr>
        <w:footnoteReference w:id="45"/>
      </w:r>
      <w:r w:rsidR="00833103" w:rsidRPr="00833103">
        <w:rPr>
          <w:rFonts w:ascii="Garamond" w:hAnsi="Garamond"/>
          <w:sz w:val="24"/>
          <w:szCs w:val="24"/>
        </w:rPr>
        <w:t xml:space="preserve"> We submit that this issue </w:t>
      </w:r>
      <w:r w:rsidR="002F759F">
        <w:rPr>
          <w:rFonts w:ascii="Garamond" w:hAnsi="Garamond"/>
          <w:sz w:val="24"/>
          <w:szCs w:val="24"/>
        </w:rPr>
        <w:t>is</w:t>
      </w:r>
      <w:r w:rsidR="00833103" w:rsidRPr="00833103">
        <w:rPr>
          <w:rFonts w:ascii="Garamond" w:hAnsi="Garamond"/>
          <w:sz w:val="24"/>
          <w:szCs w:val="24"/>
        </w:rPr>
        <w:t xml:space="preserve"> in need of further investigation. In particular, whilst </w:t>
      </w:r>
      <w:r w:rsidR="002F759F">
        <w:rPr>
          <w:rFonts w:ascii="Garamond" w:hAnsi="Garamond"/>
          <w:sz w:val="24"/>
          <w:szCs w:val="24"/>
        </w:rPr>
        <w:t xml:space="preserve">Draft </w:t>
      </w:r>
      <w:r w:rsidR="00833103" w:rsidRPr="00833103">
        <w:rPr>
          <w:rFonts w:ascii="Garamond" w:hAnsi="Garamond"/>
          <w:sz w:val="24"/>
          <w:szCs w:val="24"/>
        </w:rPr>
        <w:t xml:space="preserve">General Comment 35 </w:t>
      </w:r>
      <w:r w:rsidR="002F759F">
        <w:rPr>
          <w:rFonts w:ascii="Garamond" w:hAnsi="Garamond"/>
          <w:sz w:val="24"/>
          <w:szCs w:val="24"/>
        </w:rPr>
        <w:t xml:space="preserve">excellently </w:t>
      </w:r>
      <w:r w:rsidR="00833103" w:rsidRPr="00833103">
        <w:rPr>
          <w:rFonts w:ascii="Garamond" w:hAnsi="Garamond"/>
          <w:sz w:val="24"/>
          <w:szCs w:val="24"/>
        </w:rPr>
        <w:t>notes the relationship between Art</w:t>
      </w:r>
      <w:r w:rsidR="002F759F">
        <w:rPr>
          <w:rFonts w:ascii="Garamond" w:hAnsi="Garamond"/>
          <w:sz w:val="24"/>
          <w:szCs w:val="24"/>
        </w:rPr>
        <w:t>icle</w:t>
      </w:r>
      <w:r w:rsidR="00833103" w:rsidRPr="00833103">
        <w:rPr>
          <w:rFonts w:ascii="Garamond" w:hAnsi="Garamond"/>
          <w:sz w:val="24"/>
          <w:szCs w:val="24"/>
        </w:rPr>
        <w:t xml:space="preserve"> 9 ICCPR and other paragraphs of the Covenant, </w:t>
      </w:r>
      <w:r w:rsidR="002F759F">
        <w:rPr>
          <w:rFonts w:ascii="Garamond" w:hAnsi="Garamond"/>
          <w:sz w:val="24"/>
          <w:szCs w:val="24"/>
        </w:rPr>
        <w:t xml:space="preserve">further consideration is now needed regarding </w:t>
      </w:r>
      <w:r w:rsidR="00833103" w:rsidRPr="00833103">
        <w:rPr>
          <w:rFonts w:ascii="Garamond" w:hAnsi="Garamond"/>
          <w:sz w:val="24"/>
          <w:szCs w:val="24"/>
        </w:rPr>
        <w:t xml:space="preserve">its relationship with other human rights outside the Covenant, particularly socio-economic rights. This is an essential element in considering the root causes of growing </w:t>
      </w:r>
      <w:r w:rsidR="007E3507">
        <w:rPr>
          <w:rFonts w:ascii="Garamond" w:hAnsi="Garamond"/>
          <w:sz w:val="24"/>
          <w:szCs w:val="24"/>
        </w:rPr>
        <w:t>prison populations</w:t>
      </w:r>
      <w:r w:rsidR="00833103" w:rsidRPr="00833103">
        <w:rPr>
          <w:rFonts w:ascii="Garamond" w:hAnsi="Garamond"/>
          <w:sz w:val="24"/>
          <w:szCs w:val="24"/>
        </w:rPr>
        <w:t xml:space="preserve"> globally.</w:t>
      </w:r>
    </w:p>
    <w:p w:rsidR="00833103" w:rsidRPr="00833103" w:rsidRDefault="00833103" w:rsidP="009E019E">
      <w:pPr>
        <w:jc w:val="both"/>
      </w:pPr>
    </w:p>
    <w:sectPr w:rsidR="00833103" w:rsidRPr="008331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A9" w:rsidRDefault="005476A9" w:rsidP="00E17CC9">
      <w:pPr>
        <w:spacing w:after="0" w:line="240" w:lineRule="auto"/>
      </w:pPr>
      <w:r>
        <w:separator/>
      </w:r>
    </w:p>
  </w:endnote>
  <w:endnote w:type="continuationSeparator" w:id="0">
    <w:p w:rsidR="005476A9" w:rsidRDefault="005476A9" w:rsidP="00E1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743835"/>
      <w:docPartObj>
        <w:docPartGallery w:val="Page Numbers (Bottom of Page)"/>
        <w:docPartUnique/>
      </w:docPartObj>
    </w:sdtPr>
    <w:sdtEndPr>
      <w:rPr>
        <w:noProof/>
      </w:rPr>
    </w:sdtEndPr>
    <w:sdtContent>
      <w:p w:rsidR="00B22AB6" w:rsidRDefault="00B22AB6">
        <w:pPr>
          <w:pStyle w:val="Footer"/>
          <w:jc w:val="center"/>
        </w:pPr>
        <w:r>
          <w:fldChar w:fldCharType="begin"/>
        </w:r>
        <w:r>
          <w:instrText xml:space="preserve"> PAGE   \* MERGEFORMAT </w:instrText>
        </w:r>
        <w:r>
          <w:fldChar w:fldCharType="separate"/>
        </w:r>
        <w:r w:rsidR="004D433D">
          <w:rPr>
            <w:noProof/>
          </w:rPr>
          <w:t>6</w:t>
        </w:r>
        <w:r>
          <w:rPr>
            <w:noProof/>
          </w:rPr>
          <w:fldChar w:fldCharType="end"/>
        </w:r>
      </w:p>
    </w:sdtContent>
  </w:sdt>
  <w:p w:rsidR="00B22AB6" w:rsidRDefault="00B22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A9" w:rsidRDefault="005476A9" w:rsidP="00E17CC9">
      <w:pPr>
        <w:spacing w:after="0" w:line="240" w:lineRule="auto"/>
      </w:pPr>
      <w:r>
        <w:separator/>
      </w:r>
    </w:p>
  </w:footnote>
  <w:footnote w:type="continuationSeparator" w:id="0">
    <w:p w:rsidR="005476A9" w:rsidRDefault="005476A9" w:rsidP="00E17CC9">
      <w:pPr>
        <w:spacing w:after="0" w:line="240" w:lineRule="auto"/>
      </w:pPr>
      <w:r>
        <w:continuationSeparator/>
      </w:r>
    </w:p>
  </w:footnote>
  <w:footnote w:id="1">
    <w:p w:rsidR="000B11AF" w:rsidRPr="00933E3D" w:rsidRDefault="000B11AF"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proofErr w:type="gramStart"/>
      <w:r w:rsidRPr="00933E3D">
        <w:rPr>
          <w:rFonts w:ascii="Garamond" w:hAnsi="Garamond"/>
          <w:i/>
        </w:rPr>
        <w:t>United States Diplomatic and Consular Staff in Tehran (United States of America v Iran)</w:t>
      </w:r>
      <w:r w:rsidRPr="00933E3D">
        <w:rPr>
          <w:rFonts w:ascii="Garamond" w:hAnsi="Garamond"/>
        </w:rPr>
        <w:t>, Judgment (Merits) [1980] ICJ Rep 42, para 91.</w:t>
      </w:r>
      <w:proofErr w:type="gramEnd"/>
    </w:p>
  </w:footnote>
  <w:footnote w:id="2">
    <w:p w:rsidR="0045213D" w:rsidRPr="00933E3D" w:rsidRDefault="0045213D"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t xml:space="preserve">HRC, </w:t>
      </w:r>
      <w:r w:rsidRPr="00933E3D">
        <w:rPr>
          <w:rFonts w:ascii="Garamond" w:hAnsi="Garamond"/>
        </w:rPr>
        <w:t xml:space="preserve">Draft General Comment </w:t>
      </w:r>
      <w:r w:rsidR="003400E7">
        <w:rPr>
          <w:rFonts w:ascii="Garamond" w:hAnsi="Garamond"/>
        </w:rPr>
        <w:t xml:space="preserve">No. </w:t>
      </w:r>
      <w:r w:rsidRPr="00933E3D">
        <w:rPr>
          <w:rFonts w:ascii="Garamond" w:hAnsi="Garamond"/>
        </w:rPr>
        <w:t>35,</w:t>
      </w:r>
      <w:r w:rsidR="003400E7">
        <w:rPr>
          <w:rFonts w:ascii="Garamond" w:hAnsi="Garamond"/>
        </w:rPr>
        <w:t xml:space="preserve"> Article 9: Liberty and Security of Person, Revised Draft Prepared by the Rapporteur for General Comment No. 35, Mr. Gerald L. </w:t>
      </w:r>
      <w:proofErr w:type="spellStart"/>
      <w:r w:rsidR="003400E7">
        <w:rPr>
          <w:rFonts w:ascii="Garamond" w:hAnsi="Garamond"/>
        </w:rPr>
        <w:t>Neuman</w:t>
      </w:r>
      <w:proofErr w:type="spellEnd"/>
      <w:r w:rsidR="003400E7">
        <w:rPr>
          <w:rFonts w:ascii="Garamond" w:hAnsi="Garamond"/>
        </w:rPr>
        <w:t>,</w:t>
      </w:r>
      <w:r w:rsidRPr="00933E3D">
        <w:rPr>
          <w:rFonts w:ascii="Garamond" w:hAnsi="Garamond"/>
        </w:rPr>
        <w:t xml:space="preserve"> para 8.</w:t>
      </w:r>
    </w:p>
  </w:footnote>
  <w:footnote w:id="3">
    <w:p w:rsidR="0045213D" w:rsidRPr="00933E3D" w:rsidRDefault="0045213D"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Pr="00933E3D">
        <w:rPr>
          <w:rFonts w:ascii="Garamond" w:hAnsi="Garamond"/>
        </w:rPr>
        <w:t xml:space="preserve">See, e.g., M </w:t>
      </w:r>
      <w:proofErr w:type="spellStart"/>
      <w:r w:rsidRPr="00933E3D">
        <w:rPr>
          <w:rFonts w:ascii="Garamond" w:hAnsi="Garamond"/>
        </w:rPr>
        <w:t>Milanović</w:t>
      </w:r>
      <w:proofErr w:type="spellEnd"/>
      <w:r w:rsidRPr="00933E3D">
        <w:rPr>
          <w:rFonts w:ascii="Garamond" w:hAnsi="Garamond"/>
        </w:rPr>
        <w:t xml:space="preserve">, </w:t>
      </w:r>
      <w:r w:rsidRPr="00933E3D">
        <w:rPr>
          <w:rFonts w:ascii="Garamond" w:hAnsi="Garamond"/>
          <w:i/>
        </w:rPr>
        <w:t>Extraterritorial Application of Human Rights Treaties: Law, Principles, and Policy</w:t>
      </w:r>
      <w:r w:rsidRPr="00933E3D">
        <w:rPr>
          <w:rFonts w:ascii="Garamond" w:hAnsi="Garamond"/>
        </w:rPr>
        <w:t xml:space="preserve"> (OUP, Oxford 2011)</w:t>
      </w:r>
      <w:r w:rsidR="00D3226A" w:rsidRPr="00933E3D">
        <w:rPr>
          <w:rFonts w:ascii="Garamond" w:hAnsi="Garamond"/>
        </w:rPr>
        <w:t>,</w:t>
      </w:r>
      <w:r w:rsidRPr="00933E3D">
        <w:rPr>
          <w:rFonts w:ascii="Garamond" w:hAnsi="Garamond"/>
        </w:rPr>
        <w:t xml:space="preserve"> pp 106–7. </w:t>
      </w:r>
    </w:p>
  </w:footnote>
  <w:footnote w:id="4">
    <w:p w:rsidR="0045213D" w:rsidRPr="00933E3D" w:rsidRDefault="0045213D"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proofErr w:type="spellStart"/>
      <w:proofErr w:type="gramStart"/>
      <w:r w:rsidRPr="00933E3D">
        <w:rPr>
          <w:rFonts w:ascii="Garamond" w:hAnsi="Garamond"/>
        </w:rPr>
        <w:t>ECtHR</w:t>
      </w:r>
      <w:proofErr w:type="spellEnd"/>
      <w:r w:rsidRPr="00933E3D">
        <w:rPr>
          <w:rFonts w:ascii="Garamond" w:hAnsi="Garamond"/>
        </w:rPr>
        <w:t xml:space="preserve">, </w:t>
      </w:r>
      <w:proofErr w:type="spellStart"/>
      <w:r w:rsidRPr="00933E3D">
        <w:rPr>
          <w:rFonts w:ascii="Garamond" w:hAnsi="Garamond"/>
          <w:i/>
        </w:rPr>
        <w:t>Ilascu</w:t>
      </w:r>
      <w:proofErr w:type="spellEnd"/>
      <w:r w:rsidRPr="00933E3D">
        <w:rPr>
          <w:rFonts w:ascii="Garamond" w:hAnsi="Garamond"/>
          <w:i/>
        </w:rPr>
        <w:t xml:space="preserve"> and others v Moldova and Russia</w:t>
      </w:r>
      <w:r w:rsidRPr="00933E3D">
        <w:rPr>
          <w:rFonts w:ascii="Garamond" w:hAnsi="Garamond"/>
        </w:rPr>
        <w:t>, App No 48787/99, Judgment (Grand Chamber), 8 July 2004, paras 322–52.</w:t>
      </w:r>
      <w:proofErr w:type="gramEnd"/>
    </w:p>
  </w:footnote>
  <w:footnote w:id="5">
    <w:p w:rsidR="00B6399D" w:rsidRPr="00933E3D" w:rsidRDefault="00B6399D"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Pr="00933E3D">
        <w:rPr>
          <w:rFonts w:ascii="Garamond" w:hAnsi="Garamond"/>
        </w:rPr>
        <w:t xml:space="preserve">Draft General Comment 35, </w:t>
      </w:r>
      <w:r w:rsidRPr="003400E7">
        <w:rPr>
          <w:rFonts w:ascii="Garamond" w:hAnsi="Garamond"/>
          <w:i/>
        </w:rPr>
        <w:t xml:space="preserve">supra </w:t>
      </w:r>
      <w:r w:rsidR="003400E7">
        <w:rPr>
          <w:rFonts w:ascii="Garamond" w:hAnsi="Garamond"/>
        </w:rPr>
        <w:t>note 2</w:t>
      </w:r>
      <w:r w:rsidRPr="003400E7">
        <w:rPr>
          <w:rFonts w:ascii="Garamond" w:hAnsi="Garamond"/>
        </w:rPr>
        <w:t>,</w:t>
      </w:r>
      <w:r w:rsidRPr="00933E3D">
        <w:rPr>
          <w:rFonts w:ascii="Garamond" w:hAnsi="Garamond"/>
        </w:rPr>
        <w:t xml:space="preserve"> para 8.</w:t>
      </w:r>
    </w:p>
  </w:footnote>
  <w:footnote w:id="6">
    <w:p w:rsidR="00B6399D" w:rsidRPr="00933E3D" w:rsidRDefault="00B6399D"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00EA55C5" w:rsidRPr="00933E3D">
        <w:rPr>
          <w:rFonts w:ascii="Garamond" w:hAnsi="Garamond"/>
        </w:rPr>
        <w:t>International Law Commission’s Articles on State Responsibility, art 6, in Report of the International Law Commission on the Work of its Fifty-Third Session, UN GAOR, 56</w:t>
      </w:r>
      <w:r w:rsidR="00EA55C5" w:rsidRPr="00933E3D">
        <w:rPr>
          <w:rFonts w:ascii="Garamond" w:hAnsi="Garamond"/>
          <w:vertAlign w:val="superscript"/>
        </w:rPr>
        <w:t>th</w:t>
      </w:r>
      <w:r w:rsidR="00EA55C5" w:rsidRPr="00933E3D">
        <w:rPr>
          <w:rFonts w:ascii="Garamond" w:hAnsi="Garamond"/>
        </w:rPr>
        <w:t xml:space="preserve"> </w:t>
      </w:r>
      <w:proofErr w:type="spellStart"/>
      <w:r w:rsidR="00EA55C5" w:rsidRPr="00933E3D">
        <w:rPr>
          <w:rFonts w:ascii="Garamond" w:hAnsi="Garamond"/>
        </w:rPr>
        <w:t>Sess</w:t>
      </w:r>
      <w:proofErr w:type="spellEnd"/>
      <w:r w:rsidR="00EA55C5" w:rsidRPr="00933E3D">
        <w:rPr>
          <w:rFonts w:ascii="Garamond" w:hAnsi="Garamond"/>
        </w:rPr>
        <w:t xml:space="preserve">, </w:t>
      </w:r>
      <w:proofErr w:type="spellStart"/>
      <w:r w:rsidR="00EA55C5" w:rsidRPr="00933E3D">
        <w:rPr>
          <w:rFonts w:ascii="Garamond" w:hAnsi="Garamond"/>
        </w:rPr>
        <w:t>Supp</w:t>
      </w:r>
      <w:proofErr w:type="spellEnd"/>
      <w:r w:rsidR="00EA55C5" w:rsidRPr="00933E3D">
        <w:rPr>
          <w:rFonts w:ascii="Garamond" w:hAnsi="Garamond"/>
        </w:rPr>
        <w:t xml:space="preserve"> No 10, at 43, UN Doc A/56/10 (2001). </w:t>
      </w:r>
    </w:p>
  </w:footnote>
  <w:footnote w:id="7">
    <w:p w:rsidR="003D375D" w:rsidRPr="00933E3D" w:rsidRDefault="003D375D"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0095758D" w:rsidRPr="00933E3D">
        <w:rPr>
          <w:rFonts w:ascii="Garamond" w:hAnsi="Garamond"/>
        </w:rPr>
        <w:t xml:space="preserve">HRC, </w:t>
      </w:r>
      <w:r w:rsidR="0095758D" w:rsidRPr="00933E3D">
        <w:rPr>
          <w:rFonts w:ascii="Garamond" w:hAnsi="Garamond"/>
          <w:i/>
        </w:rPr>
        <w:t>Lopez-Burgos v Uruguay</w:t>
      </w:r>
      <w:r w:rsidR="0095758D" w:rsidRPr="00933E3D">
        <w:rPr>
          <w:rFonts w:ascii="Garamond" w:hAnsi="Garamond"/>
        </w:rPr>
        <w:t xml:space="preserve">, CCPR/C/13/D/52/1979, 29 July 1981, para 12.1; </w:t>
      </w:r>
      <w:r w:rsidR="003400E7">
        <w:rPr>
          <w:rFonts w:ascii="Garamond" w:hAnsi="Garamond"/>
        </w:rPr>
        <w:t>European Court of Human Rights (</w:t>
      </w:r>
      <w:proofErr w:type="spellStart"/>
      <w:r w:rsidR="0095758D" w:rsidRPr="00933E3D">
        <w:rPr>
          <w:rFonts w:ascii="Garamond" w:hAnsi="Garamond"/>
        </w:rPr>
        <w:t>ECtHR</w:t>
      </w:r>
      <w:proofErr w:type="spellEnd"/>
      <w:r w:rsidR="003400E7">
        <w:rPr>
          <w:rFonts w:ascii="Garamond" w:hAnsi="Garamond"/>
        </w:rPr>
        <w:t>)</w:t>
      </w:r>
      <w:r w:rsidR="0095758D" w:rsidRPr="00933E3D">
        <w:rPr>
          <w:rFonts w:ascii="Garamond" w:hAnsi="Garamond"/>
        </w:rPr>
        <w:t xml:space="preserve">, </w:t>
      </w:r>
      <w:proofErr w:type="spellStart"/>
      <w:r w:rsidR="0095758D" w:rsidRPr="00933E3D">
        <w:rPr>
          <w:rFonts w:ascii="Garamond" w:hAnsi="Garamond"/>
          <w:i/>
        </w:rPr>
        <w:t>Medvedyev</w:t>
      </w:r>
      <w:proofErr w:type="spellEnd"/>
      <w:r w:rsidR="0095758D" w:rsidRPr="00933E3D">
        <w:rPr>
          <w:rFonts w:ascii="Garamond" w:hAnsi="Garamond"/>
          <w:i/>
        </w:rPr>
        <w:t xml:space="preserve"> and others v France</w:t>
      </w:r>
      <w:r w:rsidR="0095758D" w:rsidRPr="00933E3D">
        <w:rPr>
          <w:rFonts w:ascii="Garamond" w:hAnsi="Garamond"/>
        </w:rPr>
        <w:t xml:space="preserve">, App No 3394/03, Judgment, Grand Chamber, 29 March 2010, paras 66–7; </w:t>
      </w:r>
      <w:proofErr w:type="spellStart"/>
      <w:r w:rsidR="0095758D" w:rsidRPr="00933E3D">
        <w:rPr>
          <w:rFonts w:ascii="Garamond" w:hAnsi="Garamond"/>
        </w:rPr>
        <w:t>ECtHR</w:t>
      </w:r>
      <w:proofErr w:type="spellEnd"/>
      <w:r w:rsidR="0095758D" w:rsidRPr="00933E3D">
        <w:rPr>
          <w:rFonts w:ascii="Garamond" w:hAnsi="Garamond"/>
        </w:rPr>
        <w:t xml:space="preserve">, </w:t>
      </w:r>
      <w:r w:rsidR="0095758D" w:rsidRPr="00933E3D">
        <w:rPr>
          <w:rFonts w:ascii="Garamond" w:hAnsi="Garamond"/>
          <w:i/>
        </w:rPr>
        <w:t>Al-</w:t>
      </w:r>
      <w:proofErr w:type="spellStart"/>
      <w:r w:rsidR="0095758D" w:rsidRPr="00933E3D">
        <w:rPr>
          <w:rFonts w:ascii="Garamond" w:hAnsi="Garamond"/>
          <w:i/>
        </w:rPr>
        <w:t>Skeini</w:t>
      </w:r>
      <w:proofErr w:type="spellEnd"/>
      <w:r w:rsidR="0095758D" w:rsidRPr="00933E3D">
        <w:rPr>
          <w:rFonts w:ascii="Garamond" w:hAnsi="Garamond"/>
          <w:i/>
        </w:rPr>
        <w:t xml:space="preserve"> and others v United Kingdom</w:t>
      </w:r>
      <w:r w:rsidR="0095758D" w:rsidRPr="00933E3D">
        <w:rPr>
          <w:rFonts w:ascii="Garamond" w:hAnsi="Garamond"/>
        </w:rPr>
        <w:t xml:space="preserve">, App No 55721/07, Judgment, Grand Chamber, 7 July 2011, para 136; </w:t>
      </w:r>
      <w:r w:rsidR="003400E7">
        <w:rPr>
          <w:rFonts w:ascii="Garamond" w:hAnsi="Garamond"/>
        </w:rPr>
        <w:t>Inter-American Commission on Human Rights (</w:t>
      </w:r>
      <w:proofErr w:type="spellStart"/>
      <w:r w:rsidR="0095758D" w:rsidRPr="00933E3D">
        <w:rPr>
          <w:rFonts w:ascii="Garamond" w:hAnsi="Garamond"/>
        </w:rPr>
        <w:t>IACiHR</w:t>
      </w:r>
      <w:proofErr w:type="spellEnd"/>
      <w:r w:rsidR="003400E7">
        <w:rPr>
          <w:rFonts w:ascii="Garamond" w:hAnsi="Garamond"/>
        </w:rPr>
        <w:t>)</w:t>
      </w:r>
      <w:r w:rsidR="0095758D" w:rsidRPr="00933E3D">
        <w:rPr>
          <w:rFonts w:ascii="Garamond" w:hAnsi="Garamond"/>
        </w:rPr>
        <w:t xml:space="preserve">, </w:t>
      </w:r>
      <w:proofErr w:type="spellStart"/>
      <w:r w:rsidR="0095758D" w:rsidRPr="00933E3D">
        <w:rPr>
          <w:rFonts w:ascii="Garamond" w:hAnsi="Garamond"/>
          <w:i/>
        </w:rPr>
        <w:t>Coard</w:t>
      </w:r>
      <w:proofErr w:type="spellEnd"/>
      <w:r w:rsidR="0095758D" w:rsidRPr="00933E3D">
        <w:rPr>
          <w:rFonts w:ascii="Garamond" w:hAnsi="Garamond"/>
        </w:rPr>
        <w:t xml:space="preserve"> et al </w:t>
      </w:r>
      <w:r w:rsidR="0095758D" w:rsidRPr="00933E3D">
        <w:rPr>
          <w:rFonts w:ascii="Garamond" w:hAnsi="Garamond"/>
          <w:i/>
        </w:rPr>
        <w:t>v United States</w:t>
      </w:r>
      <w:r w:rsidR="0095758D" w:rsidRPr="00933E3D">
        <w:rPr>
          <w:rFonts w:ascii="Garamond" w:hAnsi="Garamond"/>
        </w:rPr>
        <w:t>, Report No 109/99, 29 September 1999, para 37.</w:t>
      </w:r>
    </w:p>
  </w:footnote>
  <w:footnote w:id="8">
    <w:p w:rsidR="006261E4" w:rsidRPr="00933E3D" w:rsidRDefault="006261E4"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Pr="00933E3D">
        <w:rPr>
          <w:rFonts w:ascii="Garamond" w:hAnsi="Garamond"/>
        </w:rPr>
        <w:t xml:space="preserve">Draft General Comment 35, </w:t>
      </w:r>
      <w:r w:rsidRPr="003400E7">
        <w:rPr>
          <w:rFonts w:ascii="Garamond" w:hAnsi="Garamond"/>
          <w:i/>
        </w:rPr>
        <w:t xml:space="preserve">supra </w:t>
      </w:r>
      <w:r w:rsidR="003400E7">
        <w:rPr>
          <w:rFonts w:ascii="Garamond" w:hAnsi="Garamond"/>
        </w:rPr>
        <w:t>note 2</w:t>
      </w:r>
      <w:r w:rsidRPr="003400E7">
        <w:rPr>
          <w:rFonts w:ascii="Garamond" w:hAnsi="Garamond"/>
        </w:rPr>
        <w:t>,</w:t>
      </w:r>
      <w:r w:rsidRPr="00933E3D">
        <w:rPr>
          <w:rFonts w:ascii="Garamond" w:hAnsi="Garamond"/>
        </w:rPr>
        <w:t xml:space="preserve"> para 15.</w:t>
      </w:r>
    </w:p>
  </w:footnote>
  <w:footnote w:id="9">
    <w:p w:rsidR="00272821" w:rsidRPr="00933E3D" w:rsidRDefault="00272821"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Pr="00933E3D">
        <w:rPr>
          <w:rFonts w:ascii="Garamond" w:hAnsi="Garamond"/>
          <w:i/>
        </w:rPr>
        <w:t>Ibid</w:t>
      </w:r>
      <w:r w:rsidRPr="00933E3D">
        <w:rPr>
          <w:rFonts w:ascii="Garamond" w:hAnsi="Garamond"/>
        </w:rPr>
        <w:t>.</w:t>
      </w:r>
    </w:p>
  </w:footnote>
  <w:footnote w:id="10">
    <w:p w:rsidR="00272821" w:rsidRPr="00933E3D" w:rsidRDefault="00272821"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Pr="00933E3D">
        <w:rPr>
          <w:rFonts w:ascii="Garamond" w:hAnsi="Garamond"/>
        </w:rPr>
        <w:t>See, e.g., Geneva Convention Relative to the Treatment of Prisoners of War (adopted 12 August 1949, opened for signature 12 August 1949, entered into force 21 October 1950) 75 UNTS 135, art 21; Geneva Convention Relative to the Protection of Civilian Persons in Time of War (adopted 12 August 1949, opened for signature 12 August 1949, entered into force 21 October 1950) 75 UNTS 287, arts 27(4), 42–3 and 78.</w:t>
      </w:r>
    </w:p>
  </w:footnote>
  <w:footnote w:id="11">
    <w:p w:rsidR="00093460" w:rsidRPr="00933E3D" w:rsidRDefault="00093460"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Pr="00933E3D">
        <w:rPr>
          <w:rFonts w:ascii="Garamond" w:hAnsi="Garamond"/>
        </w:rPr>
        <w:t xml:space="preserve">See the jurisprudence of the International Court of Justice on this: </w:t>
      </w:r>
      <w:r w:rsidRPr="00933E3D">
        <w:rPr>
          <w:rFonts w:ascii="Garamond" w:hAnsi="Garamond"/>
          <w:i/>
        </w:rPr>
        <w:t xml:space="preserve">Legality of the Threat or Use of Nuclear Weapons, </w:t>
      </w:r>
      <w:r w:rsidRPr="00933E3D">
        <w:rPr>
          <w:rFonts w:ascii="Garamond" w:hAnsi="Garamond"/>
        </w:rPr>
        <w:t>Advisory Opinion</w:t>
      </w:r>
      <w:r w:rsidRPr="00933E3D">
        <w:rPr>
          <w:rFonts w:ascii="Garamond" w:hAnsi="Garamond"/>
          <w:i/>
        </w:rPr>
        <w:t xml:space="preserve"> </w:t>
      </w:r>
      <w:r w:rsidRPr="00933E3D">
        <w:rPr>
          <w:rFonts w:ascii="Garamond" w:hAnsi="Garamond"/>
        </w:rPr>
        <w:t>[1996] ICJ Rep 226, para 25</w:t>
      </w:r>
      <w:r w:rsidR="00D864A5" w:rsidRPr="00933E3D">
        <w:rPr>
          <w:rFonts w:ascii="Garamond" w:hAnsi="Garamond"/>
        </w:rPr>
        <w:t xml:space="preserve">; </w:t>
      </w:r>
      <w:r w:rsidR="00D864A5" w:rsidRPr="00933E3D">
        <w:rPr>
          <w:rFonts w:ascii="Garamond" w:hAnsi="Garamond"/>
          <w:i/>
        </w:rPr>
        <w:t>Legal Consequences of the Construction of a Wall in the Occupied Palestinian Territory</w:t>
      </w:r>
      <w:r w:rsidR="00D864A5" w:rsidRPr="00933E3D">
        <w:rPr>
          <w:rFonts w:ascii="Garamond" w:hAnsi="Garamond"/>
        </w:rPr>
        <w:t>, Advisory Opinion [2004] ICJ Rep 136, para 106</w:t>
      </w:r>
      <w:r w:rsidRPr="00933E3D">
        <w:rPr>
          <w:rFonts w:ascii="Garamond" w:hAnsi="Garamond"/>
        </w:rPr>
        <w:t>.</w:t>
      </w:r>
    </w:p>
  </w:footnote>
  <w:footnote w:id="12">
    <w:p w:rsidR="00F0001F" w:rsidRPr="00933E3D" w:rsidRDefault="00F0001F"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Pr="00933E3D">
        <w:rPr>
          <w:rFonts w:ascii="Garamond" w:hAnsi="Garamond"/>
        </w:rPr>
        <w:t xml:space="preserve">On this, see L Hill-Cawthorne, </w:t>
      </w:r>
      <w:r w:rsidRPr="00933E3D">
        <w:rPr>
          <w:rFonts w:ascii="Garamond" w:hAnsi="Garamond"/>
          <w:iCs/>
        </w:rPr>
        <w:t xml:space="preserve">‘Just </w:t>
      </w:r>
      <w:proofErr w:type="gramStart"/>
      <w:r w:rsidRPr="00933E3D">
        <w:rPr>
          <w:rFonts w:ascii="Garamond" w:hAnsi="Garamond"/>
          <w:iCs/>
        </w:rPr>
        <w:t>Another</w:t>
      </w:r>
      <w:proofErr w:type="gramEnd"/>
      <w:r w:rsidRPr="00933E3D">
        <w:rPr>
          <w:rFonts w:ascii="Garamond" w:hAnsi="Garamond"/>
          <w:iCs/>
        </w:rPr>
        <w:t xml:space="preserve"> Case of Treaty Interpretation? Reconciling Humanitarian Law and Human Rights Law i</w:t>
      </w:r>
      <w:r w:rsidR="007B18DD">
        <w:rPr>
          <w:rFonts w:ascii="Garamond" w:hAnsi="Garamond"/>
          <w:iCs/>
        </w:rPr>
        <w:t xml:space="preserve">n the ICJ’ in M </w:t>
      </w:r>
      <w:proofErr w:type="spellStart"/>
      <w:r w:rsidR="007B18DD">
        <w:rPr>
          <w:rFonts w:ascii="Garamond" w:hAnsi="Garamond"/>
          <w:iCs/>
        </w:rPr>
        <w:t>Andenæ</w:t>
      </w:r>
      <w:r w:rsidRPr="00933E3D">
        <w:rPr>
          <w:rFonts w:ascii="Garamond" w:hAnsi="Garamond"/>
          <w:iCs/>
        </w:rPr>
        <w:t>s</w:t>
      </w:r>
      <w:proofErr w:type="spellEnd"/>
      <w:r w:rsidRPr="00933E3D">
        <w:rPr>
          <w:rFonts w:ascii="Garamond" w:hAnsi="Garamond"/>
          <w:iCs/>
        </w:rPr>
        <w:t xml:space="preserve"> and E </w:t>
      </w:r>
      <w:proofErr w:type="spellStart"/>
      <w:r w:rsidRPr="00933E3D">
        <w:rPr>
          <w:rFonts w:ascii="Garamond" w:hAnsi="Garamond"/>
          <w:iCs/>
        </w:rPr>
        <w:t>Bjorge</w:t>
      </w:r>
      <w:proofErr w:type="spellEnd"/>
      <w:r w:rsidRPr="00933E3D">
        <w:rPr>
          <w:rFonts w:ascii="Garamond" w:hAnsi="Garamond"/>
          <w:iCs/>
        </w:rPr>
        <w:t xml:space="preserve"> (</w:t>
      </w:r>
      <w:proofErr w:type="spellStart"/>
      <w:proofErr w:type="gramStart"/>
      <w:r w:rsidRPr="00933E3D">
        <w:rPr>
          <w:rFonts w:ascii="Garamond" w:hAnsi="Garamond"/>
          <w:iCs/>
        </w:rPr>
        <w:t>eds</w:t>
      </w:r>
      <w:proofErr w:type="spellEnd"/>
      <w:proofErr w:type="gramEnd"/>
      <w:r w:rsidRPr="00933E3D">
        <w:rPr>
          <w:rFonts w:ascii="Garamond" w:hAnsi="Garamond"/>
          <w:iCs/>
        </w:rPr>
        <w:t xml:space="preserve">), </w:t>
      </w:r>
      <w:r w:rsidRPr="00933E3D">
        <w:rPr>
          <w:rFonts w:ascii="Garamond" w:hAnsi="Garamond"/>
          <w:i/>
          <w:iCs/>
        </w:rPr>
        <w:t xml:space="preserve">From Fragmentation to Convergence in International Law </w:t>
      </w:r>
      <w:r w:rsidRPr="00933E3D">
        <w:rPr>
          <w:rFonts w:ascii="Garamond" w:hAnsi="Garamond"/>
          <w:iCs/>
        </w:rPr>
        <w:t xml:space="preserve">(CUP, </w:t>
      </w:r>
      <w:r w:rsidRPr="00933E3D">
        <w:rPr>
          <w:rFonts w:ascii="Garamond" w:hAnsi="Garamond"/>
          <w:i/>
          <w:iCs/>
        </w:rPr>
        <w:t>forthcoming</w:t>
      </w:r>
      <w:r w:rsidRPr="00933E3D">
        <w:rPr>
          <w:rFonts w:ascii="Garamond" w:hAnsi="Garamond"/>
          <w:iCs/>
        </w:rPr>
        <w:t>).</w:t>
      </w:r>
    </w:p>
  </w:footnote>
  <w:footnote w:id="13">
    <w:p w:rsidR="00A84DC3" w:rsidRPr="00933E3D" w:rsidRDefault="00A84DC3"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Pr="00933E3D">
        <w:rPr>
          <w:rFonts w:ascii="Garamond" w:hAnsi="Garamond"/>
        </w:rPr>
        <w:t xml:space="preserve">Draft General Comment 35, </w:t>
      </w:r>
      <w:r w:rsidRPr="003400E7">
        <w:rPr>
          <w:rFonts w:ascii="Garamond" w:hAnsi="Garamond"/>
          <w:i/>
        </w:rPr>
        <w:t xml:space="preserve">supra </w:t>
      </w:r>
      <w:r w:rsidR="003400E7">
        <w:rPr>
          <w:rFonts w:ascii="Garamond" w:hAnsi="Garamond"/>
        </w:rPr>
        <w:t>note 2</w:t>
      </w:r>
      <w:r w:rsidRPr="003400E7">
        <w:rPr>
          <w:rFonts w:ascii="Garamond" w:hAnsi="Garamond"/>
        </w:rPr>
        <w:t>,</w:t>
      </w:r>
      <w:r w:rsidRPr="00933E3D">
        <w:rPr>
          <w:rFonts w:ascii="Garamond" w:hAnsi="Garamond"/>
        </w:rPr>
        <w:t xml:space="preserve"> para 65.</w:t>
      </w:r>
    </w:p>
  </w:footnote>
  <w:footnote w:id="14">
    <w:p w:rsidR="00A84DC3" w:rsidRPr="00933E3D" w:rsidRDefault="00A84DC3"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00247B35">
        <w:rPr>
          <w:rFonts w:ascii="Garamond" w:hAnsi="Garamond"/>
        </w:rPr>
        <w:t xml:space="preserve">Similarly, see </w:t>
      </w:r>
      <w:r w:rsidRPr="00933E3D">
        <w:rPr>
          <w:rFonts w:ascii="Garamond" w:hAnsi="Garamond"/>
        </w:rPr>
        <w:t>UN Working Group on Arbitrary Detention, ‘Deliberation No 9 Concerning the Definition and Scope of Arbitrary Deprivation of Liberty under Customary International Law’ in UN Human Rights Council, ‘Report of the Working Group on Arbitrary Detention’, A/HRC/22/44, 24 December 2012, para 48.</w:t>
      </w:r>
    </w:p>
  </w:footnote>
  <w:footnote w:id="15">
    <w:p w:rsidR="00E17CC9" w:rsidRPr="00933E3D" w:rsidRDefault="00E17CC9"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Pr="00933E3D">
        <w:rPr>
          <w:rFonts w:ascii="Garamond" w:hAnsi="Garamond"/>
        </w:rPr>
        <w:t xml:space="preserve">Draft General Comment 35, </w:t>
      </w:r>
      <w:r w:rsidRPr="003400E7">
        <w:rPr>
          <w:rFonts w:ascii="Garamond" w:hAnsi="Garamond"/>
          <w:i/>
        </w:rPr>
        <w:t xml:space="preserve">supra </w:t>
      </w:r>
      <w:r w:rsidR="003400E7">
        <w:rPr>
          <w:rFonts w:ascii="Garamond" w:hAnsi="Garamond"/>
        </w:rPr>
        <w:t>note 2</w:t>
      </w:r>
      <w:r w:rsidRPr="003400E7">
        <w:rPr>
          <w:rFonts w:ascii="Garamond" w:hAnsi="Garamond"/>
        </w:rPr>
        <w:t>,</w:t>
      </w:r>
      <w:r w:rsidRPr="00933E3D">
        <w:rPr>
          <w:rFonts w:ascii="Garamond" w:hAnsi="Garamond"/>
        </w:rPr>
        <w:t xml:space="preserve"> para 12.</w:t>
      </w:r>
    </w:p>
  </w:footnote>
  <w:footnote w:id="16">
    <w:p w:rsidR="009F1901" w:rsidRPr="00933E3D" w:rsidRDefault="009F1901"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Pr="00933E3D">
        <w:rPr>
          <w:rFonts w:ascii="Garamond" w:hAnsi="Garamond"/>
          <w:i/>
        </w:rPr>
        <w:t>Ibid</w:t>
      </w:r>
      <w:r w:rsidRPr="00933E3D">
        <w:rPr>
          <w:rFonts w:ascii="Garamond" w:hAnsi="Garamond"/>
        </w:rPr>
        <w:t>.</w:t>
      </w:r>
    </w:p>
  </w:footnote>
  <w:footnote w:id="17">
    <w:p w:rsidR="003E1C5E" w:rsidRPr="00933E3D" w:rsidRDefault="003E1C5E"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proofErr w:type="spellStart"/>
      <w:proofErr w:type="gramStart"/>
      <w:r w:rsidRPr="00933E3D">
        <w:rPr>
          <w:rFonts w:ascii="Garamond" w:hAnsi="Garamond"/>
          <w:i/>
        </w:rPr>
        <w:t>Saadi</w:t>
      </w:r>
      <w:proofErr w:type="spellEnd"/>
      <w:r w:rsidRPr="00933E3D">
        <w:rPr>
          <w:rFonts w:ascii="Garamond" w:hAnsi="Garamond"/>
          <w:i/>
        </w:rPr>
        <w:t xml:space="preserve"> v United Kingdom</w:t>
      </w:r>
      <w:r w:rsidRPr="00933E3D">
        <w:rPr>
          <w:rFonts w:ascii="Garamond" w:hAnsi="Garamond"/>
        </w:rPr>
        <w:t>, App No 13229/03, Judgment, 29 January 2008, paras 67–74.</w:t>
      </w:r>
      <w:proofErr w:type="gramEnd"/>
    </w:p>
  </w:footnote>
  <w:footnote w:id="18">
    <w:p w:rsidR="003E1C5E" w:rsidRPr="00933E3D" w:rsidRDefault="003E1C5E"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proofErr w:type="spellStart"/>
      <w:proofErr w:type="gramStart"/>
      <w:r w:rsidRPr="00933E3D">
        <w:rPr>
          <w:rFonts w:ascii="Garamond" w:hAnsi="Garamond"/>
          <w:i/>
        </w:rPr>
        <w:t>Tibi</w:t>
      </w:r>
      <w:proofErr w:type="spellEnd"/>
      <w:r w:rsidRPr="00933E3D">
        <w:rPr>
          <w:rFonts w:ascii="Garamond" w:hAnsi="Garamond"/>
          <w:i/>
        </w:rPr>
        <w:t xml:space="preserve"> v Ecuador</w:t>
      </w:r>
      <w:r w:rsidRPr="00933E3D">
        <w:rPr>
          <w:rFonts w:ascii="Garamond" w:hAnsi="Garamond"/>
        </w:rPr>
        <w:t xml:space="preserve">, Judgment, </w:t>
      </w:r>
      <w:proofErr w:type="spellStart"/>
      <w:r w:rsidRPr="00933E3D">
        <w:rPr>
          <w:rFonts w:ascii="Garamond" w:hAnsi="Garamond"/>
        </w:rPr>
        <w:t>IACtHR</w:t>
      </w:r>
      <w:proofErr w:type="spellEnd"/>
      <w:r w:rsidRPr="00933E3D">
        <w:rPr>
          <w:rFonts w:ascii="Garamond" w:hAnsi="Garamond"/>
        </w:rPr>
        <w:t xml:space="preserve"> (</w:t>
      </w:r>
      <w:proofErr w:type="spellStart"/>
      <w:r w:rsidRPr="00933E3D">
        <w:rPr>
          <w:rFonts w:ascii="Garamond" w:hAnsi="Garamond"/>
        </w:rPr>
        <w:t>Ser</w:t>
      </w:r>
      <w:proofErr w:type="spellEnd"/>
      <w:r w:rsidRPr="00933E3D">
        <w:rPr>
          <w:rFonts w:ascii="Garamond" w:hAnsi="Garamond"/>
        </w:rPr>
        <w:t xml:space="preserve"> C) No 114, 7 September 2004, para 98.</w:t>
      </w:r>
      <w:proofErr w:type="gramEnd"/>
    </w:p>
  </w:footnote>
  <w:footnote w:id="19">
    <w:p w:rsidR="003E1C5E" w:rsidRPr="00933E3D" w:rsidRDefault="003E1C5E"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r w:rsidRPr="00933E3D">
        <w:rPr>
          <w:rFonts w:ascii="Garamond" w:hAnsi="Garamond"/>
          <w:i/>
        </w:rPr>
        <w:t>Amnesty International and others v Sudan</w:t>
      </w:r>
      <w:r w:rsidRPr="00933E3D">
        <w:rPr>
          <w:rFonts w:ascii="Garamond" w:hAnsi="Garamond"/>
        </w:rPr>
        <w:t xml:space="preserve">, Communication </w:t>
      </w:r>
      <w:proofErr w:type="spellStart"/>
      <w:r w:rsidRPr="00933E3D">
        <w:rPr>
          <w:rFonts w:ascii="Garamond" w:hAnsi="Garamond"/>
        </w:rPr>
        <w:t>Nos</w:t>
      </w:r>
      <w:proofErr w:type="spellEnd"/>
      <w:r w:rsidRPr="00933E3D">
        <w:rPr>
          <w:rFonts w:ascii="Garamond" w:hAnsi="Garamond"/>
        </w:rPr>
        <w:t xml:space="preserve"> 48/90, 50/91, 52/91, and 89/93 (2003), paras 58–9.</w:t>
      </w:r>
    </w:p>
  </w:footnote>
  <w:footnote w:id="20">
    <w:p w:rsidR="006D60F0" w:rsidRPr="00933E3D" w:rsidRDefault="006D60F0"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proofErr w:type="spellStart"/>
      <w:r w:rsidRPr="00933E3D">
        <w:rPr>
          <w:rFonts w:ascii="Garamond" w:hAnsi="Garamond"/>
        </w:rPr>
        <w:t>ECtHR</w:t>
      </w:r>
      <w:proofErr w:type="spellEnd"/>
      <w:r w:rsidRPr="00933E3D">
        <w:rPr>
          <w:rFonts w:ascii="Garamond" w:hAnsi="Garamond"/>
        </w:rPr>
        <w:t xml:space="preserve">, </w:t>
      </w:r>
      <w:proofErr w:type="spellStart"/>
      <w:r w:rsidRPr="00933E3D">
        <w:rPr>
          <w:rFonts w:ascii="Garamond" w:hAnsi="Garamond"/>
          <w:i/>
        </w:rPr>
        <w:t>Medvedyev</w:t>
      </w:r>
      <w:proofErr w:type="spellEnd"/>
      <w:r w:rsidRPr="00933E3D">
        <w:rPr>
          <w:rFonts w:ascii="Garamond" w:hAnsi="Garamond"/>
          <w:i/>
        </w:rPr>
        <w:t xml:space="preserve"> and others v France</w:t>
      </w:r>
      <w:r w:rsidRPr="00933E3D">
        <w:rPr>
          <w:rFonts w:ascii="Garamond" w:hAnsi="Garamond"/>
        </w:rPr>
        <w:t xml:space="preserve">, </w:t>
      </w:r>
      <w:r w:rsidR="003400E7">
        <w:rPr>
          <w:rFonts w:ascii="Garamond" w:hAnsi="Garamond"/>
          <w:i/>
        </w:rPr>
        <w:t xml:space="preserve">supra </w:t>
      </w:r>
      <w:r w:rsidR="003400E7">
        <w:rPr>
          <w:rFonts w:ascii="Garamond" w:hAnsi="Garamond"/>
        </w:rPr>
        <w:t xml:space="preserve">note 7, </w:t>
      </w:r>
      <w:r w:rsidRPr="00933E3D">
        <w:rPr>
          <w:rFonts w:ascii="Garamond" w:hAnsi="Garamond"/>
        </w:rPr>
        <w:t xml:space="preserve">para 80. Similarly, see </w:t>
      </w:r>
      <w:proofErr w:type="spellStart"/>
      <w:r w:rsidR="003400E7">
        <w:rPr>
          <w:rFonts w:ascii="Garamond" w:hAnsi="Garamond"/>
        </w:rPr>
        <w:t>IACiHR</w:t>
      </w:r>
      <w:proofErr w:type="spellEnd"/>
      <w:r w:rsidRPr="00933E3D">
        <w:rPr>
          <w:rFonts w:ascii="Garamond" w:hAnsi="Garamond"/>
        </w:rPr>
        <w:t xml:space="preserve">, </w:t>
      </w:r>
      <w:proofErr w:type="spellStart"/>
      <w:r w:rsidRPr="00933E3D">
        <w:rPr>
          <w:rFonts w:ascii="Garamond" w:hAnsi="Garamond"/>
          <w:i/>
        </w:rPr>
        <w:t>Dayra</w:t>
      </w:r>
      <w:proofErr w:type="spellEnd"/>
      <w:r w:rsidRPr="00933E3D">
        <w:rPr>
          <w:rFonts w:ascii="Garamond" w:hAnsi="Garamond"/>
          <w:i/>
        </w:rPr>
        <w:t xml:space="preserve"> Maria </w:t>
      </w:r>
      <w:proofErr w:type="spellStart"/>
      <w:r w:rsidRPr="00933E3D">
        <w:rPr>
          <w:rFonts w:ascii="Garamond" w:hAnsi="Garamond"/>
          <w:i/>
        </w:rPr>
        <w:t>Levoyer</w:t>
      </w:r>
      <w:proofErr w:type="spellEnd"/>
      <w:r w:rsidRPr="00933E3D">
        <w:rPr>
          <w:rFonts w:ascii="Garamond" w:hAnsi="Garamond"/>
          <w:i/>
        </w:rPr>
        <w:t xml:space="preserve"> Jimenez v Ecuador</w:t>
      </w:r>
      <w:r w:rsidRPr="00933E3D">
        <w:rPr>
          <w:rFonts w:ascii="Garamond" w:hAnsi="Garamond"/>
        </w:rPr>
        <w:t xml:space="preserve">, Report No 66/01, 14 June 2001, para 37; </w:t>
      </w:r>
      <w:proofErr w:type="spellStart"/>
      <w:r w:rsidRPr="00933E3D">
        <w:rPr>
          <w:rFonts w:ascii="Garamond" w:hAnsi="Garamond"/>
        </w:rPr>
        <w:t>ACiHPR</w:t>
      </w:r>
      <w:proofErr w:type="spellEnd"/>
      <w:r w:rsidRPr="00933E3D">
        <w:rPr>
          <w:rFonts w:ascii="Garamond" w:hAnsi="Garamond"/>
        </w:rPr>
        <w:t xml:space="preserve">, </w:t>
      </w:r>
      <w:r w:rsidRPr="00933E3D">
        <w:rPr>
          <w:rFonts w:ascii="Garamond" w:hAnsi="Garamond"/>
          <w:i/>
        </w:rPr>
        <w:t>Amnesty International v Sudan</w:t>
      </w:r>
      <w:r w:rsidRPr="00933E3D">
        <w:rPr>
          <w:rFonts w:ascii="Garamond" w:hAnsi="Garamond"/>
        </w:rPr>
        <w:t xml:space="preserve">, </w:t>
      </w:r>
      <w:r w:rsidRPr="00933E3D">
        <w:rPr>
          <w:rFonts w:ascii="Garamond" w:hAnsi="Garamond"/>
          <w:i/>
        </w:rPr>
        <w:t>ibid</w:t>
      </w:r>
      <w:r w:rsidRPr="00933E3D">
        <w:rPr>
          <w:rFonts w:ascii="Garamond" w:hAnsi="Garamond"/>
        </w:rPr>
        <w:t>.</w:t>
      </w:r>
    </w:p>
  </w:footnote>
  <w:footnote w:id="21">
    <w:p w:rsidR="00251B61" w:rsidRPr="00933E3D" w:rsidRDefault="00251B61" w:rsidP="003400E7">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400E7">
        <w:rPr>
          <w:rFonts w:ascii="Garamond" w:hAnsi="Garamond"/>
        </w:rPr>
        <w:tab/>
      </w:r>
      <w:proofErr w:type="gramStart"/>
      <w:r w:rsidRPr="00933E3D">
        <w:rPr>
          <w:rFonts w:ascii="Garamond" w:hAnsi="Garamond"/>
        </w:rPr>
        <w:t>‘The Copenhagen Process on the Handling of Detainees in International Military Operations, The Copenhagen Process: Principles and Guidelines’ (October 2012) (‘Copenhagen Principles’), para 4.3 &lt;http://um.dk/en//media/UM/English-site/Documents/Politics-and-diplomacy/Copenhangen%20Process %20Principles%20and%20Guidelines.pdf&gt;.</w:t>
      </w:r>
      <w:proofErr w:type="gramEnd"/>
    </w:p>
  </w:footnote>
  <w:footnote w:id="22">
    <w:p w:rsidR="00D175F7" w:rsidRPr="00933E3D" w:rsidRDefault="00D175F7"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See, e.g., </w:t>
      </w:r>
      <w:proofErr w:type="spellStart"/>
      <w:r w:rsidRPr="00933E3D">
        <w:rPr>
          <w:rFonts w:ascii="Garamond" w:hAnsi="Garamond"/>
        </w:rPr>
        <w:t>ECtHR</w:t>
      </w:r>
      <w:proofErr w:type="spellEnd"/>
      <w:r w:rsidRPr="00933E3D">
        <w:rPr>
          <w:rFonts w:ascii="Garamond" w:hAnsi="Garamond"/>
        </w:rPr>
        <w:t xml:space="preserve">, </w:t>
      </w:r>
      <w:r w:rsidRPr="00933E3D">
        <w:rPr>
          <w:rFonts w:ascii="Garamond" w:hAnsi="Garamond"/>
          <w:i/>
        </w:rPr>
        <w:t>Al-</w:t>
      </w:r>
      <w:proofErr w:type="spellStart"/>
      <w:r w:rsidRPr="00933E3D">
        <w:rPr>
          <w:rFonts w:ascii="Garamond" w:hAnsi="Garamond"/>
          <w:i/>
        </w:rPr>
        <w:t>Jedda</w:t>
      </w:r>
      <w:proofErr w:type="spellEnd"/>
      <w:r w:rsidRPr="00933E3D">
        <w:rPr>
          <w:rFonts w:ascii="Garamond" w:hAnsi="Garamond"/>
          <w:i/>
        </w:rPr>
        <w:t xml:space="preserve"> v United Kingdom</w:t>
      </w:r>
      <w:r w:rsidRPr="00933E3D">
        <w:rPr>
          <w:rFonts w:ascii="Garamond" w:hAnsi="Garamond"/>
        </w:rPr>
        <w:t xml:space="preserve">, </w:t>
      </w:r>
      <w:r w:rsidR="00B86480" w:rsidRPr="00933E3D">
        <w:rPr>
          <w:rFonts w:ascii="Garamond" w:hAnsi="Garamond"/>
        </w:rPr>
        <w:t>App No 27021/08, Grand Chamber, Judgment, 7 July 2011, para 16 (the UK’s reliance on UN Security Council Resolution 1546 as providing the legal basis for Al-</w:t>
      </w:r>
      <w:proofErr w:type="spellStart"/>
      <w:r w:rsidR="00B86480" w:rsidRPr="00933E3D">
        <w:rPr>
          <w:rFonts w:ascii="Garamond" w:hAnsi="Garamond"/>
        </w:rPr>
        <w:t>Jedda’s</w:t>
      </w:r>
      <w:proofErr w:type="spellEnd"/>
      <w:r w:rsidR="00B86480" w:rsidRPr="00933E3D">
        <w:rPr>
          <w:rFonts w:ascii="Garamond" w:hAnsi="Garamond"/>
        </w:rPr>
        <w:t xml:space="preserve"> internment).</w:t>
      </w:r>
    </w:p>
  </w:footnote>
  <w:footnote w:id="23">
    <w:p w:rsidR="00FD780C" w:rsidRPr="00933E3D" w:rsidRDefault="00FD780C"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proofErr w:type="gramStart"/>
      <w:r w:rsidRPr="00933E3D">
        <w:rPr>
          <w:rFonts w:ascii="Garamond" w:hAnsi="Garamond"/>
        </w:rPr>
        <w:t>[2014] EWHC 1369 (QB).</w:t>
      </w:r>
      <w:proofErr w:type="gramEnd"/>
    </w:p>
  </w:footnote>
  <w:footnote w:id="24">
    <w:p w:rsidR="00D84996" w:rsidRPr="00933E3D" w:rsidRDefault="00D84996"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proofErr w:type="spellStart"/>
      <w:proofErr w:type="gramStart"/>
      <w:r w:rsidRPr="00933E3D">
        <w:rPr>
          <w:rFonts w:ascii="Garamond" w:hAnsi="Garamond"/>
          <w:i/>
        </w:rPr>
        <w:t>Hamdi</w:t>
      </w:r>
      <w:proofErr w:type="spellEnd"/>
      <w:r w:rsidRPr="00933E3D">
        <w:rPr>
          <w:rFonts w:ascii="Garamond" w:hAnsi="Garamond"/>
          <w:i/>
        </w:rPr>
        <w:t xml:space="preserve"> v Rumsfeld</w:t>
      </w:r>
      <w:r w:rsidRPr="00933E3D">
        <w:rPr>
          <w:rFonts w:ascii="Garamond" w:hAnsi="Garamond"/>
        </w:rPr>
        <w:t>, 542 US 507, 519 (2004) (US Supreme Court).</w:t>
      </w:r>
      <w:proofErr w:type="gramEnd"/>
    </w:p>
  </w:footnote>
  <w:footnote w:id="25">
    <w:p w:rsidR="007A14BC" w:rsidRPr="00933E3D" w:rsidRDefault="007A14BC"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Draft General Comment 35, </w:t>
      </w:r>
      <w:r w:rsidRPr="00332D08">
        <w:rPr>
          <w:rFonts w:ascii="Garamond" w:hAnsi="Garamond"/>
          <w:i/>
        </w:rPr>
        <w:t xml:space="preserve">supra </w:t>
      </w:r>
      <w:r w:rsidR="00332D08">
        <w:rPr>
          <w:rFonts w:ascii="Garamond" w:hAnsi="Garamond"/>
        </w:rPr>
        <w:t>note 2</w:t>
      </w:r>
      <w:r w:rsidRPr="00332D08">
        <w:rPr>
          <w:rFonts w:ascii="Garamond" w:hAnsi="Garamond"/>
        </w:rPr>
        <w:t>,</w:t>
      </w:r>
      <w:r w:rsidRPr="00933E3D">
        <w:rPr>
          <w:rFonts w:ascii="Garamond" w:hAnsi="Garamond"/>
        </w:rPr>
        <w:t xml:space="preserve"> para 25.</w:t>
      </w:r>
    </w:p>
  </w:footnote>
  <w:footnote w:id="26">
    <w:p w:rsidR="007A14BC" w:rsidRPr="00933E3D" w:rsidRDefault="007A14BC"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i/>
        </w:rPr>
        <w:t>Ibid</w:t>
      </w:r>
      <w:r w:rsidRPr="00933E3D">
        <w:rPr>
          <w:rFonts w:ascii="Garamond" w:hAnsi="Garamond"/>
        </w:rPr>
        <w:t>.</w:t>
      </w:r>
    </w:p>
  </w:footnote>
  <w:footnote w:id="27">
    <w:p w:rsidR="009E019E" w:rsidRPr="00933E3D" w:rsidRDefault="009E019E"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The Copenhagen Process, </w:t>
      </w:r>
      <w:r w:rsidRPr="00332D08">
        <w:rPr>
          <w:rFonts w:ascii="Garamond" w:hAnsi="Garamond"/>
          <w:i/>
        </w:rPr>
        <w:t>supra</w:t>
      </w:r>
      <w:r w:rsidR="00332D08">
        <w:rPr>
          <w:rFonts w:ascii="Garamond" w:hAnsi="Garamond"/>
        </w:rPr>
        <w:t xml:space="preserve"> note 21</w:t>
      </w:r>
      <w:r w:rsidRPr="00933E3D">
        <w:rPr>
          <w:rFonts w:ascii="Garamond" w:hAnsi="Garamond"/>
        </w:rPr>
        <w:t>, para 7.1.</w:t>
      </w:r>
    </w:p>
  </w:footnote>
  <w:footnote w:id="28">
    <w:p w:rsidR="00DC6148" w:rsidRPr="00933E3D" w:rsidRDefault="00DC6148"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See, e.g., </w:t>
      </w:r>
      <w:proofErr w:type="spellStart"/>
      <w:r w:rsidRPr="00933E3D">
        <w:rPr>
          <w:rFonts w:ascii="Garamond" w:hAnsi="Garamond"/>
        </w:rPr>
        <w:t>ECtHR</w:t>
      </w:r>
      <w:proofErr w:type="spellEnd"/>
      <w:r w:rsidRPr="00933E3D">
        <w:rPr>
          <w:rFonts w:ascii="Garamond" w:hAnsi="Garamond"/>
        </w:rPr>
        <w:t xml:space="preserve">, </w:t>
      </w:r>
      <w:r w:rsidRPr="00933E3D">
        <w:rPr>
          <w:rFonts w:ascii="Garamond" w:hAnsi="Garamond"/>
          <w:i/>
        </w:rPr>
        <w:t>Kerr v United Kingdom</w:t>
      </w:r>
      <w:r w:rsidRPr="00933E3D">
        <w:rPr>
          <w:rFonts w:ascii="Garamond" w:hAnsi="Garamond"/>
        </w:rPr>
        <w:t>, App No 40451/98, Admissibility Decision, 7 December 1999.</w:t>
      </w:r>
    </w:p>
  </w:footnote>
  <w:footnote w:id="29">
    <w:p w:rsidR="00497713" w:rsidRPr="005637AB" w:rsidRDefault="00497713" w:rsidP="00497713">
      <w:pPr>
        <w:pStyle w:val="FootnoteText"/>
        <w:tabs>
          <w:tab w:val="left" w:pos="284"/>
        </w:tabs>
        <w:jc w:val="both"/>
        <w:rPr>
          <w:rFonts w:ascii="Garamond" w:hAnsi="Garamond"/>
          <w:lang w:val="es-ES"/>
        </w:rPr>
      </w:pPr>
      <w:r w:rsidRPr="00933E3D">
        <w:rPr>
          <w:rStyle w:val="FootnoteReference"/>
          <w:rFonts w:ascii="Garamond" w:hAnsi="Garamond"/>
        </w:rPr>
        <w:footnoteRef/>
      </w:r>
      <w:r w:rsidRPr="005637AB">
        <w:rPr>
          <w:rFonts w:ascii="Garamond" w:hAnsi="Garamond"/>
          <w:lang w:val="es-ES"/>
        </w:rPr>
        <w:t xml:space="preserve"> </w:t>
      </w:r>
      <w:r w:rsidRPr="005637AB">
        <w:rPr>
          <w:rFonts w:ascii="Garamond" w:hAnsi="Garamond"/>
          <w:lang w:val="es-ES"/>
        </w:rPr>
        <w:tab/>
      </w:r>
      <w:proofErr w:type="spellStart"/>
      <w:r w:rsidRPr="005637AB">
        <w:rPr>
          <w:rFonts w:ascii="Garamond" w:hAnsi="Garamond"/>
          <w:lang w:val="es-ES"/>
        </w:rPr>
        <w:t>Draft</w:t>
      </w:r>
      <w:proofErr w:type="spellEnd"/>
      <w:r w:rsidRPr="005637AB">
        <w:rPr>
          <w:rFonts w:ascii="Garamond" w:hAnsi="Garamond"/>
          <w:lang w:val="es-ES"/>
        </w:rPr>
        <w:t xml:space="preserve"> General </w:t>
      </w:r>
      <w:proofErr w:type="spellStart"/>
      <w:r w:rsidRPr="005637AB">
        <w:rPr>
          <w:rFonts w:ascii="Garamond" w:hAnsi="Garamond"/>
          <w:lang w:val="es-ES"/>
        </w:rPr>
        <w:t>Comment</w:t>
      </w:r>
      <w:proofErr w:type="spellEnd"/>
      <w:r w:rsidRPr="005637AB">
        <w:rPr>
          <w:rFonts w:ascii="Garamond" w:hAnsi="Garamond"/>
          <w:lang w:val="es-ES"/>
        </w:rPr>
        <w:t xml:space="preserve"> 35, </w:t>
      </w:r>
      <w:r w:rsidRPr="005637AB">
        <w:rPr>
          <w:rFonts w:ascii="Garamond" w:hAnsi="Garamond"/>
          <w:i/>
          <w:lang w:val="es-ES"/>
        </w:rPr>
        <w:t xml:space="preserve">supra </w:t>
      </w:r>
      <w:r w:rsidRPr="005637AB">
        <w:rPr>
          <w:rFonts w:ascii="Garamond" w:hAnsi="Garamond"/>
          <w:lang w:val="es-ES"/>
        </w:rPr>
        <w:t>note 2, para 33.</w:t>
      </w:r>
    </w:p>
  </w:footnote>
  <w:footnote w:id="30">
    <w:p w:rsidR="00497713" w:rsidRPr="00910C75" w:rsidRDefault="00497713" w:rsidP="00497713">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Pr>
          <w:rFonts w:ascii="Garamond" w:hAnsi="Garamond"/>
        </w:rPr>
        <w:tab/>
      </w:r>
      <w:proofErr w:type="spellStart"/>
      <w:r w:rsidRPr="00910C75">
        <w:rPr>
          <w:rFonts w:ascii="Garamond" w:hAnsi="Garamond"/>
          <w:i/>
        </w:rPr>
        <w:t>Medvedyev</w:t>
      </w:r>
      <w:proofErr w:type="spellEnd"/>
      <w:r w:rsidRPr="00910C75">
        <w:rPr>
          <w:rFonts w:ascii="Garamond" w:hAnsi="Garamond"/>
          <w:i/>
        </w:rPr>
        <w:t xml:space="preserve"> and others v France</w:t>
      </w:r>
      <w:r w:rsidRPr="00910C75">
        <w:rPr>
          <w:rFonts w:ascii="Garamond" w:hAnsi="Garamond"/>
        </w:rPr>
        <w:t xml:space="preserve">, </w:t>
      </w:r>
      <w:r w:rsidRPr="00910C75">
        <w:rPr>
          <w:rFonts w:ascii="Garamond" w:hAnsi="Garamond"/>
          <w:i/>
        </w:rPr>
        <w:t>supra</w:t>
      </w:r>
      <w:r w:rsidRPr="00910C75">
        <w:rPr>
          <w:rFonts w:ascii="Garamond" w:hAnsi="Garamond"/>
        </w:rPr>
        <w:t xml:space="preserve"> note 7, paras 127–34.</w:t>
      </w:r>
    </w:p>
  </w:footnote>
  <w:footnote w:id="31">
    <w:p w:rsidR="00497713" w:rsidRPr="00EB5126" w:rsidRDefault="00497713" w:rsidP="00497713">
      <w:pPr>
        <w:pStyle w:val="FootnoteText"/>
        <w:tabs>
          <w:tab w:val="left" w:pos="284"/>
        </w:tabs>
        <w:rPr>
          <w:rFonts w:ascii="Garamond" w:hAnsi="Garamond"/>
          <w:lang w:val="en-US"/>
        </w:rPr>
      </w:pPr>
      <w:r w:rsidRPr="00EB5126">
        <w:rPr>
          <w:rStyle w:val="FootnoteReference"/>
          <w:rFonts w:ascii="Garamond" w:hAnsi="Garamond"/>
        </w:rPr>
        <w:footnoteRef/>
      </w:r>
      <w:r w:rsidRPr="00EB5126">
        <w:rPr>
          <w:rFonts w:ascii="Garamond" w:hAnsi="Garamond"/>
        </w:rPr>
        <w:t xml:space="preserve"> </w:t>
      </w:r>
      <w:r>
        <w:rPr>
          <w:rFonts w:ascii="Garamond" w:hAnsi="Garamond"/>
        </w:rPr>
        <w:tab/>
      </w:r>
      <w:proofErr w:type="gramStart"/>
      <w:r w:rsidR="00841D66" w:rsidRPr="00841D66">
        <w:rPr>
          <w:rFonts w:ascii="Garamond" w:hAnsi="Garamond"/>
          <w:i/>
        </w:rPr>
        <w:t>Brogan and Others v United Kingdom</w:t>
      </w:r>
      <w:r w:rsidR="00841D66">
        <w:rPr>
          <w:rFonts w:ascii="Garamond" w:hAnsi="Garamond"/>
        </w:rPr>
        <w:t>,</w:t>
      </w:r>
      <w:r w:rsidR="00841D66" w:rsidRPr="00841D66">
        <w:rPr>
          <w:rFonts w:ascii="Garamond" w:hAnsi="Garamond"/>
        </w:rPr>
        <w:t xml:space="preserve"> </w:t>
      </w:r>
      <w:r w:rsidR="00841D66">
        <w:rPr>
          <w:rFonts w:ascii="Garamond" w:hAnsi="Garamond"/>
        </w:rPr>
        <w:t xml:space="preserve">App </w:t>
      </w:r>
      <w:proofErr w:type="spellStart"/>
      <w:r w:rsidR="00841D66">
        <w:rPr>
          <w:rFonts w:ascii="Garamond" w:hAnsi="Garamond"/>
        </w:rPr>
        <w:t>Nos</w:t>
      </w:r>
      <w:proofErr w:type="spellEnd"/>
      <w:r w:rsidR="00841D66">
        <w:rPr>
          <w:rFonts w:ascii="Garamond" w:hAnsi="Garamond"/>
        </w:rPr>
        <w:t xml:space="preserve"> 11209/84, 11234/84, 11266/84, 11386/85, Judgment, 29 November 1988</w:t>
      </w:r>
      <w:r w:rsidRPr="00EB5126">
        <w:rPr>
          <w:rFonts w:ascii="Garamond" w:hAnsi="Garamond"/>
        </w:rPr>
        <w:t>.</w:t>
      </w:r>
      <w:proofErr w:type="gramEnd"/>
    </w:p>
  </w:footnote>
  <w:footnote w:id="32">
    <w:p w:rsidR="00497713" w:rsidRPr="00EB5126" w:rsidRDefault="00497713" w:rsidP="00497713">
      <w:pPr>
        <w:pStyle w:val="FootnoteText"/>
        <w:tabs>
          <w:tab w:val="left" w:pos="284"/>
        </w:tabs>
        <w:rPr>
          <w:rFonts w:ascii="Garamond" w:hAnsi="Garamond"/>
          <w:lang w:val="en-US"/>
        </w:rPr>
      </w:pPr>
      <w:r w:rsidRPr="00EB5126">
        <w:rPr>
          <w:rStyle w:val="FootnoteReference"/>
          <w:rFonts w:ascii="Garamond" w:hAnsi="Garamond"/>
        </w:rPr>
        <w:footnoteRef/>
      </w:r>
      <w:r w:rsidRPr="00EB5126">
        <w:rPr>
          <w:rFonts w:ascii="Garamond" w:hAnsi="Garamond"/>
          <w:lang w:val="en-US"/>
        </w:rPr>
        <w:t xml:space="preserve"> </w:t>
      </w:r>
      <w:r w:rsidRPr="00EB5126">
        <w:rPr>
          <w:rFonts w:ascii="Garamond" w:hAnsi="Garamond"/>
          <w:lang w:val="en-US"/>
        </w:rPr>
        <w:tab/>
      </w:r>
      <w:proofErr w:type="spellStart"/>
      <w:proofErr w:type="gramStart"/>
      <w:r w:rsidR="009F0B73" w:rsidRPr="009F0B73">
        <w:rPr>
          <w:rFonts w:ascii="Garamond" w:hAnsi="Garamond"/>
          <w:i/>
        </w:rPr>
        <w:t>Öcalan</w:t>
      </w:r>
      <w:proofErr w:type="spellEnd"/>
      <w:r w:rsidR="009F0B73" w:rsidRPr="009F0B73">
        <w:rPr>
          <w:rFonts w:ascii="Garamond" w:hAnsi="Garamond"/>
          <w:i/>
        </w:rPr>
        <w:t xml:space="preserve"> v Turkey</w:t>
      </w:r>
      <w:r w:rsidR="009F0B73">
        <w:rPr>
          <w:rFonts w:ascii="Garamond" w:hAnsi="Garamond"/>
        </w:rPr>
        <w:t xml:space="preserve">, App No </w:t>
      </w:r>
      <w:r w:rsidRPr="00EB5126">
        <w:rPr>
          <w:rFonts w:ascii="Garamond" w:hAnsi="Garamond"/>
          <w:lang w:val="en-US"/>
        </w:rPr>
        <w:t xml:space="preserve">46221/99, </w:t>
      </w:r>
      <w:r w:rsidR="009F0B73">
        <w:rPr>
          <w:rFonts w:ascii="Garamond" w:hAnsi="Garamond"/>
          <w:lang w:val="en-US"/>
        </w:rPr>
        <w:t>Judgment, Grand Chamber, 12 May 2005</w:t>
      </w:r>
      <w:r>
        <w:rPr>
          <w:rFonts w:ascii="Garamond" w:hAnsi="Garamond"/>
          <w:lang w:val="en-US"/>
        </w:rPr>
        <w:t>.</w:t>
      </w:r>
      <w:proofErr w:type="gramEnd"/>
    </w:p>
  </w:footnote>
  <w:footnote w:id="33">
    <w:p w:rsidR="00497713" w:rsidRPr="00EB5126" w:rsidRDefault="00497713" w:rsidP="00497713">
      <w:pPr>
        <w:pStyle w:val="FootnoteText"/>
        <w:tabs>
          <w:tab w:val="left" w:pos="284"/>
        </w:tabs>
        <w:rPr>
          <w:rFonts w:ascii="Garamond" w:hAnsi="Garamond"/>
          <w:lang w:val="en-US"/>
        </w:rPr>
      </w:pPr>
      <w:r w:rsidRPr="00EB5126">
        <w:rPr>
          <w:rStyle w:val="FootnoteReference"/>
          <w:rFonts w:ascii="Garamond" w:hAnsi="Garamond"/>
        </w:rPr>
        <w:footnoteRef/>
      </w:r>
      <w:r w:rsidRPr="00EB5126">
        <w:rPr>
          <w:rFonts w:ascii="Garamond" w:hAnsi="Garamond"/>
          <w:lang w:val="en-US"/>
        </w:rPr>
        <w:t xml:space="preserve"> </w:t>
      </w:r>
      <w:r>
        <w:rPr>
          <w:rFonts w:ascii="Garamond" w:hAnsi="Garamond"/>
          <w:lang w:val="en-US"/>
        </w:rPr>
        <w:tab/>
      </w:r>
      <w:proofErr w:type="spellStart"/>
      <w:r w:rsidR="009F0B73" w:rsidRPr="009F0B73">
        <w:rPr>
          <w:rFonts w:ascii="Garamond" w:hAnsi="Garamond"/>
          <w:i/>
        </w:rPr>
        <w:t>Vassis</w:t>
      </w:r>
      <w:proofErr w:type="spellEnd"/>
      <w:r w:rsidR="009F0B73" w:rsidRPr="009F0B73">
        <w:rPr>
          <w:rFonts w:ascii="Garamond" w:hAnsi="Garamond"/>
          <w:i/>
        </w:rPr>
        <w:t xml:space="preserve"> and </w:t>
      </w:r>
      <w:proofErr w:type="gramStart"/>
      <w:r w:rsidR="009F0B73" w:rsidRPr="009F0B73">
        <w:rPr>
          <w:rFonts w:ascii="Garamond" w:hAnsi="Garamond"/>
          <w:i/>
        </w:rPr>
        <w:t>Others</w:t>
      </w:r>
      <w:proofErr w:type="gramEnd"/>
      <w:r w:rsidR="009F0B73" w:rsidRPr="009F0B73">
        <w:rPr>
          <w:rFonts w:ascii="Garamond" w:hAnsi="Garamond"/>
          <w:i/>
        </w:rPr>
        <w:t xml:space="preserve"> v France</w:t>
      </w:r>
      <w:r w:rsidR="009F0B73">
        <w:rPr>
          <w:rFonts w:ascii="Garamond" w:hAnsi="Garamond"/>
        </w:rPr>
        <w:t>,</w:t>
      </w:r>
      <w:r w:rsidR="009F0B73" w:rsidRPr="009F0B73">
        <w:rPr>
          <w:rFonts w:ascii="Garamond" w:hAnsi="Garamond"/>
          <w:lang w:val="en-US"/>
        </w:rPr>
        <w:t xml:space="preserve"> </w:t>
      </w:r>
      <w:r w:rsidRPr="00EB5126">
        <w:rPr>
          <w:rFonts w:ascii="Garamond" w:hAnsi="Garamond"/>
          <w:lang w:val="en-US"/>
        </w:rPr>
        <w:t>App</w:t>
      </w:r>
      <w:r w:rsidR="009F0B73">
        <w:rPr>
          <w:rFonts w:ascii="Garamond" w:hAnsi="Garamond"/>
          <w:lang w:val="en-US"/>
        </w:rPr>
        <w:t xml:space="preserve"> N</w:t>
      </w:r>
      <w:r w:rsidRPr="00EB5126">
        <w:rPr>
          <w:rFonts w:ascii="Garamond" w:hAnsi="Garamond"/>
          <w:lang w:val="en-US"/>
        </w:rPr>
        <w:t>o 62736/09</w:t>
      </w:r>
      <w:r w:rsidR="009F0B73">
        <w:rPr>
          <w:rFonts w:ascii="Garamond" w:hAnsi="Garamond"/>
          <w:lang w:val="en-US"/>
        </w:rPr>
        <w:t>, Judgment, 27 June 2013.</w:t>
      </w:r>
    </w:p>
  </w:footnote>
  <w:footnote w:id="34">
    <w:p w:rsidR="0036798D" w:rsidRPr="00933E3D" w:rsidRDefault="0036798D"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Draft General Comment 35, </w:t>
      </w:r>
      <w:r w:rsidRPr="00332D08">
        <w:rPr>
          <w:rFonts w:ascii="Garamond" w:hAnsi="Garamond"/>
          <w:i/>
        </w:rPr>
        <w:t xml:space="preserve">supra </w:t>
      </w:r>
      <w:r w:rsidR="00332D08">
        <w:rPr>
          <w:rFonts w:ascii="Garamond" w:hAnsi="Garamond"/>
        </w:rPr>
        <w:t>note 2</w:t>
      </w:r>
      <w:r w:rsidRPr="00332D08">
        <w:rPr>
          <w:rFonts w:ascii="Garamond" w:hAnsi="Garamond"/>
        </w:rPr>
        <w:t>,</w:t>
      </w:r>
      <w:r w:rsidRPr="00933E3D">
        <w:rPr>
          <w:rFonts w:ascii="Garamond" w:hAnsi="Garamond"/>
        </w:rPr>
        <w:t xml:space="preserve"> paras 39 and 45.</w:t>
      </w:r>
    </w:p>
  </w:footnote>
  <w:footnote w:id="35">
    <w:p w:rsidR="006E081B" w:rsidRPr="00933E3D" w:rsidRDefault="006E081B"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proofErr w:type="gramStart"/>
      <w:r w:rsidRPr="00933E3D">
        <w:rPr>
          <w:rFonts w:ascii="Garamond" w:hAnsi="Garamond"/>
          <w:i/>
        </w:rPr>
        <w:t>Ibid</w:t>
      </w:r>
      <w:r w:rsidRPr="00933E3D">
        <w:rPr>
          <w:rFonts w:ascii="Garamond" w:hAnsi="Garamond"/>
        </w:rPr>
        <w:t>, para 41.</w:t>
      </w:r>
      <w:proofErr w:type="gramEnd"/>
    </w:p>
  </w:footnote>
  <w:footnote w:id="36">
    <w:p w:rsidR="00BF1B02" w:rsidRPr="00933E3D" w:rsidRDefault="00BF1B02"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proofErr w:type="spellStart"/>
      <w:r w:rsidRPr="00933E3D">
        <w:rPr>
          <w:rFonts w:ascii="Garamond" w:hAnsi="Garamond"/>
        </w:rPr>
        <w:t>ECtHR</w:t>
      </w:r>
      <w:proofErr w:type="spellEnd"/>
      <w:r w:rsidRPr="00933E3D">
        <w:rPr>
          <w:rFonts w:ascii="Garamond" w:hAnsi="Garamond"/>
        </w:rPr>
        <w:t xml:space="preserve">, </w:t>
      </w:r>
      <w:proofErr w:type="spellStart"/>
      <w:r w:rsidRPr="00933E3D">
        <w:rPr>
          <w:rFonts w:ascii="Garamond" w:hAnsi="Garamond"/>
          <w:i/>
        </w:rPr>
        <w:t>Brannigan</w:t>
      </w:r>
      <w:proofErr w:type="spellEnd"/>
      <w:r w:rsidRPr="00933E3D">
        <w:rPr>
          <w:rFonts w:ascii="Garamond" w:hAnsi="Garamond"/>
          <w:i/>
        </w:rPr>
        <w:t xml:space="preserve"> and McBride v United Kingdom</w:t>
      </w:r>
      <w:r w:rsidRPr="00933E3D">
        <w:rPr>
          <w:rFonts w:ascii="Garamond" w:hAnsi="Garamond"/>
        </w:rPr>
        <w:t xml:space="preserve">, App No 14553/89 and 14554/89, Judgment, 25 May 1993, para 63; </w:t>
      </w:r>
      <w:proofErr w:type="spellStart"/>
      <w:r w:rsidRPr="00933E3D">
        <w:rPr>
          <w:rFonts w:ascii="Garamond" w:hAnsi="Garamond"/>
        </w:rPr>
        <w:t>ECtHR</w:t>
      </w:r>
      <w:proofErr w:type="spellEnd"/>
      <w:r w:rsidRPr="00933E3D">
        <w:rPr>
          <w:rFonts w:ascii="Garamond" w:hAnsi="Garamond"/>
        </w:rPr>
        <w:t xml:space="preserve">, </w:t>
      </w:r>
      <w:proofErr w:type="spellStart"/>
      <w:r w:rsidRPr="00933E3D">
        <w:rPr>
          <w:rFonts w:ascii="Garamond" w:hAnsi="Garamond"/>
          <w:i/>
        </w:rPr>
        <w:t>Khudyakova</w:t>
      </w:r>
      <w:proofErr w:type="spellEnd"/>
      <w:r w:rsidRPr="00933E3D">
        <w:rPr>
          <w:rFonts w:ascii="Garamond" w:hAnsi="Garamond"/>
          <w:i/>
        </w:rPr>
        <w:t xml:space="preserve"> v Russia</w:t>
      </w:r>
      <w:r w:rsidRPr="00933E3D">
        <w:rPr>
          <w:rFonts w:ascii="Garamond" w:hAnsi="Garamond"/>
        </w:rPr>
        <w:t xml:space="preserve">, App No 13476/04, Judgment, 8 January 2009, para 93; </w:t>
      </w:r>
      <w:proofErr w:type="spellStart"/>
      <w:r w:rsidRPr="00933E3D">
        <w:rPr>
          <w:rFonts w:ascii="Garamond" w:hAnsi="Garamond"/>
        </w:rPr>
        <w:t>IACtHR</w:t>
      </w:r>
      <w:proofErr w:type="spellEnd"/>
      <w:r w:rsidRPr="00933E3D">
        <w:rPr>
          <w:rFonts w:ascii="Garamond" w:hAnsi="Garamond"/>
        </w:rPr>
        <w:t xml:space="preserve">, </w:t>
      </w:r>
      <w:proofErr w:type="spellStart"/>
      <w:r w:rsidRPr="00933E3D">
        <w:rPr>
          <w:rFonts w:ascii="Garamond" w:hAnsi="Garamond"/>
          <w:i/>
        </w:rPr>
        <w:t>Tibi</w:t>
      </w:r>
      <w:proofErr w:type="spellEnd"/>
      <w:r w:rsidRPr="00933E3D">
        <w:rPr>
          <w:rFonts w:ascii="Garamond" w:hAnsi="Garamond"/>
          <w:i/>
        </w:rPr>
        <w:t xml:space="preserve"> v Ecuador</w:t>
      </w:r>
      <w:r w:rsidRPr="00933E3D">
        <w:rPr>
          <w:rFonts w:ascii="Garamond" w:hAnsi="Garamond"/>
        </w:rPr>
        <w:t xml:space="preserve">, </w:t>
      </w:r>
      <w:r w:rsidRPr="00332D08">
        <w:rPr>
          <w:rFonts w:ascii="Garamond" w:hAnsi="Garamond"/>
          <w:i/>
        </w:rPr>
        <w:t xml:space="preserve">supra </w:t>
      </w:r>
      <w:r w:rsidR="00332D08">
        <w:rPr>
          <w:rFonts w:ascii="Garamond" w:hAnsi="Garamond"/>
        </w:rPr>
        <w:t>note 18</w:t>
      </w:r>
      <w:r w:rsidRPr="00933E3D">
        <w:rPr>
          <w:rFonts w:ascii="Garamond" w:hAnsi="Garamond"/>
        </w:rPr>
        <w:t xml:space="preserve">, para 129; </w:t>
      </w:r>
      <w:proofErr w:type="spellStart"/>
      <w:r w:rsidRPr="00933E3D">
        <w:rPr>
          <w:rFonts w:ascii="Garamond" w:hAnsi="Garamond"/>
        </w:rPr>
        <w:t>IACtHR</w:t>
      </w:r>
      <w:proofErr w:type="spellEnd"/>
      <w:r w:rsidRPr="00933E3D">
        <w:rPr>
          <w:rFonts w:ascii="Garamond" w:hAnsi="Garamond"/>
        </w:rPr>
        <w:t xml:space="preserve">, </w:t>
      </w:r>
      <w:r w:rsidRPr="00933E3D">
        <w:rPr>
          <w:rFonts w:ascii="Garamond" w:hAnsi="Garamond"/>
          <w:i/>
        </w:rPr>
        <w:t>Habeas Corpus in Emergency Situations (Arts 27(2) and 7(6) of the American Convention on Human Rights)</w:t>
      </w:r>
      <w:r w:rsidRPr="00933E3D">
        <w:rPr>
          <w:rFonts w:ascii="Garamond" w:hAnsi="Garamond"/>
        </w:rPr>
        <w:t xml:space="preserve">, Advisory Opinion OC-8/87, </w:t>
      </w:r>
      <w:proofErr w:type="spellStart"/>
      <w:r w:rsidRPr="00933E3D">
        <w:rPr>
          <w:rFonts w:ascii="Garamond" w:hAnsi="Garamond"/>
        </w:rPr>
        <w:t>IACtHR</w:t>
      </w:r>
      <w:proofErr w:type="spellEnd"/>
      <w:r w:rsidRPr="00933E3D">
        <w:rPr>
          <w:rFonts w:ascii="Garamond" w:hAnsi="Garamond"/>
        </w:rPr>
        <w:t xml:space="preserve"> (</w:t>
      </w:r>
      <w:proofErr w:type="spellStart"/>
      <w:r w:rsidRPr="00933E3D">
        <w:rPr>
          <w:rFonts w:ascii="Garamond" w:hAnsi="Garamond"/>
        </w:rPr>
        <w:t>Ser</w:t>
      </w:r>
      <w:proofErr w:type="spellEnd"/>
      <w:r w:rsidRPr="00933E3D">
        <w:rPr>
          <w:rFonts w:ascii="Garamond" w:hAnsi="Garamond"/>
        </w:rPr>
        <w:t xml:space="preserve"> A) No 8 (1987), para 33; </w:t>
      </w:r>
      <w:proofErr w:type="spellStart"/>
      <w:r w:rsidRPr="00933E3D">
        <w:rPr>
          <w:rFonts w:ascii="Garamond" w:hAnsi="Garamond"/>
        </w:rPr>
        <w:t>ACiHPR</w:t>
      </w:r>
      <w:proofErr w:type="spellEnd"/>
      <w:r w:rsidRPr="00933E3D">
        <w:rPr>
          <w:rFonts w:ascii="Garamond" w:hAnsi="Garamond"/>
        </w:rPr>
        <w:t xml:space="preserve">, </w:t>
      </w:r>
      <w:r w:rsidRPr="00933E3D">
        <w:rPr>
          <w:rFonts w:ascii="Garamond" w:hAnsi="Garamond"/>
          <w:i/>
        </w:rPr>
        <w:t>Constitutional Rights Project, Civil Liberties Organisation and Media Rights Agenda v Nigeria</w:t>
      </w:r>
      <w:r w:rsidRPr="00933E3D">
        <w:rPr>
          <w:rFonts w:ascii="Garamond" w:hAnsi="Garamond"/>
        </w:rPr>
        <w:t xml:space="preserve">, Communication </w:t>
      </w:r>
      <w:proofErr w:type="spellStart"/>
      <w:r w:rsidRPr="00933E3D">
        <w:rPr>
          <w:rFonts w:ascii="Garamond" w:hAnsi="Garamond"/>
        </w:rPr>
        <w:t>Nos</w:t>
      </w:r>
      <w:proofErr w:type="spellEnd"/>
      <w:r w:rsidRPr="00933E3D">
        <w:rPr>
          <w:rFonts w:ascii="Garamond" w:hAnsi="Garamond"/>
        </w:rPr>
        <w:t xml:space="preserve"> 140/94, 141/94, and 145/95 (1999), para 33.</w:t>
      </w:r>
    </w:p>
  </w:footnote>
  <w:footnote w:id="37">
    <w:p w:rsidR="00B031B3" w:rsidRPr="00933E3D" w:rsidRDefault="00B031B3"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proofErr w:type="spellStart"/>
      <w:r w:rsidRPr="00933E3D">
        <w:rPr>
          <w:rFonts w:ascii="Garamond" w:hAnsi="Garamond"/>
        </w:rPr>
        <w:t>IACtHR</w:t>
      </w:r>
      <w:proofErr w:type="spellEnd"/>
      <w:r w:rsidRPr="00933E3D">
        <w:rPr>
          <w:rFonts w:ascii="Garamond" w:hAnsi="Garamond"/>
        </w:rPr>
        <w:t xml:space="preserve">, </w:t>
      </w:r>
      <w:r w:rsidRPr="00933E3D">
        <w:rPr>
          <w:rFonts w:ascii="Garamond" w:hAnsi="Garamond"/>
          <w:i/>
        </w:rPr>
        <w:t>Habeas Corpus in Emergency Situations</w:t>
      </w:r>
      <w:r w:rsidRPr="00933E3D">
        <w:rPr>
          <w:rFonts w:ascii="Garamond" w:hAnsi="Garamond"/>
        </w:rPr>
        <w:t xml:space="preserve">, </w:t>
      </w:r>
      <w:r w:rsidRPr="00933E3D">
        <w:rPr>
          <w:rFonts w:ascii="Garamond" w:hAnsi="Garamond"/>
          <w:i/>
        </w:rPr>
        <w:t>ibid</w:t>
      </w:r>
      <w:r w:rsidRPr="00933E3D">
        <w:rPr>
          <w:rFonts w:ascii="Garamond" w:hAnsi="Garamond"/>
        </w:rPr>
        <w:t xml:space="preserve">, para 30; </w:t>
      </w:r>
      <w:proofErr w:type="spellStart"/>
      <w:r w:rsidRPr="00933E3D">
        <w:rPr>
          <w:rFonts w:ascii="Garamond" w:hAnsi="Garamond"/>
        </w:rPr>
        <w:t>ACiHPR</w:t>
      </w:r>
      <w:proofErr w:type="spellEnd"/>
      <w:r w:rsidRPr="00933E3D">
        <w:rPr>
          <w:rFonts w:ascii="Garamond" w:hAnsi="Garamond"/>
        </w:rPr>
        <w:t xml:space="preserve">, </w:t>
      </w:r>
      <w:r w:rsidRPr="00933E3D">
        <w:rPr>
          <w:rFonts w:ascii="Garamond" w:hAnsi="Garamond"/>
          <w:i/>
        </w:rPr>
        <w:t>Amnesty International and others v Sudan</w:t>
      </w:r>
      <w:r w:rsidRPr="00933E3D">
        <w:rPr>
          <w:rFonts w:ascii="Garamond" w:hAnsi="Garamond"/>
        </w:rPr>
        <w:t xml:space="preserve">, </w:t>
      </w:r>
      <w:r w:rsidRPr="00933E3D">
        <w:rPr>
          <w:rFonts w:ascii="Garamond" w:hAnsi="Garamond"/>
          <w:i/>
        </w:rPr>
        <w:t xml:space="preserve">supra </w:t>
      </w:r>
      <w:r w:rsidR="00332D08">
        <w:rPr>
          <w:rFonts w:ascii="Garamond" w:hAnsi="Garamond"/>
        </w:rPr>
        <w:t>note 19</w:t>
      </w:r>
      <w:r w:rsidRPr="00933E3D">
        <w:rPr>
          <w:rFonts w:ascii="Garamond" w:hAnsi="Garamond"/>
        </w:rPr>
        <w:t xml:space="preserve">, para 60; </w:t>
      </w:r>
      <w:proofErr w:type="spellStart"/>
      <w:r w:rsidRPr="00933E3D">
        <w:rPr>
          <w:rFonts w:ascii="Garamond" w:hAnsi="Garamond"/>
        </w:rPr>
        <w:t>ECtHR</w:t>
      </w:r>
      <w:proofErr w:type="spellEnd"/>
      <w:r w:rsidRPr="00933E3D">
        <w:rPr>
          <w:rFonts w:ascii="Garamond" w:hAnsi="Garamond"/>
        </w:rPr>
        <w:t xml:space="preserve">, </w:t>
      </w:r>
      <w:r w:rsidRPr="00933E3D">
        <w:rPr>
          <w:rFonts w:ascii="Garamond" w:hAnsi="Garamond"/>
          <w:i/>
        </w:rPr>
        <w:t>Stephens v Malta (No 1)</w:t>
      </w:r>
      <w:r w:rsidRPr="00933E3D">
        <w:rPr>
          <w:rFonts w:ascii="Garamond" w:hAnsi="Garamond"/>
        </w:rPr>
        <w:t>, App No 11956/07, Judgment, 21 April 2009, para 95.</w:t>
      </w:r>
      <w:r w:rsidR="00870DBD">
        <w:rPr>
          <w:rFonts w:ascii="Garamond" w:hAnsi="Garamond"/>
        </w:rPr>
        <w:t xml:space="preserve"> The requirement of independence also features consistently in the jurisprudence of the UN Working Group on Arbitrary Detention.</w:t>
      </w:r>
    </w:p>
  </w:footnote>
  <w:footnote w:id="38">
    <w:p w:rsidR="00404BCD" w:rsidRPr="00933E3D" w:rsidRDefault="00404BCD"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See, e.g., </w:t>
      </w:r>
      <w:proofErr w:type="spellStart"/>
      <w:r w:rsidRPr="00933E3D">
        <w:rPr>
          <w:rFonts w:ascii="Garamond" w:hAnsi="Garamond"/>
        </w:rPr>
        <w:t>IACiHR</w:t>
      </w:r>
      <w:proofErr w:type="spellEnd"/>
      <w:r w:rsidRPr="00933E3D">
        <w:rPr>
          <w:rFonts w:ascii="Garamond" w:hAnsi="Garamond"/>
        </w:rPr>
        <w:t xml:space="preserve">, </w:t>
      </w:r>
      <w:proofErr w:type="spellStart"/>
      <w:r w:rsidRPr="00933E3D">
        <w:rPr>
          <w:rFonts w:ascii="Garamond" w:hAnsi="Garamond"/>
          <w:i/>
        </w:rPr>
        <w:t>Coard</w:t>
      </w:r>
      <w:proofErr w:type="spellEnd"/>
      <w:r w:rsidRPr="00933E3D">
        <w:rPr>
          <w:rFonts w:ascii="Garamond" w:hAnsi="Garamond"/>
        </w:rPr>
        <w:t xml:space="preserve"> et al </w:t>
      </w:r>
      <w:r w:rsidRPr="00933E3D">
        <w:rPr>
          <w:rFonts w:ascii="Garamond" w:hAnsi="Garamond"/>
          <w:i/>
        </w:rPr>
        <w:t>v United States</w:t>
      </w:r>
      <w:r w:rsidRPr="00933E3D">
        <w:rPr>
          <w:rFonts w:ascii="Garamond" w:hAnsi="Garamond"/>
        </w:rPr>
        <w:t xml:space="preserve">, </w:t>
      </w:r>
      <w:r w:rsidR="00332D08">
        <w:rPr>
          <w:rFonts w:ascii="Garamond" w:hAnsi="Garamond"/>
          <w:i/>
        </w:rPr>
        <w:t xml:space="preserve">supra </w:t>
      </w:r>
      <w:r w:rsidR="00332D08">
        <w:rPr>
          <w:rFonts w:ascii="Garamond" w:hAnsi="Garamond"/>
        </w:rPr>
        <w:t xml:space="preserve">note 7, </w:t>
      </w:r>
      <w:r w:rsidRPr="00933E3D">
        <w:rPr>
          <w:rFonts w:ascii="Garamond" w:hAnsi="Garamond"/>
        </w:rPr>
        <w:t xml:space="preserve">para 58. The </w:t>
      </w:r>
      <w:proofErr w:type="spellStart"/>
      <w:r w:rsidRPr="00933E3D">
        <w:rPr>
          <w:rFonts w:ascii="Garamond" w:hAnsi="Garamond"/>
        </w:rPr>
        <w:t>IACtHR</w:t>
      </w:r>
      <w:proofErr w:type="spellEnd"/>
      <w:r w:rsidRPr="00933E3D">
        <w:rPr>
          <w:rFonts w:ascii="Garamond" w:hAnsi="Garamond"/>
        </w:rPr>
        <w:t xml:space="preserve"> has not accepted this, instead emphasising the </w:t>
      </w:r>
      <w:r w:rsidRPr="00933E3D">
        <w:rPr>
          <w:rFonts w:ascii="Garamond" w:hAnsi="Garamond"/>
          <w:i/>
        </w:rPr>
        <w:t>judicial</w:t>
      </w:r>
      <w:r w:rsidRPr="00933E3D">
        <w:rPr>
          <w:rFonts w:ascii="Garamond" w:hAnsi="Garamond"/>
        </w:rPr>
        <w:t xml:space="preserve"> character of </w:t>
      </w:r>
      <w:r w:rsidRPr="00933E3D">
        <w:rPr>
          <w:rFonts w:ascii="Garamond" w:hAnsi="Garamond"/>
          <w:i/>
        </w:rPr>
        <w:t xml:space="preserve">habeas </w:t>
      </w:r>
      <w:r w:rsidRPr="00933E3D">
        <w:rPr>
          <w:rFonts w:ascii="Garamond" w:hAnsi="Garamond"/>
        </w:rPr>
        <w:t xml:space="preserve">review: </w:t>
      </w:r>
      <w:r w:rsidRPr="00933E3D">
        <w:rPr>
          <w:rFonts w:ascii="Garamond" w:hAnsi="Garamond"/>
          <w:i/>
        </w:rPr>
        <w:t>Habeas Corpus in Emergency Situations</w:t>
      </w:r>
      <w:r w:rsidRPr="00933E3D">
        <w:rPr>
          <w:rFonts w:ascii="Garamond" w:hAnsi="Garamond"/>
        </w:rPr>
        <w:t xml:space="preserve">, </w:t>
      </w:r>
      <w:r w:rsidR="00332D08">
        <w:rPr>
          <w:rFonts w:ascii="Garamond" w:hAnsi="Garamond"/>
          <w:i/>
        </w:rPr>
        <w:t xml:space="preserve">supra </w:t>
      </w:r>
      <w:r w:rsidR="00515EB4">
        <w:rPr>
          <w:rFonts w:ascii="Garamond" w:hAnsi="Garamond"/>
        </w:rPr>
        <w:t>note 36</w:t>
      </w:r>
      <w:r w:rsidRPr="00933E3D">
        <w:rPr>
          <w:rFonts w:ascii="Garamond" w:hAnsi="Garamond"/>
        </w:rPr>
        <w:t>, para 30.</w:t>
      </w:r>
    </w:p>
  </w:footnote>
  <w:footnote w:id="39">
    <w:p w:rsidR="00316E64" w:rsidRPr="00933E3D" w:rsidRDefault="00316E64"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Compare The Copenhagen Process, </w:t>
      </w:r>
      <w:r w:rsidRPr="00332D08">
        <w:rPr>
          <w:rFonts w:ascii="Garamond" w:hAnsi="Garamond"/>
          <w:i/>
        </w:rPr>
        <w:t>supra</w:t>
      </w:r>
      <w:r w:rsidR="00332D08">
        <w:rPr>
          <w:rFonts w:ascii="Garamond" w:hAnsi="Garamond"/>
        </w:rPr>
        <w:t xml:space="preserve"> note 21</w:t>
      </w:r>
      <w:r w:rsidRPr="00933E3D">
        <w:rPr>
          <w:rFonts w:ascii="Garamond" w:hAnsi="Garamond"/>
        </w:rPr>
        <w:t xml:space="preserve">, paras 12.2 and 13.2. See the discussion on this in L Hill-Cawthorne, ‘The Copenhagen Principles on the Handling of Detainees: Implications for the Procedural Regulation of Internment’ (2013) 18 </w:t>
      </w:r>
      <w:r w:rsidRPr="00933E3D">
        <w:rPr>
          <w:rFonts w:ascii="Garamond" w:hAnsi="Garamond"/>
          <w:i/>
        </w:rPr>
        <w:t xml:space="preserve">Journal of Conflict &amp; Security Law </w:t>
      </w:r>
      <w:r w:rsidRPr="00933E3D">
        <w:rPr>
          <w:rFonts w:ascii="Garamond" w:hAnsi="Garamond"/>
        </w:rPr>
        <w:t>481, 489.</w:t>
      </w:r>
    </w:p>
  </w:footnote>
  <w:footnote w:id="40">
    <w:p w:rsidR="00EB1170" w:rsidRPr="00933E3D" w:rsidRDefault="00EB1170"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Draft General Comment 35, </w:t>
      </w:r>
      <w:r w:rsidRPr="00332D08">
        <w:rPr>
          <w:rFonts w:ascii="Garamond" w:hAnsi="Garamond"/>
          <w:i/>
        </w:rPr>
        <w:t xml:space="preserve">supra </w:t>
      </w:r>
      <w:r w:rsidR="00332D08">
        <w:rPr>
          <w:rFonts w:ascii="Garamond" w:hAnsi="Garamond"/>
        </w:rPr>
        <w:t>note 2</w:t>
      </w:r>
      <w:r w:rsidRPr="00332D08">
        <w:rPr>
          <w:rFonts w:ascii="Garamond" w:hAnsi="Garamond"/>
        </w:rPr>
        <w:t>,</w:t>
      </w:r>
      <w:r w:rsidRPr="00933E3D">
        <w:rPr>
          <w:rFonts w:ascii="Garamond" w:hAnsi="Garamond"/>
        </w:rPr>
        <w:t xml:space="preserve"> para 43.</w:t>
      </w:r>
    </w:p>
  </w:footnote>
  <w:footnote w:id="41">
    <w:p w:rsidR="00F62FD9" w:rsidRPr="00933E3D" w:rsidRDefault="00F62FD9"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i/>
        </w:rPr>
        <w:t>Ibid</w:t>
      </w:r>
      <w:r w:rsidRPr="00933E3D">
        <w:rPr>
          <w:rFonts w:ascii="Garamond" w:hAnsi="Garamond"/>
        </w:rPr>
        <w:t>.</w:t>
      </w:r>
    </w:p>
  </w:footnote>
  <w:footnote w:id="42">
    <w:p w:rsidR="00C9013A" w:rsidRPr="00933E3D" w:rsidRDefault="00C9013A"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This claim is made in The Copenhagen Process, </w:t>
      </w:r>
      <w:r w:rsidRPr="00332D08">
        <w:rPr>
          <w:rFonts w:ascii="Garamond" w:hAnsi="Garamond"/>
          <w:i/>
        </w:rPr>
        <w:t>supra</w:t>
      </w:r>
      <w:r w:rsidR="00332D08">
        <w:rPr>
          <w:rFonts w:ascii="Garamond" w:hAnsi="Garamond"/>
        </w:rPr>
        <w:t xml:space="preserve"> note 21</w:t>
      </w:r>
      <w:r w:rsidRPr="00933E3D">
        <w:rPr>
          <w:rFonts w:ascii="Garamond" w:hAnsi="Garamond"/>
        </w:rPr>
        <w:t>, para 12.3.</w:t>
      </w:r>
    </w:p>
  </w:footnote>
  <w:footnote w:id="43">
    <w:p w:rsidR="005A34A3" w:rsidRPr="00933E3D" w:rsidRDefault="005A34A3"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HRC, </w:t>
      </w:r>
      <w:r w:rsidRPr="00933E3D">
        <w:rPr>
          <w:rFonts w:ascii="Garamond" w:hAnsi="Garamond"/>
          <w:i/>
        </w:rPr>
        <w:t xml:space="preserve">A v Australia, </w:t>
      </w:r>
      <w:r w:rsidRPr="00933E3D">
        <w:rPr>
          <w:rFonts w:ascii="Garamond" w:hAnsi="Garamond"/>
        </w:rPr>
        <w:t xml:space="preserve">CCPR/C/59/D/560/93, 3 April 1997, para 9.4; </w:t>
      </w:r>
      <w:proofErr w:type="spellStart"/>
      <w:r w:rsidRPr="00933E3D">
        <w:rPr>
          <w:rFonts w:ascii="Garamond" w:hAnsi="Garamond"/>
        </w:rPr>
        <w:t>ECtHR</w:t>
      </w:r>
      <w:proofErr w:type="spellEnd"/>
      <w:r w:rsidRPr="00933E3D">
        <w:rPr>
          <w:rFonts w:ascii="Garamond" w:hAnsi="Garamond"/>
        </w:rPr>
        <w:t xml:space="preserve">, </w:t>
      </w:r>
      <w:proofErr w:type="spellStart"/>
      <w:r w:rsidRPr="00933E3D">
        <w:rPr>
          <w:rFonts w:ascii="Garamond" w:hAnsi="Garamond"/>
          <w:i/>
        </w:rPr>
        <w:t>Luberti</w:t>
      </w:r>
      <w:proofErr w:type="spellEnd"/>
      <w:r w:rsidRPr="00933E3D">
        <w:rPr>
          <w:rFonts w:ascii="Garamond" w:hAnsi="Garamond"/>
          <w:i/>
        </w:rPr>
        <w:t xml:space="preserve"> v Italy</w:t>
      </w:r>
      <w:r w:rsidRPr="00933E3D">
        <w:rPr>
          <w:rFonts w:ascii="Garamond" w:hAnsi="Garamond"/>
        </w:rPr>
        <w:t xml:space="preserve">, App No 9019/80, Judgment, 23 February 1984, para 31; </w:t>
      </w:r>
      <w:proofErr w:type="spellStart"/>
      <w:r w:rsidRPr="00933E3D">
        <w:rPr>
          <w:rFonts w:ascii="Garamond" w:hAnsi="Garamond"/>
        </w:rPr>
        <w:t>ECtHR</w:t>
      </w:r>
      <w:proofErr w:type="spellEnd"/>
      <w:r w:rsidRPr="00933E3D">
        <w:rPr>
          <w:rFonts w:ascii="Garamond" w:hAnsi="Garamond"/>
        </w:rPr>
        <w:t xml:space="preserve">, </w:t>
      </w:r>
      <w:proofErr w:type="spellStart"/>
      <w:r w:rsidRPr="00933E3D">
        <w:rPr>
          <w:rFonts w:ascii="Garamond" w:hAnsi="Garamond"/>
          <w:i/>
        </w:rPr>
        <w:t>Bezicheri</w:t>
      </w:r>
      <w:proofErr w:type="spellEnd"/>
      <w:r w:rsidRPr="00933E3D">
        <w:rPr>
          <w:rFonts w:ascii="Garamond" w:hAnsi="Garamond"/>
          <w:i/>
        </w:rPr>
        <w:t xml:space="preserve"> v Italy, </w:t>
      </w:r>
      <w:r w:rsidRPr="00933E3D">
        <w:rPr>
          <w:rFonts w:ascii="Garamond" w:hAnsi="Garamond"/>
        </w:rPr>
        <w:t xml:space="preserve">App No 11400/85, Judgment, 25 October 1989, para 20; </w:t>
      </w:r>
      <w:proofErr w:type="spellStart"/>
      <w:r w:rsidRPr="00933E3D">
        <w:rPr>
          <w:rFonts w:ascii="Garamond" w:hAnsi="Garamond"/>
        </w:rPr>
        <w:t>ECtHR</w:t>
      </w:r>
      <w:proofErr w:type="spellEnd"/>
      <w:r w:rsidRPr="00933E3D">
        <w:rPr>
          <w:rFonts w:ascii="Garamond" w:hAnsi="Garamond"/>
        </w:rPr>
        <w:t xml:space="preserve">, </w:t>
      </w:r>
      <w:proofErr w:type="spellStart"/>
      <w:r w:rsidRPr="00933E3D">
        <w:rPr>
          <w:rFonts w:ascii="Garamond" w:hAnsi="Garamond"/>
          <w:i/>
        </w:rPr>
        <w:t>Lebedev</w:t>
      </w:r>
      <w:proofErr w:type="spellEnd"/>
      <w:r w:rsidRPr="00933E3D">
        <w:rPr>
          <w:rFonts w:ascii="Garamond" w:hAnsi="Garamond"/>
          <w:i/>
        </w:rPr>
        <w:t xml:space="preserve"> v Russia</w:t>
      </w:r>
      <w:r w:rsidRPr="00933E3D">
        <w:rPr>
          <w:rFonts w:ascii="Garamond" w:hAnsi="Garamond"/>
        </w:rPr>
        <w:t>, App No 4493/04, Judgment, 25 October 2007, paras 78–9.</w:t>
      </w:r>
    </w:p>
  </w:footnote>
  <w:footnote w:id="44">
    <w:p w:rsidR="00833103" w:rsidRPr="00933E3D" w:rsidRDefault="00833103"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S Marks and </w:t>
      </w:r>
      <w:proofErr w:type="gramStart"/>
      <w:r w:rsidRPr="00933E3D">
        <w:rPr>
          <w:rFonts w:ascii="Garamond" w:hAnsi="Garamond"/>
        </w:rPr>
        <w:t>A</w:t>
      </w:r>
      <w:proofErr w:type="gramEnd"/>
      <w:r w:rsidRPr="00933E3D">
        <w:rPr>
          <w:rFonts w:ascii="Garamond" w:hAnsi="Garamond"/>
        </w:rPr>
        <w:t xml:space="preserve"> Clapham, </w:t>
      </w:r>
      <w:r w:rsidRPr="00933E3D">
        <w:rPr>
          <w:rFonts w:ascii="Garamond" w:hAnsi="Garamond"/>
          <w:i/>
        </w:rPr>
        <w:t>International Human Rights Lexicon</w:t>
      </w:r>
      <w:r w:rsidRPr="00933E3D">
        <w:rPr>
          <w:rFonts w:ascii="Garamond" w:hAnsi="Garamond"/>
        </w:rPr>
        <w:t xml:space="preserve"> (OUP, Oxford 2005).</w:t>
      </w:r>
    </w:p>
  </w:footnote>
  <w:footnote w:id="45">
    <w:p w:rsidR="00833103" w:rsidRPr="00933E3D" w:rsidRDefault="00833103" w:rsidP="00332D08">
      <w:pPr>
        <w:pStyle w:val="FootnoteText"/>
        <w:tabs>
          <w:tab w:val="left" w:pos="284"/>
        </w:tabs>
        <w:jc w:val="both"/>
        <w:rPr>
          <w:rFonts w:ascii="Garamond" w:hAnsi="Garamond"/>
        </w:rPr>
      </w:pPr>
      <w:r w:rsidRPr="00933E3D">
        <w:rPr>
          <w:rStyle w:val="FootnoteReference"/>
          <w:rFonts w:ascii="Garamond" w:hAnsi="Garamond"/>
        </w:rPr>
        <w:footnoteRef/>
      </w:r>
      <w:r w:rsidRPr="00933E3D">
        <w:rPr>
          <w:rFonts w:ascii="Garamond" w:hAnsi="Garamond"/>
        </w:rPr>
        <w:t xml:space="preserve"> </w:t>
      </w:r>
      <w:r w:rsidR="00332D08">
        <w:rPr>
          <w:rFonts w:ascii="Garamond" w:hAnsi="Garamond"/>
        </w:rPr>
        <w:tab/>
      </w:r>
      <w:r w:rsidRPr="00933E3D">
        <w:rPr>
          <w:rFonts w:ascii="Garamond" w:hAnsi="Garamond"/>
        </w:rPr>
        <w:t xml:space="preserve">S Marks, ‘Human Rights and Root Causes’ (2011) 74 </w:t>
      </w:r>
      <w:r w:rsidR="00DA19E7" w:rsidRPr="00933E3D">
        <w:rPr>
          <w:rFonts w:ascii="Garamond" w:hAnsi="Garamond"/>
          <w:i/>
        </w:rPr>
        <w:t>Modern Law Review</w:t>
      </w:r>
      <w:r w:rsidRPr="00933E3D">
        <w:rPr>
          <w:rFonts w:ascii="Garamond" w:hAnsi="Garamond"/>
        </w:rPr>
        <w:t xml:space="preserve">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63F"/>
    <w:multiLevelType w:val="hybridMultilevel"/>
    <w:tmpl w:val="CF58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38"/>
    <w:rsid w:val="00060C14"/>
    <w:rsid w:val="00091AA1"/>
    <w:rsid w:val="00093460"/>
    <w:rsid w:val="000A16F3"/>
    <w:rsid w:val="000B11AF"/>
    <w:rsid w:val="000C68E0"/>
    <w:rsid w:val="000E25F7"/>
    <w:rsid w:val="000E43C8"/>
    <w:rsid w:val="000F27C5"/>
    <w:rsid w:val="00153659"/>
    <w:rsid w:val="00156F45"/>
    <w:rsid w:val="00157751"/>
    <w:rsid w:val="00192778"/>
    <w:rsid w:val="001A111F"/>
    <w:rsid w:val="002256F6"/>
    <w:rsid w:val="00247B35"/>
    <w:rsid w:val="00251B61"/>
    <w:rsid w:val="00272821"/>
    <w:rsid w:val="002A46C1"/>
    <w:rsid w:val="002B0C6F"/>
    <w:rsid w:val="002F456B"/>
    <w:rsid w:val="002F759F"/>
    <w:rsid w:val="00304856"/>
    <w:rsid w:val="00316E64"/>
    <w:rsid w:val="00332D08"/>
    <w:rsid w:val="00334B85"/>
    <w:rsid w:val="003400E7"/>
    <w:rsid w:val="0036798D"/>
    <w:rsid w:val="0038401D"/>
    <w:rsid w:val="003A4514"/>
    <w:rsid w:val="003B34D7"/>
    <w:rsid w:val="003C089D"/>
    <w:rsid w:val="003C14A5"/>
    <w:rsid w:val="003C2738"/>
    <w:rsid w:val="003D375D"/>
    <w:rsid w:val="003E1C5E"/>
    <w:rsid w:val="004007DA"/>
    <w:rsid w:val="00404BCD"/>
    <w:rsid w:val="00415120"/>
    <w:rsid w:val="00422938"/>
    <w:rsid w:val="0045213D"/>
    <w:rsid w:val="00466C78"/>
    <w:rsid w:val="00466E27"/>
    <w:rsid w:val="00497713"/>
    <w:rsid w:val="004A79E4"/>
    <w:rsid w:val="004D433D"/>
    <w:rsid w:val="00515EB4"/>
    <w:rsid w:val="00543CCF"/>
    <w:rsid w:val="005441A7"/>
    <w:rsid w:val="005476A9"/>
    <w:rsid w:val="00563C50"/>
    <w:rsid w:val="005A34A3"/>
    <w:rsid w:val="005C0E64"/>
    <w:rsid w:val="006261E4"/>
    <w:rsid w:val="00631EEF"/>
    <w:rsid w:val="006324FD"/>
    <w:rsid w:val="00670915"/>
    <w:rsid w:val="00691D81"/>
    <w:rsid w:val="006A486E"/>
    <w:rsid w:val="006D27A3"/>
    <w:rsid w:val="006D60F0"/>
    <w:rsid w:val="006E081B"/>
    <w:rsid w:val="006E6EA1"/>
    <w:rsid w:val="00702E4D"/>
    <w:rsid w:val="007314AC"/>
    <w:rsid w:val="00754EEA"/>
    <w:rsid w:val="00770FE0"/>
    <w:rsid w:val="0077445F"/>
    <w:rsid w:val="00787AD6"/>
    <w:rsid w:val="00797BF7"/>
    <w:rsid w:val="007A1392"/>
    <w:rsid w:val="007A14BC"/>
    <w:rsid w:val="007A15C8"/>
    <w:rsid w:val="007B18DD"/>
    <w:rsid w:val="007C40C1"/>
    <w:rsid w:val="007E15EF"/>
    <w:rsid w:val="007E3507"/>
    <w:rsid w:val="008071DD"/>
    <w:rsid w:val="008201D1"/>
    <w:rsid w:val="00833103"/>
    <w:rsid w:val="00841D66"/>
    <w:rsid w:val="00870DBD"/>
    <w:rsid w:val="008D093B"/>
    <w:rsid w:val="0090539E"/>
    <w:rsid w:val="00905890"/>
    <w:rsid w:val="0092485B"/>
    <w:rsid w:val="00927DAD"/>
    <w:rsid w:val="00933E3D"/>
    <w:rsid w:val="00943E5D"/>
    <w:rsid w:val="0095758D"/>
    <w:rsid w:val="0096768A"/>
    <w:rsid w:val="0099133C"/>
    <w:rsid w:val="00991837"/>
    <w:rsid w:val="00993491"/>
    <w:rsid w:val="009D26EE"/>
    <w:rsid w:val="009E019E"/>
    <w:rsid w:val="009F0B73"/>
    <w:rsid w:val="009F1901"/>
    <w:rsid w:val="00A02812"/>
    <w:rsid w:val="00A3722A"/>
    <w:rsid w:val="00A40D60"/>
    <w:rsid w:val="00A66FB6"/>
    <w:rsid w:val="00A84DC3"/>
    <w:rsid w:val="00A87361"/>
    <w:rsid w:val="00A939D1"/>
    <w:rsid w:val="00AC44C0"/>
    <w:rsid w:val="00AE5A7C"/>
    <w:rsid w:val="00B0085E"/>
    <w:rsid w:val="00B031B3"/>
    <w:rsid w:val="00B22AB6"/>
    <w:rsid w:val="00B35296"/>
    <w:rsid w:val="00B6399D"/>
    <w:rsid w:val="00B6413A"/>
    <w:rsid w:val="00B735A1"/>
    <w:rsid w:val="00B771F5"/>
    <w:rsid w:val="00B86480"/>
    <w:rsid w:val="00B93743"/>
    <w:rsid w:val="00BC137E"/>
    <w:rsid w:val="00BD42A4"/>
    <w:rsid w:val="00BD52F7"/>
    <w:rsid w:val="00BD6923"/>
    <w:rsid w:val="00BE2F9F"/>
    <w:rsid w:val="00BF0D32"/>
    <w:rsid w:val="00BF1B02"/>
    <w:rsid w:val="00C359DD"/>
    <w:rsid w:val="00C56BD7"/>
    <w:rsid w:val="00C63DA7"/>
    <w:rsid w:val="00C71C16"/>
    <w:rsid w:val="00C9013A"/>
    <w:rsid w:val="00CC0CCC"/>
    <w:rsid w:val="00CC1E3C"/>
    <w:rsid w:val="00CE2DDC"/>
    <w:rsid w:val="00D175F7"/>
    <w:rsid w:val="00D3226A"/>
    <w:rsid w:val="00D50902"/>
    <w:rsid w:val="00D73FA0"/>
    <w:rsid w:val="00D84996"/>
    <w:rsid w:val="00D864A5"/>
    <w:rsid w:val="00D948B7"/>
    <w:rsid w:val="00DA19E7"/>
    <w:rsid w:val="00DC0B90"/>
    <w:rsid w:val="00DC6148"/>
    <w:rsid w:val="00DF08E3"/>
    <w:rsid w:val="00DF5803"/>
    <w:rsid w:val="00E17CC9"/>
    <w:rsid w:val="00E26F09"/>
    <w:rsid w:val="00E56BA7"/>
    <w:rsid w:val="00E642EE"/>
    <w:rsid w:val="00E659D1"/>
    <w:rsid w:val="00EA55C5"/>
    <w:rsid w:val="00EB1170"/>
    <w:rsid w:val="00F0001F"/>
    <w:rsid w:val="00F40234"/>
    <w:rsid w:val="00F41EF1"/>
    <w:rsid w:val="00F51729"/>
    <w:rsid w:val="00F62FD9"/>
    <w:rsid w:val="00F70F7B"/>
    <w:rsid w:val="00F806D1"/>
    <w:rsid w:val="00F81099"/>
    <w:rsid w:val="00F94F46"/>
    <w:rsid w:val="00FA3EDF"/>
    <w:rsid w:val="00FA6404"/>
    <w:rsid w:val="00FB0645"/>
    <w:rsid w:val="00FB1B31"/>
    <w:rsid w:val="00FD780C"/>
    <w:rsid w:val="00FE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738"/>
    <w:pPr>
      <w:ind w:left="720"/>
      <w:contextualSpacing/>
    </w:pPr>
  </w:style>
  <w:style w:type="paragraph" w:styleId="FootnoteText">
    <w:name w:val="footnote text"/>
    <w:basedOn w:val="Normal"/>
    <w:link w:val="FootnoteTextChar"/>
    <w:uiPriority w:val="99"/>
    <w:semiHidden/>
    <w:unhideWhenUsed/>
    <w:rsid w:val="00E17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CC9"/>
    <w:rPr>
      <w:sz w:val="20"/>
      <w:szCs w:val="20"/>
    </w:rPr>
  </w:style>
  <w:style w:type="character" w:styleId="FootnoteReference">
    <w:name w:val="footnote reference"/>
    <w:basedOn w:val="DefaultParagraphFont"/>
    <w:uiPriority w:val="99"/>
    <w:semiHidden/>
    <w:unhideWhenUsed/>
    <w:rsid w:val="00E17CC9"/>
    <w:rPr>
      <w:vertAlign w:val="superscript"/>
    </w:rPr>
  </w:style>
  <w:style w:type="paragraph" w:styleId="Header">
    <w:name w:val="header"/>
    <w:basedOn w:val="Normal"/>
    <w:link w:val="HeaderChar"/>
    <w:uiPriority w:val="99"/>
    <w:unhideWhenUsed/>
    <w:rsid w:val="00B22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AB6"/>
  </w:style>
  <w:style w:type="paragraph" w:styleId="Footer">
    <w:name w:val="footer"/>
    <w:basedOn w:val="Normal"/>
    <w:link w:val="FooterChar"/>
    <w:uiPriority w:val="99"/>
    <w:unhideWhenUsed/>
    <w:rsid w:val="00B22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738"/>
    <w:pPr>
      <w:ind w:left="720"/>
      <w:contextualSpacing/>
    </w:pPr>
  </w:style>
  <w:style w:type="paragraph" w:styleId="FootnoteText">
    <w:name w:val="footnote text"/>
    <w:basedOn w:val="Normal"/>
    <w:link w:val="FootnoteTextChar"/>
    <w:uiPriority w:val="99"/>
    <w:semiHidden/>
    <w:unhideWhenUsed/>
    <w:rsid w:val="00E17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CC9"/>
    <w:rPr>
      <w:sz w:val="20"/>
      <w:szCs w:val="20"/>
    </w:rPr>
  </w:style>
  <w:style w:type="character" w:styleId="FootnoteReference">
    <w:name w:val="footnote reference"/>
    <w:basedOn w:val="DefaultParagraphFont"/>
    <w:uiPriority w:val="99"/>
    <w:semiHidden/>
    <w:unhideWhenUsed/>
    <w:rsid w:val="00E17CC9"/>
    <w:rPr>
      <w:vertAlign w:val="superscript"/>
    </w:rPr>
  </w:style>
  <w:style w:type="paragraph" w:styleId="Header">
    <w:name w:val="header"/>
    <w:basedOn w:val="Normal"/>
    <w:link w:val="HeaderChar"/>
    <w:uiPriority w:val="99"/>
    <w:unhideWhenUsed/>
    <w:rsid w:val="00B22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AB6"/>
  </w:style>
  <w:style w:type="paragraph" w:styleId="Footer">
    <w:name w:val="footer"/>
    <w:basedOn w:val="Normal"/>
    <w:link w:val="FooterChar"/>
    <w:uiPriority w:val="99"/>
    <w:unhideWhenUsed/>
    <w:rsid w:val="00B22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C73F7-8E40-4D0B-8CF3-A57C9899D11C}"/>
</file>

<file path=customXml/itemProps2.xml><?xml version="1.0" encoding="utf-8"?>
<ds:datastoreItem xmlns:ds="http://schemas.openxmlformats.org/officeDocument/2006/customXml" ds:itemID="{A0891F43-26FB-41B5-8EDC-7E2073DC09D7}"/>
</file>

<file path=customXml/itemProps3.xml><?xml version="1.0" encoding="utf-8"?>
<ds:datastoreItem xmlns:ds="http://schemas.openxmlformats.org/officeDocument/2006/customXml" ds:itemID="{4560CDF8-2ED4-4D75-ADA2-DB9FDB44084D}"/>
</file>

<file path=customXml/itemProps4.xml><?xml version="1.0" encoding="utf-8"?>
<ds:datastoreItem xmlns:ds="http://schemas.openxmlformats.org/officeDocument/2006/customXml" ds:itemID="{FB3F4C42-4F05-4FE9-B37F-D1C669657616}"/>
</file>

<file path=docProps/app.xml><?xml version="1.0" encoding="utf-8"?>
<Properties xmlns="http://schemas.openxmlformats.org/officeDocument/2006/extended-properties" xmlns:vt="http://schemas.openxmlformats.org/officeDocument/2006/docPropsVTypes">
  <Template>Normal</Template>
  <TotalTime>61</TotalTime>
  <Pages>8</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Hill-Cawthorne</dc:creator>
  <cp:lastModifiedBy>Lawrence Hill-Cawthorne</cp:lastModifiedBy>
  <cp:revision>38</cp:revision>
  <dcterms:created xsi:type="dcterms:W3CDTF">2014-06-01T17:37:00Z</dcterms:created>
  <dcterms:modified xsi:type="dcterms:W3CDTF">2014-06-01T18:45:00Z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2398000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