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DD" w:rsidRPr="001E11DD" w:rsidRDefault="001E11DD" w:rsidP="001E11DD">
      <w:pPr>
        <w:tabs>
          <w:tab w:val="left" w:pos="1093"/>
        </w:tabs>
        <w:spacing w:after="180" w:line="360" w:lineRule="auto"/>
        <w:jc w:val="center"/>
        <w:rPr>
          <w:rFonts w:ascii="Times New Roman" w:hAnsi="Times New Roman" w:cs="Times New Roman"/>
          <w:b/>
          <w:bCs/>
          <w:sz w:val="28"/>
          <w:szCs w:val="28"/>
          <w:lang w:val="fr-FR"/>
        </w:rPr>
      </w:pPr>
      <w:bookmarkStart w:id="0" w:name="_GoBack"/>
      <w:bookmarkEnd w:id="0"/>
      <w:r w:rsidRPr="001E11DD">
        <w:rPr>
          <w:rFonts w:ascii="Times New Roman" w:hAnsi="Times New Roman" w:cs="Times New Roman"/>
          <w:b/>
          <w:bCs/>
          <w:sz w:val="28"/>
          <w:szCs w:val="28"/>
          <w:lang w:val="fr-FR"/>
        </w:rPr>
        <w:t xml:space="preserve">Extraits du </w:t>
      </w:r>
      <w:r w:rsidRPr="001E11DD">
        <w:rPr>
          <w:rFonts w:ascii="Times New Roman" w:hAnsi="Times New Roman" w:cs="Times New Roman"/>
          <w:b/>
          <w:bCs/>
          <w:sz w:val="28"/>
          <w:szCs w:val="28"/>
          <w:lang w:val="fr-FR"/>
        </w:rPr>
        <w:t>Code de droit international privé</w:t>
      </w:r>
    </w:p>
    <w:p w:rsidR="001E11DD" w:rsidRPr="002F7B56" w:rsidRDefault="001E11DD" w:rsidP="001E11DD">
      <w:pPr>
        <w:tabs>
          <w:tab w:val="left" w:pos="1093"/>
        </w:tabs>
        <w:spacing w:after="180" w:line="360" w:lineRule="auto"/>
        <w:jc w:val="both"/>
        <w:rPr>
          <w:rFonts w:ascii="Times New Roman" w:hAnsi="Times New Roman" w:cs="Times New Roman"/>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
          <w:sz w:val="24"/>
          <w:szCs w:val="24"/>
          <w:lang w:val="fr-FR"/>
        </w:rPr>
        <w:t>Article 22.</w:t>
      </w:r>
      <w:r w:rsidRPr="002F7B56">
        <w:rPr>
          <w:rFonts w:ascii="Times New Roman" w:hAnsi="Times New Roman" w:cs="Times New Roman"/>
          <w:sz w:val="24"/>
          <w:szCs w:val="24"/>
          <w:lang w:val="fr-FR"/>
        </w:rPr>
        <w:t xml:space="preserve"> </w:t>
      </w:r>
      <w:r w:rsidRPr="002F7B56">
        <w:rPr>
          <w:rFonts w:ascii="Times New Roman" w:hAnsi="Times New Roman" w:cs="Times New Roman"/>
          <w:bCs/>
          <w:sz w:val="24"/>
          <w:szCs w:val="24"/>
          <w:lang w:val="fr-FR"/>
        </w:rPr>
        <w:t>§ 1</w:t>
      </w:r>
      <w:r w:rsidRPr="002F7B56">
        <w:rPr>
          <w:rFonts w:ascii="Times New Roman" w:hAnsi="Times New Roman" w:cs="Times New Roman"/>
          <w:bCs/>
          <w:sz w:val="24"/>
          <w:szCs w:val="24"/>
          <w:vertAlign w:val="superscript"/>
          <w:lang w:val="fr-FR"/>
        </w:rPr>
        <w:t>er</w:t>
      </w:r>
      <w:r w:rsidRPr="002F7B56">
        <w:rPr>
          <w:rFonts w:ascii="Times New Roman" w:hAnsi="Times New Roman" w:cs="Times New Roman"/>
          <w:bCs/>
          <w:sz w:val="24"/>
          <w:szCs w:val="24"/>
          <w:lang w:val="fr-FR"/>
        </w:rPr>
        <w:t>. Une décision judiciaire étrangère exécutoire dans l'Etat où elle a été rendue est déclarée exécutoire en Belgique, en tout ou en partie, conformément à la procédure visée à l'article 23.</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Une décision judiciaire étrangère est reconnue en Belgique, en tout ou en partie, sans qu'il faille recourir à la procédure visée à l'article 23.</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Si la reconnaissance est invoquée de façon incidente devant une juridiction belge, celle-ci est compétente pour en connaître.</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La décision ne peut être reconnue ou déclarée exécutoire que si elle ne contrevient pas aux conditions de l'article 25.</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 2. Toute personne qui y a intérêt ainsi que, en matière d'état d'une personne, le ministère public, peut faire constater, conformément à la procédure visée à l'article 23, que la décision doit être reconnue ou déclarée exécutoire, en tout ou en partie, ou ne peut l'être.</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 3. Au sens de la présente loi :</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1° le terme décision judiciaire vise toute décision rendue par une autorité exerçant un pouvoir de juridiction ;</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2° la reconnaissance établit pour droit ce qui a été décidé à l'étranger.</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
          <w:bCs/>
          <w:sz w:val="24"/>
          <w:szCs w:val="24"/>
          <w:lang w:val="fr-FR"/>
        </w:rPr>
        <w:lastRenderedPageBreak/>
        <w:t>Article 23.</w:t>
      </w:r>
      <w:r w:rsidRPr="002F7B56">
        <w:rPr>
          <w:rFonts w:ascii="Times New Roman" w:hAnsi="Times New Roman" w:cs="Times New Roman"/>
          <w:bCs/>
          <w:sz w:val="24"/>
          <w:szCs w:val="24"/>
          <w:lang w:val="fr-FR"/>
        </w:rPr>
        <w:t xml:space="preserve"> § 1</w:t>
      </w:r>
      <w:r w:rsidRPr="002F7B56">
        <w:rPr>
          <w:rFonts w:ascii="Times New Roman" w:hAnsi="Times New Roman" w:cs="Times New Roman"/>
          <w:bCs/>
          <w:sz w:val="24"/>
          <w:szCs w:val="24"/>
          <w:vertAlign w:val="superscript"/>
          <w:lang w:val="fr-FR"/>
        </w:rPr>
        <w:t>er</w:t>
      </w:r>
      <w:r w:rsidRPr="002F7B56">
        <w:rPr>
          <w:rFonts w:ascii="Times New Roman" w:hAnsi="Times New Roman" w:cs="Times New Roman"/>
          <w:bCs/>
          <w:sz w:val="24"/>
          <w:szCs w:val="24"/>
          <w:lang w:val="fr-FR"/>
        </w:rPr>
        <w:t>. Hormis les cas visés à l'article 121, le tribunal de première instance est compétent pour connaître d'une demande concernant la reconnaissance ou la déclaration de la force exécutoire d'une décision judiciaire étrangère.</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 2. Hormis le cas visé à l'article 31, le tribunal territorialement compétent est celui du domicile ou de la résidence habituelle du défendeur ; à défaut de domicile ou de résidence en Belgique, ce tribunal est celui du lieu d'exécution.</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Lorsque la demande concernant la reconnaissance d'une décision ne peut être portée devant un tribunal désigné à l'alinéa 1</w:t>
      </w:r>
      <w:r w:rsidRPr="002F7B56">
        <w:rPr>
          <w:rFonts w:ascii="Times New Roman" w:hAnsi="Times New Roman" w:cs="Times New Roman"/>
          <w:bCs/>
          <w:sz w:val="24"/>
          <w:szCs w:val="24"/>
          <w:vertAlign w:val="superscript"/>
          <w:lang w:val="fr-FR"/>
        </w:rPr>
        <w:t>er</w:t>
      </w:r>
      <w:r w:rsidRPr="002F7B56">
        <w:rPr>
          <w:rFonts w:ascii="Times New Roman" w:hAnsi="Times New Roman" w:cs="Times New Roman"/>
          <w:bCs/>
          <w:sz w:val="24"/>
          <w:szCs w:val="24"/>
          <w:lang w:val="fr-FR"/>
        </w:rPr>
        <w:t>, le demandeur peut saisir le juge du lieu de son domicile ou de sa résidence habituelle; à défaut de domicile ou de résidence en Belgique, il peut saisir le tribunal de l'arrondissement de Bruxelles.</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 3. La demande est introduite et instruite conformément à la procédure visée aux articles 1025 à 1034 du Code judiciaire. Le requérant doit faire élection de domicile dans le ressort du tribunal. Le juge statue à bref délai.</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 4. La décision judiciaire étrangère pouvant faire ou faisant l'objet d'un recours ordinaire peut donner lieu à des mesures d'exécution provisoires. Le juge peut subordonner celles-ci à la constitution d'une garantie.</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 5. Par dérogation à l'article 1029 du Code judiciaire, durant le délai prévu pour un recours contre une décision autorisant l'exécution et jusqu'à ce qu'il ait été statué sur ce dernier, il ne peut être procédé qu'à des mesures conservatoires sur les biens de la partie contre laquelle l'exécution est demandée. La décision qui autorise l'exécution emporte l'autorisation de procéder à ces mesures.</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
          <w:bCs/>
          <w:sz w:val="24"/>
          <w:szCs w:val="24"/>
          <w:lang w:val="fr-FR"/>
        </w:rPr>
        <w:lastRenderedPageBreak/>
        <w:t>Article 24.</w:t>
      </w:r>
      <w:r w:rsidRPr="002F7B56">
        <w:rPr>
          <w:rFonts w:ascii="Times New Roman" w:hAnsi="Times New Roman" w:cs="Times New Roman"/>
          <w:bCs/>
          <w:sz w:val="24"/>
          <w:szCs w:val="24"/>
          <w:lang w:val="fr-FR"/>
        </w:rPr>
        <w:t xml:space="preserve"> § 1</w:t>
      </w:r>
      <w:r w:rsidRPr="002F7B56">
        <w:rPr>
          <w:rFonts w:ascii="Times New Roman" w:hAnsi="Times New Roman" w:cs="Times New Roman"/>
          <w:bCs/>
          <w:sz w:val="24"/>
          <w:szCs w:val="24"/>
          <w:vertAlign w:val="superscript"/>
          <w:lang w:val="fr-FR"/>
        </w:rPr>
        <w:t>er</w:t>
      </w:r>
      <w:r w:rsidRPr="002F7B56">
        <w:rPr>
          <w:rFonts w:ascii="Times New Roman" w:hAnsi="Times New Roman" w:cs="Times New Roman"/>
          <w:bCs/>
          <w:sz w:val="24"/>
          <w:szCs w:val="24"/>
          <w:lang w:val="fr-FR"/>
        </w:rPr>
        <w:t>. La partie qui invoque la reconnaissance ou demande la déclaration de la force exécutoire d'une décision judiciaire étrangère doit produire :</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1° une expédition de la décision, réunissant les conditions nécessaires à son authenticité selon le droit de l'Etat dans lequel elle a été rendue ;</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2° s'il s'agit d'une décision par défaut, l'original ou une copie certifiée conforme du document établissant que l'acte introductif d'instance ou un acte équivalent a été signifié ou notifié à la partie défaillante selon le droit de l'Etat dans lequel la décision a été rendue ;</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3° tout document de nature à établir que, selon le droit de l'Etat dans lequel la décision a été rendue, celle-ci est exécutoire et a été signifiée ou notifiée.</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 2. A défaut de production des documents mentionnés au § 1</w:t>
      </w:r>
      <w:r w:rsidRPr="002F7B56">
        <w:rPr>
          <w:rFonts w:ascii="Times New Roman" w:hAnsi="Times New Roman" w:cs="Times New Roman"/>
          <w:bCs/>
          <w:sz w:val="24"/>
          <w:szCs w:val="24"/>
          <w:vertAlign w:val="superscript"/>
          <w:lang w:val="fr-FR"/>
        </w:rPr>
        <w:t>er</w:t>
      </w:r>
      <w:r w:rsidRPr="002F7B56">
        <w:rPr>
          <w:rFonts w:ascii="Times New Roman" w:hAnsi="Times New Roman" w:cs="Times New Roman"/>
          <w:bCs/>
          <w:sz w:val="24"/>
          <w:szCs w:val="24"/>
          <w:lang w:val="fr-FR"/>
        </w:rPr>
        <w:t>, le juge peut impartir un délai pour les produire ou accepter des documents équivalents ou, s'il s'estime suffisamment éclairé, en dispenser.</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
          <w:bCs/>
          <w:sz w:val="24"/>
          <w:szCs w:val="24"/>
          <w:lang w:val="fr-FR"/>
        </w:rPr>
        <w:t>Article 25.</w:t>
      </w:r>
      <w:r w:rsidRPr="002F7B56">
        <w:rPr>
          <w:rFonts w:ascii="Times New Roman" w:hAnsi="Times New Roman" w:cs="Times New Roman"/>
          <w:bCs/>
          <w:sz w:val="24"/>
          <w:szCs w:val="24"/>
          <w:lang w:val="fr-FR"/>
        </w:rPr>
        <w:t xml:space="preserve"> § 1</w:t>
      </w:r>
      <w:r w:rsidRPr="002F7B56">
        <w:rPr>
          <w:rFonts w:ascii="Times New Roman" w:hAnsi="Times New Roman" w:cs="Times New Roman"/>
          <w:bCs/>
          <w:sz w:val="24"/>
          <w:szCs w:val="24"/>
          <w:vertAlign w:val="superscript"/>
          <w:lang w:val="fr-FR"/>
        </w:rPr>
        <w:t>er</w:t>
      </w:r>
      <w:r w:rsidRPr="002F7B56">
        <w:rPr>
          <w:rFonts w:ascii="Times New Roman" w:hAnsi="Times New Roman" w:cs="Times New Roman"/>
          <w:bCs/>
          <w:sz w:val="24"/>
          <w:szCs w:val="24"/>
          <w:lang w:val="fr-FR"/>
        </w:rPr>
        <w:t>. Une décision judiciaire étrangère n'est ni reconnue ni déclarée exécutoire si :</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1° l'effet de la reconnaissance ou de la déclaration de la force exécutoire serait manifestement incompatible avec l'ordre public ; cette incompatibilité s'apprécie en tenant compte, notamment, de l'intensité du rattachement de la situation avec l'ordre juridique belge et de la gravité de l'effet ainsi produit ;</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2° les droits de la défense ont été violés ;</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lastRenderedPageBreak/>
        <w:t xml:space="preserve">   3° la décision a été obtenue, en une matière où les personnes ne disposent pas librement de leurs droits, dans le seul but d'échapper à l'application du droit désigné par la présente loi ;</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4° sans préjudice de l'article 23, § 4, elle peut encore faire l'objet d'un recours ordinaire selon le droit de l'Etat dans lequel elle a été rendue ;</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5° elle est inconciliable avec une décision rendue en Belgique ou avec une décision rendue antérieurement à l'étranger et susceptible d'être reconnue en Belgique ;</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6° la demande a été introduite à l'étranger après l'introduction en Belgique d'une demande, encore pendante, entre les mêmes parties et sur le même objet ;</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7° les juridictions belges étaient seules compétentes pour connaître de la demande ;</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8° la compétence de la juridiction étrangère était fondée uniquement sur la présence du défendeur ou de biens sans relation directe avec le litige dans l'Etat dont relève cette juridiction ; ou</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
          <w:bCs/>
          <w:sz w:val="24"/>
          <w:szCs w:val="24"/>
          <w:lang w:val="fr-FR"/>
        </w:rPr>
      </w:pPr>
      <w:r w:rsidRPr="002F7B56">
        <w:rPr>
          <w:rFonts w:ascii="Times New Roman" w:hAnsi="Times New Roman" w:cs="Times New Roman"/>
          <w:bCs/>
          <w:sz w:val="24"/>
          <w:szCs w:val="24"/>
          <w:lang w:val="fr-FR"/>
        </w:rPr>
        <w:t xml:space="preserve">   9° la reconnaissance ou la déclaration de la force exécutoire se heurte à l'un des motifs de refus visés aux articles 39, 57, 72, 95, 115 et 121.</w:t>
      </w:r>
    </w:p>
    <w:p w:rsidR="001E11DD" w:rsidRPr="002F7B56" w:rsidRDefault="001E11DD" w:rsidP="001E11DD">
      <w:pPr>
        <w:tabs>
          <w:tab w:val="left" w:pos="1093"/>
        </w:tabs>
        <w:spacing w:after="180" w:line="360" w:lineRule="auto"/>
        <w:jc w:val="both"/>
        <w:rPr>
          <w:rFonts w:ascii="Times New Roman" w:hAnsi="Times New Roman" w:cs="Times New Roman"/>
          <w:b/>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
          <w:bCs/>
          <w:sz w:val="24"/>
          <w:szCs w:val="24"/>
          <w:lang w:val="fr-FR"/>
        </w:rPr>
        <w:t xml:space="preserve">   </w:t>
      </w:r>
      <w:r w:rsidRPr="002F7B56">
        <w:rPr>
          <w:rFonts w:ascii="Times New Roman" w:hAnsi="Times New Roman" w:cs="Times New Roman"/>
          <w:bCs/>
          <w:sz w:val="24"/>
          <w:szCs w:val="24"/>
          <w:lang w:val="fr-FR"/>
        </w:rPr>
        <w:t>§ 2. En aucun cas, la décision judiciaire étrangère ne peut faire l'objet d'une révision au fond.</w:t>
      </w:r>
      <w:r w:rsidRPr="002F7B56">
        <w:rPr>
          <w:rFonts w:ascii="Times New Roman" w:hAnsi="Times New Roman" w:cs="Times New Roman"/>
          <w:bCs/>
          <w:sz w:val="24"/>
          <w:szCs w:val="24"/>
          <w:lang w:val="fr-FR"/>
        </w:rPr>
        <w:br/>
      </w:r>
      <w:r w:rsidRPr="002F7B56">
        <w:rPr>
          <w:rFonts w:ascii="Times New Roman" w:hAnsi="Times New Roman" w:cs="Times New Roman"/>
          <w:bCs/>
          <w:sz w:val="24"/>
          <w:szCs w:val="24"/>
          <w:lang w:val="fr-FR"/>
        </w:rPr>
        <w:br/>
        <w:t>  </w:t>
      </w:r>
      <w:r w:rsidRPr="002F7B56">
        <w:rPr>
          <w:rFonts w:ascii="Times New Roman" w:hAnsi="Times New Roman" w:cs="Times New Roman"/>
          <w:b/>
          <w:bCs/>
          <w:sz w:val="24"/>
          <w:szCs w:val="24"/>
          <w:lang w:val="fr-FR"/>
        </w:rPr>
        <w:t>Article 30.</w:t>
      </w:r>
      <w:r w:rsidRPr="002F7B56">
        <w:rPr>
          <w:rFonts w:ascii="Times New Roman" w:hAnsi="Times New Roman" w:cs="Times New Roman"/>
          <w:bCs/>
          <w:sz w:val="24"/>
          <w:szCs w:val="24"/>
          <w:lang w:val="fr-FR"/>
        </w:rPr>
        <w:t xml:space="preserve"> § 1</w:t>
      </w:r>
      <w:r w:rsidRPr="002F7B56">
        <w:rPr>
          <w:rFonts w:ascii="Times New Roman" w:hAnsi="Times New Roman" w:cs="Times New Roman"/>
          <w:bCs/>
          <w:sz w:val="24"/>
          <w:szCs w:val="24"/>
          <w:vertAlign w:val="superscript"/>
          <w:lang w:val="fr-FR"/>
        </w:rPr>
        <w:t>er</w:t>
      </w:r>
      <w:r w:rsidRPr="002F7B56">
        <w:rPr>
          <w:rFonts w:ascii="Times New Roman" w:hAnsi="Times New Roman" w:cs="Times New Roman"/>
          <w:bCs/>
          <w:sz w:val="24"/>
          <w:szCs w:val="24"/>
          <w:lang w:val="fr-FR"/>
        </w:rPr>
        <w:t>. Une décision judiciaire étrangère ou un acte authentique étranger doit être légalisé pour être produit en Belgique en intégralité ou en extrait, en original ou en copie.</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lastRenderedPageBreak/>
        <w:t>La légalisation n'atteste que la véracité de la signature, la qualité en laquelle le signataire de l'acte a agi et, le cas échéant, l'identité du sceau ou timbre dont l'acte est revêtu.</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 2. La légalisation est faite :</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1° par un agent diplomatique ou consulaire belge accrédité dans l'Etat où la décision ou l'acte a été rendu ou établi ;</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2° à défaut, par un agent diplomatique ou consulaire de l'Etat étranger qui représente les intérêts de la Belgique dans cet Etat ;</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3° à défaut, par le Ministre des Affaires étrangères.</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 3. Le Roi détermine les modalités de la légalisation.</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
          <w:bCs/>
          <w:sz w:val="24"/>
          <w:szCs w:val="24"/>
          <w:lang w:val="fr-FR"/>
        </w:rPr>
        <w:t>Article 40.</w:t>
      </w:r>
      <w:r w:rsidRPr="002F7B56">
        <w:rPr>
          <w:rFonts w:ascii="Times New Roman" w:hAnsi="Times New Roman" w:cs="Times New Roman"/>
          <w:bCs/>
          <w:sz w:val="24"/>
          <w:szCs w:val="24"/>
          <w:lang w:val="fr-FR"/>
        </w:rPr>
        <w:t xml:space="preserve"> Les juridictions belges sont compétentes pour connaître de toute demande de constat d'absence ou de détermination de ses effets, outre dans les cas prévus par les dispositions générales de la présente loi à l'exclusion de l'article 5, si :</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1° la personne disparue était belge ou avait sa résidence habituelle en Belgique lors de sa disparition ; ou</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2° cette demande concerne des biens de l'absent situés en Belgique lors de l'introduction de la demande.</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
          <w:bCs/>
          <w:sz w:val="24"/>
          <w:szCs w:val="24"/>
          <w:lang w:val="fr-FR"/>
        </w:rPr>
        <w:lastRenderedPageBreak/>
        <w:t>Article 41.</w:t>
      </w:r>
      <w:r w:rsidRPr="002F7B56">
        <w:rPr>
          <w:rFonts w:ascii="Times New Roman" w:hAnsi="Times New Roman" w:cs="Times New Roman"/>
          <w:bCs/>
          <w:sz w:val="24"/>
          <w:szCs w:val="24"/>
          <w:lang w:val="fr-FR"/>
        </w:rPr>
        <w:t xml:space="preserve"> L'absence est régie par le droit de l'Etat dont la personne avait la nationalité lors de sa disparition ou, lorsque ce droit ne connait pas une telle institution, par le droit de l'Etat sur le territoire duquel la personne résidait habituellement lors de sa disparition.</w:t>
      </w: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p>
    <w:p w:rsidR="001E11DD" w:rsidRPr="002F7B56" w:rsidRDefault="001E11DD" w:rsidP="001E11DD">
      <w:pPr>
        <w:tabs>
          <w:tab w:val="left" w:pos="1093"/>
        </w:tabs>
        <w:spacing w:after="180" w:line="360" w:lineRule="auto"/>
        <w:jc w:val="both"/>
        <w:rPr>
          <w:rFonts w:ascii="Times New Roman" w:hAnsi="Times New Roman" w:cs="Times New Roman"/>
          <w:bCs/>
          <w:sz w:val="24"/>
          <w:szCs w:val="24"/>
          <w:lang w:val="fr-FR"/>
        </w:rPr>
      </w:pPr>
      <w:r w:rsidRPr="002F7B56">
        <w:rPr>
          <w:rFonts w:ascii="Times New Roman" w:hAnsi="Times New Roman" w:cs="Times New Roman"/>
          <w:bCs/>
          <w:sz w:val="24"/>
          <w:szCs w:val="24"/>
          <w:lang w:val="fr-FR"/>
        </w:rPr>
        <w:t xml:space="preserve">   L'administration provisoire des biens de l'absent est régie par le droit de l'Etat sur le territoire duquel la personne résidait habituellement lors de sa disparition ou, lorsque ce droit ne permet pas de l'organiser, par le droit belge.</w:t>
      </w:r>
    </w:p>
    <w:p w:rsidR="001E11DD" w:rsidRPr="0078427E" w:rsidRDefault="001E11DD" w:rsidP="001E11DD">
      <w:pPr>
        <w:rPr>
          <w:lang w:val="fr-FR"/>
        </w:rPr>
      </w:pPr>
    </w:p>
    <w:p w:rsidR="00CB2352" w:rsidRPr="001E11DD" w:rsidRDefault="00CB2352">
      <w:pPr>
        <w:rPr>
          <w:lang w:val="fr-FR"/>
        </w:rPr>
      </w:pPr>
    </w:p>
    <w:sectPr w:rsidR="00CB2352" w:rsidRPr="001E1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DD"/>
    <w:rsid w:val="001E11DD"/>
    <w:rsid w:val="00CB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E4CB6-4A6F-4661-93A6-3F61DBB7B0D7}"/>
</file>

<file path=customXml/itemProps2.xml><?xml version="1.0" encoding="utf-8"?>
<ds:datastoreItem xmlns:ds="http://schemas.openxmlformats.org/officeDocument/2006/customXml" ds:itemID="{FD3E74BC-16B2-467E-B92E-56EDDE3E6B52}"/>
</file>

<file path=customXml/itemProps3.xml><?xml version="1.0" encoding="utf-8"?>
<ds:datastoreItem xmlns:ds="http://schemas.openxmlformats.org/officeDocument/2006/customXml" ds:itemID="{85E4578D-406E-4F27-9D1C-6908BE4A602A}"/>
</file>

<file path=docProps/app.xml><?xml version="1.0" encoding="utf-8"?>
<Properties xmlns="http://schemas.openxmlformats.org/officeDocument/2006/extended-properties" xmlns:vt="http://schemas.openxmlformats.org/officeDocument/2006/docPropsVTypes">
  <Template>848BF076.dotm</Template>
  <TotalTime>0</TotalTime>
  <Pages>6</Pages>
  <Words>1087</Words>
  <Characters>6199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Baldovin Anne-Marie</dc:creator>
  <cp:lastModifiedBy>Baldovin Anne-Marie</cp:lastModifiedBy>
  <cp:revision>1</cp:revision>
  <dcterms:created xsi:type="dcterms:W3CDTF">2013-06-17T13:15:00Z</dcterms:created>
  <dcterms:modified xsi:type="dcterms:W3CDTF">2013-06-17T13:16:00Z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1786800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