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B6A4" w14:textId="4E1BCFAC" w:rsidR="00AB5BCB" w:rsidRDefault="006C530D" w:rsidP="00085945">
      <w:pPr>
        <w:jc w:val="center"/>
        <w:rPr>
          <w:rFonts w:ascii="Times New Roman" w:hAnsi="Times New Roman" w:cs="Times New Roman"/>
          <w:sz w:val="23"/>
          <w:szCs w:val="23"/>
        </w:rPr>
      </w:pPr>
      <w:bookmarkStart w:id="0" w:name="_GoBack"/>
      <w:bookmarkEnd w:id="0"/>
      <w:r w:rsidRPr="00AB5BCB">
        <w:rPr>
          <w:rFonts w:ascii="Times New Roman" w:hAnsi="Times New Roman" w:cs="Times New Roman"/>
          <w:noProof/>
          <w:sz w:val="23"/>
          <w:szCs w:val="23"/>
          <w:lang w:val="en-GB" w:eastAsia="ko-KR"/>
        </w:rPr>
        <w:drawing>
          <wp:inline distT="0" distB="0" distL="0" distR="0" wp14:anchorId="37AD5D20" wp14:editId="73F56DD0">
            <wp:extent cx="1439334" cy="77404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logo.png"/>
                    <pic:cNvPicPr/>
                  </pic:nvPicPr>
                  <pic:blipFill>
                    <a:blip r:embed="rId9">
                      <a:extLst>
                        <a:ext uri="{28A0092B-C50C-407E-A947-70E740481C1C}">
                          <a14:useLocalDpi xmlns:a14="http://schemas.microsoft.com/office/drawing/2010/main" val="0"/>
                        </a:ext>
                      </a:extLst>
                    </a:blip>
                    <a:stretch>
                      <a:fillRect/>
                    </a:stretch>
                  </pic:blipFill>
                  <pic:spPr>
                    <a:xfrm>
                      <a:off x="0" y="0"/>
                      <a:ext cx="1441312" cy="775104"/>
                    </a:xfrm>
                    <a:prstGeom prst="rect">
                      <a:avLst/>
                    </a:prstGeom>
                  </pic:spPr>
                </pic:pic>
              </a:graphicData>
            </a:graphic>
          </wp:inline>
        </w:drawing>
      </w:r>
      <w:r w:rsidR="001F4232">
        <w:rPr>
          <w:rFonts w:ascii="Times New Roman" w:hAnsi="Times New Roman" w:cs="Times New Roman"/>
          <w:sz w:val="23"/>
          <w:szCs w:val="23"/>
        </w:rPr>
        <w:t xml:space="preserve">   </w:t>
      </w:r>
      <w:r w:rsidR="00AB5BCB">
        <w:rPr>
          <w:rFonts w:ascii="Times New Roman" w:hAnsi="Times New Roman" w:cs="Times New Roman"/>
          <w:sz w:val="23"/>
          <w:szCs w:val="23"/>
        </w:rPr>
        <w:t xml:space="preserve">   </w:t>
      </w:r>
      <w:r w:rsidR="0004633A" w:rsidRPr="00AB5BCB">
        <w:rPr>
          <w:rFonts w:ascii="Times New Roman" w:hAnsi="Times New Roman" w:cs="Times New Roman"/>
          <w:noProof/>
          <w:sz w:val="23"/>
          <w:szCs w:val="23"/>
          <w:lang w:val="en-GB" w:eastAsia="ko-KR"/>
        </w:rPr>
        <w:drawing>
          <wp:inline distT="0" distB="0" distL="0" distR="0" wp14:anchorId="013CFA4A" wp14:editId="7791726A">
            <wp:extent cx="1981663" cy="655744"/>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714" cy="657084"/>
                    </a:xfrm>
                    <a:prstGeom prst="rect">
                      <a:avLst/>
                    </a:prstGeom>
                    <a:noFill/>
                    <a:ln>
                      <a:noFill/>
                    </a:ln>
                  </pic:spPr>
                </pic:pic>
              </a:graphicData>
            </a:graphic>
          </wp:inline>
        </w:drawing>
      </w:r>
      <w:r w:rsidR="001F4232">
        <w:rPr>
          <w:rFonts w:ascii="Times New Roman" w:hAnsi="Times New Roman" w:cs="Times New Roman"/>
          <w:sz w:val="23"/>
          <w:szCs w:val="23"/>
        </w:rPr>
        <w:t xml:space="preserve">      </w:t>
      </w:r>
      <w:r w:rsidR="001F4232">
        <w:rPr>
          <w:rFonts w:ascii="Times New Roman" w:hAnsi="Times New Roman" w:cs="Times New Roman"/>
          <w:noProof/>
          <w:sz w:val="23"/>
          <w:szCs w:val="23"/>
          <w:lang w:val="en-GB" w:eastAsia="ko-KR"/>
        </w:rPr>
        <w:drawing>
          <wp:inline distT="0" distB="0" distL="0" distR="0" wp14:anchorId="4D373462" wp14:editId="6C944B82">
            <wp:extent cx="2019686" cy="6330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FLogo_english_zpsf8fe2ab7.jpg"/>
                    <pic:cNvPicPr/>
                  </pic:nvPicPr>
                  <pic:blipFill>
                    <a:blip r:embed="rId11">
                      <a:extLst>
                        <a:ext uri="{28A0092B-C50C-407E-A947-70E740481C1C}">
                          <a14:useLocalDpi xmlns:a14="http://schemas.microsoft.com/office/drawing/2010/main" val="0"/>
                        </a:ext>
                      </a:extLst>
                    </a:blip>
                    <a:stretch>
                      <a:fillRect/>
                    </a:stretch>
                  </pic:blipFill>
                  <pic:spPr>
                    <a:xfrm>
                      <a:off x="0" y="0"/>
                      <a:ext cx="2021170" cy="633559"/>
                    </a:xfrm>
                    <a:prstGeom prst="rect">
                      <a:avLst/>
                    </a:prstGeom>
                  </pic:spPr>
                </pic:pic>
              </a:graphicData>
            </a:graphic>
          </wp:inline>
        </w:drawing>
      </w:r>
    </w:p>
    <w:p w14:paraId="1BFAD486" w14:textId="77777777" w:rsidR="00085945" w:rsidRDefault="00085945" w:rsidP="006C530D">
      <w:pPr>
        <w:jc w:val="right"/>
        <w:rPr>
          <w:rFonts w:ascii="Times New Roman" w:hAnsi="Times New Roman" w:cs="Times New Roman"/>
          <w:sz w:val="23"/>
          <w:szCs w:val="23"/>
        </w:rPr>
      </w:pPr>
    </w:p>
    <w:p w14:paraId="4A1C8587" w14:textId="77777777" w:rsidR="006C530D" w:rsidRPr="00AB5BCB" w:rsidRDefault="006C530D" w:rsidP="006C530D">
      <w:pPr>
        <w:jc w:val="right"/>
        <w:rPr>
          <w:rFonts w:ascii="Times New Roman" w:hAnsi="Times New Roman" w:cs="Times New Roman"/>
          <w:sz w:val="23"/>
          <w:szCs w:val="23"/>
        </w:rPr>
      </w:pPr>
      <w:r w:rsidRPr="00AB5BCB">
        <w:rPr>
          <w:rFonts w:ascii="Times New Roman" w:hAnsi="Times New Roman" w:cs="Times New Roman"/>
          <w:sz w:val="23"/>
          <w:szCs w:val="23"/>
        </w:rPr>
        <w:t>January 20, 2017</w:t>
      </w:r>
    </w:p>
    <w:p w14:paraId="433B6702" w14:textId="77777777" w:rsidR="006C530D" w:rsidRPr="00085945" w:rsidRDefault="006C530D">
      <w:pPr>
        <w:rPr>
          <w:rFonts w:ascii="Times New Roman" w:hAnsi="Times New Roman" w:cs="Times New Roman"/>
          <w:sz w:val="10"/>
          <w:szCs w:val="10"/>
        </w:rPr>
      </w:pPr>
    </w:p>
    <w:p w14:paraId="58EB7ED5" w14:textId="30918F72" w:rsidR="00D55EFE" w:rsidRPr="00AB5BCB" w:rsidRDefault="000345C0" w:rsidP="001E1AFA">
      <w:pPr>
        <w:jc w:val="center"/>
        <w:rPr>
          <w:rFonts w:ascii="Times New Roman" w:hAnsi="Times New Roman" w:cs="Times New Roman"/>
          <w:b/>
          <w:sz w:val="23"/>
          <w:szCs w:val="23"/>
        </w:rPr>
      </w:pPr>
      <w:r w:rsidRPr="00AB5BCB">
        <w:rPr>
          <w:rFonts w:ascii="Times New Roman" w:hAnsi="Times New Roman" w:cs="Times New Roman"/>
          <w:b/>
          <w:sz w:val="23"/>
          <w:szCs w:val="23"/>
        </w:rPr>
        <w:t>Submission</w:t>
      </w:r>
      <w:r w:rsidR="006C530D" w:rsidRPr="00AB5BCB">
        <w:rPr>
          <w:rFonts w:ascii="Times New Roman" w:hAnsi="Times New Roman" w:cs="Times New Roman"/>
          <w:b/>
          <w:sz w:val="23"/>
          <w:szCs w:val="23"/>
        </w:rPr>
        <w:t xml:space="preserve"> on the draft General Comment No. 24 on State Obligations under the International Covenant on Economic, Social and Cultural Rights in the Context of Business Activities</w:t>
      </w:r>
    </w:p>
    <w:p w14:paraId="5D6D99AD" w14:textId="77777777" w:rsidR="00281D2E" w:rsidRPr="00AB5BCB" w:rsidRDefault="00281D2E" w:rsidP="006C530D">
      <w:pPr>
        <w:jc w:val="center"/>
        <w:rPr>
          <w:rFonts w:ascii="Times New Roman" w:hAnsi="Times New Roman" w:cs="Times New Roman"/>
          <w:b/>
          <w:sz w:val="23"/>
          <w:szCs w:val="23"/>
        </w:rPr>
      </w:pPr>
    </w:p>
    <w:p w14:paraId="6CA89CFD" w14:textId="4A0AC040" w:rsidR="003C7BAB" w:rsidRPr="00AB5BCB" w:rsidRDefault="0041519D">
      <w:pPr>
        <w:jc w:val="both"/>
        <w:rPr>
          <w:rFonts w:ascii="Times New Roman" w:hAnsi="Times New Roman" w:cs="Times New Roman"/>
          <w:sz w:val="23"/>
          <w:szCs w:val="23"/>
        </w:rPr>
      </w:pPr>
      <w:r w:rsidRPr="00AB5BCB">
        <w:rPr>
          <w:rFonts w:ascii="Times New Roman" w:hAnsi="Times New Roman" w:cs="Times New Roman"/>
          <w:sz w:val="23"/>
          <w:szCs w:val="23"/>
        </w:rPr>
        <w:t xml:space="preserve">1. </w:t>
      </w:r>
      <w:r w:rsidR="003C7BAB" w:rsidRPr="00AB5BCB">
        <w:rPr>
          <w:rFonts w:ascii="Times New Roman" w:hAnsi="Times New Roman" w:cs="Times New Roman"/>
          <w:sz w:val="23"/>
          <w:szCs w:val="23"/>
        </w:rPr>
        <w:t>The International Corporate Accountability Roundtable (ICAR)</w:t>
      </w:r>
      <w:r w:rsidR="001F4232">
        <w:rPr>
          <w:rFonts w:ascii="Times New Roman" w:hAnsi="Times New Roman" w:cs="Times New Roman"/>
          <w:sz w:val="23"/>
          <w:szCs w:val="23"/>
        </w:rPr>
        <w:t>,</w:t>
      </w:r>
      <w:r w:rsidR="004659C4" w:rsidRPr="00AB5BCB">
        <w:rPr>
          <w:rFonts w:ascii="Times New Roman" w:hAnsi="Times New Roman" w:cs="Times New Roman"/>
          <w:sz w:val="23"/>
          <w:szCs w:val="23"/>
        </w:rPr>
        <w:t xml:space="preserve"> the Interfaith Center on Corporate Responsibility (ICCR)</w:t>
      </w:r>
      <w:r w:rsidR="001F4232">
        <w:rPr>
          <w:rFonts w:ascii="Times New Roman" w:hAnsi="Times New Roman" w:cs="Times New Roman"/>
          <w:sz w:val="23"/>
          <w:szCs w:val="23"/>
        </w:rPr>
        <w:t>, and the Due Process of Law Foundation (DPLF)</w:t>
      </w:r>
      <w:r w:rsidR="003C7BAB" w:rsidRPr="00AB5BCB">
        <w:rPr>
          <w:rFonts w:ascii="Times New Roman" w:hAnsi="Times New Roman" w:cs="Times New Roman"/>
          <w:sz w:val="23"/>
          <w:szCs w:val="23"/>
        </w:rPr>
        <w:t xml:space="preserve"> welcomes the draft General Comment No. 24 </w:t>
      </w:r>
      <w:r w:rsidR="001E4B15" w:rsidRPr="00AB5BCB">
        <w:rPr>
          <w:rFonts w:ascii="Times New Roman" w:hAnsi="Times New Roman" w:cs="Times New Roman"/>
          <w:sz w:val="23"/>
          <w:szCs w:val="23"/>
        </w:rPr>
        <w:t xml:space="preserve">(draft Comment) </w:t>
      </w:r>
      <w:r w:rsidR="003C7BAB" w:rsidRPr="00AB5BCB">
        <w:rPr>
          <w:rFonts w:ascii="Times New Roman" w:hAnsi="Times New Roman" w:cs="Times New Roman"/>
          <w:sz w:val="23"/>
          <w:szCs w:val="23"/>
        </w:rPr>
        <w:t>on the State Obligations under the International Covenant on Economic, Social, and Cultural Rights</w:t>
      </w:r>
      <w:r w:rsidR="00CC65D8" w:rsidRPr="00AB5BCB">
        <w:rPr>
          <w:rFonts w:ascii="Times New Roman" w:hAnsi="Times New Roman" w:cs="Times New Roman"/>
          <w:sz w:val="23"/>
          <w:szCs w:val="23"/>
        </w:rPr>
        <w:t xml:space="preserve"> (ICESCR)</w:t>
      </w:r>
      <w:r w:rsidR="003C7BAB" w:rsidRPr="00AB5BCB">
        <w:rPr>
          <w:rFonts w:ascii="Times New Roman" w:hAnsi="Times New Roman" w:cs="Times New Roman"/>
          <w:sz w:val="23"/>
          <w:szCs w:val="23"/>
        </w:rPr>
        <w:t xml:space="preserve"> in the Context of Business Activities. We applaud the Committee</w:t>
      </w:r>
      <w:r w:rsidR="00C21517" w:rsidRPr="00AB5BCB">
        <w:rPr>
          <w:rFonts w:ascii="Times New Roman" w:hAnsi="Times New Roman" w:cs="Times New Roman"/>
          <w:sz w:val="23"/>
          <w:szCs w:val="23"/>
        </w:rPr>
        <w:t>’</w:t>
      </w:r>
      <w:r w:rsidR="003C7BAB" w:rsidRPr="00AB5BCB">
        <w:rPr>
          <w:rFonts w:ascii="Times New Roman" w:hAnsi="Times New Roman" w:cs="Times New Roman"/>
          <w:sz w:val="23"/>
          <w:szCs w:val="23"/>
        </w:rPr>
        <w:t xml:space="preserve">s acknowledgement of the impact business activities can have on the enjoyment of economic, social, and cultural </w:t>
      </w:r>
      <w:r w:rsidR="00CC65D8" w:rsidRPr="00AB5BCB">
        <w:rPr>
          <w:rFonts w:ascii="Times New Roman" w:hAnsi="Times New Roman" w:cs="Times New Roman"/>
          <w:sz w:val="23"/>
          <w:szCs w:val="23"/>
        </w:rPr>
        <w:t xml:space="preserve">(ESC) </w:t>
      </w:r>
      <w:r w:rsidR="003C7BAB" w:rsidRPr="00AB5BCB">
        <w:rPr>
          <w:rFonts w:ascii="Times New Roman" w:hAnsi="Times New Roman" w:cs="Times New Roman"/>
          <w:sz w:val="23"/>
          <w:szCs w:val="23"/>
        </w:rPr>
        <w:t>rights, and the</w:t>
      </w:r>
      <w:r w:rsidR="00AC0AA4" w:rsidRPr="00AB5BCB">
        <w:rPr>
          <w:rFonts w:ascii="Times New Roman" w:hAnsi="Times New Roman" w:cs="Times New Roman"/>
          <w:sz w:val="23"/>
          <w:szCs w:val="23"/>
        </w:rPr>
        <w:t xml:space="preserve"> unique</w:t>
      </w:r>
      <w:r w:rsidR="003C7BAB" w:rsidRPr="00AB5BCB">
        <w:rPr>
          <w:rFonts w:ascii="Times New Roman" w:hAnsi="Times New Roman" w:cs="Times New Roman"/>
          <w:sz w:val="23"/>
          <w:szCs w:val="23"/>
        </w:rPr>
        <w:t xml:space="preserve"> challenges faced in accessing remedy when these negative impacts occur.</w:t>
      </w:r>
      <w:r w:rsidR="005D1DD7" w:rsidRPr="00AB5BCB">
        <w:rPr>
          <w:rFonts w:ascii="Times New Roman" w:hAnsi="Times New Roman" w:cs="Times New Roman"/>
          <w:sz w:val="23"/>
          <w:szCs w:val="23"/>
        </w:rPr>
        <w:t xml:space="preserve"> </w:t>
      </w:r>
      <w:r w:rsidR="00CC65D8" w:rsidRPr="00AB5BCB">
        <w:rPr>
          <w:rFonts w:ascii="Times New Roman" w:hAnsi="Times New Roman" w:cs="Times New Roman"/>
          <w:sz w:val="23"/>
          <w:szCs w:val="23"/>
        </w:rPr>
        <w:t>ICAR</w:t>
      </w:r>
      <w:r w:rsidR="00085945">
        <w:rPr>
          <w:rFonts w:ascii="Times New Roman" w:hAnsi="Times New Roman" w:cs="Times New Roman"/>
          <w:sz w:val="23"/>
          <w:szCs w:val="23"/>
        </w:rPr>
        <w:t>,</w:t>
      </w:r>
      <w:r w:rsidR="004659C4" w:rsidRPr="00AB5BCB">
        <w:rPr>
          <w:rFonts w:ascii="Times New Roman" w:hAnsi="Times New Roman" w:cs="Times New Roman"/>
          <w:sz w:val="23"/>
          <w:szCs w:val="23"/>
        </w:rPr>
        <w:t xml:space="preserve"> ICCR</w:t>
      </w:r>
      <w:r w:rsidR="00085945">
        <w:rPr>
          <w:rFonts w:ascii="Times New Roman" w:hAnsi="Times New Roman" w:cs="Times New Roman"/>
          <w:sz w:val="23"/>
          <w:szCs w:val="23"/>
        </w:rPr>
        <w:t xml:space="preserve">, and DPLF </w:t>
      </w:r>
      <w:r w:rsidR="005D1DD7" w:rsidRPr="00AB5BCB">
        <w:rPr>
          <w:rFonts w:ascii="Times New Roman" w:hAnsi="Times New Roman" w:cs="Times New Roman"/>
          <w:sz w:val="23"/>
          <w:szCs w:val="23"/>
        </w:rPr>
        <w:t xml:space="preserve">appreciate the opportunity to provide input into the draft Comment and engage further with the Committee on Economic, Social and Cultural Rights to promote State compliance with their ICESCR obligations in the context of business activities. </w:t>
      </w:r>
    </w:p>
    <w:p w14:paraId="5D7EFD24" w14:textId="77777777" w:rsidR="003C7BAB" w:rsidRPr="00AB5BCB" w:rsidRDefault="003C7BAB" w:rsidP="003A040E">
      <w:pPr>
        <w:jc w:val="both"/>
        <w:rPr>
          <w:rFonts w:ascii="Times New Roman" w:hAnsi="Times New Roman" w:cs="Times New Roman"/>
          <w:sz w:val="23"/>
          <w:szCs w:val="23"/>
        </w:rPr>
      </w:pPr>
    </w:p>
    <w:p w14:paraId="0FF05295" w14:textId="58EED474" w:rsidR="00AC0AA4" w:rsidRPr="00AB5BCB" w:rsidRDefault="003C7BAB" w:rsidP="003A040E">
      <w:pPr>
        <w:jc w:val="both"/>
        <w:rPr>
          <w:rFonts w:ascii="Times New Roman" w:hAnsi="Times New Roman" w:cs="Times New Roman"/>
          <w:b/>
          <w:sz w:val="23"/>
          <w:szCs w:val="23"/>
        </w:rPr>
      </w:pPr>
      <w:r w:rsidRPr="00AB5BCB">
        <w:rPr>
          <w:rFonts w:ascii="Times New Roman" w:hAnsi="Times New Roman" w:cs="Times New Roman"/>
          <w:b/>
          <w:sz w:val="23"/>
          <w:szCs w:val="23"/>
        </w:rPr>
        <w:t>Business and Economic, Social, and Cultural Rights</w:t>
      </w:r>
    </w:p>
    <w:p w14:paraId="24596846" w14:textId="77777777" w:rsidR="002B1811" w:rsidRPr="00085945" w:rsidRDefault="002B1811" w:rsidP="003A040E">
      <w:pPr>
        <w:jc w:val="both"/>
        <w:rPr>
          <w:rFonts w:ascii="Times New Roman" w:hAnsi="Times New Roman" w:cs="Times New Roman"/>
          <w:b/>
          <w:sz w:val="16"/>
          <w:szCs w:val="16"/>
        </w:rPr>
      </w:pPr>
    </w:p>
    <w:p w14:paraId="65206CF6" w14:textId="2D9BDD5D" w:rsidR="003C7BAB" w:rsidRPr="00AB5BCB" w:rsidRDefault="0041519D">
      <w:pPr>
        <w:jc w:val="both"/>
        <w:rPr>
          <w:rFonts w:ascii="Times New Roman" w:hAnsi="Times New Roman" w:cs="Times New Roman"/>
          <w:sz w:val="23"/>
          <w:szCs w:val="23"/>
        </w:rPr>
      </w:pPr>
      <w:r w:rsidRPr="00AB5BCB">
        <w:rPr>
          <w:rFonts w:ascii="Times New Roman" w:hAnsi="Times New Roman" w:cs="Times New Roman"/>
          <w:sz w:val="23"/>
          <w:szCs w:val="23"/>
        </w:rPr>
        <w:t xml:space="preserve">2. </w:t>
      </w:r>
      <w:r w:rsidR="00F1575E" w:rsidRPr="00AB5BCB">
        <w:rPr>
          <w:rFonts w:ascii="Times New Roman" w:hAnsi="Times New Roman" w:cs="Times New Roman"/>
          <w:sz w:val="23"/>
          <w:szCs w:val="23"/>
        </w:rPr>
        <w:t xml:space="preserve">Business entities are capable of both supporting and undermining the realization of </w:t>
      </w:r>
      <w:r w:rsidR="00CC65D8" w:rsidRPr="00AB5BCB">
        <w:rPr>
          <w:rFonts w:ascii="Times New Roman" w:hAnsi="Times New Roman" w:cs="Times New Roman"/>
          <w:sz w:val="23"/>
          <w:szCs w:val="23"/>
        </w:rPr>
        <w:t>ESC</w:t>
      </w:r>
      <w:r w:rsidR="008730AA" w:rsidRPr="00AB5BCB">
        <w:rPr>
          <w:rFonts w:ascii="Times New Roman" w:hAnsi="Times New Roman" w:cs="Times New Roman"/>
          <w:sz w:val="23"/>
          <w:szCs w:val="23"/>
        </w:rPr>
        <w:t xml:space="preserve"> </w:t>
      </w:r>
      <w:r w:rsidR="00F1575E" w:rsidRPr="00AB5BCB">
        <w:rPr>
          <w:rFonts w:ascii="Times New Roman" w:hAnsi="Times New Roman" w:cs="Times New Roman"/>
          <w:sz w:val="23"/>
          <w:szCs w:val="23"/>
        </w:rPr>
        <w:t>rights.</w:t>
      </w:r>
      <w:r w:rsidR="00CC65D8" w:rsidRPr="00AB5BCB">
        <w:rPr>
          <w:rFonts w:ascii="Times New Roman" w:hAnsi="Times New Roman" w:cs="Times New Roman"/>
          <w:sz w:val="23"/>
          <w:szCs w:val="23"/>
        </w:rPr>
        <w:t xml:space="preserve"> There are multitudes of ways in which</w:t>
      </w:r>
      <w:r w:rsidR="00F1575E" w:rsidRPr="00AB5BCB">
        <w:rPr>
          <w:rFonts w:ascii="Times New Roman" w:hAnsi="Times New Roman" w:cs="Times New Roman"/>
          <w:sz w:val="23"/>
          <w:szCs w:val="23"/>
        </w:rPr>
        <w:t xml:space="preserve"> </w:t>
      </w:r>
      <w:r w:rsidR="00CC65D8" w:rsidRPr="00AB5BCB">
        <w:rPr>
          <w:rFonts w:ascii="Times New Roman" w:hAnsi="Times New Roman" w:cs="Times New Roman"/>
          <w:sz w:val="23"/>
          <w:szCs w:val="23"/>
        </w:rPr>
        <w:t>b</w:t>
      </w:r>
      <w:r w:rsidR="00F1575E" w:rsidRPr="00AB5BCB">
        <w:rPr>
          <w:rFonts w:ascii="Times New Roman" w:hAnsi="Times New Roman" w:cs="Times New Roman"/>
          <w:sz w:val="23"/>
          <w:szCs w:val="23"/>
        </w:rPr>
        <w:t xml:space="preserve">usinesses </w:t>
      </w:r>
      <w:r w:rsidR="00531D98" w:rsidRPr="00AB5BCB">
        <w:rPr>
          <w:rFonts w:ascii="Times New Roman" w:hAnsi="Times New Roman" w:cs="Times New Roman"/>
          <w:sz w:val="23"/>
          <w:szCs w:val="23"/>
        </w:rPr>
        <w:t xml:space="preserve">can </w:t>
      </w:r>
      <w:r w:rsidR="00CC65D8" w:rsidRPr="00AB5BCB">
        <w:rPr>
          <w:rFonts w:ascii="Times New Roman" w:hAnsi="Times New Roman" w:cs="Times New Roman"/>
          <w:sz w:val="23"/>
          <w:szCs w:val="23"/>
        </w:rPr>
        <w:t xml:space="preserve">both directly and indirectly </w:t>
      </w:r>
      <w:r w:rsidR="008730AA" w:rsidRPr="00AB5BCB">
        <w:rPr>
          <w:rFonts w:ascii="Times New Roman" w:hAnsi="Times New Roman" w:cs="Times New Roman"/>
          <w:sz w:val="23"/>
          <w:szCs w:val="23"/>
        </w:rPr>
        <w:t xml:space="preserve">undermine </w:t>
      </w:r>
      <w:r w:rsidR="00CC65D8" w:rsidRPr="00AB5BCB">
        <w:rPr>
          <w:rFonts w:ascii="Times New Roman" w:hAnsi="Times New Roman" w:cs="Times New Roman"/>
          <w:sz w:val="23"/>
          <w:szCs w:val="23"/>
        </w:rPr>
        <w:t xml:space="preserve">these </w:t>
      </w:r>
      <w:r w:rsidR="00F1575E" w:rsidRPr="00AB5BCB">
        <w:rPr>
          <w:rFonts w:ascii="Times New Roman" w:hAnsi="Times New Roman" w:cs="Times New Roman"/>
          <w:sz w:val="23"/>
          <w:szCs w:val="23"/>
        </w:rPr>
        <w:t>rights</w:t>
      </w:r>
      <w:r w:rsidR="00CC65D8" w:rsidRPr="00AB5BCB">
        <w:rPr>
          <w:rFonts w:ascii="Times New Roman" w:hAnsi="Times New Roman" w:cs="Times New Roman"/>
          <w:sz w:val="23"/>
          <w:szCs w:val="23"/>
        </w:rPr>
        <w:t>. For example</w:t>
      </w:r>
      <w:r w:rsidR="00F1575E" w:rsidRPr="00AB5BCB">
        <w:rPr>
          <w:rFonts w:ascii="Times New Roman" w:hAnsi="Times New Roman" w:cs="Times New Roman"/>
          <w:sz w:val="23"/>
          <w:szCs w:val="23"/>
        </w:rPr>
        <w:t xml:space="preserve"> when they</w:t>
      </w:r>
      <w:r w:rsidR="00F1575E" w:rsidRPr="00AB5BCB">
        <w:rPr>
          <w:rFonts w:ascii="Times New Roman" w:hAnsi="Times New Roman" w:cs="Times New Roman"/>
          <w:i/>
          <w:sz w:val="23"/>
          <w:szCs w:val="23"/>
        </w:rPr>
        <w:t xml:space="preserve"> </w:t>
      </w:r>
      <w:r w:rsidR="00531D98" w:rsidRPr="00AB5BCB">
        <w:rPr>
          <w:rFonts w:ascii="Times New Roman" w:hAnsi="Times New Roman" w:cs="Times New Roman"/>
          <w:sz w:val="23"/>
          <w:szCs w:val="23"/>
        </w:rPr>
        <w:t>create</w:t>
      </w:r>
      <w:r w:rsidR="00F1575E" w:rsidRPr="00AB5BCB">
        <w:rPr>
          <w:rFonts w:ascii="Times New Roman" w:hAnsi="Times New Roman" w:cs="Times New Roman"/>
          <w:sz w:val="23"/>
          <w:szCs w:val="23"/>
        </w:rPr>
        <w:t xml:space="preserve"> unsafe working conditions, </w:t>
      </w:r>
      <w:r w:rsidR="00531D98" w:rsidRPr="00AB5BCB">
        <w:rPr>
          <w:rFonts w:ascii="Times New Roman" w:hAnsi="Times New Roman" w:cs="Times New Roman"/>
          <w:sz w:val="23"/>
          <w:szCs w:val="23"/>
        </w:rPr>
        <w:t xml:space="preserve">employ child or forced labor, </w:t>
      </w:r>
      <w:r w:rsidR="00F1575E" w:rsidRPr="00AB5BCB">
        <w:rPr>
          <w:rFonts w:ascii="Times New Roman" w:hAnsi="Times New Roman" w:cs="Times New Roman"/>
          <w:sz w:val="23"/>
          <w:szCs w:val="23"/>
        </w:rPr>
        <w:t xml:space="preserve">place restrictions on trade union rights, and cause or contribute to harmful human rights impacts through their operations, such as </w:t>
      </w:r>
      <w:r w:rsidR="00531D98" w:rsidRPr="00AB5BCB">
        <w:rPr>
          <w:rFonts w:ascii="Times New Roman" w:hAnsi="Times New Roman" w:cs="Times New Roman"/>
          <w:sz w:val="23"/>
          <w:szCs w:val="23"/>
        </w:rPr>
        <w:t>negative health impacts, displacement, or environmental contamination.</w:t>
      </w:r>
    </w:p>
    <w:p w14:paraId="264EFD36" w14:textId="77777777" w:rsidR="00531D98" w:rsidRPr="00AB5BCB" w:rsidRDefault="00531D98">
      <w:pPr>
        <w:jc w:val="both"/>
        <w:rPr>
          <w:rFonts w:ascii="Times New Roman" w:hAnsi="Times New Roman" w:cs="Times New Roman"/>
          <w:sz w:val="23"/>
          <w:szCs w:val="23"/>
        </w:rPr>
      </w:pPr>
    </w:p>
    <w:p w14:paraId="6B7E6444" w14:textId="7AB9D5B9" w:rsidR="003C4B38" w:rsidRPr="00AB5BCB" w:rsidRDefault="0041519D" w:rsidP="003A040E">
      <w:pPr>
        <w:jc w:val="both"/>
        <w:rPr>
          <w:rFonts w:ascii="Times New Roman" w:hAnsi="Times New Roman" w:cs="Times New Roman"/>
          <w:sz w:val="23"/>
          <w:szCs w:val="23"/>
        </w:rPr>
      </w:pPr>
      <w:r w:rsidRPr="00AB5BCB">
        <w:rPr>
          <w:rFonts w:ascii="Times New Roman" w:hAnsi="Times New Roman" w:cs="Times New Roman"/>
          <w:sz w:val="23"/>
          <w:szCs w:val="23"/>
        </w:rPr>
        <w:t>3.</w:t>
      </w:r>
      <w:r w:rsidR="00C21517" w:rsidRPr="00AB5BCB">
        <w:rPr>
          <w:rFonts w:ascii="Times New Roman" w:hAnsi="Times New Roman" w:cs="Times New Roman"/>
          <w:sz w:val="23"/>
          <w:szCs w:val="23"/>
        </w:rPr>
        <w:t xml:space="preserve"> </w:t>
      </w:r>
      <w:r w:rsidR="001F4232">
        <w:rPr>
          <w:rFonts w:ascii="Times New Roman" w:hAnsi="Times New Roman" w:cs="Times New Roman"/>
          <w:sz w:val="23"/>
          <w:szCs w:val="23"/>
        </w:rPr>
        <w:t>ICAR, ICCR, and DPLF</w:t>
      </w:r>
      <w:r w:rsidR="004659C4" w:rsidRPr="00AB5BCB">
        <w:rPr>
          <w:rFonts w:ascii="Times New Roman" w:hAnsi="Times New Roman" w:cs="Times New Roman"/>
          <w:sz w:val="23"/>
          <w:szCs w:val="23"/>
        </w:rPr>
        <w:t xml:space="preserve"> welcome</w:t>
      </w:r>
      <w:r w:rsidR="00C21517" w:rsidRPr="00AB5BCB">
        <w:rPr>
          <w:rFonts w:ascii="Times New Roman" w:hAnsi="Times New Roman" w:cs="Times New Roman"/>
          <w:sz w:val="23"/>
          <w:szCs w:val="23"/>
        </w:rPr>
        <w:t xml:space="preserve"> </w:t>
      </w:r>
      <w:r w:rsidR="001E4B15" w:rsidRPr="00AB5BCB">
        <w:rPr>
          <w:rFonts w:ascii="Times New Roman" w:hAnsi="Times New Roman" w:cs="Times New Roman"/>
          <w:sz w:val="23"/>
          <w:szCs w:val="23"/>
        </w:rPr>
        <w:t>the draft Comment</w:t>
      </w:r>
      <w:r w:rsidR="00C21517" w:rsidRPr="00AB5BCB">
        <w:rPr>
          <w:rFonts w:ascii="Times New Roman" w:hAnsi="Times New Roman" w:cs="Times New Roman"/>
          <w:sz w:val="23"/>
          <w:szCs w:val="23"/>
        </w:rPr>
        <w:t xml:space="preserve"> as it provides clarity to the existing duties of the State to protect human rights under the ICESCR as recognized by the UN Guiding Principles on Business and Human Rights</w:t>
      </w:r>
      <w:r w:rsidR="00C80D44" w:rsidRPr="00AB5BCB">
        <w:rPr>
          <w:rFonts w:ascii="Times New Roman" w:hAnsi="Times New Roman" w:cs="Times New Roman"/>
          <w:sz w:val="23"/>
          <w:szCs w:val="23"/>
        </w:rPr>
        <w:t xml:space="preserve"> (UNGPs)</w:t>
      </w:r>
      <w:r w:rsidR="00C21517" w:rsidRPr="00AB5BCB">
        <w:rPr>
          <w:rFonts w:ascii="Times New Roman" w:hAnsi="Times New Roman" w:cs="Times New Roman"/>
          <w:sz w:val="23"/>
          <w:szCs w:val="23"/>
        </w:rPr>
        <w:t>. The UN</w:t>
      </w:r>
      <w:r w:rsidR="00C80D44" w:rsidRPr="00AB5BCB">
        <w:rPr>
          <w:rFonts w:ascii="Times New Roman" w:hAnsi="Times New Roman" w:cs="Times New Roman"/>
          <w:sz w:val="23"/>
          <w:szCs w:val="23"/>
        </w:rPr>
        <w:t>GPs</w:t>
      </w:r>
      <w:r w:rsidR="00C21517" w:rsidRPr="00AB5BCB">
        <w:rPr>
          <w:rFonts w:ascii="Times New Roman" w:hAnsi="Times New Roman" w:cs="Times New Roman"/>
          <w:sz w:val="23"/>
          <w:szCs w:val="23"/>
        </w:rPr>
        <w:t xml:space="preserve"> were adopted by the UN Human Rights Council as a definitive restatement of “the implications of existing standards and practices for States and businesses; integrating them within a single, logically coherent and comprehensive template…”</w:t>
      </w:r>
      <w:r w:rsidR="00C21517" w:rsidRPr="00AB5BCB">
        <w:rPr>
          <w:rStyle w:val="FootnoteReference"/>
          <w:rFonts w:ascii="Times New Roman" w:hAnsi="Times New Roman" w:cs="Times New Roman"/>
          <w:sz w:val="23"/>
          <w:szCs w:val="23"/>
        </w:rPr>
        <w:footnoteReference w:id="1"/>
      </w:r>
      <w:r w:rsidR="00743DBF" w:rsidRPr="00AB5BCB">
        <w:rPr>
          <w:rFonts w:ascii="Times New Roman" w:hAnsi="Times New Roman" w:cs="Times New Roman"/>
          <w:sz w:val="23"/>
          <w:szCs w:val="23"/>
        </w:rPr>
        <w:t xml:space="preserve"> As a result, th</w:t>
      </w:r>
      <w:r w:rsidR="001E4B15" w:rsidRPr="00AB5BCB">
        <w:rPr>
          <w:rFonts w:ascii="Times New Roman" w:hAnsi="Times New Roman" w:cs="Times New Roman"/>
          <w:sz w:val="23"/>
          <w:szCs w:val="23"/>
        </w:rPr>
        <w:t>e</w:t>
      </w:r>
      <w:r w:rsidR="00743DBF" w:rsidRPr="00AB5BCB">
        <w:rPr>
          <w:rFonts w:ascii="Times New Roman" w:hAnsi="Times New Roman" w:cs="Times New Roman"/>
          <w:sz w:val="23"/>
          <w:szCs w:val="23"/>
        </w:rPr>
        <w:t xml:space="preserve"> </w:t>
      </w:r>
      <w:r w:rsidR="001E4B15" w:rsidRPr="00AB5BCB">
        <w:rPr>
          <w:rFonts w:ascii="Times New Roman" w:hAnsi="Times New Roman" w:cs="Times New Roman"/>
          <w:sz w:val="23"/>
          <w:szCs w:val="23"/>
        </w:rPr>
        <w:t xml:space="preserve">draft </w:t>
      </w:r>
      <w:r w:rsidR="00743DBF" w:rsidRPr="00AB5BCB">
        <w:rPr>
          <w:rFonts w:ascii="Times New Roman" w:hAnsi="Times New Roman" w:cs="Times New Roman"/>
          <w:sz w:val="23"/>
          <w:szCs w:val="23"/>
        </w:rPr>
        <w:t xml:space="preserve">Comment and its aim to  </w:t>
      </w:r>
      <w:r w:rsidR="00531D98" w:rsidRPr="00AB5BCB">
        <w:rPr>
          <w:rFonts w:ascii="Times New Roman" w:hAnsi="Times New Roman" w:cs="Times New Roman"/>
          <w:sz w:val="23"/>
          <w:szCs w:val="23"/>
        </w:rPr>
        <w:t xml:space="preserve">“clarif[y] the duties of the State under the ICESCR to ensure that the activities of businesses contribute to and do not impede the realization of economic, social, and cultural rights,” </w:t>
      </w:r>
      <w:r w:rsidR="002B1811" w:rsidRPr="00AB5BCB">
        <w:rPr>
          <w:rFonts w:ascii="Times New Roman" w:hAnsi="Times New Roman" w:cs="Times New Roman"/>
          <w:sz w:val="23"/>
          <w:szCs w:val="23"/>
        </w:rPr>
        <w:t>does not</w:t>
      </w:r>
      <w:r w:rsidR="00260EB5" w:rsidRPr="00AB5BCB">
        <w:rPr>
          <w:rFonts w:ascii="Times New Roman" w:hAnsi="Times New Roman" w:cs="Times New Roman"/>
          <w:sz w:val="23"/>
          <w:szCs w:val="23"/>
        </w:rPr>
        <w:t xml:space="preserve"> </w:t>
      </w:r>
      <w:r w:rsidR="002B1811" w:rsidRPr="00AB5BCB">
        <w:rPr>
          <w:rFonts w:ascii="Times New Roman" w:hAnsi="Times New Roman" w:cs="Times New Roman"/>
          <w:sz w:val="23"/>
          <w:szCs w:val="23"/>
        </w:rPr>
        <w:t>undermine, but rather</w:t>
      </w:r>
      <w:r w:rsidR="00260EB5" w:rsidRPr="00AB5BCB">
        <w:rPr>
          <w:rFonts w:ascii="Times New Roman" w:hAnsi="Times New Roman" w:cs="Times New Roman"/>
          <w:sz w:val="23"/>
          <w:szCs w:val="23"/>
        </w:rPr>
        <w:t xml:space="preserve"> strengthen</w:t>
      </w:r>
      <w:r w:rsidR="002B1811" w:rsidRPr="00AB5BCB">
        <w:rPr>
          <w:rFonts w:ascii="Times New Roman" w:hAnsi="Times New Roman" w:cs="Times New Roman"/>
          <w:sz w:val="23"/>
          <w:szCs w:val="23"/>
        </w:rPr>
        <w:t>s</w:t>
      </w:r>
      <w:r w:rsidR="00260EB5" w:rsidRPr="00AB5BCB">
        <w:rPr>
          <w:rFonts w:ascii="Times New Roman" w:hAnsi="Times New Roman" w:cs="Times New Roman"/>
          <w:sz w:val="23"/>
          <w:szCs w:val="23"/>
        </w:rPr>
        <w:t xml:space="preserve">, the UNGPs. </w:t>
      </w:r>
    </w:p>
    <w:p w14:paraId="0EC2DB6B" w14:textId="77777777" w:rsidR="002B1811" w:rsidRPr="00AB5BCB" w:rsidRDefault="002B1811" w:rsidP="003A040E">
      <w:pPr>
        <w:jc w:val="both"/>
        <w:rPr>
          <w:rFonts w:ascii="Times New Roman" w:hAnsi="Times New Roman" w:cs="Times New Roman"/>
          <w:sz w:val="23"/>
          <w:szCs w:val="23"/>
        </w:rPr>
      </w:pPr>
    </w:p>
    <w:p w14:paraId="1FD06DF2" w14:textId="00B7E6C2" w:rsidR="00085945" w:rsidRDefault="009779F5" w:rsidP="003A040E">
      <w:pPr>
        <w:jc w:val="both"/>
        <w:rPr>
          <w:rFonts w:ascii="Times New Roman" w:hAnsi="Times New Roman" w:cs="Times New Roman"/>
          <w:b/>
          <w:sz w:val="23"/>
          <w:szCs w:val="23"/>
        </w:rPr>
      </w:pPr>
      <w:r w:rsidRPr="00AB5BCB">
        <w:rPr>
          <w:rFonts w:ascii="Times New Roman" w:hAnsi="Times New Roman" w:cs="Times New Roman"/>
          <w:b/>
          <w:sz w:val="23"/>
          <w:szCs w:val="23"/>
        </w:rPr>
        <w:t>States</w:t>
      </w:r>
      <w:r w:rsidR="0035475F" w:rsidRPr="00AB5BCB">
        <w:rPr>
          <w:rFonts w:ascii="Times New Roman" w:hAnsi="Times New Roman" w:cs="Times New Roman"/>
          <w:b/>
          <w:sz w:val="23"/>
          <w:szCs w:val="23"/>
        </w:rPr>
        <w:t>’</w:t>
      </w:r>
      <w:r w:rsidRPr="00AB5BCB">
        <w:rPr>
          <w:rFonts w:ascii="Times New Roman" w:hAnsi="Times New Roman" w:cs="Times New Roman"/>
          <w:b/>
          <w:sz w:val="23"/>
          <w:szCs w:val="23"/>
        </w:rPr>
        <w:t xml:space="preserve"> Obligation</w:t>
      </w:r>
      <w:r w:rsidR="003C4B38" w:rsidRPr="00AB5BCB">
        <w:rPr>
          <w:rFonts w:ascii="Times New Roman" w:hAnsi="Times New Roman" w:cs="Times New Roman"/>
          <w:b/>
          <w:sz w:val="23"/>
          <w:szCs w:val="23"/>
        </w:rPr>
        <w:t>s</w:t>
      </w:r>
      <w:r w:rsidR="0035475F" w:rsidRPr="00AB5BCB">
        <w:rPr>
          <w:rFonts w:ascii="Times New Roman" w:hAnsi="Times New Roman" w:cs="Times New Roman"/>
          <w:b/>
          <w:sz w:val="23"/>
          <w:szCs w:val="23"/>
        </w:rPr>
        <w:t xml:space="preserve"> to Respect and Protect</w:t>
      </w:r>
      <w:r w:rsidR="001108A9" w:rsidRPr="00AB5BCB">
        <w:rPr>
          <w:rFonts w:ascii="Times New Roman" w:hAnsi="Times New Roman" w:cs="Times New Roman"/>
          <w:b/>
          <w:sz w:val="23"/>
          <w:szCs w:val="23"/>
        </w:rPr>
        <w:t xml:space="preserve"> Economic, Social</w:t>
      </w:r>
      <w:r w:rsidR="001E4B15" w:rsidRPr="00AB5BCB">
        <w:rPr>
          <w:rFonts w:ascii="Times New Roman" w:hAnsi="Times New Roman" w:cs="Times New Roman"/>
          <w:b/>
          <w:sz w:val="23"/>
          <w:szCs w:val="23"/>
        </w:rPr>
        <w:t>,</w:t>
      </w:r>
      <w:r w:rsidR="001108A9" w:rsidRPr="00AB5BCB">
        <w:rPr>
          <w:rFonts w:ascii="Times New Roman" w:hAnsi="Times New Roman" w:cs="Times New Roman"/>
          <w:b/>
          <w:sz w:val="23"/>
          <w:szCs w:val="23"/>
        </w:rPr>
        <w:t xml:space="preserve"> and Cultural Rights</w:t>
      </w:r>
    </w:p>
    <w:p w14:paraId="2A1C5E4B" w14:textId="77777777" w:rsidR="00085945" w:rsidRPr="00085945" w:rsidRDefault="00085945" w:rsidP="003A040E">
      <w:pPr>
        <w:jc w:val="both"/>
        <w:rPr>
          <w:rFonts w:ascii="Times New Roman" w:hAnsi="Times New Roman" w:cs="Times New Roman"/>
          <w:b/>
          <w:sz w:val="16"/>
          <w:szCs w:val="16"/>
        </w:rPr>
      </w:pPr>
    </w:p>
    <w:p w14:paraId="4C952879" w14:textId="22015595" w:rsidR="0058383D" w:rsidRPr="00AB5BCB" w:rsidRDefault="00CC65D8" w:rsidP="003A040E">
      <w:pPr>
        <w:jc w:val="both"/>
        <w:rPr>
          <w:rFonts w:ascii="Times New Roman" w:hAnsi="Times New Roman" w:cs="Times New Roman"/>
          <w:sz w:val="23"/>
          <w:szCs w:val="23"/>
        </w:rPr>
      </w:pPr>
      <w:r w:rsidRPr="00AB5BCB">
        <w:rPr>
          <w:rFonts w:ascii="Times New Roman" w:hAnsi="Times New Roman" w:cs="Times New Roman"/>
          <w:sz w:val="23"/>
          <w:szCs w:val="23"/>
        </w:rPr>
        <w:t>4</w:t>
      </w:r>
      <w:r w:rsidR="0058383D" w:rsidRPr="00AB5BCB">
        <w:rPr>
          <w:rFonts w:ascii="Times New Roman" w:hAnsi="Times New Roman" w:cs="Times New Roman"/>
          <w:sz w:val="23"/>
          <w:szCs w:val="23"/>
        </w:rPr>
        <w:t xml:space="preserve">. </w:t>
      </w:r>
      <w:r w:rsidR="001E4B15" w:rsidRPr="00AB5BCB">
        <w:rPr>
          <w:rFonts w:ascii="Times New Roman" w:hAnsi="Times New Roman" w:cs="Times New Roman"/>
          <w:sz w:val="23"/>
          <w:szCs w:val="23"/>
        </w:rPr>
        <w:t>The draft Comment</w:t>
      </w:r>
      <w:r w:rsidR="0058383D" w:rsidRPr="00AB5BCB">
        <w:rPr>
          <w:rFonts w:ascii="Times New Roman" w:hAnsi="Times New Roman" w:cs="Times New Roman"/>
          <w:sz w:val="23"/>
          <w:szCs w:val="23"/>
        </w:rPr>
        <w:t xml:space="preserve"> should make explicit that the scope and application of the ICESCR is not limited by territory or jurisdiction, unlike other human rights treaties.</w:t>
      </w:r>
      <w:r w:rsidR="0058383D" w:rsidRPr="00AB5BCB">
        <w:rPr>
          <w:rStyle w:val="FootnoteReference"/>
          <w:rFonts w:ascii="Times New Roman" w:hAnsi="Times New Roman" w:cs="Times New Roman"/>
          <w:sz w:val="23"/>
          <w:szCs w:val="23"/>
        </w:rPr>
        <w:footnoteReference w:id="2"/>
      </w:r>
      <w:r w:rsidR="0058383D" w:rsidRPr="00AB5BCB">
        <w:rPr>
          <w:rFonts w:ascii="Times New Roman" w:hAnsi="Times New Roman" w:cs="Times New Roman"/>
          <w:sz w:val="23"/>
          <w:szCs w:val="23"/>
        </w:rPr>
        <w:t xml:space="preserve"> This should be clarified </w:t>
      </w:r>
      <w:r w:rsidR="00C80D44" w:rsidRPr="00AB5BCB">
        <w:rPr>
          <w:rFonts w:ascii="Times New Roman" w:hAnsi="Times New Roman" w:cs="Times New Roman"/>
          <w:sz w:val="23"/>
          <w:szCs w:val="23"/>
        </w:rPr>
        <w:t>in paragraph</w:t>
      </w:r>
      <w:r w:rsidR="00B6076C" w:rsidRPr="00AB5BCB">
        <w:rPr>
          <w:rFonts w:ascii="Times New Roman" w:hAnsi="Times New Roman" w:cs="Times New Roman"/>
          <w:sz w:val="23"/>
          <w:szCs w:val="23"/>
        </w:rPr>
        <w:t xml:space="preserve"> </w:t>
      </w:r>
      <w:r w:rsidR="0058383D" w:rsidRPr="00AB5BCB">
        <w:rPr>
          <w:rFonts w:ascii="Times New Roman" w:hAnsi="Times New Roman" w:cs="Times New Roman"/>
          <w:sz w:val="23"/>
          <w:szCs w:val="23"/>
        </w:rPr>
        <w:t xml:space="preserve">7, which currently </w:t>
      </w:r>
      <w:r w:rsidR="001108A9" w:rsidRPr="00AB5BCB">
        <w:rPr>
          <w:rFonts w:ascii="Times New Roman" w:hAnsi="Times New Roman" w:cs="Times New Roman"/>
          <w:sz w:val="23"/>
          <w:szCs w:val="23"/>
        </w:rPr>
        <w:t>does not sufficiently outline</w:t>
      </w:r>
      <w:r w:rsidR="0058383D" w:rsidRPr="00AB5BCB">
        <w:rPr>
          <w:rFonts w:ascii="Times New Roman" w:hAnsi="Times New Roman" w:cs="Times New Roman"/>
          <w:sz w:val="23"/>
          <w:szCs w:val="23"/>
        </w:rPr>
        <w:t xml:space="preserve"> the scope of the ICESCR. </w:t>
      </w:r>
    </w:p>
    <w:p w14:paraId="6085C6F5" w14:textId="77777777" w:rsidR="0058383D" w:rsidRPr="00AB5BCB" w:rsidRDefault="0058383D" w:rsidP="003A040E">
      <w:pPr>
        <w:jc w:val="both"/>
        <w:rPr>
          <w:rFonts w:ascii="Times New Roman" w:hAnsi="Times New Roman" w:cs="Times New Roman"/>
          <w:sz w:val="23"/>
          <w:szCs w:val="23"/>
        </w:rPr>
      </w:pPr>
    </w:p>
    <w:p w14:paraId="6D753A49" w14:textId="45E49A31" w:rsidR="0058383D" w:rsidRPr="00AB5BCB" w:rsidRDefault="0041519D">
      <w:pPr>
        <w:jc w:val="both"/>
        <w:rPr>
          <w:rFonts w:ascii="Times New Roman" w:hAnsi="Times New Roman" w:cs="Times New Roman"/>
          <w:sz w:val="23"/>
          <w:szCs w:val="23"/>
        </w:rPr>
      </w:pPr>
      <w:r w:rsidRPr="00AB5BCB">
        <w:rPr>
          <w:rFonts w:ascii="Times New Roman" w:hAnsi="Times New Roman" w:cs="Times New Roman"/>
          <w:sz w:val="23"/>
          <w:szCs w:val="23"/>
        </w:rPr>
        <w:t xml:space="preserve">5. </w:t>
      </w:r>
      <w:r w:rsidR="001F4232">
        <w:rPr>
          <w:rFonts w:ascii="Times New Roman" w:hAnsi="Times New Roman" w:cs="Times New Roman"/>
          <w:sz w:val="23"/>
          <w:szCs w:val="23"/>
        </w:rPr>
        <w:t>ICAR, ICCR, and DPLF</w:t>
      </w:r>
      <w:r w:rsidR="004659C4" w:rsidRPr="00AB5BCB">
        <w:rPr>
          <w:rFonts w:ascii="Times New Roman" w:hAnsi="Times New Roman" w:cs="Times New Roman"/>
          <w:sz w:val="23"/>
          <w:szCs w:val="23"/>
        </w:rPr>
        <w:t xml:space="preserve"> welcome</w:t>
      </w:r>
      <w:r w:rsidR="0058383D" w:rsidRPr="00AB5BCB">
        <w:rPr>
          <w:rFonts w:ascii="Times New Roman" w:hAnsi="Times New Roman" w:cs="Times New Roman"/>
          <w:sz w:val="23"/>
          <w:szCs w:val="23"/>
        </w:rPr>
        <w:t xml:space="preserve"> the draft</w:t>
      </w:r>
      <w:r w:rsidR="00CB1B50" w:rsidRPr="00AB5BCB">
        <w:rPr>
          <w:rFonts w:ascii="Times New Roman" w:hAnsi="Times New Roman" w:cs="Times New Roman"/>
          <w:sz w:val="23"/>
          <w:szCs w:val="23"/>
        </w:rPr>
        <w:t xml:space="preserve"> Comment</w:t>
      </w:r>
      <w:r w:rsidR="0058383D" w:rsidRPr="00AB5BCB">
        <w:rPr>
          <w:rFonts w:ascii="Times New Roman" w:hAnsi="Times New Roman" w:cs="Times New Roman"/>
          <w:sz w:val="23"/>
          <w:szCs w:val="23"/>
        </w:rPr>
        <w:t>’s recognition of States’ positive duty to mandate that business entities exercise human rights due diligence. However, this recognition</w:t>
      </w:r>
      <w:r w:rsidR="00586E12" w:rsidRPr="00AB5BCB">
        <w:rPr>
          <w:rFonts w:ascii="Times New Roman" w:hAnsi="Times New Roman" w:cs="Times New Roman"/>
          <w:sz w:val="23"/>
          <w:szCs w:val="23"/>
        </w:rPr>
        <w:t xml:space="preserve"> </w:t>
      </w:r>
      <w:r w:rsidR="00362800" w:rsidRPr="00AB5BCB">
        <w:rPr>
          <w:rFonts w:ascii="Times New Roman" w:hAnsi="Times New Roman" w:cs="Times New Roman"/>
          <w:sz w:val="23"/>
          <w:szCs w:val="23"/>
        </w:rPr>
        <w:t xml:space="preserve">made </w:t>
      </w:r>
      <w:r w:rsidR="00586E12" w:rsidRPr="00AB5BCB">
        <w:rPr>
          <w:rFonts w:ascii="Times New Roman" w:hAnsi="Times New Roman" w:cs="Times New Roman"/>
          <w:sz w:val="23"/>
          <w:szCs w:val="23"/>
        </w:rPr>
        <w:t xml:space="preserve">in </w:t>
      </w:r>
      <w:r w:rsidR="00B6076C" w:rsidRPr="00AB5BCB">
        <w:rPr>
          <w:rFonts w:ascii="Times New Roman" w:hAnsi="Times New Roman" w:cs="Times New Roman"/>
          <w:sz w:val="23"/>
          <w:szCs w:val="23"/>
        </w:rPr>
        <w:t xml:space="preserve">paragraph </w:t>
      </w:r>
      <w:r w:rsidR="00586E12" w:rsidRPr="00AB5BCB">
        <w:rPr>
          <w:rFonts w:ascii="Times New Roman" w:hAnsi="Times New Roman" w:cs="Times New Roman"/>
          <w:sz w:val="23"/>
          <w:szCs w:val="23"/>
        </w:rPr>
        <w:t xml:space="preserve">18 </w:t>
      </w:r>
      <w:r w:rsidR="0058383D" w:rsidRPr="00AB5BCB">
        <w:rPr>
          <w:rFonts w:ascii="Times New Roman" w:hAnsi="Times New Roman" w:cs="Times New Roman"/>
          <w:sz w:val="23"/>
          <w:szCs w:val="23"/>
        </w:rPr>
        <w:t>should be strengthened</w:t>
      </w:r>
      <w:r w:rsidR="004B7C0B" w:rsidRPr="00AB5BCB">
        <w:rPr>
          <w:rFonts w:ascii="Times New Roman" w:hAnsi="Times New Roman" w:cs="Times New Roman"/>
          <w:sz w:val="23"/>
          <w:szCs w:val="23"/>
        </w:rPr>
        <w:t>,</w:t>
      </w:r>
      <w:r w:rsidR="0058383D" w:rsidRPr="00AB5BCB">
        <w:rPr>
          <w:rFonts w:ascii="Times New Roman" w:hAnsi="Times New Roman" w:cs="Times New Roman"/>
          <w:sz w:val="23"/>
          <w:szCs w:val="23"/>
        </w:rPr>
        <w:t xml:space="preserve"> </w:t>
      </w:r>
      <w:r w:rsidR="0099738F" w:rsidRPr="00AB5BCB">
        <w:rPr>
          <w:rFonts w:ascii="Times New Roman" w:hAnsi="Times New Roman" w:cs="Times New Roman"/>
          <w:sz w:val="23"/>
          <w:szCs w:val="23"/>
        </w:rPr>
        <w:t xml:space="preserve">clarifying what is meant and required by due diligence. </w:t>
      </w:r>
      <w:r w:rsidR="0037298F" w:rsidRPr="00AB5BCB">
        <w:rPr>
          <w:rFonts w:ascii="Times New Roman" w:hAnsi="Times New Roman" w:cs="Times New Roman"/>
          <w:sz w:val="23"/>
          <w:szCs w:val="23"/>
        </w:rPr>
        <w:t>Specifically, it should highlight that h</w:t>
      </w:r>
      <w:r w:rsidR="0099738F" w:rsidRPr="00AB5BCB">
        <w:rPr>
          <w:rFonts w:ascii="Times New Roman" w:hAnsi="Times New Roman" w:cs="Times New Roman"/>
          <w:sz w:val="23"/>
          <w:szCs w:val="23"/>
        </w:rPr>
        <w:t xml:space="preserve">uman rights due diligence should be outcome-oriented; it should result in the identification of potential human rights risks and impacts, and aim to prevent such abuses. If such abuses or impacts are unavoidable, it should seek to mitigate and remediate harm. </w:t>
      </w:r>
    </w:p>
    <w:p w14:paraId="22462FEA" w14:textId="77777777" w:rsidR="00C203F1" w:rsidRPr="00AB5BCB" w:rsidRDefault="00C203F1">
      <w:pPr>
        <w:jc w:val="both"/>
        <w:rPr>
          <w:rFonts w:ascii="Times New Roman" w:hAnsi="Times New Roman" w:cs="Times New Roman"/>
          <w:sz w:val="23"/>
          <w:szCs w:val="23"/>
        </w:rPr>
      </w:pPr>
    </w:p>
    <w:p w14:paraId="79A8F693" w14:textId="0CA67E2F" w:rsidR="00C203F1" w:rsidRPr="00AB5BCB" w:rsidRDefault="00CC65D8">
      <w:pPr>
        <w:jc w:val="both"/>
        <w:rPr>
          <w:rFonts w:ascii="Times New Roman" w:hAnsi="Times New Roman" w:cs="Times New Roman"/>
          <w:sz w:val="23"/>
          <w:szCs w:val="23"/>
        </w:rPr>
      </w:pPr>
      <w:r w:rsidRPr="00AB5BCB">
        <w:rPr>
          <w:rFonts w:ascii="Times New Roman" w:hAnsi="Times New Roman" w:cs="Times New Roman"/>
          <w:sz w:val="23"/>
          <w:szCs w:val="23"/>
        </w:rPr>
        <w:t xml:space="preserve">6. </w:t>
      </w:r>
      <w:r w:rsidR="00C203F1" w:rsidRPr="00AB5BCB">
        <w:rPr>
          <w:rFonts w:ascii="Times New Roman" w:hAnsi="Times New Roman" w:cs="Times New Roman"/>
          <w:sz w:val="23"/>
          <w:szCs w:val="23"/>
        </w:rPr>
        <w:t>Transparency and mandatory non-financial human rights reporting is an integral part of monitoring the impacts of business activities on the enjoyment of ESC rights</w:t>
      </w:r>
      <w:r w:rsidR="00586E12" w:rsidRPr="00AB5BCB">
        <w:rPr>
          <w:rFonts w:ascii="Times New Roman" w:hAnsi="Times New Roman" w:cs="Times New Roman"/>
          <w:sz w:val="23"/>
          <w:szCs w:val="23"/>
        </w:rPr>
        <w:t>, as it allows not only States, but also investors and interested stakeholder to monitor these impacts</w:t>
      </w:r>
      <w:r w:rsidR="00C203F1" w:rsidRPr="00AB5BCB">
        <w:rPr>
          <w:rFonts w:ascii="Times New Roman" w:hAnsi="Times New Roman" w:cs="Times New Roman"/>
          <w:sz w:val="23"/>
          <w:szCs w:val="23"/>
        </w:rPr>
        <w:t xml:space="preserve">. As such, </w:t>
      </w:r>
      <w:r w:rsidR="00B6076C" w:rsidRPr="00AB5BCB">
        <w:rPr>
          <w:rFonts w:ascii="Times New Roman" w:hAnsi="Times New Roman" w:cs="Times New Roman"/>
          <w:sz w:val="23"/>
          <w:szCs w:val="23"/>
        </w:rPr>
        <w:t xml:space="preserve">paragraph </w:t>
      </w:r>
      <w:r w:rsidR="00C203F1" w:rsidRPr="00AB5BCB">
        <w:rPr>
          <w:rFonts w:ascii="Times New Roman" w:hAnsi="Times New Roman" w:cs="Times New Roman"/>
          <w:sz w:val="23"/>
          <w:szCs w:val="23"/>
        </w:rPr>
        <w:t xml:space="preserve">18 of the draft Comment should </w:t>
      </w:r>
      <w:r w:rsidR="00362800" w:rsidRPr="00AB5BCB">
        <w:rPr>
          <w:rFonts w:ascii="Times New Roman" w:hAnsi="Times New Roman" w:cs="Times New Roman"/>
          <w:sz w:val="23"/>
          <w:szCs w:val="23"/>
        </w:rPr>
        <w:t xml:space="preserve">also </w:t>
      </w:r>
      <w:r w:rsidR="00C203F1" w:rsidRPr="00AB5BCB">
        <w:rPr>
          <w:rFonts w:ascii="Times New Roman" w:hAnsi="Times New Roman" w:cs="Times New Roman"/>
          <w:sz w:val="23"/>
          <w:szCs w:val="23"/>
        </w:rPr>
        <w:t>clarify</w:t>
      </w:r>
      <w:r w:rsidR="00586E12" w:rsidRPr="00AB5BCB">
        <w:rPr>
          <w:rFonts w:ascii="Times New Roman" w:hAnsi="Times New Roman" w:cs="Times New Roman"/>
          <w:sz w:val="23"/>
          <w:szCs w:val="23"/>
        </w:rPr>
        <w:t xml:space="preserve"> the Committee’s expectations in relation to transparency and reporting requirements. </w:t>
      </w:r>
    </w:p>
    <w:p w14:paraId="492A35B1" w14:textId="77777777" w:rsidR="00043D5B" w:rsidRPr="00AB5BCB" w:rsidRDefault="00043D5B">
      <w:pPr>
        <w:jc w:val="both"/>
        <w:rPr>
          <w:rFonts w:ascii="Times New Roman" w:hAnsi="Times New Roman" w:cs="Times New Roman"/>
          <w:sz w:val="23"/>
          <w:szCs w:val="23"/>
        </w:rPr>
      </w:pPr>
    </w:p>
    <w:p w14:paraId="08A98A93" w14:textId="1BB77B33" w:rsidR="009F2943" w:rsidRPr="00AB5BCB" w:rsidRDefault="00CC65D8">
      <w:pPr>
        <w:spacing w:after="120"/>
        <w:jc w:val="both"/>
        <w:rPr>
          <w:rFonts w:ascii="Times New Roman" w:hAnsi="Times New Roman" w:cs="Times New Roman"/>
          <w:sz w:val="23"/>
          <w:szCs w:val="23"/>
        </w:rPr>
      </w:pPr>
      <w:r w:rsidRPr="00AB5BCB">
        <w:rPr>
          <w:rFonts w:ascii="Times New Roman" w:hAnsi="Times New Roman" w:cs="Times New Roman"/>
          <w:sz w:val="23"/>
          <w:szCs w:val="23"/>
        </w:rPr>
        <w:t>7</w:t>
      </w:r>
      <w:r w:rsidR="0041519D" w:rsidRPr="00AB5BCB">
        <w:rPr>
          <w:rFonts w:ascii="Times New Roman" w:hAnsi="Times New Roman" w:cs="Times New Roman"/>
          <w:sz w:val="23"/>
          <w:szCs w:val="23"/>
        </w:rPr>
        <w:t xml:space="preserve">. </w:t>
      </w:r>
      <w:r w:rsidR="00954543" w:rsidRPr="00AB5BCB">
        <w:rPr>
          <w:rFonts w:ascii="Times New Roman" w:hAnsi="Times New Roman" w:cs="Times New Roman"/>
          <w:sz w:val="23"/>
          <w:szCs w:val="23"/>
        </w:rPr>
        <w:t xml:space="preserve">In discussing </w:t>
      </w:r>
      <w:r w:rsidR="00925E89" w:rsidRPr="00AB5BCB">
        <w:rPr>
          <w:rFonts w:ascii="Times New Roman" w:hAnsi="Times New Roman" w:cs="Times New Roman"/>
          <w:sz w:val="23"/>
          <w:szCs w:val="23"/>
        </w:rPr>
        <w:t>t</w:t>
      </w:r>
      <w:r w:rsidR="001F4232">
        <w:rPr>
          <w:rFonts w:ascii="Times New Roman" w:hAnsi="Times New Roman" w:cs="Times New Roman"/>
          <w:sz w:val="23"/>
          <w:szCs w:val="23"/>
        </w:rPr>
        <w:t>he State obligation to protect, ICAR, ICCR, and DPLF</w:t>
      </w:r>
      <w:r w:rsidR="004659C4" w:rsidRPr="00AB5BCB">
        <w:rPr>
          <w:rFonts w:ascii="Times New Roman" w:hAnsi="Times New Roman" w:cs="Times New Roman"/>
          <w:sz w:val="23"/>
          <w:szCs w:val="23"/>
        </w:rPr>
        <w:t xml:space="preserve"> recommend</w:t>
      </w:r>
      <w:r w:rsidR="00057A45" w:rsidRPr="00AB5BCB">
        <w:rPr>
          <w:rFonts w:ascii="Times New Roman" w:hAnsi="Times New Roman" w:cs="Times New Roman"/>
          <w:sz w:val="23"/>
          <w:szCs w:val="23"/>
        </w:rPr>
        <w:t xml:space="preserve"> that the </w:t>
      </w:r>
      <w:r w:rsidR="00362800" w:rsidRPr="00AB5BCB">
        <w:rPr>
          <w:rFonts w:ascii="Times New Roman" w:hAnsi="Times New Roman" w:cs="Times New Roman"/>
          <w:sz w:val="23"/>
          <w:szCs w:val="23"/>
        </w:rPr>
        <w:t xml:space="preserve">draft </w:t>
      </w:r>
      <w:r w:rsidR="006602EC" w:rsidRPr="00AB5BCB">
        <w:rPr>
          <w:rFonts w:ascii="Times New Roman" w:hAnsi="Times New Roman" w:cs="Times New Roman"/>
          <w:sz w:val="23"/>
          <w:szCs w:val="23"/>
        </w:rPr>
        <w:t xml:space="preserve">Comment </w:t>
      </w:r>
      <w:r w:rsidR="00C62BE1" w:rsidRPr="00AB5BCB">
        <w:rPr>
          <w:rFonts w:ascii="Times New Roman" w:hAnsi="Times New Roman" w:cs="Times New Roman"/>
          <w:sz w:val="23"/>
          <w:szCs w:val="23"/>
        </w:rPr>
        <w:t>reflect the importance of the right to a living wage</w:t>
      </w:r>
      <w:r w:rsidR="00DE6F02" w:rsidRPr="00AB5BCB">
        <w:rPr>
          <w:rFonts w:ascii="Times New Roman" w:hAnsi="Times New Roman" w:cs="Times New Roman"/>
          <w:sz w:val="23"/>
          <w:szCs w:val="23"/>
        </w:rPr>
        <w:t xml:space="preserve"> and its </w:t>
      </w:r>
      <w:r w:rsidR="00057A45" w:rsidRPr="00AB5BCB">
        <w:rPr>
          <w:rFonts w:ascii="Times New Roman" w:hAnsi="Times New Roman" w:cs="Times New Roman"/>
          <w:sz w:val="23"/>
          <w:szCs w:val="23"/>
        </w:rPr>
        <w:t xml:space="preserve">centrality to the realization of </w:t>
      </w:r>
      <w:r w:rsidR="00F51DC6" w:rsidRPr="00AB5BCB">
        <w:rPr>
          <w:rFonts w:ascii="Times New Roman" w:hAnsi="Times New Roman" w:cs="Times New Roman"/>
          <w:sz w:val="23"/>
          <w:szCs w:val="23"/>
        </w:rPr>
        <w:t>all ESC</w:t>
      </w:r>
      <w:r w:rsidR="00057A45" w:rsidRPr="00AB5BCB">
        <w:rPr>
          <w:rFonts w:ascii="Times New Roman" w:hAnsi="Times New Roman" w:cs="Times New Roman"/>
          <w:sz w:val="23"/>
          <w:szCs w:val="23"/>
        </w:rPr>
        <w:t xml:space="preserve"> rights</w:t>
      </w:r>
      <w:r w:rsidR="00C62BE1" w:rsidRPr="00AB5BCB">
        <w:rPr>
          <w:rFonts w:ascii="Times New Roman" w:hAnsi="Times New Roman" w:cs="Times New Roman"/>
          <w:sz w:val="23"/>
          <w:szCs w:val="23"/>
        </w:rPr>
        <w:t>.</w:t>
      </w:r>
      <w:r w:rsidR="00E72243" w:rsidRPr="00AB5BCB">
        <w:rPr>
          <w:rStyle w:val="FootnoteReference"/>
          <w:rFonts w:ascii="Times New Roman" w:hAnsi="Times New Roman" w:cs="Times New Roman"/>
          <w:sz w:val="23"/>
          <w:szCs w:val="23"/>
        </w:rPr>
        <w:footnoteReference w:id="3"/>
      </w:r>
      <w:r w:rsidR="007F3961" w:rsidRPr="00AB5BCB">
        <w:rPr>
          <w:rFonts w:ascii="Times New Roman" w:hAnsi="Times New Roman" w:cs="Times New Roman"/>
          <w:sz w:val="23"/>
          <w:szCs w:val="23"/>
        </w:rPr>
        <w:t xml:space="preserve"> </w:t>
      </w:r>
      <w:r w:rsidR="00DE6F02" w:rsidRPr="00AB5BCB">
        <w:rPr>
          <w:rFonts w:ascii="Times New Roman" w:hAnsi="Times New Roman" w:cs="Times New Roman"/>
          <w:sz w:val="23"/>
          <w:szCs w:val="23"/>
        </w:rPr>
        <w:t xml:space="preserve"> W</w:t>
      </w:r>
      <w:r w:rsidR="007F3961" w:rsidRPr="00AB5BCB">
        <w:rPr>
          <w:rFonts w:ascii="Times New Roman" w:hAnsi="Times New Roman" w:cs="Times New Roman"/>
          <w:sz w:val="23"/>
          <w:szCs w:val="23"/>
        </w:rPr>
        <w:t>hen workers do not earn a living wage, they may be unable to feed, house, and educate themselves and their families, unable to access healthcare, and unable to participate in social and cultural life.</w:t>
      </w:r>
      <w:r w:rsidR="007F3961" w:rsidRPr="00AB5BCB">
        <w:rPr>
          <w:rStyle w:val="FootnoteReference"/>
          <w:rFonts w:ascii="Times New Roman" w:hAnsi="Times New Roman" w:cs="Times New Roman"/>
          <w:sz w:val="23"/>
          <w:szCs w:val="23"/>
        </w:rPr>
        <w:footnoteReference w:id="4"/>
      </w:r>
      <w:r w:rsidR="007F3961" w:rsidRPr="00AB5BCB">
        <w:rPr>
          <w:rFonts w:ascii="Times New Roman" w:hAnsi="Times New Roman" w:cs="Times New Roman"/>
          <w:sz w:val="23"/>
          <w:szCs w:val="23"/>
        </w:rPr>
        <w:t xml:space="preserve"> Additionally, when wages are not high enough to meet even basic needs (let alone allow for discretionary spending), workers may be forced to work excessive hours, which can lead to physical and mental health problems. </w:t>
      </w:r>
      <w:r w:rsidR="00C62BE1" w:rsidRPr="00AB5BCB">
        <w:rPr>
          <w:rFonts w:ascii="Times New Roman" w:hAnsi="Times New Roman" w:cs="Times New Roman"/>
          <w:sz w:val="23"/>
          <w:szCs w:val="23"/>
        </w:rPr>
        <w:t>Par</w:t>
      </w:r>
      <w:r w:rsidRPr="00AB5BCB">
        <w:rPr>
          <w:rFonts w:ascii="Times New Roman" w:hAnsi="Times New Roman" w:cs="Times New Roman"/>
          <w:sz w:val="23"/>
          <w:szCs w:val="23"/>
        </w:rPr>
        <w:t xml:space="preserve">agraph </w:t>
      </w:r>
      <w:r w:rsidR="00C62BE1" w:rsidRPr="00AB5BCB">
        <w:rPr>
          <w:rFonts w:ascii="Times New Roman" w:hAnsi="Times New Roman" w:cs="Times New Roman"/>
          <w:sz w:val="23"/>
          <w:szCs w:val="23"/>
        </w:rPr>
        <w:t xml:space="preserve">19 </w:t>
      </w:r>
      <w:r w:rsidR="006602EC" w:rsidRPr="00AB5BCB">
        <w:rPr>
          <w:rFonts w:ascii="Times New Roman" w:hAnsi="Times New Roman" w:cs="Times New Roman"/>
          <w:sz w:val="23"/>
          <w:szCs w:val="23"/>
        </w:rPr>
        <w:t>states</w:t>
      </w:r>
      <w:r w:rsidR="007F3961" w:rsidRPr="00AB5BCB">
        <w:rPr>
          <w:rFonts w:ascii="Times New Roman" w:hAnsi="Times New Roman" w:cs="Times New Roman"/>
          <w:sz w:val="23"/>
          <w:szCs w:val="23"/>
        </w:rPr>
        <w:t xml:space="preserve"> that</w:t>
      </w:r>
      <w:r w:rsidR="006602EC" w:rsidRPr="00AB5BCB">
        <w:rPr>
          <w:rFonts w:ascii="Times New Roman" w:hAnsi="Times New Roman" w:cs="Times New Roman"/>
          <w:sz w:val="23"/>
          <w:szCs w:val="23"/>
        </w:rPr>
        <w:t xml:space="preserve"> the obligation to protect entails that State Parties must “effectively prevent the infringements of economic, social, and cultural rights in the context of business activities,” including sometimes through more direct regulation such as “establishing minimum wage and fair </w:t>
      </w:r>
      <w:r w:rsidR="00057A45" w:rsidRPr="00AB5BCB">
        <w:rPr>
          <w:rFonts w:ascii="Times New Roman" w:hAnsi="Times New Roman" w:cs="Times New Roman"/>
          <w:sz w:val="23"/>
          <w:szCs w:val="23"/>
        </w:rPr>
        <w:t>remuneration</w:t>
      </w:r>
      <w:r w:rsidR="006602EC" w:rsidRPr="00AB5BCB">
        <w:rPr>
          <w:rFonts w:ascii="Times New Roman" w:hAnsi="Times New Roman" w:cs="Times New Roman"/>
          <w:sz w:val="23"/>
          <w:szCs w:val="23"/>
        </w:rPr>
        <w:t xml:space="preserve"> practices to ensure adequ</w:t>
      </w:r>
      <w:r w:rsidR="00C62BE1" w:rsidRPr="00AB5BCB">
        <w:rPr>
          <w:rFonts w:ascii="Times New Roman" w:hAnsi="Times New Roman" w:cs="Times New Roman"/>
          <w:sz w:val="23"/>
          <w:szCs w:val="23"/>
        </w:rPr>
        <w:t xml:space="preserve">ate working conditions.” </w:t>
      </w:r>
      <w:r w:rsidR="00DD27FB" w:rsidRPr="00AB5BCB">
        <w:rPr>
          <w:rFonts w:ascii="Times New Roman" w:hAnsi="Times New Roman" w:cs="Times New Roman"/>
          <w:sz w:val="23"/>
          <w:szCs w:val="23"/>
        </w:rPr>
        <w:t>T</w:t>
      </w:r>
      <w:r w:rsidR="007F3961" w:rsidRPr="00AB5BCB">
        <w:rPr>
          <w:rFonts w:ascii="Times New Roman" w:hAnsi="Times New Roman" w:cs="Times New Roman"/>
          <w:sz w:val="23"/>
          <w:szCs w:val="23"/>
        </w:rPr>
        <w:t xml:space="preserve">his language could be strengthened by </w:t>
      </w:r>
      <w:r w:rsidR="00362800" w:rsidRPr="00AB5BCB">
        <w:rPr>
          <w:rFonts w:ascii="Times New Roman" w:hAnsi="Times New Roman" w:cs="Times New Roman"/>
          <w:sz w:val="23"/>
          <w:szCs w:val="23"/>
        </w:rPr>
        <w:t xml:space="preserve">clarifying that </w:t>
      </w:r>
      <w:r w:rsidR="00DE6F02" w:rsidRPr="00AB5BCB">
        <w:rPr>
          <w:rFonts w:ascii="Times New Roman" w:hAnsi="Times New Roman" w:cs="Times New Roman"/>
          <w:sz w:val="23"/>
          <w:szCs w:val="23"/>
        </w:rPr>
        <w:t xml:space="preserve">governments </w:t>
      </w:r>
      <w:r w:rsidR="007E2E41" w:rsidRPr="00AB5BCB">
        <w:rPr>
          <w:rFonts w:ascii="Times New Roman" w:hAnsi="Times New Roman" w:cs="Times New Roman"/>
          <w:sz w:val="23"/>
          <w:szCs w:val="23"/>
        </w:rPr>
        <w:t xml:space="preserve">should </w:t>
      </w:r>
      <w:r w:rsidR="00DE6F02" w:rsidRPr="00AB5BCB">
        <w:rPr>
          <w:rFonts w:ascii="Times New Roman" w:hAnsi="Times New Roman" w:cs="Times New Roman"/>
          <w:sz w:val="23"/>
          <w:szCs w:val="23"/>
        </w:rPr>
        <w:t>establish a</w:t>
      </w:r>
      <w:r w:rsidR="007F3961" w:rsidRPr="00AB5BCB">
        <w:rPr>
          <w:rFonts w:ascii="Times New Roman" w:hAnsi="Times New Roman" w:cs="Times New Roman"/>
          <w:sz w:val="23"/>
          <w:szCs w:val="23"/>
        </w:rPr>
        <w:t xml:space="preserve"> minimum wage </w:t>
      </w:r>
      <w:r w:rsidR="00DE6F02" w:rsidRPr="00AB5BCB">
        <w:rPr>
          <w:rFonts w:ascii="Times New Roman" w:hAnsi="Times New Roman" w:cs="Times New Roman"/>
          <w:sz w:val="23"/>
          <w:szCs w:val="23"/>
        </w:rPr>
        <w:t>that is in line with</w:t>
      </w:r>
      <w:r w:rsidR="007F3961" w:rsidRPr="00AB5BCB">
        <w:rPr>
          <w:rFonts w:ascii="Times New Roman" w:hAnsi="Times New Roman" w:cs="Times New Roman"/>
          <w:sz w:val="23"/>
          <w:szCs w:val="23"/>
        </w:rPr>
        <w:t xml:space="preserve"> living wage standards</w:t>
      </w:r>
      <w:r w:rsidR="00DE6F02" w:rsidRPr="00AB5BCB">
        <w:rPr>
          <w:rFonts w:ascii="Times New Roman" w:hAnsi="Times New Roman" w:cs="Times New Roman"/>
          <w:sz w:val="23"/>
          <w:szCs w:val="23"/>
        </w:rPr>
        <w:t>. This guidance from the Committee on Economic, Social and Cultural Rights is urgently require</w:t>
      </w:r>
      <w:r w:rsidR="000345C0" w:rsidRPr="00AB5BCB">
        <w:rPr>
          <w:rFonts w:ascii="Times New Roman" w:hAnsi="Times New Roman" w:cs="Times New Roman"/>
          <w:sz w:val="23"/>
          <w:szCs w:val="23"/>
        </w:rPr>
        <w:t>d</w:t>
      </w:r>
      <w:r w:rsidR="00DE6F02" w:rsidRPr="00AB5BCB">
        <w:rPr>
          <w:rFonts w:ascii="Times New Roman" w:hAnsi="Times New Roman" w:cs="Times New Roman"/>
          <w:sz w:val="23"/>
          <w:szCs w:val="23"/>
        </w:rPr>
        <w:t xml:space="preserve"> as many countries set the minimum wage much lower than a living wage. For example, in India the minimum wage is 62% of a living wage, while in Cambodia it is 34%, in Sri Lanka it is 20%, and in Bangladesh it is 18%.</w:t>
      </w:r>
      <w:r w:rsidR="00DE6F02" w:rsidRPr="00AB5BCB">
        <w:rPr>
          <w:rStyle w:val="FootnoteReference"/>
          <w:rFonts w:ascii="Times New Roman" w:hAnsi="Times New Roman" w:cs="Times New Roman"/>
          <w:sz w:val="23"/>
          <w:szCs w:val="23"/>
        </w:rPr>
        <w:footnoteReference w:id="5"/>
      </w:r>
      <w:r w:rsidR="00DE6F02" w:rsidRPr="00AB5BCB">
        <w:rPr>
          <w:rFonts w:ascii="Times New Roman" w:hAnsi="Times New Roman" w:cs="Times New Roman"/>
          <w:sz w:val="23"/>
          <w:szCs w:val="23"/>
        </w:rPr>
        <w:t xml:space="preserve"> A study released by the Clean Clothes Campaign focused on garment workers in Eastern Europe and Turkey found that in all but one</w:t>
      </w:r>
      <w:r w:rsidR="00DE6F02" w:rsidRPr="00AB5BCB">
        <w:rPr>
          <w:rStyle w:val="FootnoteReference"/>
          <w:rFonts w:ascii="Times New Roman" w:hAnsi="Times New Roman" w:cs="Times New Roman"/>
          <w:sz w:val="23"/>
          <w:szCs w:val="23"/>
        </w:rPr>
        <w:footnoteReference w:id="6"/>
      </w:r>
      <w:r w:rsidR="00DE6F02" w:rsidRPr="00AB5BCB">
        <w:rPr>
          <w:rFonts w:ascii="Times New Roman" w:hAnsi="Times New Roman" w:cs="Times New Roman"/>
          <w:sz w:val="23"/>
          <w:szCs w:val="23"/>
        </w:rPr>
        <w:t xml:space="preserve"> of the countries surveyed, the legal minimum wage for garment workers is “set far below a subsistence minimum” and is even below the poverty line.</w:t>
      </w:r>
      <w:r w:rsidR="00DE6F02" w:rsidRPr="00AB5BCB">
        <w:rPr>
          <w:rStyle w:val="FootnoteReference"/>
          <w:rFonts w:ascii="Times New Roman" w:hAnsi="Times New Roman" w:cs="Times New Roman"/>
          <w:sz w:val="23"/>
          <w:szCs w:val="23"/>
        </w:rPr>
        <w:footnoteReference w:id="7"/>
      </w:r>
      <w:r w:rsidR="00DE6F02" w:rsidRPr="00AB5BCB">
        <w:rPr>
          <w:rFonts w:ascii="Times New Roman" w:hAnsi="Times New Roman" w:cs="Times New Roman"/>
          <w:sz w:val="23"/>
          <w:szCs w:val="23"/>
        </w:rPr>
        <w:t xml:space="preserve"> Furthermore, in Haiti, garment </w:t>
      </w:r>
      <w:r w:rsidR="00DE6F02" w:rsidRPr="00AB5BCB">
        <w:rPr>
          <w:rFonts w:ascii="Times New Roman" w:hAnsi="Times New Roman" w:cs="Times New Roman"/>
          <w:sz w:val="23"/>
          <w:szCs w:val="23"/>
        </w:rPr>
        <w:lastRenderedPageBreak/>
        <w:t>workers often do not earn enough to afford three meals a day, let alone to pay for medical care or other necessities.</w:t>
      </w:r>
      <w:r w:rsidR="00DE6F02" w:rsidRPr="00AB5BCB">
        <w:rPr>
          <w:rStyle w:val="FootnoteReference"/>
          <w:rFonts w:ascii="Times New Roman" w:hAnsi="Times New Roman" w:cs="Times New Roman"/>
          <w:sz w:val="23"/>
          <w:szCs w:val="23"/>
        </w:rPr>
        <w:footnoteReference w:id="8"/>
      </w:r>
    </w:p>
    <w:p w14:paraId="0B310362" w14:textId="4462ED74" w:rsidR="009F2943" w:rsidRPr="00AB5BCB" w:rsidRDefault="00CC65D8" w:rsidP="003A040E">
      <w:pPr>
        <w:jc w:val="both"/>
        <w:rPr>
          <w:rFonts w:ascii="Times New Roman" w:hAnsi="Times New Roman" w:cs="Times New Roman"/>
          <w:sz w:val="23"/>
          <w:szCs w:val="23"/>
        </w:rPr>
      </w:pPr>
      <w:r w:rsidRPr="00AB5BCB">
        <w:rPr>
          <w:rFonts w:ascii="Times New Roman" w:hAnsi="Times New Roman" w:cs="Times New Roman"/>
          <w:sz w:val="23"/>
          <w:szCs w:val="23"/>
        </w:rPr>
        <w:t>8</w:t>
      </w:r>
      <w:r w:rsidR="009F2943" w:rsidRPr="00AB5BCB">
        <w:rPr>
          <w:rFonts w:ascii="Times New Roman" w:hAnsi="Times New Roman" w:cs="Times New Roman"/>
          <w:sz w:val="23"/>
          <w:szCs w:val="23"/>
        </w:rPr>
        <w:t xml:space="preserve">. </w:t>
      </w:r>
      <w:r w:rsidR="001E4B15" w:rsidRPr="00AB5BCB">
        <w:rPr>
          <w:rFonts w:ascii="Times New Roman" w:hAnsi="Times New Roman" w:cs="Times New Roman"/>
          <w:sz w:val="23"/>
          <w:szCs w:val="23"/>
        </w:rPr>
        <w:t>The draft Comment</w:t>
      </w:r>
      <w:r w:rsidR="004B7C0B" w:rsidRPr="00AB5BCB">
        <w:rPr>
          <w:rFonts w:ascii="Times New Roman" w:hAnsi="Times New Roman" w:cs="Times New Roman"/>
          <w:sz w:val="23"/>
          <w:szCs w:val="23"/>
        </w:rPr>
        <w:t xml:space="preserve"> should be applauded for providing</w:t>
      </w:r>
      <w:r w:rsidR="009F2943" w:rsidRPr="00AB5BCB">
        <w:rPr>
          <w:rFonts w:ascii="Times New Roman" w:hAnsi="Times New Roman" w:cs="Times New Roman"/>
          <w:sz w:val="23"/>
          <w:szCs w:val="23"/>
        </w:rPr>
        <w:t xml:space="preserve"> guidance and clarification on the relationship between obligations under </w:t>
      </w:r>
      <w:r w:rsidR="00362800" w:rsidRPr="00AB5BCB">
        <w:rPr>
          <w:rFonts w:ascii="Times New Roman" w:hAnsi="Times New Roman" w:cs="Times New Roman"/>
          <w:sz w:val="23"/>
          <w:szCs w:val="23"/>
        </w:rPr>
        <w:t xml:space="preserve">the </w:t>
      </w:r>
      <w:r w:rsidR="009F2943" w:rsidRPr="00AB5BCB">
        <w:rPr>
          <w:rFonts w:ascii="Times New Roman" w:hAnsi="Times New Roman" w:cs="Times New Roman"/>
          <w:sz w:val="23"/>
          <w:szCs w:val="23"/>
        </w:rPr>
        <w:t xml:space="preserve">ICESCR and subsequent trade or investment agreements in </w:t>
      </w:r>
      <w:r w:rsidR="00B6076C" w:rsidRPr="00AB5BCB">
        <w:rPr>
          <w:rFonts w:ascii="Times New Roman" w:hAnsi="Times New Roman" w:cs="Times New Roman"/>
          <w:sz w:val="23"/>
          <w:szCs w:val="23"/>
        </w:rPr>
        <w:t xml:space="preserve">paragraph </w:t>
      </w:r>
      <w:r w:rsidR="009F2943" w:rsidRPr="00AB5BCB">
        <w:rPr>
          <w:rFonts w:ascii="Times New Roman" w:hAnsi="Times New Roman" w:cs="Times New Roman"/>
          <w:sz w:val="23"/>
          <w:szCs w:val="23"/>
        </w:rPr>
        <w:t xml:space="preserve">20. In particular, that trade and investment agreements must be designed in a manner that improves, not undermines, the ESC rights under the Covenant. </w:t>
      </w:r>
      <w:r w:rsidRPr="00AB5BCB">
        <w:rPr>
          <w:rFonts w:ascii="Times New Roman" w:hAnsi="Times New Roman" w:cs="Times New Roman"/>
          <w:sz w:val="23"/>
          <w:szCs w:val="23"/>
        </w:rPr>
        <w:t xml:space="preserve">However, the </w:t>
      </w:r>
      <w:r w:rsidR="00362800" w:rsidRPr="00AB5BCB">
        <w:rPr>
          <w:rFonts w:ascii="Times New Roman" w:hAnsi="Times New Roman" w:cs="Times New Roman"/>
          <w:sz w:val="23"/>
          <w:szCs w:val="23"/>
        </w:rPr>
        <w:t xml:space="preserve">draft </w:t>
      </w:r>
      <w:r w:rsidR="009F2943" w:rsidRPr="00AB5BCB">
        <w:rPr>
          <w:rFonts w:ascii="Times New Roman" w:hAnsi="Times New Roman" w:cs="Times New Roman"/>
          <w:sz w:val="23"/>
          <w:szCs w:val="23"/>
        </w:rPr>
        <w:t xml:space="preserve">Comment </w:t>
      </w:r>
      <w:r w:rsidRPr="00AB5BCB">
        <w:rPr>
          <w:rFonts w:ascii="Times New Roman" w:hAnsi="Times New Roman" w:cs="Times New Roman"/>
          <w:sz w:val="23"/>
          <w:szCs w:val="23"/>
        </w:rPr>
        <w:t>should</w:t>
      </w:r>
      <w:r w:rsidR="009F2943" w:rsidRPr="00AB5BCB">
        <w:rPr>
          <w:rFonts w:ascii="Times New Roman" w:hAnsi="Times New Roman" w:cs="Times New Roman"/>
          <w:sz w:val="23"/>
          <w:szCs w:val="23"/>
        </w:rPr>
        <w:t xml:space="preserve"> go further to clarify and address States</w:t>
      </w:r>
      <w:r w:rsidRPr="00AB5BCB">
        <w:rPr>
          <w:rFonts w:ascii="Times New Roman" w:hAnsi="Times New Roman" w:cs="Times New Roman"/>
          <w:sz w:val="23"/>
          <w:szCs w:val="23"/>
        </w:rPr>
        <w:t>’</w:t>
      </w:r>
      <w:r w:rsidR="009F2943" w:rsidRPr="00AB5BCB">
        <w:rPr>
          <w:rFonts w:ascii="Times New Roman" w:hAnsi="Times New Roman" w:cs="Times New Roman"/>
          <w:sz w:val="23"/>
          <w:szCs w:val="23"/>
        </w:rPr>
        <w:t xml:space="preserve"> obligations in relation to investor-state dispute settlement (ISDS) provisions. In June 2015, a group of ten UN experts voiced their concern over the adverse impacts of ISDS chapters in investment and trade agreements, noting that the “chilling effect” of ISDS awards against States for adopting regulations in relation to environmental protection, access to medicine, food security, or minimum wage “demonstrates that the regulatory function of many States and their ability to legislate in the public interest have been put at risk.”</w:t>
      </w:r>
      <w:r w:rsidR="009F2943" w:rsidRPr="00AB5BCB">
        <w:rPr>
          <w:rStyle w:val="FootnoteReference"/>
          <w:rFonts w:ascii="Times New Roman" w:hAnsi="Times New Roman" w:cs="Times New Roman"/>
          <w:sz w:val="23"/>
          <w:szCs w:val="23"/>
        </w:rPr>
        <w:footnoteReference w:id="9"/>
      </w:r>
      <w:r w:rsidR="009F2943" w:rsidRPr="00AB5BCB">
        <w:rPr>
          <w:rFonts w:ascii="Times New Roman" w:hAnsi="Times New Roman" w:cs="Times New Roman"/>
          <w:sz w:val="23"/>
          <w:szCs w:val="23"/>
        </w:rPr>
        <w:t xml:space="preserve"> As the draft Comment recognizes in </w:t>
      </w:r>
      <w:r w:rsidR="00B6076C" w:rsidRPr="00AB5BCB">
        <w:rPr>
          <w:rFonts w:ascii="Times New Roman" w:hAnsi="Times New Roman" w:cs="Times New Roman"/>
          <w:sz w:val="23"/>
          <w:szCs w:val="23"/>
        </w:rPr>
        <w:t xml:space="preserve">paragraph </w:t>
      </w:r>
      <w:r w:rsidR="009F2943" w:rsidRPr="00AB5BCB">
        <w:rPr>
          <w:rFonts w:ascii="Times New Roman" w:hAnsi="Times New Roman" w:cs="Times New Roman"/>
          <w:sz w:val="23"/>
          <w:szCs w:val="23"/>
        </w:rPr>
        <w:t xml:space="preserve">19, the “obligation to protect at times necessitates more direct regulation and intervention,” such as restricting marketing and advertisement of certain goods, etc. The existence of ISDS provisions in trade and investment agreements threatens the State’s freedom to </w:t>
      </w:r>
      <w:r w:rsidR="00BE38C2" w:rsidRPr="00AB5BCB">
        <w:rPr>
          <w:rFonts w:ascii="Times New Roman" w:hAnsi="Times New Roman" w:cs="Times New Roman"/>
          <w:sz w:val="23"/>
          <w:szCs w:val="23"/>
        </w:rPr>
        <w:t xml:space="preserve">regulate </w:t>
      </w:r>
      <w:r w:rsidR="009F2943" w:rsidRPr="00AB5BCB">
        <w:rPr>
          <w:rFonts w:ascii="Times New Roman" w:hAnsi="Times New Roman" w:cs="Times New Roman"/>
          <w:sz w:val="23"/>
          <w:szCs w:val="23"/>
        </w:rPr>
        <w:t xml:space="preserve">in the public interest and undermines the ability to fulfill Covenant obligations. </w:t>
      </w:r>
    </w:p>
    <w:p w14:paraId="6C847BFF" w14:textId="77777777" w:rsidR="00645011" w:rsidRPr="00AB5BCB" w:rsidRDefault="00645011" w:rsidP="003A040E">
      <w:pPr>
        <w:jc w:val="both"/>
        <w:rPr>
          <w:rFonts w:ascii="Times New Roman" w:hAnsi="Times New Roman" w:cs="Times New Roman"/>
          <w:b/>
          <w:sz w:val="23"/>
          <w:szCs w:val="23"/>
        </w:rPr>
      </w:pPr>
    </w:p>
    <w:p w14:paraId="6AD9794A" w14:textId="7E6735CD" w:rsidR="003C4B38" w:rsidRPr="00AB5BCB" w:rsidRDefault="00CC65D8">
      <w:pPr>
        <w:jc w:val="both"/>
        <w:rPr>
          <w:rFonts w:ascii="Times New Roman" w:hAnsi="Times New Roman" w:cs="Times New Roman"/>
          <w:sz w:val="23"/>
          <w:szCs w:val="23"/>
        </w:rPr>
      </w:pPr>
      <w:r w:rsidRPr="00AB5BCB">
        <w:rPr>
          <w:rFonts w:ascii="Times New Roman" w:hAnsi="Times New Roman" w:cs="Times New Roman"/>
          <w:sz w:val="23"/>
          <w:szCs w:val="23"/>
        </w:rPr>
        <w:t>9</w:t>
      </w:r>
      <w:r w:rsidR="0041519D" w:rsidRPr="00AB5BCB">
        <w:rPr>
          <w:rFonts w:ascii="Times New Roman" w:hAnsi="Times New Roman" w:cs="Times New Roman"/>
          <w:sz w:val="23"/>
          <w:szCs w:val="23"/>
        </w:rPr>
        <w:t xml:space="preserve">. </w:t>
      </w:r>
      <w:r w:rsidR="001F4232">
        <w:rPr>
          <w:rFonts w:ascii="Times New Roman" w:hAnsi="Times New Roman" w:cs="Times New Roman"/>
          <w:sz w:val="23"/>
          <w:szCs w:val="23"/>
        </w:rPr>
        <w:t>ICAR, ICCR, and DPLF</w:t>
      </w:r>
      <w:r w:rsidR="004659C4" w:rsidRPr="00AB5BCB">
        <w:rPr>
          <w:rFonts w:ascii="Times New Roman" w:hAnsi="Times New Roman" w:cs="Times New Roman"/>
          <w:sz w:val="23"/>
          <w:szCs w:val="23"/>
        </w:rPr>
        <w:t xml:space="preserve"> welcome</w:t>
      </w:r>
      <w:r w:rsidR="00F51DC6" w:rsidRPr="00AB5BCB">
        <w:rPr>
          <w:rFonts w:ascii="Times New Roman" w:hAnsi="Times New Roman" w:cs="Times New Roman"/>
          <w:sz w:val="23"/>
          <w:szCs w:val="23"/>
        </w:rPr>
        <w:t xml:space="preserve"> the focus of national implementation through National Action Plans (NAPs)</w:t>
      </w:r>
      <w:r w:rsidR="00362800" w:rsidRPr="00AB5BCB">
        <w:rPr>
          <w:rFonts w:ascii="Times New Roman" w:hAnsi="Times New Roman" w:cs="Times New Roman"/>
          <w:sz w:val="23"/>
          <w:szCs w:val="23"/>
        </w:rPr>
        <w:t xml:space="preserve"> </w:t>
      </w:r>
      <w:r w:rsidR="00F51DC6" w:rsidRPr="00AB5BCB">
        <w:rPr>
          <w:rFonts w:ascii="Times New Roman" w:hAnsi="Times New Roman" w:cs="Times New Roman"/>
          <w:sz w:val="23"/>
          <w:szCs w:val="23"/>
        </w:rPr>
        <w:t>on business and human rights as they provide a potential</w:t>
      </w:r>
      <w:r w:rsidR="0035475F" w:rsidRPr="00AB5BCB">
        <w:rPr>
          <w:rFonts w:ascii="Times New Roman" w:hAnsi="Times New Roman" w:cs="Times New Roman"/>
          <w:sz w:val="23"/>
          <w:szCs w:val="23"/>
        </w:rPr>
        <w:t>ly</w:t>
      </w:r>
      <w:r w:rsidR="00F51DC6" w:rsidRPr="00AB5BCB">
        <w:rPr>
          <w:rFonts w:ascii="Times New Roman" w:hAnsi="Times New Roman" w:cs="Times New Roman"/>
          <w:sz w:val="23"/>
          <w:szCs w:val="23"/>
        </w:rPr>
        <w:t xml:space="preserve"> powerful vehicle to effectively address the negative impacts of business activities on ESC rights. However, ICAR’s analysis of existing NAPs on business and human rights reveal</w:t>
      </w:r>
      <w:r w:rsidR="00DA3F8B" w:rsidRPr="00AB5BCB">
        <w:rPr>
          <w:rFonts w:ascii="Times New Roman" w:hAnsi="Times New Roman" w:cs="Times New Roman"/>
          <w:sz w:val="23"/>
          <w:szCs w:val="23"/>
        </w:rPr>
        <w:t>s</w:t>
      </w:r>
      <w:r w:rsidR="00F51DC6" w:rsidRPr="00AB5BCB">
        <w:rPr>
          <w:rFonts w:ascii="Times New Roman" w:hAnsi="Times New Roman" w:cs="Times New Roman"/>
          <w:sz w:val="23"/>
          <w:szCs w:val="23"/>
        </w:rPr>
        <w:t xml:space="preserve"> an overall weakness in the process and content of these plans. </w:t>
      </w:r>
      <w:r w:rsidR="005A0707" w:rsidRPr="00AB5BCB">
        <w:rPr>
          <w:rFonts w:ascii="Times New Roman" w:hAnsi="Times New Roman" w:cs="Times New Roman"/>
          <w:sz w:val="23"/>
          <w:szCs w:val="23"/>
        </w:rPr>
        <w:t xml:space="preserve">Much </w:t>
      </w:r>
      <w:r w:rsidR="00F51DC6" w:rsidRPr="00AB5BCB">
        <w:rPr>
          <w:rFonts w:ascii="Times New Roman" w:hAnsi="Times New Roman" w:cs="Times New Roman"/>
          <w:sz w:val="23"/>
          <w:szCs w:val="23"/>
        </w:rPr>
        <w:t>of the content is retrospective</w:t>
      </w:r>
      <w:r w:rsidR="004A78C8" w:rsidRPr="00AB5BCB">
        <w:rPr>
          <w:rFonts w:ascii="Times New Roman" w:hAnsi="Times New Roman" w:cs="Times New Roman"/>
          <w:sz w:val="23"/>
          <w:szCs w:val="23"/>
        </w:rPr>
        <w:t>,</w:t>
      </w:r>
      <w:r w:rsidR="00F51DC6" w:rsidRPr="00AB5BCB">
        <w:rPr>
          <w:rFonts w:ascii="Times New Roman" w:hAnsi="Times New Roman" w:cs="Times New Roman"/>
          <w:sz w:val="23"/>
          <w:szCs w:val="23"/>
        </w:rPr>
        <w:t xml:space="preserve"> outlining old or ongoing initiatives, and the forward-looking action points are weak and mainly geared towards </w:t>
      </w:r>
      <w:r w:rsidR="005A0707" w:rsidRPr="00AB5BCB">
        <w:rPr>
          <w:rFonts w:ascii="Times New Roman" w:hAnsi="Times New Roman" w:cs="Times New Roman"/>
          <w:sz w:val="23"/>
          <w:szCs w:val="23"/>
        </w:rPr>
        <w:t xml:space="preserve">voluntary </w:t>
      </w:r>
      <w:r w:rsidR="00F51DC6" w:rsidRPr="00AB5BCB">
        <w:rPr>
          <w:rFonts w:ascii="Times New Roman" w:hAnsi="Times New Roman" w:cs="Times New Roman"/>
          <w:sz w:val="23"/>
          <w:szCs w:val="23"/>
        </w:rPr>
        <w:t>corporate social responsibility-based initiatives.</w:t>
      </w:r>
      <w:r w:rsidR="00C80D44" w:rsidRPr="00AB5BCB">
        <w:rPr>
          <w:rStyle w:val="FootnoteReference"/>
          <w:rFonts w:ascii="Times New Roman" w:hAnsi="Times New Roman" w:cs="Times New Roman"/>
          <w:sz w:val="23"/>
          <w:szCs w:val="23"/>
        </w:rPr>
        <w:footnoteReference w:id="10"/>
      </w:r>
      <w:r w:rsidR="00F51DC6" w:rsidRPr="00AB5BCB">
        <w:rPr>
          <w:rFonts w:ascii="Times New Roman" w:hAnsi="Times New Roman" w:cs="Times New Roman"/>
          <w:sz w:val="23"/>
          <w:szCs w:val="23"/>
        </w:rPr>
        <w:t xml:space="preserve"> </w:t>
      </w:r>
      <w:r w:rsidR="0051043B" w:rsidRPr="00AB5BCB">
        <w:rPr>
          <w:rFonts w:ascii="Times New Roman" w:hAnsi="Times New Roman" w:cs="Times New Roman"/>
          <w:sz w:val="23"/>
          <w:szCs w:val="23"/>
        </w:rPr>
        <w:t>Furthermore, most NAPs have focused on addressing business conduct occurring abroad</w:t>
      </w:r>
      <w:r w:rsidR="00DA3F8B" w:rsidRPr="00AB5BCB">
        <w:rPr>
          <w:rFonts w:ascii="Times New Roman" w:hAnsi="Times New Roman" w:cs="Times New Roman"/>
          <w:sz w:val="23"/>
          <w:szCs w:val="23"/>
        </w:rPr>
        <w:t>, largely ignoring</w:t>
      </w:r>
      <w:r w:rsidR="0051043B" w:rsidRPr="00AB5BCB">
        <w:rPr>
          <w:rFonts w:ascii="Times New Roman" w:hAnsi="Times New Roman" w:cs="Times New Roman"/>
          <w:sz w:val="23"/>
          <w:szCs w:val="23"/>
        </w:rPr>
        <w:t xml:space="preserve"> domestic business practices</w:t>
      </w:r>
      <w:r w:rsidR="00DA3F8B" w:rsidRPr="00AB5BCB">
        <w:rPr>
          <w:rFonts w:ascii="Times New Roman" w:hAnsi="Times New Roman" w:cs="Times New Roman"/>
          <w:sz w:val="23"/>
          <w:szCs w:val="23"/>
        </w:rPr>
        <w:t>,</w:t>
      </w:r>
      <w:r w:rsidR="0051043B" w:rsidRPr="00AB5BCB">
        <w:rPr>
          <w:rFonts w:ascii="Times New Roman" w:hAnsi="Times New Roman" w:cs="Times New Roman"/>
          <w:sz w:val="23"/>
          <w:szCs w:val="23"/>
        </w:rPr>
        <w:t xml:space="preserve"> and fail to adequately address the issue of access to remedy. </w:t>
      </w:r>
      <w:r w:rsidR="00F51DC6" w:rsidRPr="00AB5BCB">
        <w:rPr>
          <w:rFonts w:ascii="Times New Roman" w:hAnsi="Times New Roman" w:cs="Times New Roman"/>
          <w:sz w:val="23"/>
          <w:szCs w:val="23"/>
        </w:rPr>
        <w:t xml:space="preserve">The </w:t>
      </w:r>
      <w:r w:rsidR="000345C0" w:rsidRPr="00AB5BCB">
        <w:rPr>
          <w:rFonts w:ascii="Times New Roman" w:hAnsi="Times New Roman" w:cs="Times New Roman"/>
          <w:sz w:val="23"/>
          <w:szCs w:val="23"/>
        </w:rPr>
        <w:t xml:space="preserve">ICESCR </w:t>
      </w:r>
      <w:r w:rsidR="00F51DC6" w:rsidRPr="00AB5BCB">
        <w:rPr>
          <w:rFonts w:ascii="Times New Roman" w:hAnsi="Times New Roman" w:cs="Times New Roman"/>
          <w:sz w:val="23"/>
          <w:szCs w:val="23"/>
        </w:rPr>
        <w:t xml:space="preserve">requires States to “take all appropriate steps, to the maximum of their available resources, in order to progress towards the full realization of the rights recognized in the Covenant.” </w:t>
      </w:r>
      <w:r w:rsidR="00645011" w:rsidRPr="00AB5BCB">
        <w:rPr>
          <w:rFonts w:ascii="Times New Roman" w:hAnsi="Times New Roman" w:cs="Times New Roman"/>
          <w:sz w:val="23"/>
          <w:szCs w:val="23"/>
        </w:rPr>
        <w:t xml:space="preserve">The </w:t>
      </w:r>
      <w:r w:rsidR="001E4B15" w:rsidRPr="00AB5BCB">
        <w:rPr>
          <w:rFonts w:ascii="Times New Roman" w:hAnsi="Times New Roman" w:cs="Times New Roman"/>
          <w:sz w:val="23"/>
          <w:szCs w:val="23"/>
        </w:rPr>
        <w:t xml:space="preserve">draft </w:t>
      </w:r>
      <w:r w:rsidR="00645011" w:rsidRPr="00AB5BCB">
        <w:rPr>
          <w:rFonts w:ascii="Times New Roman" w:hAnsi="Times New Roman" w:cs="Times New Roman"/>
          <w:sz w:val="23"/>
          <w:szCs w:val="23"/>
        </w:rPr>
        <w:t>Comme</w:t>
      </w:r>
      <w:r w:rsidR="008730AA" w:rsidRPr="00AB5BCB">
        <w:rPr>
          <w:rFonts w:ascii="Times New Roman" w:hAnsi="Times New Roman" w:cs="Times New Roman"/>
          <w:sz w:val="23"/>
          <w:szCs w:val="23"/>
        </w:rPr>
        <w:t xml:space="preserve">nt should </w:t>
      </w:r>
      <w:r w:rsidR="0051043B" w:rsidRPr="00AB5BCB">
        <w:rPr>
          <w:rFonts w:ascii="Times New Roman" w:hAnsi="Times New Roman" w:cs="Times New Roman"/>
          <w:sz w:val="23"/>
          <w:szCs w:val="23"/>
        </w:rPr>
        <w:t xml:space="preserve">therefore </w:t>
      </w:r>
      <w:r w:rsidR="008730AA" w:rsidRPr="00AB5BCB">
        <w:rPr>
          <w:rFonts w:ascii="Times New Roman" w:hAnsi="Times New Roman" w:cs="Times New Roman"/>
          <w:sz w:val="23"/>
          <w:szCs w:val="23"/>
        </w:rPr>
        <w:t>elaborate</w:t>
      </w:r>
      <w:r w:rsidR="00645011" w:rsidRPr="00AB5BCB">
        <w:rPr>
          <w:rFonts w:ascii="Times New Roman" w:hAnsi="Times New Roman" w:cs="Times New Roman"/>
          <w:sz w:val="23"/>
          <w:szCs w:val="23"/>
        </w:rPr>
        <w:t xml:space="preserve"> on the utility and expectations of </w:t>
      </w:r>
      <w:r w:rsidR="00374886" w:rsidRPr="00AB5BCB">
        <w:rPr>
          <w:rFonts w:ascii="Times New Roman" w:hAnsi="Times New Roman" w:cs="Times New Roman"/>
          <w:sz w:val="23"/>
          <w:szCs w:val="23"/>
        </w:rPr>
        <w:t>NAPs</w:t>
      </w:r>
      <w:r w:rsidR="00645011" w:rsidRPr="00AB5BCB">
        <w:rPr>
          <w:rFonts w:ascii="Times New Roman" w:hAnsi="Times New Roman" w:cs="Times New Roman"/>
          <w:sz w:val="23"/>
          <w:szCs w:val="23"/>
        </w:rPr>
        <w:t xml:space="preserve"> on business and human rights</w:t>
      </w:r>
      <w:r w:rsidR="00DA3F8B" w:rsidRPr="00AB5BCB">
        <w:rPr>
          <w:rFonts w:ascii="Times New Roman" w:hAnsi="Times New Roman" w:cs="Times New Roman"/>
          <w:sz w:val="23"/>
          <w:szCs w:val="23"/>
        </w:rPr>
        <w:t xml:space="preserve"> in </w:t>
      </w:r>
      <w:r w:rsidR="00B6076C" w:rsidRPr="00AB5BCB">
        <w:rPr>
          <w:rFonts w:ascii="Times New Roman" w:hAnsi="Times New Roman" w:cs="Times New Roman"/>
          <w:sz w:val="23"/>
          <w:szCs w:val="23"/>
        </w:rPr>
        <w:t xml:space="preserve">paragraph </w:t>
      </w:r>
      <w:r w:rsidR="00DA3F8B" w:rsidRPr="00AB5BCB">
        <w:rPr>
          <w:rFonts w:ascii="Times New Roman" w:hAnsi="Times New Roman" w:cs="Times New Roman"/>
          <w:sz w:val="23"/>
          <w:szCs w:val="23"/>
        </w:rPr>
        <w:t>52.</w:t>
      </w:r>
      <w:r w:rsidR="0051043B" w:rsidRPr="00AB5BCB">
        <w:rPr>
          <w:rFonts w:ascii="Times New Roman" w:hAnsi="Times New Roman" w:cs="Times New Roman"/>
          <w:sz w:val="23"/>
          <w:szCs w:val="23"/>
        </w:rPr>
        <w:t xml:space="preserve"> </w:t>
      </w:r>
      <w:r w:rsidR="00DA3F8B" w:rsidRPr="00AB5BCB">
        <w:rPr>
          <w:rFonts w:ascii="Times New Roman" w:hAnsi="Times New Roman" w:cs="Times New Roman"/>
          <w:sz w:val="23"/>
          <w:szCs w:val="23"/>
        </w:rPr>
        <w:t>S</w:t>
      </w:r>
      <w:r w:rsidR="0051043B" w:rsidRPr="00AB5BCB">
        <w:rPr>
          <w:rFonts w:ascii="Times New Roman" w:hAnsi="Times New Roman" w:cs="Times New Roman"/>
          <w:sz w:val="23"/>
          <w:szCs w:val="23"/>
        </w:rPr>
        <w:t>pecifically</w:t>
      </w:r>
      <w:r w:rsidR="00DA3F8B" w:rsidRPr="00AB5BCB">
        <w:rPr>
          <w:rFonts w:ascii="Times New Roman" w:hAnsi="Times New Roman" w:cs="Times New Roman"/>
          <w:sz w:val="23"/>
          <w:szCs w:val="23"/>
        </w:rPr>
        <w:t xml:space="preserve">, it should highlight </w:t>
      </w:r>
      <w:r w:rsidR="0051043B" w:rsidRPr="00AB5BCB">
        <w:rPr>
          <w:rFonts w:ascii="Times New Roman" w:hAnsi="Times New Roman" w:cs="Times New Roman"/>
          <w:sz w:val="23"/>
          <w:szCs w:val="23"/>
        </w:rPr>
        <w:t xml:space="preserve">that to be effective </w:t>
      </w:r>
      <w:r w:rsidR="00DA3F8B" w:rsidRPr="00AB5BCB">
        <w:rPr>
          <w:rFonts w:ascii="Times New Roman" w:hAnsi="Times New Roman" w:cs="Times New Roman"/>
          <w:sz w:val="23"/>
          <w:szCs w:val="23"/>
        </w:rPr>
        <w:t>NAPs</w:t>
      </w:r>
      <w:r w:rsidR="0051043B" w:rsidRPr="00AB5BCB">
        <w:rPr>
          <w:rFonts w:ascii="Times New Roman" w:hAnsi="Times New Roman" w:cs="Times New Roman"/>
          <w:sz w:val="23"/>
          <w:szCs w:val="23"/>
        </w:rPr>
        <w:t xml:space="preserve"> must be forward looking, focus on business impacts at home and abroad, and ensure an adequate and appropriate access to remedy.</w:t>
      </w:r>
      <w:r w:rsidR="00374886" w:rsidRPr="00AB5BCB">
        <w:rPr>
          <w:rStyle w:val="FootnoteReference"/>
          <w:rFonts w:ascii="Times New Roman" w:hAnsi="Times New Roman" w:cs="Times New Roman"/>
          <w:sz w:val="23"/>
          <w:szCs w:val="23"/>
        </w:rPr>
        <w:footnoteReference w:id="11"/>
      </w:r>
      <w:r w:rsidR="0051043B" w:rsidRPr="00AB5BCB">
        <w:rPr>
          <w:rFonts w:ascii="Times New Roman" w:hAnsi="Times New Roman" w:cs="Times New Roman"/>
          <w:sz w:val="23"/>
          <w:szCs w:val="23"/>
        </w:rPr>
        <w:t xml:space="preserve"> </w:t>
      </w:r>
    </w:p>
    <w:p w14:paraId="369A4432" w14:textId="77777777" w:rsidR="003C4B38" w:rsidRPr="00AB5BCB" w:rsidRDefault="003C4B38" w:rsidP="003A040E">
      <w:pPr>
        <w:jc w:val="both"/>
        <w:rPr>
          <w:rFonts w:ascii="Times New Roman" w:hAnsi="Times New Roman" w:cs="Times New Roman"/>
          <w:b/>
          <w:sz w:val="23"/>
          <w:szCs w:val="23"/>
        </w:rPr>
      </w:pPr>
    </w:p>
    <w:p w14:paraId="19AAF9E3" w14:textId="36750B9B" w:rsidR="0041519D" w:rsidRPr="00AB5BCB" w:rsidRDefault="009779F5" w:rsidP="003A040E">
      <w:pPr>
        <w:jc w:val="both"/>
        <w:rPr>
          <w:rFonts w:ascii="Times New Roman" w:hAnsi="Times New Roman" w:cs="Times New Roman"/>
          <w:b/>
          <w:sz w:val="23"/>
          <w:szCs w:val="23"/>
        </w:rPr>
      </w:pPr>
      <w:r w:rsidRPr="00AB5BCB">
        <w:rPr>
          <w:rFonts w:ascii="Times New Roman" w:hAnsi="Times New Roman" w:cs="Times New Roman"/>
          <w:b/>
          <w:sz w:val="23"/>
          <w:szCs w:val="23"/>
        </w:rPr>
        <w:t>Extraterritorial Dimensions of State Obligations</w:t>
      </w:r>
    </w:p>
    <w:p w14:paraId="0E30FD40" w14:textId="77777777" w:rsidR="002B1811" w:rsidRPr="00AB5BCB" w:rsidRDefault="002B1811" w:rsidP="003A040E">
      <w:pPr>
        <w:jc w:val="both"/>
        <w:rPr>
          <w:rFonts w:ascii="Times New Roman" w:hAnsi="Times New Roman" w:cs="Times New Roman"/>
          <w:b/>
          <w:sz w:val="23"/>
          <w:szCs w:val="23"/>
        </w:rPr>
      </w:pPr>
    </w:p>
    <w:p w14:paraId="4F41466A" w14:textId="724EA15B" w:rsidR="0041519D" w:rsidRPr="00AB5BCB" w:rsidRDefault="00CC65D8" w:rsidP="003A040E">
      <w:pPr>
        <w:jc w:val="both"/>
        <w:rPr>
          <w:rFonts w:ascii="Times New Roman" w:hAnsi="Times New Roman" w:cs="Times New Roman"/>
          <w:sz w:val="23"/>
          <w:szCs w:val="23"/>
        </w:rPr>
      </w:pPr>
      <w:r w:rsidRPr="00AB5BCB">
        <w:rPr>
          <w:rFonts w:ascii="Times New Roman" w:hAnsi="Times New Roman" w:cs="Times New Roman"/>
          <w:sz w:val="23"/>
          <w:szCs w:val="23"/>
        </w:rPr>
        <w:t>10</w:t>
      </w:r>
      <w:r w:rsidR="0041519D" w:rsidRPr="00AB5BCB">
        <w:rPr>
          <w:rFonts w:ascii="Times New Roman" w:hAnsi="Times New Roman" w:cs="Times New Roman"/>
          <w:sz w:val="23"/>
          <w:szCs w:val="23"/>
        </w:rPr>
        <w:t xml:space="preserve">. </w:t>
      </w:r>
      <w:r w:rsidR="001F4232">
        <w:rPr>
          <w:rFonts w:ascii="Times New Roman" w:hAnsi="Times New Roman" w:cs="Times New Roman"/>
          <w:sz w:val="23"/>
          <w:szCs w:val="23"/>
        </w:rPr>
        <w:t>ICAR, ICCR, and DPLF</w:t>
      </w:r>
      <w:r w:rsidR="009F2943" w:rsidRPr="00AB5BCB">
        <w:rPr>
          <w:rFonts w:ascii="Times New Roman" w:hAnsi="Times New Roman" w:cs="Times New Roman"/>
          <w:sz w:val="23"/>
          <w:szCs w:val="23"/>
        </w:rPr>
        <w:t xml:space="preserve"> </w:t>
      </w:r>
      <w:r w:rsidR="004659C4" w:rsidRPr="00AB5BCB">
        <w:rPr>
          <w:rFonts w:ascii="Times New Roman" w:hAnsi="Times New Roman" w:cs="Times New Roman"/>
          <w:sz w:val="23"/>
          <w:szCs w:val="23"/>
        </w:rPr>
        <w:t>applaud</w:t>
      </w:r>
      <w:r w:rsidR="004B7C0B" w:rsidRPr="00AB5BCB">
        <w:rPr>
          <w:rFonts w:ascii="Times New Roman" w:hAnsi="Times New Roman" w:cs="Times New Roman"/>
          <w:sz w:val="23"/>
          <w:szCs w:val="23"/>
        </w:rPr>
        <w:t xml:space="preserve"> </w:t>
      </w:r>
      <w:r w:rsidR="009F2943" w:rsidRPr="00AB5BCB">
        <w:rPr>
          <w:rFonts w:ascii="Times New Roman" w:hAnsi="Times New Roman" w:cs="Times New Roman"/>
          <w:sz w:val="23"/>
          <w:szCs w:val="23"/>
        </w:rPr>
        <w:t>the draft Comment</w:t>
      </w:r>
      <w:r w:rsidR="004A78C8" w:rsidRPr="00AB5BCB">
        <w:rPr>
          <w:rFonts w:ascii="Times New Roman" w:hAnsi="Times New Roman" w:cs="Times New Roman"/>
          <w:sz w:val="23"/>
          <w:szCs w:val="23"/>
        </w:rPr>
        <w:t>’</w:t>
      </w:r>
      <w:r w:rsidR="009F2943" w:rsidRPr="00AB5BCB">
        <w:rPr>
          <w:rFonts w:ascii="Times New Roman" w:hAnsi="Times New Roman" w:cs="Times New Roman"/>
          <w:sz w:val="23"/>
          <w:szCs w:val="23"/>
        </w:rPr>
        <w:t xml:space="preserve">s overview of the extraterritorial dimensions of the duty to protect human rights. This position is consistent with a number of UN Treaty Bodies </w:t>
      </w:r>
      <w:r w:rsidR="009F2943" w:rsidRPr="00AB5BCB">
        <w:rPr>
          <w:rFonts w:ascii="Times New Roman" w:hAnsi="Times New Roman" w:cs="Times New Roman"/>
          <w:sz w:val="23"/>
          <w:szCs w:val="23"/>
        </w:rPr>
        <w:lastRenderedPageBreak/>
        <w:t>and the Maastricht Principles.</w:t>
      </w:r>
      <w:r w:rsidR="001258C9" w:rsidRPr="00AB5BCB">
        <w:rPr>
          <w:rStyle w:val="FootnoteReference"/>
          <w:rFonts w:ascii="Times New Roman" w:hAnsi="Times New Roman" w:cs="Times New Roman"/>
          <w:sz w:val="23"/>
          <w:szCs w:val="23"/>
        </w:rPr>
        <w:footnoteReference w:id="12"/>
      </w:r>
      <w:r w:rsidR="009F2943" w:rsidRPr="00AB5BCB">
        <w:rPr>
          <w:rFonts w:ascii="Times New Roman" w:hAnsi="Times New Roman" w:cs="Times New Roman"/>
          <w:sz w:val="23"/>
          <w:szCs w:val="23"/>
        </w:rPr>
        <w:t xml:space="preserve"> </w:t>
      </w:r>
      <w:r w:rsidR="00C320FE" w:rsidRPr="00AB5BCB">
        <w:rPr>
          <w:rFonts w:ascii="Times New Roman" w:hAnsi="Times New Roman" w:cs="Times New Roman"/>
          <w:sz w:val="23"/>
          <w:szCs w:val="23"/>
        </w:rPr>
        <w:t>In discussing the extraterritorial obligation to respect, p</w:t>
      </w:r>
      <w:r w:rsidR="0067365D" w:rsidRPr="00AB5BCB">
        <w:rPr>
          <w:rFonts w:ascii="Times New Roman" w:hAnsi="Times New Roman" w:cs="Times New Roman"/>
          <w:sz w:val="23"/>
          <w:szCs w:val="23"/>
        </w:rPr>
        <w:t>aragraph 37 establishes that “</w:t>
      </w:r>
      <w:r w:rsidR="008153F7" w:rsidRPr="00AB5BCB">
        <w:rPr>
          <w:rFonts w:ascii="Times New Roman" w:hAnsi="Times New Roman" w:cs="Times New Roman"/>
          <w:sz w:val="23"/>
          <w:szCs w:val="23"/>
        </w:rPr>
        <w:t>Whereas</w:t>
      </w:r>
      <w:r w:rsidR="0067365D" w:rsidRPr="00AB5BCB">
        <w:rPr>
          <w:rFonts w:ascii="Times New Roman" w:hAnsi="Times New Roman" w:cs="Times New Roman"/>
          <w:sz w:val="23"/>
          <w:szCs w:val="23"/>
        </w:rPr>
        <w:t xml:space="preserve"> State Parties would not normally be held internationally responsible for any violation of [ESC] rights which is caused directly by a private entity’s conduct, it would be a breach of its obligations under the Covenant if the violation reveals its failure to take reasonable measures that could have prevented the occurrence of the event.” </w:t>
      </w:r>
      <w:r w:rsidR="0099738F" w:rsidRPr="00AB5BCB">
        <w:rPr>
          <w:rFonts w:ascii="Times New Roman" w:hAnsi="Times New Roman" w:cs="Times New Roman"/>
          <w:sz w:val="23"/>
          <w:szCs w:val="23"/>
        </w:rPr>
        <w:t>In recognition of the current state of international law regarding extraterritorial obligations of</w:t>
      </w:r>
      <w:r w:rsidR="00C320FE" w:rsidRPr="00AB5BCB">
        <w:rPr>
          <w:rFonts w:ascii="Times New Roman" w:hAnsi="Times New Roman" w:cs="Times New Roman"/>
          <w:sz w:val="23"/>
          <w:szCs w:val="23"/>
        </w:rPr>
        <w:t xml:space="preserve"> States to protect human rights, and in line with the affirmation in paragraph 17 that the obligation to respect requires States to “ensure businesses conduct due diligence in order not to impede Covenant rights,” </w:t>
      </w:r>
      <w:r w:rsidR="0099738F" w:rsidRPr="00AB5BCB">
        <w:rPr>
          <w:rFonts w:ascii="Times New Roman" w:hAnsi="Times New Roman" w:cs="Times New Roman"/>
          <w:sz w:val="23"/>
          <w:szCs w:val="23"/>
        </w:rPr>
        <w:t xml:space="preserve">the language in </w:t>
      </w:r>
      <w:r w:rsidR="00B6076C" w:rsidRPr="00AB5BCB">
        <w:rPr>
          <w:rFonts w:ascii="Times New Roman" w:hAnsi="Times New Roman" w:cs="Times New Roman"/>
          <w:sz w:val="23"/>
          <w:szCs w:val="23"/>
        </w:rPr>
        <w:t xml:space="preserve">paragraph </w:t>
      </w:r>
      <w:r w:rsidR="0099738F" w:rsidRPr="00AB5BCB">
        <w:rPr>
          <w:rFonts w:ascii="Times New Roman" w:hAnsi="Times New Roman" w:cs="Times New Roman"/>
          <w:sz w:val="23"/>
          <w:szCs w:val="23"/>
        </w:rPr>
        <w:t xml:space="preserve">38 should be strengthened by confirming that States </w:t>
      </w:r>
      <w:r w:rsidR="0041519D" w:rsidRPr="00AB5BCB">
        <w:rPr>
          <w:rFonts w:ascii="Times New Roman" w:hAnsi="Times New Roman" w:cs="Times New Roman"/>
          <w:b/>
          <w:sz w:val="23"/>
          <w:szCs w:val="23"/>
        </w:rPr>
        <w:t>must</w:t>
      </w:r>
      <w:r w:rsidR="0099738F" w:rsidRPr="00AB5BCB">
        <w:rPr>
          <w:rFonts w:ascii="Times New Roman" w:hAnsi="Times New Roman" w:cs="Times New Roman"/>
          <w:sz w:val="23"/>
          <w:szCs w:val="23"/>
        </w:rPr>
        <w:t>,</w:t>
      </w:r>
      <w:r w:rsidR="0099738F" w:rsidRPr="00AB5BCB">
        <w:rPr>
          <w:rFonts w:ascii="Times New Roman" w:hAnsi="Times New Roman" w:cs="Times New Roman"/>
          <w:b/>
          <w:sz w:val="23"/>
          <w:szCs w:val="23"/>
        </w:rPr>
        <w:t xml:space="preserve"> </w:t>
      </w:r>
      <w:r w:rsidR="0099738F" w:rsidRPr="00AB5BCB">
        <w:rPr>
          <w:rFonts w:ascii="Times New Roman" w:hAnsi="Times New Roman" w:cs="Times New Roman"/>
          <w:sz w:val="23"/>
          <w:szCs w:val="23"/>
        </w:rPr>
        <w:t>not may,</w:t>
      </w:r>
      <w:r w:rsidR="0041519D" w:rsidRPr="00AB5BCB">
        <w:rPr>
          <w:rFonts w:ascii="Times New Roman" w:hAnsi="Times New Roman" w:cs="Times New Roman"/>
          <w:sz w:val="23"/>
          <w:szCs w:val="23"/>
        </w:rPr>
        <w:t xml:space="preserve"> require </w:t>
      </w:r>
      <w:r w:rsidR="00A262AA" w:rsidRPr="00AB5BCB">
        <w:rPr>
          <w:rFonts w:ascii="Times New Roman" w:hAnsi="Times New Roman" w:cs="Times New Roman"/>
          <w:sz w:val="23"/>
          <w:szCs w:val="23"/>
        </w:rPr>
        <w:t xml:space="preserve">businesses conduct </w:t>
      </w:r>
      <w:r w:rsidR="0041519D" w:rsidRPr="00AB5BCB">
        <w:rPr>
          <w:rFonts w:ascii="Times New Roman" w:hAnsi="Times New Roman" w:cs="Times New Roman"/>
          <w:sz w:val="23"/>
          <w:szCs w:val="23"/>
        </w:rPr>
        <w:t>due dilige</w:t>
      </w:r>
      <w:r w:rsidR="00A262AA" w:rsidRPr="00AB5BCB">
        <w:rPr>
          <w:rFonts w:ascii="Times New Roman" w:hAnsi="Times New Roman" w:cs="Times New Roman"/>
          <w:sz w:val="23"/>
          <w:szCs w:val="23"/>
        </w:rPr>
        <w:t xml:space="preserve">nce </w:t>
      </w:r>
      <w:r w:rsidR="00A262AA" w:rsidRPr="00AB5BCB">
        <w:rPr>
          <w:rFonts w:ascii="Times New Roman" w:eastAsia="Verdana" w:hAnsi="Times New Roman" w:cs="Times New Roman"/>
          <w:color w:val="000000"/>
          <w:sz w:val="23"/>
          <w:szCs w:val="23"/>
          <w:u w:color="000000"/>
          <w:bdr w:val="nil"/>
          <w:lang w:eastAsia="fr-CH"/>
        </w:rPr>
        <w:t>to ensure that related entities, such as subsidiaries, suppliers, franchisees, or investors, comply with the requirements under the Covenant.</w:t>
      </w:r>
    </w:p>
    <w:p w14:paraId="6DED59E1" w14:textId="77777777" w:rsidR="0041519D" w:rsidRPr="00AB5BCB" w:rsidRDefault="0041519D" w:rsidP="003A040E">
      <w:pPr>
        <w:jc w:val="both"/>
        <w:rPr>
          <w:rFonts w:ascii="Times New Roman" w:hAnsi="Times New Roman" w:cs="Times New Roman"/>
          <w:sz w:val="23"/>
          <w:szCs w:val="23"/>
        </w:rPr>
      </w:pPr>
    </w:p>
    <w:p w14:paraId="6652E80A" w14:textId="3FC27D54" w:rsidR="00195B15" w:rsidRPr="00AB5BCB" w:rsidRDefault="00CC65D8" w:rsidP="0017015C">
      <w:pPr>
        <w:tabs>
          <w:tab w:val="left" w:pos="1440"/>
        </w:tabs>
        <w:jc w:val="both"/>
        <w:rPr>
          <w:rFonts w:ascii="Times New Roman" w:hAnsi="Times New Roman" w:cs="Times New Roman"/>
          <w:sz w:val="23"/>
          <w:szCs w:val="23"/>
        </w:rPr>
      </w:pPr>
      <w:r w:rsidRPr="00AB5BCB">
        <w:rPr>
          <w:rFonts w:ascii="Times New Roman" w:hAnsi="Times New Roman" w:cs="Times New Roman"/>
          <w:sz w:val="23"/>
          <w:szCs w:val="23"/>
        </w:rPr>
        <w:t>11</w:t>
      </w:r>
      <w:r w:rsidR="0041519D" w:rsidRPr="00AB5BCB">
        <w:rPr>
          <w:rFonts w:ascii="Times New Roman" w:hAnsi="Times New Roman" w:cs="Times New Roman"/>
          <w:sz w:val="23"/>
          <w:szCs w:val="23"/>
        </w:rPr>
        <w:t xml:space="preserve">. </w:t>
      </w:r>
      <w:r w:rsidR="00D402C5" w:rsidRPr="00AB5BCB">
        <w:rPr>
          <w:rFonts w:ascii="Times New Roman" w:hAnsi="Times New Roman" w:cs="Times New Roman"/>
          <w:sz w:val="23"/>
          <w:szCs w:val="23"/>
        </w:rPr>
        <w:t>Governments procure goods and services via supply chains in which serious</w:t>
      </w:r>
      <w:r w:rsidR="001E1AFA" w:rsidRPr="00AB5BCB">
        <w:rPr>
          <w:rFonts w:ascii="Times New Roman" w:hAnsi="Times New Roman" w:cs="Times New Roman"/>
          <w:sz w:val="23"/>
          <w:szCs w:val="23"/>
        </w:rPr>
        <w:t xml:space="preserve"> </w:t>
      </w:r>
      <w:r w:rsidR="00D402C5" w:rsidRPr="00AB5BCB">
        <w:rPr>
          <w:rFonts w:ascii="Times New Roman" w:hAnsi="Times New Roman" w:cs="Times New Roman"/>
          <w:sz w:val="23"/>
          <w:szCs w:val="23"/>
        </w:rPr>
        <w:t>human rights abuses are widespread, and in recent years the implication of public buyers in such abuses has been frequently documented. The UNGPs make clear that the State duty to protect extends to situations where</w:t>
      </w:r>
      <w:r w:rsidR="000A6AF3" w:rsidRPr="00AB5BCB">
        <w:rPr>
          <w:rFonts w:ascii="Times New Roman" w:hAnsi="Times New Roman" w:cs="Times New Roman"/>
          <w:sz w:val="23"/>
          <w:szCs w:val="23"/>
        </w:rPr>
        <w:t xml:space="preserve"> there is a</w:t>
      </w:r>
      <w:r w:rsidR="00D402C5" w:rsidRPr="00AB5BCB">
        <w:rPr>
          <w:rFonts w:ascii="Times New Roman" w:hAnsi="Times New Roman" w:cs="Times New Roman"/>
          <w:sz w:val="23"/>
          <w:szCs w:val="23"/>
        </w:rPr>
        <w:t xml:space="preserve"> commercial “nexus” between public actors and business</w:t>
      </w:r>
      <w:r w:rsidR="000A6AF3" w:rsidRPr="00AB5BCB">
        <w:rPr>
          <w:rFonts w:ascii="Times New Roman" w:hAnsi="Times New Roman" w:cs="Times New Roman"/>
          <w:sz w:val="23"/>
          <w:szCs w:val="23"/>
        </w:rPr>
        <w:t>.</w:t>
      </w:r>
      <w:r w:rsidR="00D402C5" w:rsidRPr="00AB5BCB">
        <w:rPr>
          <w:rFonts w:ascii="Times New Roman" w:hAnsi="Times New Roman" w:cs="Times New Roman"/>
          <w:sz w:val="23"/>
          <w:szCs w:val="23"/>
        </w:rPr>
        <w:t xml:space="preserve"> </w:t>
      </w:r>
      <w:r w:rsidR="000A6AF3" w:rsidRPr="00AB5BCB">
        <w:rPr>
          <w:rFonts w:ascii="Times New Roman" w:hAnsi="Times New Roman" w:cs="Times New Roman"/>
          <w:sz w:val="23"/>
          <w:szCs w:val="23"/>
        </w:rPr>
        <w:t>S</w:t>
      </w:r>
      <w:r w:rsidR="00D402C5" w:rsidRPr="00AB5BCB">
        <w:rPr>
          <w:rFonts w:ascii="Times New Roman" w:hAnsi="Times New Roman" w:cs="Times New Roman"/>
          <w:sz w:val="23"/>
          <w:szCs w:val="23"/>
        </w:rPr>
        <w:t>uch</w:t>
      </w:r>
      <w:r w:rsidR="00B6076C" w:rsidRPr="00AB5BCB">
        <w:rPr>
          <w:rFonts w:ascii="Times New Roman" w:hAnsi="Times New Roman" w:cs="Times New Roman"/>
          <w:sz w:val="23"/>
          <w:szCs w:val="23"/>
        </w:rPr>
        <w:t xml:space="preserve"> a</w:t>
      </w:r>
      <w:r w:rsidR="00D402C5" w:rsidRPr="00AB5BCB">
        <w:rPr>
          <w:rFonts w:ascii="Times New Roman" w:hAnsi="Times New Roman" w:cs="Times New Roman"/>
          <w:sz w:val="23"/>
          <w:szCs w:val="23"/>
        </w:rPr>
        <w:t xml:space="preserve"> </w:t>
      </w:r>
      <w:r w:rsidR="000A6AF3" w:rsidRPr="00AB5BCB">
        <w:rPr>
          <w:rFonts w:ascii="Times New Roman" w:hAnsi="Times New Roman" w:cs="Times New Roman"/>
          <w:sz w:val="23"/>
          <w:szCs w:val="23"/>
        </w:rPr>
        <w:t xml:space="preserve">nexus exists </w:t>
      </w:r>
      <w:r w:rsidR="00D402C5" w:rsidRPr="00AB5BCB">
        <w:rPr>
          <w:rFonts w:ascii="Times New Roman" w:hAnsi="Times New Roman" w:cs="Times New Roman"/>
          <w:sz w:val="23"/>
          <w:szCs w:val="23"/>
        </w:rPr>
        <w:t>when government bodies purchase goods and services through public procurement</w:t>
      </w:r>
      <w:r w:rsidR="00B6076C" w:rsidRPr="00AB5BCB">
        <w:rPr>
          <w:rFonts w:ascii="Times New Roman" w:hAnsi="Times New Roman" w:cs="Times New Roman"/>
          <w:sz w:val="23"/>
          <w:szCs w:val="23"/>
        </w:rPr>
        <w:t xml:space="preserve"> and in connection with “contracting-out” and privatization</w:t>
      </w:r>
      <w:r w:rsidR="00D402C5" w:rsidRPr="00AB5BCB">
        <w:rPr>
          <w:rFonts w:ascii="Times New Roman" w:hAnsi="Times New Roman" w:cs="Times New Roman"/>
          <w:sz w:val="23"/>
          <w:szCs w:val="23"/>
        </w:rPr>
        <w:t>.</w:t>
      </w:r>
      <w:r w:rsidR="00D402C5" w:rsidRPr="00AB5BCB">
        <w:rPr>
          <w:rStyle w:val="FootnoteReference"/>
          <w:rFonts w:ascii="Times New Roman" w:hAnsi="Times New Roman" w:cs="Times New Roman"/>
          <w:sz w:val="23"/>
          <w:szCs w:val="23"/>
        </w:rPr>
        <w:footnoteReference w:id="13"/>
      </w:r>
      <w:r w:rsidR="00D402C5" w:rsidRPr="00AB5BCB">
        <w:rPr>
          <w:rFonts w:ascii="Times New Roman" w:hAnsi="Times New Roman" w:cs="Times New Roman"/>
          <w:sz w:val="23"/>
          <w:szCs w:val="23"/>
        </w:rPr>
        <w:t xml:space="preserve"> </w:t>
      </w:r>
      <w:r w:rsidR="00DD27FB" w:rsidRPr="00AB5BCB">
        <w:rPr>
          <w:rFonts w:ascii="Times New Roman" w:hAnsi="Times New Roman" w:cs="Times New Roman"/>
          <w:sz w:val="23"/>
          <w:szCs w:val="23"/>
        </w:rPr>
        <w:t xml:space="preserve"> </w:t>
      </w:r>
      <w:r w:rsidR="00D402C5" w:rsidRPr="00AB5BCB">
        <w:rPr>
          <w:rFonts w:ascii="Times New Roman" w:hAnsi="Times New Roman" w:cs="Times New Roman"/>
          <w:sz w:val="23"/>
          <w:szCs w:val="23"/>
        </w:rPr>
        <w:t>ICAR</w:t>
      </w:r>
      <w:r w:rsidR="00085945">
        <w:rPr>
          <w:rFonts w:ascii="Times New Roman" w:hAnsi="Times New Roman" w:cs="Times New Roman"/>
          <w:sz w:val="23"/>
          <w:szCs w:val="23"/>
        </w:rPr>
        <w:t xml:space="preserve">, </w:t>
      </w:r>
      <w:r w:rsidR="004659C4" w:rsidRPr="00AB5BCB">
        <w:rPr>
          <w:rFonts w:ascii="Times New Roman" w:hAnsi="Times New Roman" w:cs="Times New Roman"/>
          <w:sz w:val="23"/>
          <w:szCs w:val="23"/>
        </w:rPr>
        <w:t>ICCR</w:t>
      </w:r>
      <w:r w:rsidR="00085945">
        <w:rPr>
          <w:rFonts w:ascii="Times New Roman" w:hAnsi="Times New Roman" w:cs="Times New Roman"/>
          <w:sz w:val="23"/>
          <w:szCs w:val="23"/>
        </w:rPr>
        <w:t>, and DPLF</w:t>
      </w:r>
      <w:r w:rsidR="00D402C5" w:rsidRPr="00AB5BCB">
        <w:rPr>
          <w:rFonts w:ascii="Times New Roman" w:hAnsi="Times New Roman" w:cs="Times New Roman"/>
          <w:sz w:val="23"/>
          <w:szCs w:val="23"/>
        </w:rPr>
        <w:t xml:space="preserve"> therefore call for </w:t>
      </w:r>
      <w:r w:rsidR="000A6AF3" w:rsidRPr="00AB5BCB">
        <w:rPr>
          <w:rFonts w:ascii="Times New Roman" w:hAnsi="Times New Roman" w:cs="Times New Roman"/>
          <w:sz w:val="23"/>
          <w:szCs w:val="23"/>
        </w:rPr>
        <w:t xml:space="preserve">the draft Comment </w:t>
      </w:r>
      <w:r w:rsidR="00D402C5" w:rsidRPr="00AB5BCB">
        <w:rPr>
          <w:rFonts w:ascii="Times New Roman" w:hAnsi="Times New Roman" w:cs="Times New Roman"/>
          <w:sz w:val="23"/>
          <w:szCs w:val="23"/>
        </w:rPr>
        <w:t xml:space="preserve">to </w:t>
      </w:r>
      <w:r w:rsidR="004143A4" w:rsidRPr="00AB5BCB">
        <w:rPr>
          <w:rFonts w:ascii="Times New Roman" w:hAnsi="Times New Roman" w:cs="Times New Roman"/>
          <w:sz w:val="23"/>
          <w:szCs w:val="23"/>
        </w:rPr>
        <w:t>include stronger language around the State obligation to protect human rights in its own supply chain</w:t>
      </w:r>
      <w:r w:rsidR="00C80D44" w:rsidRPr="00AB5BCB">
        <w:rPr>
          <w:rFonts w:ascii="Times New Roman" w:hAnsi="Times New Roman" w:cs="Times New Roman"/>
          <w:sz w:val="23"/>
          <w:szCs w:val="23"/>
        </w:rPr>
        <w:t>s</w:t>
      </w:r>
      <w:r w:rsidR="00B90700" w:rsidRPr="00AB5BCB">
        <w:rPr>
          <w:rFonts w:ascii="Times New Roman" w:hAnsi="Times New Roman" w:cs="Times New Roman"/>
          <w:sz w:val="23"/>
          <w:szCs w:val="23"/>
        </w:rPr>
        <w:t xml:space="preserve">. </w:t>
      </w:r>
      <w:r w:rsidR="00195B15" w:rsidRPr="00AB5BCB">
        <w:rPr>
          <w:rFonts w:ascii="Times New Roman" w:hAnsi="Times New Roman" w:cs="Times New Roman"/>
          <w:sz w:val="23"/>
          <w:szCs w:val="23"/>
        </w:rPr>
        <w:t xml:space="preserve">This could be achieved by confirming </w:t>
      </w:r>
      <w:r w:rsidR="00BE1425" w:rsidRPr="00AB5BCB">
        <w:rPr>
          <w:rFonts w:ascii="Times New Roman" w:hAnsi="Times New Roman" w:cs="Times New Roman"/>
          <w:sz w:val="23"/>
          <w:szCs w:val="23"/>
        </w:rPr>
        <w:t>that the</w:t>
      </w:r>
      <w:r w:rsidR="004C1559" w:rsidRPr="00AB5BCB">
        <w:rPr>
          <w:rFonts w:ascii="Times New Roman" w:hAnsi="Times New Roman" w:cs="Times New Roman"/>
          <w:sz w:val="23"/>
          <w:szCs w:val="23"/>
        </w:rPr>
        <w:t xml:space="preserve"> S</w:t>
      </w:r>
      <w:r w:rsidR="00195B15" w:rsidRPr="00AB5BCB">
        <w:rPr>
          <w:rFonts w:ascii="Times New Roman" w:hAnsi="Times New Roman" w:cs="Times New Roman"/>
          <w:sz w:val="23"/>
          <w:szCs w:val="23"/>
        </w:rPr>
        <w:t xml:space="preserve">tate duty to protect </w:t>
      </w:r>
      <w:r w:rsidR="004C1559" w:rsidRPr="00AB5BCB">
        <w:rPr>
          <w:rFonts w:ascii="Times New Roman" w:hAnsi="Times New Roman" w:cs="Times New Roman"/>
          <w:sz w:val="23"/>
          <w:szCs w:val="23"/>
        </w:rPr>
        <w:t>requires States</w:t>
      </w:r>
      <w:r w:rsidR="0035475F" w:rsidRPr="00AB5BCB">
        <w:rPr>
          <w:rFonts w:ascii="Times New Roman" w:hAnsi="Times New Roman" w:cs="Times New Roman"/>
          <w:sz w:val="23"/>
          <w:szCs w:val="23"/>
        </w:rPr>
        <w:t xml:space="preserve"> </w:t>
      </w:r>
      <w:r w:rsidR="004C1559" w:rsidRPr="00AB5BCB">
        <w:rPr>
          <w:rFonts w:ascii="Times New Roman" w:hAnsi="Times New Roman" w:cs="Times New Roman"/>
          <w:sz w:val="23"/>
          <w:szCs w:val="23"/>
        </w:rPr>
        <w:t>to take</w:t>
      </w:r>
      <w:r w:rsidR="004C1559" w:rsidRPr="00AB5BCB">
        <w:rPr>
          <w:rFonts w:ascii="Times New Roman" w:hAnsi="Times New Roman" w:cs="Times New Roman"/>
          <w:sz w:val="23"/>
          <w:szCs w:val="23"/>
        </w:rPr>
        <w:tab/>
        <w:t xml:space="preserve"> human rights</w:t>
      </w:r>
      <w:r w:rsidR="0035475F" w:rsidRPr="00AB5BCB">
        <w:rPr>
          <w:rFonts w:ascii="Times New Roman" w:hAnsi="Times New Roman" w:cs="Times New Roman"/>
          <w:sz w:val="23"/>
          <w:szCs w:val="23"/>
        </w:rPr>
        <w:t xml:space="preserve"> </w:t>
      </w:r>
      <w:r w:rsidR="004C1559" w:rsidRPr="00AB5BCB">
        <w:rPr>
          <w:rFonts w:ascii="Times New Roman" w:hAnsi="Times New Roman" w:cs="Times New Roman"/>
          <w:sz w:val="23"/>
          <w:szCs w:val="23"/>
        </w:rPr>
        <w:t xml:space="preserve">into </w:t>
      </w:r>
      <w:r w:rsidR="00DD27FB" w:rsidRPr="00AB5BCB">
        <w:rPr>
          <w:rFonts w:ascii="Times New Roman" w:hAnsi="Times New Roman" w:cs="Times New Roman"/>
          <w:sz w:val="23"/>
          <w:szCs w:val="23"/>
        </w:rPr>
        <w:t>consideration</w:t>
      </w:r>
      <w:r w:rsidR="0035475F" w:rsidRPr="00AB5BCB">
        <w:rPr>
          <w:rFonts w:ascii="Times New Roman" w:hAnsi="Times New Roman" w:cs="Times New Roman"/>
          <w:sz w:val="23"/>
          <w:szCs w:val="23"/>
        </w:rPr>
        <w:t xml:space="preserve"> </w:t>
      </w:r>
      <w:r w:rsidR="00DD27FB" w:rsidRPr="00AB5BCB">
        <w:rPr>
          <w:rFonts w:ascii="Times New Roman" w:hAnsi="Times New Roman" w:cs="Times New Roman"/>
          <w:sz w:val="23"/>
          <w:szCs w:val="23"/>
        </w:rPr>
        <w:t xml:space="preserve">when </w:t>
      </w:r>
      <w:r w:rsidR="004C1559" w:rsidRPr="00AB5BCB">
        <w:rPr>
          <w:rFonts w:ascii="Times New Roman" w:hAnsi="Times New Roman" w:cs="Times New Roman"/>
          <w:sz w:val="23"/>
          <w:szCs w:val="23"/>
        </w:rPr>
        <w:t>making purchasing decisions, including by requiring contractors</w:t>
      </w:r>
      <w:r w:rsidR="00DD27FB" w:rsidRPr="00AB5BCB">
        <w:rPr>
          <w:rFonts w:ascii="Times New Roman" w:hAnsi="Times New Roman" w:cs="Times New Roman"/>
          <w:sz w:val="23"/>
          <w:szCs w:val="23"/>
        </w:rPr>
        <w:t>, operating domestically and abroad,</w:t>
      </w:r>
      <w:r w:rsidR="004C1559" w:rsidRPr="00AB5BCB">
        <w:rPr>
          <w:rFonts w:ascii="Times New Roman" w:hAnsi="Times New Roman" w:cs="Times New Roman"/>
          <w:sz w:val="23"/>
          <w:szCs w:val="23"/>
        </w:rPr>
        <w:t xml:space="preserve"> to conduct human rights due diligence and to disclose their supply chains.</w:t>
      </w:r>
      <w:r w:rsidR="004C1559" w:rsidRPr="00AB5BCB">
        <w:rPr>
          <w:rFonts w:ascii="Times New Roman" w:hAnsi="Times New Roman" w:cs="Times New Roman"/>
          <w:sz w:val="23"/>
          <w:szCs w:val="23"/>
        </w:rPr>
        <w:tab/>
      </w:r>
    </w:p>
    <w:p w14:paraId="10CB1654" w14:textId="77777777" w:rsidR="004D6687" w:rsidRPr="00AB5BCB" w:rsidRDefault="004D6687" w:rsidP="003A040E">
      <w:pPr>
        <w:jc w:val="both"/>
        <w:rPr>
          <w:rFonts w:ascii="Times New Roman" w:hAnsi="Times New Roman" w:cs="Times New Roman"/>
          <w:b/>
          <w:sz w:val="23"/>
          <w:szCs w:val="23"/>
        </w:rPr>
      </w:pPr>
    </w:p>
    <w:p w14:paraId="1FAF6C20" w14:textId="4D5DC07B" w:rsidR="004D6687" w:rsidRPr="00AB5BCB" w:rsidRDefault="009779F5" w:rsidP="003A040E">
      <w:pPr>
        <w:jc w:val="both"/>
        <w:rPr>
          <w:rFonts w:ascii="Times New Roman" w:hAnsi="Times New Roman" w:cs="Times New Roman"/>
          <w:b/>
          <w:sz w:val="23"/>
          <w:szCs w:val="23"/>
        </w:rPr>
      </w:pPr>
      <w:r w:rsidRPr="00AB5BCB">
        <w:rPr>
          <w:rFonts w:ascii="Times New Roman" w:hAnsi="Times New Roman" w:cs="Times New Roman"/>
          <w:b/>
          <w:sz w:val="23"/>
          <w:szCs w:val="23"/>
        </w:rPr>
        <w:t>Access to Remedy</w:t>
      </w:r>
    </w:p>
    <w:p w14:paraId="08704590" w14:textId="77777777" w:rsidR="002B1811" w:rsidRPr="00AB5BCB" w:rsidRDefault="002B1811" w:rsidP="003A040E">
      <w:pPr>
        <w:jc w:val="both"/>
        <w:rPr>
          <w:rFonts w:ascii="Times New Roman" w:hAnsi="Times New Roman" w:cs="Times New Roman"/>
          <w:b/>
          <w:sz w:val="23"/>
          <w:szCs w:val="23"/>
        </w:rPr>
      </w:pPr>
    </w:p>
    <w:p w14:paraId="11C9DB5F" w14:textId="533BD685" w:rsidR="00D1286E" w:rsidRPr="00AB5BCB" w:rsidRDefault="007646E2">
      <w:pPr>
        <w:jc w:val="both"/>
        <w:rPr>
          <w:rFonts w:ascii="Times New Roman" w:hAnsi="Times New Roman" w:cs="Times New Roman"/>
          <w:sz w:val="23"/>
          <w:szCs w:val="23"/>
        </w:rPr>
      </w:pPr>
      <w:r w:rsidRPr="00AB5BCB">
        <w:rPr>
          <w:rFonts w:ascii="Times New Roman" w:hAnsi="Times New Roman" w:cs="Times New Roman"/>
          <w:sz w:val="23"/>
          <w:szCs w:val="23"/>
        </w:rPr>
        <w:t xml:space="preserve">12. </w:t>
      </w:r>
      <w:r w:rsidR="000A6AF3" w:rsidRPr="00AB5BCB">
        <w:rPr>
          <w:rFonts w:ascii="Times New Roman" w:hAnsi="Times New Roman" w:cs="Times New Roman"/>
          <w:sz w:val="23"/>
          <w:szCs w:val="23"/>
        </w:rPr>
        <w:t>The draft Comment</w:t>
      </w:r>
      <w:r w:rsidR="004D6687" w:rsidRPr="00AB5BCB">
        <w:rPr>
          <w:rFonts w:ascii="Times New Roman" w:hAnsi="Times New Roman" w:cs="Times New Roman"/>
          <w:sz w:val="23"/>
          <w:szCs w:val="23"/>
        </w:rPr>
        <w:t xml:space="preserve"> rightly focuses on the “particular challenges that victims of transnational abuses committed by business face in accessing </w:t>
      </w:r>
      <w:r w:rsidR="00636E81" w:rsidRPr="00AB5BCB">
        <w:rPr>
          <w:rFonts w:ascii="Times New Roman" w:hAnsi="Times New Roman" w:cs="Times New Roman"/>
          <w:sz w:val="23"/>
          <w:szCs w:val="23"/>
        </w:rPr>
        <w:t xml:space="preserve">available and effective remedy.” </w:t>
      </w:r>
      <w:r w:rsidR="004D6687" w:rsidRPr="00AB5BCB">
        <w:rPr>
          <w:rFonts w:ascii="Times New Roman" w:hAnsi="Times New Roman" w:cs="Times New Roman"/>
          <w:sz w:val="23"/>
          <w:szCs w:val="23"/>
        </w:rPr>
        <w:t>I</w:t>
      </w:r>
      <w:r w:rsidR="00617370" w:rsidRPr="00AB5BCB">
        <w:rPr>
          <w:rFonts w:ascii="Times New Roman" w:hAnsi="Times New Roman" w:cs="Times New Roman"/>
          <w:sz w:val="23"/>
          <w:szCs w:val="23"/>
        </w:rPr>
        <w:t>n 2014, I</w:t>
      </w:r>
      <w:r w:rsidR="004D6687" w:rsidRPr="00AB5BCB">
        <w:rPr>
          <w:rFonts w:ascii="Times New Roman" w:hAnsi="Times New Roman" w:cs="Times New Roman"/>
          <w:sz w:val="23"/>
          <w:szCs w:val="23"/>
        </w:rPr>
        <w:t>CAR, together with the CORE Coalition and the European Coalition fo</w:t>
      </w:r>
      <w:r w:rsidR="00A41B97" w:rsidRPr="00AB5BCB">
        <w:rPr>
          <w:rFonts w:ascii="Times New Roman" w:hAnsi="Times New Roman" w:cs="Times New Roman"/>
          <w:sz w:val="23"/>
          <w:szCs w:val="23"/>
        </w:rPr>
        <w:t>r Corpo</w:t>
      </w:r>
      <w:r w:rsidR="00617370" w:rsidRPr="00AB5BCB">
        <w:rPr>
          <w:rFonts w:ascii="Times New Roman" w:hAnsi="Times New Roman" w:cs="Times New Roman"/>
          <w:sz w:val="23"/>
          <w:szCs w:val="23"/>
        </w:rPr>
        <w:t xml:space="preserve">rate Justice (ECCJ) conducted an analysis of the major barriers to accessing remedy for transnational violations of human rights. </w:t>
      </w:r>
      <w:r w:rsidR="00D1286E" w:rsidRPr="00AB5BCB">
        <w:rPr>
          <w:rFonts w:ascii="Times New Roman" w:hAnsi="Times New Roman" w:cs="Times New Roman"/>
          <w:sz w:val="23"/>
          <w:szCs w:val="23"/>
        </w:rPr>
        <w:t xml:space="preserve">The </w:t>
      </w:r>
      <w:r w:rsidR="00D1286E" w:rsidRPr="00AB5BCB">
        <w:rPr>
          <w:rFonts w:ascii="Times New Roman" w:hAnsi="Times New Roman" w:cs="Times New Roman"/>
          <w:i/>
          <w:sz w:val="23"/>
          <w:szCs w:val="23"/>
        </w:rPr>
        <w:t>Third Pillar Report</w:t>
      </w:r>
      <w:r w:rsidR="00D1286E" w:rsidRPr="00AB5BCB">
        <w:rPr>
          <w:rFonts w:ascii="Times New Roman" w:hAnsi="Times New Roman" w:cs="Times New Roman"/>
          <w:sz w:val="23"/>
          <w:szCs w:val="23"/>
        </w:rPr>
        <w:t xml:space="preserve"> found that States are generally not fulfilling their obligations to ensure access to effective judicial remedies. A number of barriers to effective remedy identified in the report include: the doctrine of limited liability for corporations</w:t>
      </w:r>
      <w:r w:rsidR="00343D61" w:rsidRPr="00AB5BCB">
        <w:rPr>
          <w:rFonts w:ascii="Times New Roman" w:hAnsi="Times New Roman" w:cs="Times New Roman"/>
          <w:sz w:val="23"/>
          <w:szCs w:val="23"/>
        </w:rPr>
        <w:t xml:space="preserve"> and </w:t>
      </w:r>
      <w:r w:rsidR="00343D61" w:rsidRPr="00AB5BCB">
        <w:rPr>
          <w:rFonts w:ascii="Times New Roman" w:hAnsi="Times New Roman" w:cs="Times New Roman"/>
          <w:i/>
          <w:sz w:val="23"/>
          <w:szCs w:val="23"/>
        </w:rPr>
        <w:t>forum non conveniens</w:t>
      </w:r>
      <w:r w:rsidR="00D1286E" w:rsidRPr="00AB5BCB">
        <w:rPr>
          <w:rFonts w:ascii="Times New Roman" w:hAnsi="Times New Roman" w:cs="Times New Roman"/>
          <w:sz w:val="23"/>
          <w:szCs w:val="23"/>
        </w:rPr>
        <w:t xml:space="preserve">; time limitations on bringing claims; immunities and non-justiciability doctrines; evidentiary burdens on claimants, particularly in relation to transnational litigation; </w:t>
      </w:r>
      <w:r w:rsidR="00343D61" w:rsidRPr="00AB5BCB">
        <w:rPr>
          <w:rFonts w:ascii="Times New Roman" w:hAnsi="Times New Roman" w:cs="Times New Roman"/>
          <w:sz w:val="23"/>
          <w:szCs w:val="23"/>
        </w:rPr>
        <w:t xml:space="preserve">discovery rules; </w:t>
      </w:r>
      <w:r w:rsidR="00D1286E" w:rsidRPr="00AB5BCB">
        <w:rPr>
          <w:rFonts w:ascii="Times New Roman" w:hAnsi="Times New Roman" w:cs="Times New Roman"/>
          <w:sz w:val="23"/>
          <w:szCs w:val="23"/>
        </w:rPr>
        <w:t>and limitations on collective redress mechanisms.</w:t>
      </w:r>
      <w:r w:rsidR="001806AD" w:rsidRPr="00AB5BCB">
        <w:rPr>
          <w:rStyle w:val="FootnoteReference"/>
          <w:rFonts w:ascii="Times New Roman" w:hAnsi="Times New Roman" w:cs="Times New Roman"/>
          <w:sz w:val="23"/>
          <w:szCs w:val="23"/>
        </w:rPr>
        <w:footnoteReference w:id="14"/>
      </w:r>
      <w:r w:rsidR="000A6AF3" w:rsidRPr="00AB5BCB">
        <w:rPr>
          <w:rFonts w:ascii="Times New Roman" w:hAnsi="Times New Roman" w:cs="Times New Roman"/>
          <w:sz w:val="23"/>
          <w:szCs w:val="23"/>
        </w:rPr>
        <w:t xml:space="preserve"> </w:t>
      </w:r>
    </w:p>
    <w:p w14:paraId="5A72D59C" w14:textId="77777777" w:rsidR="00D1286E" w:rsidRPr="00AB5BCB" w:rsidRDefault="00D1286E">
      <w:pPr>
        <w:jc w:val="both"/>
        <w:rPr>
          <w:rFonts w:ascii="Times New Roman" w:hAnsi="Times New Roman" w:cs="Times New Roman"/>
          <w:sz w:val="23"/>
          <w:szCs w:val="23"/>
        </w:rPr>
      </w:pPr>
    </w:p>
    <w:p w14:paraId="27D3BF99" w14:textId="73C44A04" w:rsidR="004D6687" w:rsidRPr="00AB5BCB" w:rsidRDefault="00D1286E">
      <w:pPr>
        <w:jc w:val="both"/>
        <w:rPr>
          <w:rFonts w:ascii="Times New Roman" w:hAnsi="Times New Roman" w:cs="Times New Roman"/>
          <w:sz w:val="23"/>
          <w:szCs w:val="23"/>
        </w:rPr>
      </w:pPr>
      <w:r w:rsidRPr="00AB5BCB">
        <w:rPr>
          <w:rFonts w:ascii="Times New Roman" w:hAnsi="Times New Roman" w:cs="Times New Roman"/>
          <w:sz w:val="23"/>
          <w:szCs w:val="23"/>
        </w:rPr>
        <w:t xml:space="preserve">13. </w:t>
      </w:r>
      <w:r w:rsidR="001F4232">
        <w:rPr>
          <w:rFonts w:ascii="Times New Roman" w:hAnsi="Times New Roman" w:cs="Times New Roman"/>
          <w:sz w:val="23"/>
          <w:szCs w:val="23"/>
        </w:rPr>
        <w:t>ICAR, ICCR, and DPLF</w:t>
      </w:r>
      <w:r w:rsidR="00617370" w:rsidRPr="00AB5BCB">
        <w:rPr>
          <w:rFonts w:ascii="Times New Roman" w:hAnsi="Times New Roman" w:cs="Times New Roman"/>
          <w:sz w:val="23"/>
          <w:szCs w:val="23"/>
        </w:rPr>
        <w:t xml:space="preserve"> commend the draft Comment for recognizing a number of the major </w:t>
      </w:r>
      <w:r w:rsidR="00DB67AC" w:rsidRPr="00AB5BCB">
        <w:rPr>
          <w:rFonts w:ascii="Times New Roman" w:hAnsi="Times New Roman" w:cs="Times New Roman"/>
          <w:sz w:val="23"/>
          <w:szCs w:val="23"/>
        </w:rPr>
        <w:t xml:space="preserve">procedural, practical and substantive </w:t>
      </w:r>
      <w:r w:rsidR="00617370" w:rsidRPr="00AB5BCB">
        <w:rPr>
          <w:rFonts w:ascii="Times New Roman" w:hAnsi="Times New Roman" w:cs="Times New Roman"/>
          <w:sz w:val="23"/>
          <w:szCs w:val="23"/>
        </w:rPr>
        <w:t xml:space="preserve">barriers to </w:t>
      </w:r>
      <w:r w:rsidR="00636E81" w:rsidRPr="00AB5BCB">
        <w:rPr>
          <w:rFonts w:ascii="Times New Roman" w:hAnsi="Times New Roman" w:cs="Times New Roman"/>
          <w:sz w:val="23"/>
          <w:szCs w:val="23"/>
        </w:rPr>
        <w:t>remedy</w:t>
      </w:r>
      <w:r w:rsidR="00312C8E" w:rsidRPr="00AB5BCB">
        <w:rPr>
          <w:rFonts w:ascii="Times New Roman" w:hAnsi="Times New Roman" w:cs="Times New Roman"/>
          <w:sz w:val="23"/>
          <w:szCs w:val="23"/>
        </w:rPr>
        <w:t xml:space="preserve">, </w:t>
      </w:r>
      <w:r w:rsidR="003C6E1F" w:rsidRPr="00AB5BCB">
        <w:rPr>
          <w:rFonts w:ascii="Times New Roman" w:hAnsi="Times New Roman" w:cs="Times New Roman"/>
          <w:sz w:val="23"/>
          <w:szCs w:val="23"/>
        </w:rPr>
        <w:t xml:space="preserve">particularly in the context of cross-border cases. </w:t>
      </w:r>
      <w:r w:rsidR="001F4232">
        <w:rPr>
          <w:rFonts w:ascii="Times New Roman" w:hAnsi="Times New Roman" w:cs="Times New Roman"/>
          <w:sz w:val="23"/>
          <w:szCs w:val="23"/>
        </w:rPr>
        <w:t>ICAR, ICCR, and DPLF</w:t>
      </w:r>
      <w:r w:rsidR="003C6E1F" w:rsidRPr="00AB5BCB">
        <w:rPr>
          <w:rFonts w:ascii="Times New Roman" w:hAnsi="Times New Roman" w:cs="Times New Roman"/>
          <w:sz w:val="23"/>
          <w:szCs w:val="23"/>
        </w:rPr>
        <w:t xml:space="preserve"> </w:t>
      </w:r>
      <w:r w:rsidR="001F4232">
        <w:rPr>
          <w:rFonts w:ascii="Times New Roman" w:hAnsi="Times New Roman" w:cs="Times New Roman"/>
          <w:sz w:val="23"/>
          <w:szCs w:val="23"/>
        </w:rPr>
        <w:t>call</w:t>
      </w:r>
      <w:r w:rsidR="00DB67AC" w:rsidRPr="00AB5BCB">
        <w:rPr>
          <w:rFonts w:ascii="Times New Roman" w:hAnsi="Times New Roman" w:cs="Times New Roman"/>
          <w:sz w:val="23"/>
          <w:szCs w:val="23"/>
        </w:rPr>
        <w:t xml:space="preserve"> for the </w:t>
      </w:r>
      <w:r w:rsidR="00636E81" w:rsidRPr="00AB5BCB">
        <w:rPr>
          <w:rFonts w:ascii="Times New Roman" w:hAnsi="Times New Roman" w:cs="Times New Roman"/>
          <w:sz w:val="23"/>
          <w:szCs w:val="23"/>
        </w:rPr>
        <w:t xml:space="preserve">language </w:t>
      </w:r>
      <w:r w:rsidR="000345C0" w:rsidRPr="00AB5BCB">
        <w:rPr>
          <w:rFonts w:ascii="Times New Roman" w:hAnsi="Times New Roman" w:cs="Times New Roman"/>
          <w:sz w:val="23"/>
          <w:szCs w:val="23"/>
        </w:rPr>
        <w:t xml:space="preserve">around accessing remedy </w:t>
      </w:r>
      <w:r w:rsidR="00DB67AC" w:rsidRPr="00AB5BCB">
        <w:rPr>
          <w:rFonts w:ascii="Times New Roman" w:hAnsi="Times New Roman" w:cs="Times New Roman"/>
          <w:sz w:val="23"/>
          <w:szCs w:val="23"/>
        </w:rPr>
        <w:t>to be</w:t>
      </w:r>
      <w:r w:rsidR="00636E81" w:rsidRPr="00AB5BCB">
        <w:rPr>
          <w:rFonts w:ascii="Times New Roman" w:hAnsi="Times New Roman" w:cs="Times New Roman"/>
          <w:sz w:val="23"/>
          <w:szCs w:val="23"/>
        </w:rPr>
        <w:t xml:space="preserve"> strengthened</w:t>
      </w:r>
      <w:r w:rsidR="00DB67AC" w:rsidRPr="00AB5BCB">
        <w:rPr>
          <w:rFonts w:ascii="Times New Roman" w:hAnsi="Times New Roman" w:cs="Times New Roman"/>
          <w:sz w:val="23"/>
          <w:szCs w:val="23"/>
        </w:rPr>
        <w:t xml:space="preserve"> </w:t>
      </w:r>
      <w:r w:rsidR="00DB67AC" w:rsidRPr="00AB5BCB">
        <w:rPr>
          <w:rFonts w:ascii="Times New Roman" w:hAnsi="Times New Roman" w:cs="Times New Roman"/>
          <w:sz w:val="23"/>
          <w:szCs w:val="23"/>
        </w:rPr>
        <w:lastRenderedPageBreak/>
        <w:t>further</w:t>
      </w:r>
      <w:r w:rsidR="005D1DD7" w:rsidRPr="00AB5BCB">
        <w:rPr>
          <w:rFonts w:ascii="Times New Roman" w:hAnsi="Times New Roman" w:cs="Times New Roman"/>
          <w:sz w:val="23"/>
          <w:szCs w:val="23"/>
        </w:rPr>
        <w:t xml:space="preserve"> by encouraging States to identify</w:t>
      </w:r>
      <w:r w:rsidR="00343D61" w:rsidRPr="00AB5BCB">
        <w:rPr>
          <w:rFonts w:ascii="Times New Roman" w:hAnsi="Times New Roman" w:cs="Times New Roman"/>
          <w:sz w:val="23"/>
          <w:szCs w:val="23"/>
        </w:rPr>
        <w:t xml:space="preserve"> </w:t>
      </w:r>
      <w:r w:rsidR="005D1DD7" w:rsidRPr="00AB5BCB">
        <w:rPr>
          <w:rFonts w:ascii="Times New Roman" w:hAnsi="Times New Roman" w:cs="Times New Roman"/>
          <w:sz w:val="23"/>
          <w:szCs w:val="23"/>
        </w:rPr>
        <w:t xml:space="preserve">the </w:t>
      </w:r>
      <w:r w:rsidR="009677D0" w:rsidRPr="00AB5BCB">
        <w:rPr>
          <w:rFonts w:ascii="Times New Roman" w:hAnsi="Times New Roman" w:cs="Times New Roman"/>
          <w:sz w:val="23"/>
          <w:szCs w:val="23"/>
        </w:rPr>
        <w:t xml:space="preserve">specific </w:t>
      </w:r>
      <w:r w:rsidR="005D1DD7" w:rsidRPr="00AB5BCB">
        <w:rPr>
          <w:rFonts w:ascii="Times New Roman" w:hAnsi="Times New Roman" w:cs="Times New Roman"/>
          <w:sz w:val="23"/>
          <w:szCs w:val="23"/>
        </w:rPr>
        <w:t xml:space="preserve">barriers to remedy that exist in their </w:t>
      </w:r>
      <w:r w:rsidR="009677D0" w:rsidRPr="00AB5BCB">
        <w:rPr>
          <w:rFonts w:ascii="Times New Roman" w:hAnsi="Times New Roman" w:cs="Times New Roman"/>
          <w:sz w:val="23"/>
          <w:szCs w:val="23"/>
        </w:rPr>
        <w:t xml:space="preserve">respective </w:t>
      </w:r>
      <w:r w:rsidR="005D1DD7" w:rsidRPr="00AB5BCB">
        <w:rPr>
          <w:rFonts w:ascii="Times New Roman" w:hAnsi="Times New Roman" w:cs="Times New Roman"/>
          <w:sz w:val="23"/>
          <w:szCs w:val="23"/>
        </w:rPr>
        <w:t>jurisdiction and consider the range of actions they can take to alleviate t</w:t>
      </w:r>
      <w:r w:rsidR="009677D0" w:rsidRPr="00AB5BCB">
        <w:rPr>
          <w:rFonts w:ascii="Times New Roman" w:hAnsi="Times New Roman" w:cs="Times New Roman"/>
          <w:sz w:val="23"/>
          <w:szCs w:val="23"/>
        </w:rPr>
        <w:t>hese barriers</w:t>
      </w:r>
      <w:r w:rsidR="00636E81" w:rsidRPr="00AB5BCB">
        <w:rPr>
          <w:rFonts w:ascii="Times New Roman" w:hAnsi="Times New Roman" w:cs="Times New Roman"/>
          <w:sz w:val="23"/>
          <w:szCs w:val="23"/>
        </w:rPr>
        <w:t xml:space="preserve">. </w:t>
      </w:r>
      <w:r w:rsidR="005D1DD7" w:rsidRPr="00AB5BCB">
        <w:rPr>
          <w:rFonts w:ascii="Times New Roman" w:hAnsi="Times New Roman" w:cs="Times New Roman"/>
          <w:sz w:val="23"/>
          <w:szCs w:val="23"/>
        </w:rPr>
        <w:t>Furthermore</w:t>
      </w:r>
      <w:r w:rsidR="00C04B5B" w:rsidRPr="00AB5BCB">
        <w:rPr>
          <w:rFonts w:ascii="Times New Roman" w:hAnsi="Times New Roman" w:cs="Times New Roman"/>
          <w:sz w:val="23"/>
          <w:szCs w:val="23"/>
        </w:rPr>
        <w:t xml:space="preserve">, </w:t>
      </w:r>
      <w:r w:rsidR="009677D0" w:rsidRPr="00AB5BCB">
        <w:rPr>
          <w:rFonts w:ascii="Times New Roman" w:hAnsi="Times New Roman" w:cs="Times New Roman"/>
          <w:sz w:val="23"/>
          <w:szCs w:val="23"/>
        </w:rPr>
        <w:t>the draft Comment</w:t>
      </w:r>
      <w:r w:rsidR="00C04B5B" w:rsidRPr="00AB5BCB">
        <w:rPr>
          <w:rFonts w:ascii="Times New Roman" w:hAnsi="Times New Roman" w:cs="Times New Roman"/>
          <w:sz w:val="23"/>
          <w:szCs w:val="23"/>
        </w:rPr>
        <w:t xml:space="preserve"> should note and build on the recommendations of the UN High Commissioner for Human Rights on improving accountability and access to remedy for victims of business-related human rights abuse.</w:t>
      </w:r>
      <w:r w:rsidR="00C04B5B" w:rsidRPr="00AB5BCB">
        <w:rPr>
          <w:rStyle w:val="FootnoteReference"/>
          <w:rFonts w:ascii="Times New Roman" w:hAnsi="Times New Roman" w:cs="Times New Roman"/>
          <w:sz w:val="23"/>
          <w:szCs w:val="23"/>
        </w:rPr>
        <w:footnoteReference w:id="15"/>
      </w:r>
    </w:p>
    <w:p w14:paraId="1150D207" w14:textId="77777777" w:rsidR="00617370" w:rsidRPr="00AB5BCB" w:rsidRDefault="00617370" w:rsidP="003A040E">
      <w:pPr>
        <w:jc w:val="both"/>
        <w:rPr>
          <w:rFonts w:ascii="Times New Roman" w:hAnsi="Times New Roman" w:cs="Times New Roman"/>
          <w:sz w:val="23"/>
          <w:szCs w:val="23"/>
        </w:rPr>
      </w:pPr>
    </w:p>
    <w:p w14:paraId="113B3163" w14:textId="6A89B606" w:rsidR="00343D61" w:rsidRPr="00AB5BCB" w:rsidRDefault="00CC65D8">
      <w:pPr>
        <w:jc w:val="both"/>
        <w:rPr>
          <w:rFonts w:ascii="Times New Roman" w:hAnsi="Times New Roman" w:cs="Times New Roman"/>
          <w:sz w:val="23"/>
          <w:szCs w:val="23"/>
        </w:rPr>
      </w:pPr>
      <w:r w:rsidRPr="00AB5BCB">
        <w:rPr>
          <w:rFonts w:ascii="Times New Roman" w:hAnsi="Times New Roman" w:cs="Times New Roman"/>
          <w:sz w:val="23"/>
          <w:szCs w:val="23"/>
        </w:rPr>
        <w:t xml:space="preserve">14. </w:t>
      </w:r>
      <w:r w:rsidR="00A262AA" w:rsidRPr="00AB5BCB">
        <w:rPr>
          <w:rFonts w:ascii="Times New Roman" w:hAnsi="Times New Roman" w:cs="Times New Roman"/>
          <w:sz w:val="23"/>
          <w:szCs w:val="23"/>
        </w:rPr>
        <w:t xml:space="preserve">State-based judicial mechanisms are at the core of access to remedy. </w:t>
      </w:r>
      <w:r w:rsidR="00343D61" w:rsidRPr="00AB5BCB">
        <w:rPr>
          <w:rFonts w:ascii="Times New Roman" w:hAnsi="Times New Roman" w:cs="Times New Roman"/>
          <w:sz w:val="23"/>
          <w:szCs w:val="23"/>
        </w:rPr>
        <w:t xml:space="preserve">In </w:t>
      </w:r>
      <w:r w:rsidR="00B6076C" w:rsidRPr="00AB5BCB">
        <w:rPr>
          <w:rFonts w:ascii="Times New Roman" w:hAnsi="Times New Roman" w:cs="Times New Roman"/>
          <w:sz w:val="23"/>
          <w:szCs w:val="23"/>
        </w:rPr>
        <w:t xml:space="preserve">paragraph </w:t>
      </w:r>
      <w:r w:rsidR="00343D61" w:rsidRPr="00AB5BCB">
        <w:rPr>
          <w:rFonts w:ascii="Times New Roman" w:hAnsi="Times New Roman" w:cs="Times New Roman"/>
          <w:sz w:val="23"/>
          <w:szCs w:val="23"/>
        </w:rPr>
        <w:t xml:space="preserve">48, </w:t>
      </w:r>
      <w:r w:rsidR="009677D0" w:rsidRPr="00AB5BCB">
        <w:rPr>
          <w:rFonts w:ascii="Times New Roman" w:hAnsi="Times New Roman" w:cs="Times New Roman"/>
          <w:sz w:val="23"/>
          <w:szCs w:val="23"/>
        </w:rPr>
        <w:t>the draft Comment</w:t>
      </w:r>
      <w:r w:rsidR="00343D61" w:rsidRPr="00AB5BCB">
        <w:rPr>
          <w:rFonts w:ascii="Times New Roman" w:hAnsi="Times New Roman" w:cs="Times New Roman"/>
          <w:sz w:val="23"/>
          <w:szCs w:val="23"/>
        </w:rPr>
        <w:t xml:space="preserve"> should clarify that</w:t>
      </w:r>
      <w:r w:rsidR="00A262AA" w:rsidRPr="00AB5BCB">
        <w:rPr>
          <w:rFonts w:ascii="Times New Roman" w:hAnsi="Times New Roman" w:cs="Times New Roman"/>
          <w:sz w:val="23"/>
          <w:szCs w:val="23"/>
        </w:rPr>
        <w:t xml:space="preserve"> </w:t>
      </w:r>
      <w:r w:rsidR="00343D61" w:rsidRPr="00AB5BCB">
        <w:rPr>
          <w:rFonts w:ascii="Times New Roman" w:hAnsi="Times New Roman" w:cs="Times New Roman"/>
          <w:sz w:val="23"/>
          <w:szCs w:val="23"/>
        </w:rPr>
        <w:t xml:space="preserve">victims of violations of Covenant rights must have access to effective </w:t>
      </w:r>
      <w:r w:rsidR="00A262AA" w:rsidRPr="00AB5BCB">
        <w:rPr>
          <w:rFonts w:ascii="Times New Roman" w:hAnsi="Times New Roman" w:cs="Times New Roman"/>
          <w:sz w:val="23"/>
          <w:szCs w:val="23"/>
        </w:rPr>
        <w:t xml:space="preserve">judicial </w:t>
      </w:r>
      <w:r w:rsidR="00343D61" w:rsidRPr="00AB5BCB">
        <w:rPr>
          <w:rFonts w:ascii="Times New Roman" w:hAnsi="Times New Roman" w:cs="Times New Roman"/>
          <w:sz w:val="23"/>
          <w:szCs w:val="23"/>
        </w:rPr>
        <w:t>remedies</w:t>
      </w:r>
      <w:r w:rsidR="00A262AA" w:rsidRPr="00AB5BCB">
        <w:rPr>
          <w:rFonts w:ascii="Times New Roman" w:hAnsi="Times New Roman" w:cs="Times New Roman"/>
          <w:sz w:val="23"/>
          <w:szCs w:val="23"/>
        </w:rPr>
        <w:t>,</w:t>
      </w:r>
      <w:r w:rsidR="00C31A5D" w:rsidRPr="00AB5BCB">
        <w:rPr>
          <w:rFonts w:ascii="Times New Roman" w:hAnsi="Times New Roman" w:cs="Times New Roman"/>
          <w:sz w:val="23"/>
          <w:szCs w:val="23"/>
        </w:rPr>
        <w:t xml:space="preserve"> including civil remedies and through criminal prosecution where applicable,</w:t>
      </w:r>
      <w:r w:rsidR="00A262AA" w:rsidRPr="00AB5BCB">
        <w:rPr>
          <w:rFonts w:ascii="Times New Roman" w:hAnsi="Times New Roman" w:cs="Times New Roman"/>
          <w:sz w:val="23"/>
          <w:szCs w:val="23"/>
        </w:rPr>
        <w:t xml:space="preserve"> </w:t>
      </w:r>
      <w:r w:rsidR="00343D61" w:rsidRPr="00AB5BCB">
        <w:rPr>
          <w:rFonts w:ascii="Times New Roman" w:hAnsi="Times New Roman" w:cs="Times New Roman"/>
          <w:sz w:val="23"/>
          <w:szCs w:val="23"/>
        </w:rPr>
        <w:t>regardless of the presence or efficacy of non-judicial mechanisms</w:t>
      </w:r>
      <w:r w:rsidR="00C31A5D" w:rsidRPr="00AB5BCB">
        <w:rPr>
          <w:rFonts w:ascii="Times New Roman" w:hAnsi="Times New Roman" w:cs="Times New Roman"/>
          <w:sz w:val="23"/>
          <w:szCs w:val="23"/>
        </w:rPr>
        <w:t>.</w:t>
      </w:r>
      <w:r w:rsidR="00343D61" w:rsidRPr="00AB5BCB">
        <w:rPr>
          <w:rFonts w:ascii="Times New Roman" w:hAnsi="Times New Roman" w:cs="Times New Roman"/>
          <w:sz w:val="23"/>
          <w:szCs w:val="23"/>
        </w:rPr>
        <w:t xml:space="preserve"> </w:t>
      </w:r>
    </w:p>
    <w:p w14:paraId="26E26B46" w14:textId="77777777" w:rsidR="00343D61" w:rsidRPr="00AB5BCB" w:rsidRDefault="00343D61">
      <w:pPr>
        <w:jc w:val="both"/>
        <w:rPr>
          <w:rFonts w:ascii="Times New Roman" w:hAnsi="Times New Roman" w:cs="Times New Roman"/>
          <w:sz w:val="23"/>
          <w:szCs w:val="23"/>
        </w:rPr>
      </w:pPr>
    </w:p>
    <w:p w14:paraId="2DAE592A" w14:textId="30E844A7" w:rsidR="00AF3150" w:rsidRPr="00AB5BCB" w:rsidRDefault="007646E2">
      <w:pPr>
        <w:jc w:val="both"/>
        <w:rPr>
          <w:rFonts w:ascii="Times New Roman" w:hAnsi="Times New Roman" w:cs="Times New Roman"/>
          <w:sz w:val="23"/>
          <w:szCs w:val="23"/>
        </w:rPr>
      </w:pPr>
      <w:r w:rsidRPr="00AB5BCB">
        <w:rPr>
          <w:rFonts w:ascii="Times New Roman" w:hAnsi="Times New Roman" w:cs="Times New Roman"/>
          <w:sz w:val="23"/>
          <w:szCs w:val="23"/>
        </w:rPr>
        <w:t>1</w:t>
      </w:r>
      <w:r w:rsidR="00CC65D8" w:rsidRPr="00AB5BCB">
        <w:rPr>
          <w:rFonts w:ascii="Times New Roman" w:hAnsi="Times New Roman" w:cs="Times New Roman"/>
          <w:sz w:val="23"/>
          <w:szCs w:val="23"/>
        </w:rPr>
        <w:t>5</w:t>
      </w:r>
      <w:r w:rsidRPr="00AB5BCB">
        <w:rPr>
          <w:rFonts w:ascii="Times New Roman" w:hAnsi="Times New Roman" w:cs="Times New Roman"/>
          <w:sz w:val="23"/>
          <w:szCs w:val="23"/>
        </w:rPr>
        <w:t xml:space="preserve">. </w:t>
      </w:r>
      <w:r w:rsidR="00343D61" w:rsidRPr="00AB5BCB">
        <w:rPr>
          <w:rFonts w:ascii="Times New Roman" w:hAnsi="Times New Roman" w:cs="Times New Roman"/>
          <w:sz w:val="23"/>
          <w:szCs w:val="23"/>
        </w:rPr>
        <w:t>A</w:t>
      </w:r>
      <w:r w:rsidR="00E621FD" w:rsidRPr="00AB5BCB">
        <w:rPr>
          <w:rFonts w:ascii="Times New Roman" w:hAnsi="Times New Roman" w:cs="Times New Roman"/>
          <w:sz w:val="23"/>
          <w:szCs w:val="23"/>
        </w:rPr>
        <w:t>dditionally, i</w:t>
      </w:r>
      <w:r w:rsidR="00343D61" w:rsidRPr="00AB5BCB">
        <w:rPr>
          <w:rFonts w:ascii="Times New Roman" w:hAnsi="Times New Roman" w:cs="Times New Roman"/>
          <w:sz w:val="23"/>
          <w:szCs w:val="23"/>
        </w:rPr>
        <w:t xml:space="preserve">n </w:t>
      </w:r>
      <w:r w:rsidR="00B6076C" w:rsidRPr="00AB5BCB">
        <w:rPr>
          <w:rFonts w:ascii="Times New Roman" w:hAnsi="Times New Roman" w:cs="Times New Roman"/>
          <w:sz w:val="23"/>
          <w:szCs w:val="23"/>
        </w:rPr>
        <w:t xml:space="preserve">paragraph </w:t>
      </w:r>
      <w:r w:rsidR="00343D61" w:rsidRPr="00AB5BCB">
        <w:rPr>
          <w:rFonts w:ascii="Times New Roman" w:hAnsi="Times New Roman" w:cs="Times New Roman"/>
          <w:sz w:val="23"/>
          <w:szCs w:val="23"/>
        </w:rPr>
        <w:t>48, the draft</w:t>
      </w:r>
      <w:r w:rsidR="00617370" w:rsidRPr="00AB5BCB">
        <w:rPr>
          <w:rFonts w:ascii="Times New Roman" w:hAnsi="Times New Roman" w:cs="Times New Roman"/>
          <w:sz w:val="23"/>
          <w:szCs w:val="23"/>
        </w:rPr>
        <w:t xml:space="preserve"> Comment should further elaborate upon the role and importance of prosecuting authorities in upholding Covenant rights. In </w:t>
      </w:r>
      <w:r w:rsidR="00414B6B" w:rsidRPr="00AB5BCB">
        <w:rPr>
          <w:rFonts w:ascii="Times New Roman" w:hAnsi="Times New Roman" w:cs="Times New Roman"/>
          <w:sz w:val="23"/>
          <w:szCs w:val="23"/>
        </w:rPr>
        <w:t>2014</w:t>
      </w:r>
      <w:r w:rsidR="00617370" w:rsidRPr="00AB5BCB">
        <w:rPr>
          <w:rFonts w:ascii="Times New Roman" w:hAnsi="Times New Roman" w:cs="Times New Roman"/>
          <w:sz w:val="23"/>
          <w:szCs w:val="23"/>
        </w:rPr>
        <w:t xml:space="preserve">, ICAR and Amnesty International launched the </w:t>
      </w:r>
      <w:r w:rsidR="00617370" w:rsidRPr="00AB5BCB">
        <w:rPr>
          <w:rFonts w:ascii="Times New Roman" w:hAnsi="Times New Roman" w:cs="Times New Roman"/>
          <w:i/>
          <w:sz w:val="23"/>
          <w:szCs w:val="23"/>
        </w:rPr>
        <w:t xml:space="preserve">Commerce, Crime, and Human Rights </w:t>
      </w:r>
      <w:r w:rsidR="00617370" w:rsidRPr="00AB5BCB">
        <w:rPr>
          <w:rFonts w:ascii="Times New Roman" w:hAnsi="Times New Roman" w:cs="Times New Roman"/>
          <w:sz w:val="23"/>
          <w:szCs w:val="23"/>
        </w:rPr>
        <w:t>project, which focused on the lack of prosecutions against corporations for their involvement in human rights abuses. The project team un</w:t>
      </w:r>
      <w:r w:rsidR="00636E81" w:rsidRPr="00AB5BCB">
        <w:rPr>
          <w:rFonts w:ascii="Times New Roman" w:hAnsi="Times New Roman" w:cs="Times New Roman"/>
          <w:sz w:val="23"/>
          <w:szCs w:val="23"/>
        </w:rPr>
        <w:t>dertook interviews with over a hundred</w:t>
      </w:r>
      <w:r w:rsidR="00617370" w:rsidRPr="00AB5BCB">
        <w:rPr>
          <w:rFonts w:ascii="Times New Roman" w:hAnsi="Times New Roman" w:cs="Times New Roman"/>
          <w:sz w:val="23"/>
          <w:szCs w:val="23"/>
        </w:rPr>
        <w:t xml:space="preserve"> prosecutors and government officials in the Americas, Asia, Africa, and Europe to identify the main factors </w:t>
      </w:r>
      <w:r w:rsidR="00C80D44" w:rsidRPr="00AB5BCB">
        <w:rPr>
          <w:rFonts w:ascii="Times New Roman" w:hAnsi="Times New Roman" w:cs="Times New Roman"/>
          <w:sz w:val="23"/>
          <w:szCs w:val="23"/>
        </w:rPr>
        <w:t>behind this lack of S</w:t>
      </w:r>
      <w:r w:rsidR="00414477" w:rsidRPr="00AB5BCB">
        <w:rPr>
          <w:rFonts w:ascii="Times New Roman" w:hAnsi="Times New Roman" w:cs="Times New Roman"/>
          <w:sz w:val="23"/>
          <w:szCs w:val="23"/>
        </w:rPr>
        <w:t xml:space="preserve">tate action. The </w:t>
      </w:r>
      <w:r w:rsidR="00414477" w:rsidRPr="00AB5BCB">
        <w:rPr>
          <w:rFonts w:ascii="Times New Roman" w:hAnsi="Times New Roman" w:cs="Times New Roman"/>
          <w:i/>
          <w:sz w:val="23"/>
          <w:szCs w:val="23"/>
        </w:rPr>
        <w:t>Corporate Crimes Principles</w:t>
      </w:r>
      <w:r w:rsidR="00414477" w:rsidRPr="00AB5BCB">
        <w:rPr>
          <w:rFonts w:ascii="Times New Roman" w:hAnsi="Times New Roman" w:cs="Times New Roman"/>
          <w:sz w:val="23"/>
          <w:szCs w:val="23"/>
        </w:rPr>
        <w:t xml:space="preserve"> establish ten basic principles to increase prosecutions for </w:t>
      </w:r>
      <w:r w:rsidR="009677D0" w:rsidRPr="00AB5BCB">
        <w:rPr>
          <w:rFonts w:ascii="Times New Roman" w:hAnsi="Times New Roman" w:cs="Times New Roman"/>
          <w:sz w:val="23"/>
          <w:szCs w:val="23"/>
        </w:rPr>
        <w:t xml:space="preserve">corporate </w:t>
      </w:r>
      <w:r w:rsidR="00414477" w:rsidRPr="00AB5BCB">
        <w:rPr>
          <w:rFonts w:ascii="Times New Roman" w:hAnsi="Times New Roman" w:cs="Times New Roman"/>
          <w:sz w:val="23"/>
          <w:szCs w:val="23"/>
        </w:rPr>
        <w:t xml:space="preserve">human rights abuses. </w:t>
      </w:r>
      <w:r w:rsidR="00DB67AC" w:rsidRPr="00AB5BCB">
        <w:rPr>
          <w:rFonts w:ascii="Times New Roman" w:hAnsi="Times New Roman" w:cs="Times New Roman"/>
          <w:sz w:val="23"/>
          <w:szCs w:val="23"/>
        </w:rPr>
        <w:t xml:space="preserve">ICAR encourages the Committee on Economic, Social and Cultural Rights to include </w:t>
      </w:r>
      <w:r w:rsidR="00C04B5B" w:rsidRPr="00AB5BCB">
        <w:rPr>
          <w:rFonts w:ascii="Times New Roman" w:hAnsi="Times New Roman" w:cs="Times New Roman"/>
          <w:sz w:val="23"/>
          <w:szCs w:val="23"/>
        </w:rPr>
        <w:t xml:space="preserve">specific </w:t>
      </w:r>
      <w:r w:rsidR="00DB67AC" w:rsidRPr="00AB5BCB">
        <w:rPr>
          <w:rFonts w:ascii="Times New Roman" w:hAnsi="Times New Roman" w:cs="Times New Roman"/>
          <w:sz w:val="23"/>
          <w:szCs w:val="23"/>
        </w:rPr>
        <w:t>l</w:t>
      </w:r>
      <w:r w:rsidR="00CE0D2F" w:rsidRPr="00AB5BCB">
        <w:rPr>
          <w:rFonts w:ascii="Times New Roman" w:hAnsi="Times New Roman" w:cs="Times New Roman"/>
          <w:sz w:val="23"/>
          <w:szCs w:val="23"/>
        </w:rPr>
        <w:t>anguage encouraging</w:t>
      </w:r>
      <w:r w:rsidR="00DB67AC" w:rsidRPr="00AB5BCB">
        <w:rPr>
          <w:rFonts w:ascii="Times New Roman" w:hAnsi="Times New Roman" w:cs="Times New Roman"/>
          <w:sz w:val="23"/>
          <w:szCs w:val="23"/>
        </w:rPr>
        <w:t xml:space="preserve"> States to enhance </w:t>
      </w:r>
      <w:r w:rsidR="009677D0" w:rsidRPr="00AB5BCB">
        <w:rPr>
          <w:rFonts w:ascii="Times New Roman" w:hAnsi="Times New Roman" w:cs="Times New Roman"/>
          <w:sz w:val="23"/>
          <w:szCs w:val="23"/>
        </w:rPr>
        <w:t xml:space="preserve">investigation and </w:t>
      </w:r>
      <w:r w:rsidR="00DB67AC" w:rsidRPr="00AB5BCB">
        <w:rPr>
          <w:rFonts w:ascii="Times New Roman" w:hAnsi="Times New Roman" w:cs="Times New Roman"/>
          <w:sz w:val="23"/>
          <w:szCs w:val="23"/>
        </w:rPr>
        <w:t>prosecutions against corporations for crimes involving violations of ESC rights by</w:t>
      </w:r>
      <w:r w:rsidR="00414B6B" w:rsidRPr="00AB5BCB">
        <w:rPr>
          <w:rFonts w:ascii="Times New Roman" w:hAnsi="Times New Roman" w:cs="Times New Roman"/>
          <w:sz w:val="23"/>
          <w:szCs w:val="23"/>
        </w:rPr>
        <w:t xml:space="preserve"> enforcing existing criminal laws</w:t>
      </w:r>
      <w:r w:rsidR="00CE0D2F" w:rsidRPr="00AB5BCB">
        <w:rPr>
          <w:rFonts w:ascii="Times New Roman" w:hAnsi="Times New Roman" w:cs="Times New Roman"/>
          <w:sz w:val="23"/>
          <w:szCs w:val="23"/>
        </w:rPr>
        <w:t xml:space="preserve">, </w:t>
      </w:r>
      <w:r w:rsidR="00414B6B" w:rsidRPr="00AB5BCB">
        <w:rPr>
          <w:rFonts w:ascii="Times New Roman" w:hAnsi="Times New Roman" w:cs="Times New Roman"/>
          <w:sz w:val="23"/>
          <w:szCs w:val="23"/>
        </w:rPr>
        <w:t xml:space="preserve">and </w:t>
      </w:r>
      <w:r w:rsidR="00CE0D2F" w:rsidRPr="00AB5BCB">
        <w:rPr>
          <w:rFonts w:ascii="Times New Roman" w:hAnsi="Times New Roman" w:cs="Times New Roman"/>
          <w:sz w:val="23"/>
          <w:szCs w:val="23"/>
        </w:rPr>
        <w:t xml:space="preserve">where such laws don’t exist, </w:t>
      </w:r>
      <w:r w:rsidR="00414B6B" w:rsidRPr="00AB5BCB">
        <w:rPr>
          <w:rFonts w:ascii="Times New Roman" w:hAnsi="Times New Roman" w:cs="Times New Roman"/>
          <w:sz w:val="23"/>
          <w:szCs w:val="23"/>
        </w:rPr>
        <w:t xml:space="preserve">by adopting new laws that allow for </w:t>
      </w:r>
      <w:r w:rsidR="00DB67AC" w:rsidRPr="00AB5BCB">
        <w:rPr>
          <w:rFonts w:ascii="Times New Roman" w:hAnsi="Times New Roman" w:cs="Times New Roman"/>
          <w:sz w:val="23"/>
          <w:szCs w:val="23"/>
        </w:rPr>
        <w:t xml:space="preserve">corporate </w:t>
      </w:r>
      <w:r w:rsidR="00414B6B" w:rsidRPr="00AB5BCB">
        <w:rPr>
          <w:rFonts w:ascii="Times New Roman" w:hAnsi="Times New Roman" w:cs="Times New Roman"/>
          <w:sz w:val="23"/>
          <w:szCs w:val="23"/>
        </w:rPr>
        <w:t>criminal prosecutions</w:t>
      </w:r>
      <w:r w:rsidR="00343D61" w:rsidRPr="00AB5BCB">
        <w:rPr>
          <w:rFonts w:ascii="Times New Roman" w:hAnsi="Times New Roman" w:cs="Times New Roman"/>
          <w:sz w:val="23"/>
          <w:szCs w:val="23"/>
        </w:rPr>
        <w:t xml:space="preserve">. </w:t>
      </w:r>
      <w:r w:rsidR="00526A2E" w:rsidRPr="00AB5BCB">
        <w:rPr>
          <w:rFonts w:ascii="Times New Roman" w:hAnsi="Times New Roman" w:cs="Times New Roman"/>
          <w:sz w:val="23"/>
          <w:szCs w:val="23"/>
        </w:rPr>
        <w:t xml:space="preserve">Specifically, </w:t>
      </w:r>
      <w:r w:rsidR="00343D61" w:rsidRPr="00AB5BCB">
        <w:rPr>
          <w:rFonts w:ascii="Times New Roman" w:hAnsi="Times New Roman" w:cs="Times New Roman"/>
          <w:sz w:val="23"/>
          <w:szCs w:val="23"/>
        </w:rPr>
        <w:t>States should (1) fight impunity for corporate crimes by investigating and prosecuting offences; (2) fight impunity for cross-border corporate crimes by choosing to assert jurisdiction; (3) guarantee accountability and transparency in the justice process when pursuing corporate crimes; (4) identify the legal standards and secure the evidence needed to establish liability for corporate crimes in your jurisdiction (5) collaborate widely to ensure accountability for corporate crimes, particularly in cross-border cases; (6) pursue charges that reflect the gravity of the crime; (7) investigate and prosecute those corporate actors most responsible for the wrongdoing; (8) use all available legal tools to collect evidence, build cases and obtain the cooperation of critical witnesses in corporate crimes; (9) ensure that victims of corporate crimes are able to obtain effective remedies; and (10) put in place appropriate measures and incentives to protect victims, informants, whistle-blowers, witnesses and experts in corporate crimes cases.</w:t>
      </w:r>
      <w:r w:rsidR="00343D61" w:rsidRPr="00AB5BCB">
        <w:rPr>
          <w:rStyle w:val="FootnoteReference"/>
          <w:rFonts w:ascii="Times New Roman" w:hAnsi="Times New Roman" w:cs="Times New Roman"/>
          <w:sz w:val="23"/>
          <w:szCs w:val="23"/>
        </w:rPr>
        <w:footnoteReference w:id="16"/>
      </w:r>
      <w:r w:rsidR="00343D61" w:rsidRPr="00AB5BCB">
        <w:rPr>
          <w:rFonts w:ascii="Times New Roman" w:hAnsi="Times New Roman" w:cs="Times New Roman"/>
          <w:sz w:val="23"/>
          <w:szCs w:val="23"/>
        </w:rPr>
        <w:t xml:space="preserve"> </w:t>
      </w:r>
      <w:r w:rsidR="00C04B5B" w:rsidRPr="00AB5BCB">
        <w:rPr>
          <w:rFonts w:ascii="Times New Roman" w:hAnsi="Times New Roman" w:cs="Times New Roman"/>
          <w:sz w:val="23"/>
          <w:szCs w:val="23"/>
        </w:rPr>
        <w:t xml:space="preserve">Furthermore, the </w:t>
      </w:r>
      <w:r w:rsidR="00526A2E" w:rsidRPr="00AB5BCB">
        <w:rPr>
          <w:rFonts w:ascii="Times New Roman" w:hAnsi="Times New Roman" w:cs="Times New Roman"/>
          <w:sz w:val="23"/>
          <w:szCs w:val="23"/>
        </w:rPr>
        <w:t xml:space="preserve">draft </w:t>
      </w:r>
      <w:r w:rsidR="00C04B5B" w:rsidRPr="00AB5BCB">
        <w:rPr>
          <w:rFonts w:ascii="Times New Roman" w:hAnsi="Times New Roman" w:cs="Times New Roman"/>
          <w:sz w:val="23"/>
          <w:szCs w:val="23"/>
        </w:rPr>
        <w:t>Comment should also clarify that</w:t>
      </w:r>
      <w:r w:rsidR="00060890" w:rsidRPr="00AB5BCB">
        <w:rPr>
          <w:rFonts w:ascii="Times New Roman" w:hAnsi="Times New Roman" w:cs="Times New Roman"/>
          <w:sz w:val="23"/>
          <w:szCs w:val="23"/>
        </w:rPr>
        <w:t xml:space="preserve"> </w:t>
      </w:r>
      <w:r w:rsidR="00526A2E" w:rsidRPr="00AB5BCB">
        <w:rPr>
          <w:rFonts w:ascii="Times New Roman" w:hAnsi="Times New Roman" w:cs="Times New Roman"/>
          <w:sz w:val="23"/>
          <w:szCs w:val="23"/>
        </w:rPr>
        <w:t xml:space="preserve">States must create an environment that is conducive to pursuing corporate crimes, by ensuring </w:t>
      </w:r>
      <w:r w:rsidR="00C04B5B" w:rsidRPr="00AB5BCB">
        <w:rPr>
          <w:rFonts w:ascii="Times New Roman" w:hAnsi="Times New Roman" w:cs="Times New Roman"/>
          <w:sz w:val="23"/>
          <w:szCs w:val="23"/>
        </w:rPr>
        <w:t>investigators and prosecutors have the necessary skills, resources, expertise, and discretion to pursue such cases.</w:t>
      </w:r>
    </w:p>
    <w:p w14:paraId="44B6A3EF" w14:textId="77777777" w:rsidR="00071686" w:rsidRPr="00AB5BCB" w:rsidRDefault="00071686">
      <w:pPr>
        <w:jc w:val="both"/>
        <w:rPr>
          <w:rFonts w:ascii="Times New Roman" w:hAnsi="Times New Roman" w:cs="Times New Roman"/>
          <w:sz w:val="23"/>
          <w:szCs w:val="23"/>
        </w:rPr>
      </w:pPr>
    </w:p>
    <w:p w14:paraId="2DBBDA2C" w14:textId="23EE6F9A" w:rsidR="00071686" w:rsidRDefault="00071686">
      <w:pPr>
        <w:jc w:val="both"/>
        <w:rPr>
          <w:rFonts w:ascii="Times New Roman" w:hAnsi="Times New Roman" w:cs="Times New Roman"/>
          <w:sz w:val="23"/>
          <w:szCs w:val="23"/>
        </w:rPr>
      </w:pPr>
      <w:r w:rsidRPr="00AB5BCB">
        <w:rPr>
          <w:rFonts w:ascii="Times New Roman" w:hAnsi="Times New Roman" w:cs="Times New Roman"/>
          <w:sz w:val="23"/>
          <w:szCs w:val="23"/>
        </w:rPr>
        <w:t xml:space="preserve">16. </w:t>
      </w:r>
      <w:r w:rsidR="001F4232">
        <w:rPr>
          <w:rFonts w:ascii="Times New Roman" w:hAnsi="Times New Roman" w:cs="Times New Roman"/>
          <w:sz w:val="23"/>
          <w:szCs w:val="23"/>
        </w:rPr>
        <w:t>ICAR, ICCR, and DPLF</w:t>
      </w:r>
      <w:r w:rsidR="004659C4" w:rsidRPr="00AB5BCB">
        <w:rPr>
          <w:rFonts w:ascii="Times New Roman" w:hAnsi="Times New Roman" w:cs="Times New Roman"/>
          <w:sz w:val="23"/>
          <w:szCs w:val="23"/>
        </w:rPr>
        <w:t xml:space="preserve"> value</w:t>
      </w:r>
      <w:r w:rsidRPr="00AB5BCB">
        <w:rPr>
          <w:rFonts w:ascii="Times New Roman" w:hAnsi="Times New Roman" w:cs="Times New Roman"/>
          <w:sz w:val="23"/>
          <w:szCs w:val="23"/>
        </w:rPr>
        <w:t xml:space="preserve"> the opportunity to provide input on the draft Comment and appreciates further opportunities to engage with the Committee on Economic, Social, and Cultura</w:t>
      </w:r>
      <w:r w:rsidR="00C80D44" w:rsidRPr="00AB5BCB">
        <w:rPr>
          <w:rFonts w:ascii="Times New Roman" w:hAnsi="Times New Roman" w:cs="Times New Roman"/>
          <w:sz w:val="23"/>
          <w:szCs w:val="23"/>
        </w:rPr>
        <w:t xml:space="preserve">l Rights during the Day of General Discussion on draft General Comment No. 24. </w:t>
      </w:r>
    </w:p>
    <w:p w14:paraId="4F42EDB8" w14:textId="77777777" w:rsidR="00AB5BCB" w:rsidRPr="00AB5BCB" w:rsidRDefault="00AB5BCB">
      <w:pPr>
        <w:jc w:val="both"/>
        <w:rPr>
          <w:rFonts w:ascii="Times New Roman" w:hAnsi="Times New Roman" w:cs="Times New Roman"/>
          <w:sz w:val="23"/>
          <w:szCs w:val="23"/>
        </w:rPr>
      </w:pPr>
    </w:p>
    <w:p w14:paraId="4EB3CF2B" w14:textId="77777777" w:rsidR="00281D2E" w:rsidRPr="00AB5BCB" w:rsidRDefault="00281D2E" w:rsidP="003A040E">
      <w:pPr>
        <w:jc w:val="both"/>
        <w:rPr>
          <w:rFonts w:ascii="Times New Roman" w:hAnsi="Times New Roman" w:cs="Times New Roman"/>
          <w:b/>
          <w:sz w:val="23"/>
          <w:szCs w:val="23"/>
        </w:rPr>
      </w:pPr>
    </w:p>
    <w:p w14:paraId="12075B65" w14:textId="2005CBCE" w:rsidR="009F2943" w:rsidRPr="001F4232" w:rsidRDefault="009F2943" w:rsidP="003A040E">
      <w:pPr>
        <w:jc w:val="both"/>
        <w:rPr>
          <w:rFonts w:ascii="Times New Roman" w:hAnsi="Times New Roman" w:cs="Times New Roman"/>
          <w:i/>
          <w:sz w:val="23"/>
          <w:szCs w:val="23"/>
        </w:rPr>
      </w:pPr>
      <w:r w:rsidRPr="001F4232">
        <w:rPr>
          <w:rFonts w:ascii="Times New Roman" w:hAnsi="Times New Roman" w:cs="Times New Roman"/>
          <w:i/>
          <w:sz w:val="23"/>
          <w:szCs w:val="23"/>
        </w:rPr>
        <w:lastRenderedPageBreak/>
        <w:t xml:space="preserve">The </w:t>
      </w:r>
      <w:r w:rsidRPr="001F4232">
        <w:rPr>
          <w:rFonts w:ascii="Times New Roman" w:hAnsi="Times New Roman" w:cs="Times New Roman"/>
          <w:b/>
          <w:i/>
          <w:sz w:val="23"/>
          <w:szCs w:val="23"/>
        </w:rPr>
        <w:t>International Corporate Accountability Roundtable</w:t>
      </w:r>
      <w:r w:rsidRPr="001F4232">
        <w:rPr>
          <w:rFonts w:ascii="Times New Roman" w:hAnsi="Times New Roman" w:cs="Times New Roman"/>
          <w:i/>
          <w:sz w:val="23"/>
          <w:szCs w:val="23"/>
        </w:rPr>
        <w:t xml:space="preserve"> is a civil society organization working to ensure that governments create, implement, and enforce laws and policies to protect against business-related human rights abuse.  More information can be found at </w:t>
      </w:r>
      <w:hyperlink r:id="rId12" w:history="1">
        <w:r w:rsidRPr="001F4232">
          <w:rPr>
            <w:rStyle w:val="Hyperlink"/>
            <w:rFonts w:ascii="Times New Roman" w:hAnsi="Times New Roman" w:cs="Times New Roman"/>
            <w:i/>
            <w:sz w:val="23"/>
            <w:szCs w:val="23"/>
          </w:rPr>
          <w:t>www.icar.ngo</w:t>
        </w:r>
      </w:hyperlink>
      <w:r w:rsidRPr="001F4232">
        <w:rPr>
          <w:rFonts w:ascii="Times New Roman" w:hAnsi="Times New Roman" w:cs="Times New Roman"/>
          <w:i/>
          <w:sz w:val="23"/>
          <w:szCs w:val="23"/>
        </w:rPr>
        <w:t xml:space="preserve">. </w:t>
      </w:r>
    </w:p>
    <w:p w14:paraId="61022CD9" w14:textId="77777777" w:rsidR="004659C4" w:rsidRPr="001F4232" w:rsidRDefault="004659C4" w:rsidP="003A040E">
      <w:pPr>
        <w:jc w:val="both"/>
        <w:rPr>
          <w:rFonts w:ascii="Times New Roman" w:hAnsi="Times New Roman" w:cs="Times New Roman"/>
          <w:i/>
          <w:sz w:val="23"/>
          <w:szCs w:val="23"/>
        </w:rPr>
      </w:pPr>
    </w:p>
    <w:p w14:paraId="6E85D1EE" w14:textId="06543140" w:rsidR="004659C4" w:rsidRPr="001F4232" w:rsidRDefault="004659C4" w:rsidP="004659C4">
      <w:pPr>
        <w:jc w:val="both"/>
        <w:rPr>
          <w:rFonts w:ascii="Times New Roman" w:hAnsi="Times New Roman" w:cs="Times New Roman"/>
          <w:i/>
          <w:sz w:val="23"/>
          <w:szCs w:val="23"/>
        </w:rPr>
      </w:pPr>
      <w:r w:rsidRPr="001F4232">
        <w:rPr>
          <w:rFonts w:ascii="Times New Roman" w:hAnsi="Times New Roman" w:cs="Times New Roman"/>
          <w:i/>
          <w:sz w:val="23"/>
          <w:szCs w:val="23"/>
        </w:rPr>
        <w:t>The</w:t>
      </w:r>
      <w:r w:rsidRPr="001F4232">
        <w:rPr>
          <w:rFonts w:ascii="Times New Roman" w:hAnsi="Times New Roman" w:cs="Times New Roman"/>
          <w:b/>
          <w:i/>
          <w:sz w:val="23"/>
          <w:szCs w:val="23"/>
        </w:rPr>
        <w:t xml:space="preserve"> Interfaith Center on Corporate Responsibility</w:t>
      </w:r>
      <w:r w:rsidRPr="001F4232">
        <w:rPr>
          <w:rFonts w:ascii="Times New Roman" w:hAnsi="Times New Roman" w:cs="Times New Roman"/>
          <w:i/>
          <w:sz w:val="23"/>
          <w:szCs w:val="23"/>
        </w:rPr>
        <w:t xml:space="preserve"> is a coalition of faith and value-driven organizations who view the management of their investments as a powerful catalyst for social change. ICCR members and staff engage hundreds of multinational corporations annually to promote more sustainable and just practices because we believe in doing so they will secure a better future for their employees, their customers and their shareholders. More information can be found at </w:t>
      </w:r>
      <w:hyperlink r:id="rId13" w:history="1">
        <w:r w:rsidRPr="001F4232">
          <w:rPr>
            <w:rStyle w:val="Hyperlink"/>
            <w:rFonts w:ascii="Times New Roman" w:hAnsi="Times New Roman" w:cs="Times New Roman"/>
            <w:i/>
            <w:sz w:val="23"/>
            <w:szCs w:val="23"/>
          </w:rPr>
          <w:t>http://www.iccr.org/</w:t>
        </w:r>
      </w:hyperlink>
      <w:r w:rsidRPr="001F4232">
        <w:rPr>
          <w:rFonts w:ascii="Times New Roman" w:hAnsi="Times New Roman" w:cs="Times New Roman"/>
          <w:i/>
          <w:sz w:val="23"/>
          <w:szCs w:val="23"/>
        </w:rPr>
        <w:t xml:space="preserve">. </w:t>
      </w:r>
    </w:p>
    <w:p w14:paraId="2B7F5893" w14:textId="72B0FAC9" w:rsidR="004659C4" w:rsidRPr="001F4232" w:rsidRDefault="004659C4" w:rsidP="003A040E">
      <w:pPr>
        <w:jc w:val="both"/>
        <w:rPr>
          <w:rFonts w:ascii="Times New Roman" w:hAnsi="Times New Roman" w:cs="Times New Roman"/>
          <w:i/>
          <w:sz w:val="23"/>
          <w:szCs w:val="23"/>
        </w:rPr>
      </w:pPr>
    </w:p>
    <w:p w14:paraId="1130DBE7" w14:textId="7D703B0D" w:rsidR="001F4232" w:rsidRPr="001F4232" w:rsidRDefault="001F4232" w:rsidP="001F4232">
      <w:pPr>
        <w:jc w:val="both"/>
        <w:rPr>
          <w:rFonts w:ascii="Times New Roman" w:hAnsi="Times New Roman" w:cs="Times New Roman"/>
          <w:b/>
          <w:i/>
          <w:sz w:val="23"/>
          <w:szCs w:val="23"/>
        </w:rPr>
      </w:pPr>
      <w:r w:rsidRPr="001F4232">
        <w:rPr>
          <w:rFonts w:ascii="Times New Roman" w:hAnsi="Times New Roman" w:cs="Times New Roman"/>
          <w:i/>
          <w:sz w:val="23"/>
          <w:szCs w:val="23"/>
        </w:rPr>
        <w:t xml:space="preserve">The </w:t>
      </w:r>
      <w:r w:rsidRPr="001F4232">
        <w:rPr>
          <w:rFonts w:ascii="Times New Roman" w:hAnsi="Times New Roman" w:cs="Times New Roman"/>
          <w:b/>
          <w:i/>
          <w:sz w:val="23"/>
          <w:szCs w:val="23"/>
        </w:rPr>
        <w:t xml:space="preserve">Due Process of Law Foundation DPLF </w:t>
      </w:r>
      <w:r w:rsidRPr="001F4232">
        <w:rPr>
          <w:rFonts w:ascii="Times New Roman" w:hAnsi="Times New Roman" w:cs="Times New Roman"/>
          <w:i/>
          <w:sz w:val="23"/>
          <w:szCs w:val="23"/>
        </w:rPr>
        <w:t>is a 501(c)(3) nonprofit, nongovernmental organization based in Washington, D.C., working to strengthen the rule of law and promote respect for human rights in Latin America through applied research, strategic alliances with actors in the region, advocacy activities and the effective communication of our message.</w:t>
      </w:r>
      <w:r>
        <w:rPr>
          <w:rFonts w:ascii="Times New Roman" w:hAnsi="Times New Roman" w:cs="Times New Roman"/>
          <w:i/>
          <w:sz w:val="23"/>
          <w:szCs w:val="23"/>
        </w:rPr>
        <w:t xml:space="preserve"> More information can be found at </w:t>
      </w:r>
      <w:hyperlink r:id="rId14" w:history="1">
        <w:r w:rsidRPr="008D2381">
          <w:rPr>
            <w:rStyle w:val="Hyperlink"/>
            <w:rFonts w:ascii="Times New Roman" w:hAnsi="Times New Roman" w:cs="Times New Roman"/>
            <w:i/>
            <w:sz w:val="23"/>
            <w:szCs w:val="23"/>
          </w:rPr>
          <w:t>http://www.dplf.org/en</w:t>
        </w:r>
      </w:hyperlink>
      <w:r>
        <w:rPr>
          <w:rFonts w:ascii="Times New Roman" w:hAnsi="Times New Roman" w:cs="Times New Roman"/>
          <w:i/>
          <w:sz w:val="23"/>
          <w:szCs w:val="23"/>
        </w:rPr>
        <w:t xml:space="preserve">. </w:t>
      </w:r>
    </w:p>
    <w:p w14:paraId="48747B5C" w14:textId="78563BBE" w:rsidR="00281D2E" w:rsidRPr="001F4232" w:rsidRDefault="00281D2E" w:rsidP="003A040E">
      <w:pPr>
        <w:jc w:val="both"/>
        <w:rPr>
          <w:i/>
        </w:rPr>
      </w:pPr>
    </w:p>
    <w:sectPr w:rsidR="00281D2E" w:rsidRPr="001F4232" w:rsidSect="006C530D">
      <w:footerReference w:type="even"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6AD3C" w15:done="0"/>
  <w15:commentEx w15:paraId="6186919B" w15:done="0"/>
  <w15:commentEx w15:paraId="48D97CD5" w15:done="0"/>
  <w15:commentEx w15:paraId="756E0F54" w15:done="0"/>
  <w15:commentEx w15:paraId="521537DE" w15:done="0"/>
  <w15:commentEx w15:paraId="7977B24B" w15:done="0"/>
  <w15:commentEx w15:paraId="68C35095" w15:done="0"/>
  <w15:commentEx w15:paraId="38BA7C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A948" w14:textId="77777777" w:rsidR="00071686" w:rsidRDefault="00071686" w:rsidP="006602EC">
      <w:r>
        <w:separator/>
      </w:r>
    </w:p>
  </w:endnote>
  <w:endnote w:type="continuationSeparator" w:id="0">
    <w:p w14:paraId="6D986775" w14:textId="77777777" w:rsidR="00071686" w:rsidRDefault="00071686" w:rsidP="0066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757F" w14:textId="77777777" w:rsidR="00071686" w:rsidRDefault="00071686" w:rsidP="00043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D75D6" w14:textId="77777777" w:rsidR="00071686" w:rsidRDefault="00071686" w:rsidP="00043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BE4A" w14:textId="259F9AD5" w:rsidR="00071686" w:rsidRDefault="00071686" w:rsidP="00043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861">
      <w:rPr>
        <w:rStyle w:val="PageNumber"/>
        <w:noProof/>
      </w:rPr>
      <w:t>1</w:t>
    </w:r>
    <w:r>
      <w:rPr>
        <w:rStyle w:val="PageNumber"/>
      </w:rPr>
      <w:fldChar w:fldCharType="end"/>
    </w:r>
  </w:p>
  <w:p w14:paraId="512DC7AB" w14:textId="77777777" w:rsidR="00071686" w:rsidRDefault="00071686" w:rsidP="00043D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E8578" w14:textId="77777777" w:rsidR="00071686" w:rsidRDefault="00071686" w:rsidP="006602EC">
      <w:r>
        <w:separator/>
      </w:r>
    </w:p>
  </w:footnote>
  <w:footnote w:type="continuationSeparator" w:id="0">
    <w:p w14:paraId="56BA0A12" w14:textId="77777777" w:rsidR="00071686" w:rsidRDefault="00071686" w:rsidP="006602EC">
      <w:r>
        <w:continuationSeparator/>
      </w:r>
    </w:p>
  </w:footnote>
  <w:footnote w:id="1">
    <w:p w14:paraId="343BEC93" w14:textId="77777777" w:rsidR="00071686" w:rsidRPr="003A040E" w:rsidRDefault="00071686" w:rsidP="00E72243">
      <w:pPr>
        <w:pStyle w:val="FootnoteText"/>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Human Rights Council, </w:t>
      </w:r>
      <w:r w:rsidRPr="003A040E">
        <w:rPr>
          <w:rFonts w:ascii="Times New Roman" w:hAnsi="Times New Roman" w:cs="Times New Roman"/>
          <w:i/>
        </w:rPr>
        <w:t xml:space="preserve">Report of the Special Representative of the Secretary-General on the issue of human rights and transnational corporations and other business enterprises, John Ruggie, Guiding Principles on Business and Human Rights: Implementing the United Nations “Protect, Respect and Remedy” Framework, </w:t>
      </w:r>
      <w:r w:rsidRPr="003A040E">
        <w:rPr>
          <w:rFonts w:ascii="Times New Roman" w:hAnsi="Times New Roman" w:cs="Times New Roman"/>
        </w:rPr>
        <w:t xml:space="preserve">UN Doc. A/HRC/17/31 (Mar. 21, 2011). </w:t>
      </w:r>
    </w:p>
  </w:footnote>
  <w:footnote w:id="2">
    <w:p w14:paraId="5234C1F0" w14:textId="629CE374" w:rsidR="00071686" w:rsidRPr="003A040E" w:rsidRDefault="00071686" w:rsidP="00E72243">
      <w:pPr>
        <w:jc w:val="both"/>
        <w:rPr>
          <w:rFonts w:ascii="Times New Roman" w:eastAsia="Times New Roman" w:hAnsi="Times New Roman" w:cs="Times New Roman"/>
          <w:color w:val="222222"/>
        </w:rPr>
      </w:pPr>
      <w:r w:rsidRPr="003A040E">
        <w:rPr>
          <w:rStyle w:val="FootnoteReference"/>
          <w:rFonts w:ascii="Times New Roman" w:hAnsi="Times New Roman" w:cs="Times New Roman"/>
          <w:sz w:val="20"/>
          <w:szCs w:val="20"/>
        </w:rPr>
        <w:footnoteRef/>
      </w:r>
      <w:r w:rsidRPr="003A040E">
        <w:rPr>
          <w:rFonts w:ascii="Times New Roman" w:hAnsi="Times New Roman" w:cs="Times New Roman"/>
          <w:sz w:val="20"/>
          <w:szCs w:val="20"/>
        </w:rPr>
        <w:t xml:space="preserve"> </w:t>
      </w:r>
      <w:r w:rsidRPr="003A040E">
        <w:rPr>
          <w:rFonts w:ascii="Times New Roman" w:hAnsi="Times New Roman" w:cs="Times New Roman"/>
          <w:i/>
          <w:sz w:val="20"/>
          <w:szCs w:val="20"/>
        </w:rPr>
        <w:t xml:space="preserve">See, e.g., Fons Coomans, </w:t>
      </w:r>
      <w:r w:rsidRPr="003A040E">
        <w:rPr>
          <w:rFonts w:ascii="Times New Roman" w:hAnsi="Times New Roman" w:cs="Times New Roman"/>
          <w:sz w:val="20"/>
          <w:szCs w:val="20"/>
        </w:rPr>
        <w:t xml:space="preserve">Application of the International Covenant on Economic, Social, and Cultural Rights in the Framework of International Organizations, Max Planck Yearbook of United Nations Law, Vol II (2007) 362. </w:t>
      </w:r>
    </w:p>
  </w:footnote>
  <w:footnote w:id="3">
    <w:p w14:paraId="63CB9A9F" w14:textId="0BB1B9D0" w:rsidR="00E72243" w:rsidRDefault="00E72243" w:rsidP="00E72243">
      <w:pPr>
        <w:pStyle w:val="FootnoteText"/>
        <w:ind w:left="180" w:hanging="180"/>
        <w:jc w:val="both"/>
      </w:pPr>
      <w:r>
        <w:rPr>
          <w:rStyle w:val="FootnoteReference"/>
        </w:rPr>
        <w:footnoteRef/>
      </w:r>
      <w:r>
        <w:t xml:space="preserve"> </w:t>
      </w:r>
      <w:r w:rsidRPr="00E72243">
        <w:rPr>
          <w:rFonts w:ascii="Times New Roman" w:hAnsi="Times New Roman" w:cs="Times New Roman"/>
        </w:rPr>
        <w:t>The right to a living wage is well established in international law. UDHR Article 23(3); ICESCR Article 7 states that everyone has a right “to the enjoyment of just and favourable conditions of work which ensure, in particular: (a) Remuneration which provides all workers, as a minimum, with: (i) Fair wages and equal remuneration for work of equal value without distinction of any kind, in particular women being guaranteed conditions of work not inferior to those enjoyed by men, with equal pay for equal work; (ii) a decent living for themselves and their families…”</w:t>
      </w:r>
    </w:p>
  </w:footnote>
  <w:footnote w:id="4">
    <w:p w14:paraId="3849B07A" w14:textId="77777777" w:rsidR="00071686" w:rsidRPr="003A040E" w:rsidRDefault="00071686" w:rsidP="00E72243">
      <w:pPr>
        <w:pStyle w:val="FootnoteText"/>
        <w:ind w:left="180" w:hanging="180"/>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Relevant rights under the ICESCR include: the right to an adequate standard of living (Article 11); the right to just and favorable conditions of work (Article 7); The right to education (Article 13); the right to the highest attainable standard of physical and mental health (Article 12); and the Right to participate in cultural life (Article 15(1)(a)).</w:t>
      </w:r>
    </w:p>
  </w:footnote>
  <w:footnote w:id="5">
    <w:p w14:paraId="2AD0420A" w14:textId="77777777" w:rsidR="00071686" w:rsidRPr="003A040E" w:rsidRDefault="00071686" w:rsidP="00E72243">
      <w:pPr>
        <w:pStyle w:val="FootnoteText"/>
        <w:ind w:left="180" w:hanging="180"/>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smallCaps/>
        </w:rPr>
        <w:t xml:space="preserve">Labor Behind the Label, </w:t>
      </w:r>
      <w:r w:rsidRPr="003A040E">
        <w:rPr>
          <w:rFonts w:ascii="Times New Roman" w:hAnsi="Times New Roman" w:cs="Times New Roman"/>
          <w:i/>
        </w:rPr>
        <w:t>Asia Floor Wage Figures for 2015</w:t>
      </w:r>
      <w:r w:rsidRPr="003A040E">
        <w:rPr>
          <w:rFonts w:ascii="Times New Roman" w:hAnsi="Times New Roman" w:cs="Times New Roman"/>
        </w:rPr>
        <w:t xml:space="preserve">, </w:t>
      </w:r>
      <w:hyperlink r:id="rId1" w:history="1">
        <w:r w:rsidRPr="003A040E">
          <w:rPr>
            <w:rStyle w:val="Hyperlink"/>
            <w:rFonts w:ascii="Times New Roman" w:hAnsi="Times New Roman" w:cs="Times New Roman"/>
          </w:rPr>
          <w:t>http://labourbehindthelabel.org/campaigns/living-wage/</w:t>
        </w:r>
      </w:hyperlink>
      <w:r w:rsidRPr="003A040E">
        <w:rPr>
          <w:rFonts w:ascii="Times New Roman" w:hAnsi="Times New Roman" w:cs="Times New Roman"/>
        </w:rPr>
        <w:t xml:space="preserve"> (last visited Nov. 3 2016).</w:t>
      </w:r>
    </w:p>
  </w:footnote>
  <w:footnote w:id="6">
    <w:p w14:paraId="665A17BB" w14:textId="77777777" w:rsidR="00071686" w:rsidRPr="003A040E" w:rsidRDefault="00071686" w:rsidP="00E72243">
      <w:pPr>
        <w:pStyle w:val="FootnoteText"/>
        <w:ind w:left="180" w:hanging="180"/>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The one country not included in this figure does not have a legal minimum wage.</w:t>
      </w:r>
    </w:p>
  </w:footnote>
  <w:footnote w:id="7">
    <w:p w14:paraId="294D615D" w14:textId="77777777" w:rsidR="00071686" w:rsidRPr="003A040E" w:rsidRDefault="00071686" w:rsidP="00E72243">
      <w:pPr>
        <w:pStyle w:val="FootnoteText"/>
        <w:ind w:left="180" w:hanging="180"/>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smallCaps/>
        </w:rPr>
        <w:t>Clean Clothes Campaign, Stitched Up: Poverty Wages for Garment Workers in Eastern Europe and Turkey</w:t>
      </w:r>
      <w:r w:rsidRPr="003A040E">
        <w:rPr>
          <w:rFonts w:ascii="Times New Roman" w:hAnsi="Times New Roman" w:cs="Times New Roman"/>
        </w:rPr>
        <w:t xml:space="preserve"> (2014), </w:t>
      </w:r>
      <w:r w:rsidRPr="003A040E">
        <w:rPr>
          <w:rFonts w:ascii="Times New Roman" w:hAnsi="Times New Roman" w:cs="Times New Roman"/>
          <w:i/>
        </w:rPr>
        <w:t xml:space="preserve">available at </w:t>
      </w:r>
      <w:hyperlink r:id="rId2" w:history="1">
        <w:r w:rsidRPr="003A040E">
          <w:rPr>
            <w:rStyle w:val="Hyperlink"/>
            <w:rFonts w:ascii="Times New Roman" w:hAnsi="Times New Roman" w:cs="Times New Roman"/>
          </w:rPr>
          <w:t>https://cleanclothes.org/livingwage/stitched-up</w:t>
        </w:r>
      </w:hyperlink>
      <w:r w:rsidRPr="003A040E">
        <w:rPr>
          <w:rFonts w:ascii="Times New Roman" w:hAnsi="Times New Roman" w:cs="Times New Roman"/>
        </w:rPr>
        <w:t xml:space="preserve">. </w:t>
      </w:r>
    </w:p>
  </w:footnote>
  <w:footnote w:id="8">
    <w:p w14:paraId="189CED00" w14:textId="77777777" w:rsidR="00071686" w:rsidRPr="003A040E" w:rsidRDefault="00071686" w:rsidP="00E72243">
      <w:pPr>
        <w:pStyle w:val="FootnoteText"/>
        <w:ind w:left="180" w:hanging="180"/>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smallCaps/>
        </w:rPr>
        <w:t xml:space="preserve">International Labor Rights Forum, </w:t>
      </w:r>
      <w:r w:rsidRPr="003A040E">
        <w:rPr>
          <w:rFonts w:ascii="Times New Roman" w:hAnsi="Times New Roman" w:cs="Times New Roman"/>
          <w:i/>
        </w:rPr>
        <w:t xml:space="preserve">Living Wage, </w:t>
      </w:r>
      <w:hyperlink r:id="rId3" w:history="1">
        <w:r w:rsidRPr="003A040E">
          <w:rPr>
            <w:rStyle w:val="Hyperlink"/>
            <w:rFonts w:ascii="Times New Roman" w:hAnsi="Times New Roman" w:cs="Times New Roman"/>
          </w:rPr>
          <w:t>http://www.laborrights.org/issues/living-wage</w:t>
        </w:r>
      </w:hyperlink>
      <w:r w:rsidRPr="003A040E">
        <w:rPr>
          <w:rFonts w:ascii="Times New Roman" w:hAnsi="Times New Roman" w:cs="Times New Roman"/>
        </w:rPr>
        <w:t xml:space="preserve"> (last visited Nov. 3 2016).</w:t>
      </w:r>
    </w:p>
  </w:footnote>
  <w:footnote w:id="9">
    <w:p w14:paraId="38113DD7" w14:textId="669CB0F0" w:rsidR="00071686" w:rsidRPr="003A040E" w:rsidRDefault="00071686" w:rsidP="00E72243">
      <w:pPr>
        <w:pStyle w:val="FootnoteText"/>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UN Office of the High Commissioner for Human Rights, </w:t>
      </w:r>
      <w:r w:rsidRPr="003A040E">
        <w:rPr>
          <w:rFonts w:ascii="Times New Roman" w:hAnsi="Times New Roman" w:cs="Times New Roman"/>
          <w:i/>
        </w:rPr>
        <w:t xml:space="preserve">UN Experts Voice Concern over Adverse Impact of Free Trade and Investment Agreements on Human Rights </w:t>
      </w:r>
      <w:r w:rsidRPr="003A040E">
        <w:rPr>
          <w:rFonts w:ascii="Times New Roman" w:hAnsi="Times New Roman" w:cs="Times New Roman"/>
        </w:rPr>
        <w:t>(June 2, 2015), http://www.ohchr.org/EN/NewsEvents/Pages/DisplayNews.aspx?NewsID=16031&amp;LangID=E@</w:t>
      </w:r>
    </w:p>
  </w:footnote>
  <w:footnote w:id="10">
    <w:p w14:paraId="7AB86656" w14:textId="39FDAE8F" w:rsidR="00C80D44" w:rsidRDefault="00C80D44" w:rsidP="00E72243">
      <w:pPr>
        <w:pStyle w:val="FootnoteText"/>
        <w:jc w:val="both"/>
      </w:pPr>
      <w:r>
        <w:rPr>
          <w:rStyle w:val="FootnoteReference"/>
        </w:rPr>
        <w:footnoteRef/>
      </w:r>
      <w:r>
        <w:t xml:space="preserve"> </w:t>
      </w:r>
      <w:r w:rsidRPr="00C80D44">
        <w:rPr>
          <w:rFonts w:ascii="Times New Roman" w:hAnsi="Times New Roman" w:cs="Times New Roman"/>
          <w:smallCaps/>
        </w:rPr>
        <w:t>International Corporate Accountability Roundtable &amp; European Coalition for Corporate Justice, Assessments of Existing National Action Plans (NAPs) on Business and Human Rights (2015); International Corporate Accountability Roundtable &amp; Dejusticia, Assessment of the Colombian National Action Plan on Business and Human Rights</w:t>
      </w:r>
      <w:r w:rsidRPr="00C80D44">
        <w:rPr>
          <w:rFonts w:ascii="Times New Roman" w:hAnsi="Times New Roman" w:cs="Times New Roman"/>
        </w:rPr>
        <w:t xml:space="preserve"> 10 (2016).</w:t>
      </w:r>
      <w:r>
        <w:t xml:space="preserve"> </w:t>
      </w:r>
    </w:p>
  </w:footnote>
  <w:footnote w:id="11">
    <w:p w14:paraId="6DB14229" w14:textId="2120163B" w:rsidR="00071686" w:rsidRPr="003A040E" w:rsidRDefault="00071686" w:rsidP="00E72243">
      <w:pPr>
        <w:pStyle w:val="FootnoteText"/>
        <w:jc w:val="both"/>
        <w:rPr>
          <w:rFonts w:ascii="Times New Roman" w:hAnsi="Times New Roman" w:cs="Times New Roman"/>
          <w:smallCaps/>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i/>
        </w:rPr>
        <w:t xml:space="preserve">See, e.g., </w:t>
      </w:r>
      <w:r w:rsidRPr="003A040E">
        <w:rPr>
          <w:rFonts w:ascii="Times New Roman" w:hAnsi="Times New Roman" w:cs="Times New Roman"/>
          <w:smallCaps/>
        </w:rPr>
        <w:t xml:space="preserve">Danish Institute for Human Rights &amp; International Corporate Accountability Roundtable, National Action Plans on Business and Human Rights: A Toolkit for the Development, Implementation, and Review of State Commitments to Business and Human Rights Frameworks (2014). </w:t>
      </w:r>
    </w:p>
  </w:footnote>
  <w:footnote w:id="12">
    <w:p w14:paraId="53DF84C8" w14:textId="1B441BDA" w:rsidR="00071686" w:rsidRPr="003A040E" w:rsidRDefault="00071686" w:rsidP="00E72243">
      <w:pPr>
        <w:pStyle w:val="FootnoteText"/>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i/>
        </w:rPr>
        <w:t xml:space="preserve">See, e.g., </w:t>
      </w:r>
      <w:r w:rsidRPr="003A040E">
        <w:rPr>
          <w:rFonts w:ascii="Times New Roman" w:hAnsi="Times New Roman" w:cs="Times New Roman"/>
        </w:rPr>
        <w:t xml:space="preserve">ESCR-Net &amp; FIDH, </w:t>
      </w:r>
      <w:r w:rsidRPr="003A040E">
        <w:rPr>
          <w:rFonts w:ascii="Times New Roman" w:hAnsi="Times New Roman" w:cs="Times New Roman"/>
          <w:smallCaps/>
        </w:rPr>
        <w:t>Ten Key Proposals for the Treaty: A Legal Resource for Advocates and Diplomats Engaging with the UN Intergovernmental Working Group on Transnational Corporations and Other Business Enterprises</w:t>
      </w:r>
      <w:r w:rsidRPr="003A040E">
        <w:rPr>
          <w:rFonts w:ascii="Times New Roman" w:hAnsi="Times New Roman" w:cs="Times New Roman"/>
        </w:rPr>
        <w:t xml:space="preserve"> (2016),</w:t>
      </w:r>
      <w:r>
        <w:rPr>
          <w:rFonts w:ascii="Times New Roman" w:hAnsi="Times New Roman" w:cs="Times New Roman"/>
        </w:rPr>
        <w:t xml:space="preserve"> Chap. 7,</w:t>
      </w:r>
      <w:r w:rsidRPr="003A040E">
        <w:rPr>
          <w:rFonts w:ascii="Times New Roman" w:hAnsi="Times New Roman" w:cs="Times New Roman"/>
        </w:rPr>
        <w:t xml:space="preserve"> 65-68. </w:t>
      </w:r>
      <w:r w:rsidRPr="003A040E">
        <w:rPr>
          <w:rStyle w:val="Hyperlink"/>
          <w:rFonts w:ascii="Times New Roman" w:hAnsi="Times New Roman" w:cs="Times New Roman"/>
        </w:rPr>
        <w:t xml:space="preserve"> </w:t>
      </w:r>
    </w:p>
  </w:footnote>
  <w:footnote w:id="13">
    <w:p w14:paraId="03033189" w14:textId="77777777" w:rsidR="00071686" w:rsidRPr="003A040E" w:rsidRDefault="00071686" w:rsidP="00E72243">
      <w:pPr>
        <w:pStyle w:val="FootnoteText"/>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Claire Methven O’Brien, </w:t>
      </w:r>
      <w:r w:rsidRPr="003A040E">
        <w:rPr>
          <w:rFonts w:ascii="Times New Roman" w:hAnsi="Times New Roman" w:cs="Times New Roman"/>
          <w:i/>
        </w:rPr>
        <w:t>Human Rights: A New Frontier for Public Procurement</w:t>
      </w:r>
      <w:r w:rsidRPr="003A040E">
        <w:rPr>
          <w:rFonts w:ascii="Times New Roman" w:hAnsi="Times New Roman" w:cs="Times New Roman"/>
        </w:rPr>
        <w:t xml:space="preserve">, Danish Institute for Human Rights. </w:t>
      </w:r>
    </w:p>
  </w:footnote>
  <w:footnote w:id="14">
    <w:p w14:paraId="2D3A6AB8" w14:textId="69E474F8" w:rsidR="00071686" w:rsidRPr="003A040E" w:rsidRDefault="00071686" w:rsidP="00E72243">
      <w:pPr>
        <w:pStyle w:val="FootnoteText"/>
        <w:jc w:val="both"/>
        <w:rPr>
          <w:rFonts w:ascii="Times New Roman" w:hAnsi="Times New Roman" w:cs="Times New Roman"/>
          <w:smallCaps/>
        </w:rPr>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smallCaps/>
        </w:rPr>
        <w:t xml:space="preserve">International Corporate Accountability Roundtable, European Coalition for Corporate Justice, &amp; Corporate Responsibility UK (CORE), The Third Pillar: Access to Judicial Remedies for Human Rights Violations by Transnational Business (2013). </w:t>
      </w:r>
    </w:p>
  </w:footnote>
  <w:footnote w:id="15">
    <w:p w14:paraId="0BD678C7" w14:textId="4584502A" w:rsidR="00071686" w:rsidRPr="003A040E" w:rsidRDefault="00071686" w:rsidP="00E72243">
      <w:pPr>
        <w:pStyle w:val="FootnoteText"/>
        <w:jc w:val="both"/>
        <w:rPr>
          <w:rFonts w:ascii="Times New Roman" w:hAnsi="Times New Roman" w:cs="Times New Roman"/>
        </w:rPr>
      </w:pPr>
      <w:r w:rsidRPr="003A040E">
        <w:rPr>
          <w:rStyle w:val="FootnoteReference"/>
          <w:rFonts w:ascii="Times New Roman" w:hAnsi="Times New Roman" w:cs="Times New Roman"/>
        </w:rPr>
        <w:footnoteRef/>
      </w:r>
      <w:r w:rsidRPr="003A040E">
        <w:rPr>
          <w:rFonts w:ascii="Times New Roman" w:hAnsi="Times New Roman" w:cs="Times New Roman"/>
        </w:rPr>
        <w:t xml:space="preserve"> U.N. Human Rights Council, Improving Accountability and Access to Remedy for Victims of Business-Related Human Rights Abuses: Report of the United Nations High Commissioner for Human Rights</w:t>
      </w:r>
      <w:r w:rsidRPr="003A040E">
        <w:rPr>
          <w:rFonts w:ascii="Times New Roman" w:hAnsi="Times New Roman" w:cs="Times New Roman"/>
          <w:i/>
        </w:rPr>
        <w:t xml:space="preserve">, </w:t>
      </w:r>
      <w:r w:rsidRPr="003A040E">
        <w:rPr>
          <w:rFonts w:ascii="Times New Roman" w:hAnsi="Times New Roman" w:cs="Times New Roman"/>
        </w:rPr>
        <w:t xml:space="preserve">U.N. Doc. A/HRC/32/19 (2016). </w:t>
      </w:r>
    </w:p>
  </w:footnote>
  <w:footnote w:id="16">
    <w:p w14:paraId="6BE0C753" w14:textId="3F0A82B3" w:rsidR="00071686" w:rsidRDefault="00071686" w:rsidP="00E72243">
      <w:pPr>
        <w:pStyle w:val="FootnoteText"/>
        <w:jc w:val="both"/>
      </w:pPr>
      <w:r w:rsidRPr="003A040E">
        <w:rPr>
          <w:rStyle w:val="FootnoteReference"/>
          <w:rFonts w:ascii="Times New Roman" w:hAnsi="Times New Roman" w:cs="Times New Roman"/>
        </w:rPr>
        <w:footnoteRef/>
      </w:r>
      <w:r w:rsidRPr="003A040E">
        <w:rPr>
          <w:rFonts w:ascii="Times New Roman" w:hAnsi="Times New Roman" w:cs="Times New Roman"/>
        </w:rPr>
        <w:t xml:space="preserve"> </w:t>
      </w:r>
      <w:r w:rsidRPr="003A040E">
        <w:rPr>
          <w:rFonts w:ascii="Times New Roman" w:hAnsi="Times New Roman" w:cs="Times New Roman"/>
          <w:smallCaps/>
        </w:rPr>
        <w:t xml:space="preserve">Amnesty International &amp; International Corporate Accountability Roundtable, The Corporate Crimes Principles: Advancing Investigations and Prosecutions in Human Rights Cases (2016), </w:t>
      </w:r>
      <w:r w:rsidRPr="003A040E">
        <w:rPr>
          <w:rFonts w:ascii="Times New Roman" w:hAnsi="Times New Roman" w:cs="Times New Roman"/>
        </w:rPr>
        <w:t>http://www.commercecrimehumanrights.org/wp-content/uploads/2016/10/CCHR-0929-Final.pdf</w:t>
      </w:r>
      <w:r w:rsidRPr="003A040E">
        <w:rPr>
          <w:rFonts w:ascii="Times New Roman" w:hAnsi="Times New Roman" w:cs="Times New Roman"/>
          <w:small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946F1"/>
    <w:multiLevelType w:val="hybridMultilevel"/>
    <w:tmpl w:val="961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cGrath">
    <w15:presenceInfo w15:providerId="Windows Live" w15:userId="3f65587ee8c4e3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0D"/>
    <w:rsid w:val="000345C0"/>
    <w:rsid w:val="00043D5B"/>
    <w:rsid w:val="0004633A"/>
    <w:rsid w:val="00057A45"/>
    <w:rsid w:val="00060890"/>
    <w:rsid w:val="00071686"/>
    <w:rsid w:val="00085945"/>
    <w:rsid w:val="000A6AF3"/>
    <w:rsid w:val="001017FE"/>
    <w:rsid w:val="001108A9"/>
    <w:rsid w:val="001258C9"/>
    <w:rsid w:val="00140555"/>
    <w:rsid w:val="0017015C"/>
    <w:rsid w:val="001806AD"/>
    <w:rsid w:val="00195B15"/>
    <w:rsid w:val="001E1AFA"/>
    <w:rsid w:val="001E4B15"/>
    <w:rsid w:val="001E5795"/>
    <w:rsid w:val="001E7527"/>
    <w:rsid w:val="001F17C3"/>
    <w:rsid w:val="001F4232"/>
    <w:rsid w:val="00260EB5"/>
    <w:rsid w:val="002679B7"/>
    <w:rsid w:val="00281D2E"/>
    <w:rsid w:val="002B1811"/>
    <w:rsid w:val="002D7EB3"/>
    <w:rsid w:val="002F39E9"/>
    <w:rsid w:val="00312C8E"/>
    <w:rsid w:val="003150B7"/>
    <w:rsid w:val="00343D61"/>
    <w:rsid w:val="00353920"/>
    <w:rsid w:val="0035475F"/>
    <w:rsid w:val="00362800"/>
    <w:rsid w:val="0037298F"/>
    <w:rsid w:val="00374610"/>
    <w:rsid w:val="00374886"/>
    <w:rsid w:val="00380908"/>
    <w:rsid w:val="003A040E"/>
    <w:rsid w:val="003B1520"/>
    <w:rsid w:val="003C4B38"/>
    <w:rsid w:val="003C6BE6"/>
    <w:rsid w:val="003C6E1F"/>
    <w:rsid w:val="003C7BAB"/>
    <w:rsid w:val="00401E2F"/>
    <w:rsid w:val="004143A4"/>
    <w:rsid w:val="00414477"/>
    <w:rsid w:val="00414B6B"/>
    <w:rsid w:val="0041519D"/>
    <w:rsid w:val="004241B3"/>
    <w:rsid w:val="0044055B"/>
    <w:rsid w:val="00455764"/>
    <w:rsid w:val="004659C4"/>
    <w:rsid w:val="00480479"/>
    <w:rsid w:val="004A2BA2"/>
    <w:rsid w:val="004A78C8"/>
    <w:rsid w:val="004B7C0B"/>
    <w:rsid w:val="004C1559"/>
    <w:rsid w:val="004C77BA"/>
    <w:rsid w:val="004D6687"/>
    <w:rsid w:val="004D66A0"/>
    <w:rsid w:val="0051043B"/>
    <w:rsid w:val="005238D6"/>
    <w:rsid w:val="0052598A"/>
    <w:rsid w:val="00526A2E"/>
    <w:rsid w:val="00531D98"/>
    <w:rsid w:val="005826E5"/>
    <w:rsid w:val="0058383D"/>
    <w:rsid w:val="00586E12"/>
    <w:rsid w:val="005A0707"/>
    <w:rsid w:val="005A4C0E"/>
    <w:rsid w:val="005B333C"/>
    <w:rsid w:val="005D1DD7"/>
    <w:rsid w:val="00617370"/>
    <w:rsid w:val="00622E87"/>
    <w:rsid w:val="00636E81"/>
    <w:rsid w:val="00645011"/>
    <w:rsid w:val="00655CD9"/>
    <w:rsid w:val="006602EC"/>
    <w:rsid w:val="0066484B"/>
    <w:rsid w:val="00673054"/>
    <w:rsid w:val="0067365D"/>
    <w:rsid w:val="0067481D"/>
    <w:rsid w:val="0068635B"/>
    <w:rsid w:val="006B4391"/>
    <w:rsid w:val="006C530D"/>
    <w:rsid w:val="00700A38"/>
    <w:rsid w:val="0073260A"/>
    <w:rsid w:val="00741EBD"/>
    <w:rsid w:val="00743DBF"/>
    <w:rsid w:val="007540DB"/>
    <w:rsid w:val="00762E16"/>
    <w:rsid w:val="007646E2"/>
    <w:rsid w:val="00773B16"/>
    <w:rsid w:val="00774BE8"/>
    <w:rsid w:val="007777DE"/>
    <w:rsid w:val="00784BA1"/>
    <w:rsid w:val="007A252B"/>
    <w:rsid w:val="007E2E41"/>
    <w:rsid w:val="007F3961"/>
    <w:rsid w:val="008153F7"/>
    <w:rsid w:val="008336AF"/>
    <w:rsid w:val="008730AA"/>
    <w:rsid w:val="00873146"/>
    <w:rsid w:val="00882D5C"/>
    <w:rsid w:val="00883A5D"/>
    <w:rsid w:val="008868DB"/>
    <w:rsid w:val="00897861"/>
    <w:rsid w:val="008A01C6"/>
    <w:rsid w:val="008D550B"/>
    <w:rsid w:val="009021F5"/>
    <w:rsid w:val="00925E89"/>
    <w:rsid w:val="00933123"/>
    <w:rsid w:val="00954543"/>
    <w:rsid w:val="009652C4"/>
    <w:rsid w:val="009677D0"/>
    <w:rsid w:val="00971835"/>
    <w:rsid w:val="009779F5"/>
    <w:rsid w:val="00992B64"/>
    <w:rsid w:val="0099738F"/>
    <w:rsid w:val="009C7616"/>
    <w:rsid w:val="009C7887"/>
    <w:rsid w:val="009D0FC6"/>
    <w:rsid w:val="009E381D"/>
    <w:rsid w:val="009F2943"/>
    <w:rsid w:val="009F2B06"/>
    <w:rsid w:val="00A03D6B"/>
    <w:rsid w:val="00A262AA"/>
    <w:rsid w:val="00A41B97"/>
    <w:rsid w:val="00A65D55"/>
    <w:rsid w:val="00A9310E"/>
    <w:rsid w:val="00AB5BCB"/>
    <w:rsid w:val="00AC0AA4"/>
    <w:rsid w:val="00AF3150"/>
    <w:rsid w:val="00B0053A"/>
    <w:rsid w:val="00B6076C"/>
    <w:rsid w:val="00B8787C"/>
    <w:rsid w:val="00B90700"/>
    <w:rsid w:val="00BA2B8F"/>
    <w:rsid w:val="00BE1425"/>
    <w:rsid w:val="00BE38C2"/>
    <w:rsid w:val="00BE4D4D"/>
    <w:rsid w:val="00BF09AC"/>
    <w:rsid w:val="00BF4278"/>
    <w:rsid w:val="00C04B5B"/>
    <w:rsid w:val="00C203F1"/>
    <w:rsid w:val="00C21517"/>
    <w:rsid w:val="00C31A5D"/>
    <w:rsid w:val="00C320FE"/>
    <w:rsid w:val="00C62BE1"/>
    <w:rsid w:val="00C80D44"/>
    <w:rsid w:val="00C86B21"/>
    <w:rsid w:val="00CB1B50"/>
    <w:rsid w:val="00CB477F"/>
    <w:rsid w:val="00CC65D8"/>
    <w:rsid w:val="00CE0D2F"/>
    <w:rsid w:val="00CF69F6"/>
    <w:rsid w:val="00D1286E"/>
    <w:rsid w:val="00D402C5"/>
    <w:rsid w:val="00D53443"/>
    <w:rsid w:val="00D55EFE"/>
    <w:rsid w:val="00DA3F8B"/>
    <w:rsid w:val="00DB5356"/>
    <w:rsid w:val="00DB67AC"/>
    <w:rsid w:val="00DD27FB"/>
    <w:rsid w:val="00DD6357"/>
    <w:rsid w:val="00DE6F02"/>
    <w:rsid w:val="00E06B37"/>
    <w:rsid w:val="00E31ACD"/>
    <w:rsid w:val="00E621FD"/>
    <w:rsid w:val="00E72243"/>
    <w:rsid w:val="00E83925"/>
    <w:rsid w:val="00EE5027"/>
    <w:rsid w:val="00F04D5E"/>
    <w:rsid w:val="00F1575E"/>
    <w:rsid w:val="00F375E8"/>
    <w:rsid w:val="00F424CF"/>
    <w:rsid w:val="00F51DC6"/>
    <w:rsid w:val="00F532E5"/>
    <w:rsid w:val="00F60E95"/>
    <w:rsid w:val="00FB18B7"/>
    <w:rsid w:val="00FB254A"/>
    <w:rsid w:val="00FC459A"/>
    <w:rsid w:val="00FD1959"/>
    <w:rsid w:val="00FD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69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30D"/>
    <w:rPr>
      <w:rFonts w:ascii="Lucida Grande" w:hAnsi="Lucida Grande" w:cs="Lucida Grande"/>
      <w:sz w:val="18"/>
      <w:szCs w:val="18"/>
    </w:rPr>
  </w:style>
  <w:style w:type="paragraph" w:styleId="ListParagraph">
    <w:name w:val="List Paragraph"/>
    <w:basedOn w:val="Normal"/>
    <w:uiPriority w:val="34"/>
    <w:qFormat/>
    <w:rsid w:val="009779F5"/>
    <w:pPr>
      <w:ind w:left="720"/>
      <w:contextualSpacing/>
    </w:pPr>
  </w:style>
  <w:style w:type="paragraph" w:styleId="FootnoteText">
    <w:name w:val="footnote text"/>
    <w:basedOn w:val="Normal"/>
    <w:link w:val="FootnoteTextChar"/>
    <w:uiPriority w:val="99"/>
    <w:unhideWhenUsed/>
    <w:rsid w:val="006602EC"/>
    <w:rPr>
      <w:rFonts w:eastAsiaTheme="minorHAnsi"/>
      <w:sz w:val="20"/>
      <w:szCs w:val="20"/>
    </w:rPr>
  </w:style>
  <w:style w:type="character" w:customStyle="1" w:styleId="FootnoteTextChar">
    <w:name w:val="Footnote Text Char"/>
    <w:basedOn w:val="DefaultParagraphFont"/>
    <w:link w:val="FootnoteText"/>
    <w:uiPriority w:val="99"/>
    <w:rsid w:val="006602EC"/>
    <w:rPr>
      <w:rFonts w:eastAsiaTheme="minorHAnsi"/>
      <w:sz w:val="20"/>
      <w:szCs w:val="20"/>
    </w:rPr>
  </w:style>
  <w:style w:type="character" w:styleId="FootnoteReference">
    <w:name w:val="footnote reference"/>
    <w:basedOn w:val="DefaultParagraphFont"/>
    <w:uiPriority w:val="99"/>
    <w:unhideWhenUsed/>
    <w:rsid w:val="006602EC"/>
    <w:rPr>
      <w:vertAlign w:val="superscript"/>
    </w:rPr>
  </w:style>
  <w:style w:type="paragraph" w:styleId="Footer">
    <w:name w:val="footer"/>
    <w:basedOn w:val="Normal"/>
    <w:link w:val="FooterChar"/>
    <w:uiPriority w:val="99"/>
    <w:unhideWhenUsed/>
    <w:rsid w:val="00043D5B"/>
    <w:pPr>
      <w:tabs>
        <w:tab w:val="center" w:pos="4320"/>
        <w:tab w:val="right" w:pos="8640"/>
      </w:tabs>
    </w:pPr>
  </w:style>
  <w:style w:type="character" w:customStyle="1" w:styleId="FooterChar">
    <w:name w:val="Footer Char"/>
    <w:basedOn w:val="DefaultParagraphFont"/>
    <w:link w:val="Footer"/>
    <w:uiPriority w:val="99"/>
    <w:rsid w:val="00043D5B"/>
  </w:style>
  <w:style w:type="character" w:styleId="PageNumber">
    <w:name w:val="page number"/>
    <w:basedOn w:val="DefaultParagraphFont"/>
    <w:uiPriority w:val="99"/>
    <w:semiHidden/>
    <w:unhideWhenUsed/>
    <w:rsid w:val="00043D5B"/>
  </w:style>
  <w:style w:type="character" w:styleId="CommentReference">
    <w:name w:val="annotation reference"/>
    <w:basedOn w:val="DefaultParagraphFont"/>
    <w:uiPriority w:val="99"/>
    <w:semiHidden/>
    <w:unhideWhenUsed/>
    <w:rsid w:val="009C7616"/>
    <w:rPr>
      <w:sz w:val="16"/>
      <w:szCs w:val="16"/>
    </w:rPr>
  </w:style>
  <w:style w:type="paragraph" w:styleId="CommentText">
    <w:name w:val="annotation text"/>
    <w:basedOn w:val="Normal"/>
    <w:link w:val="CommentTextChar"/>
    <w:uiPriority w:val="99"/>
    <w:semiHidden/>
    <w:unhideWhenUsed/>
    <w:rsid w:val="009C7616"/>
    <w:rPr>
      <w:sz w:val="20"/>
      <w:szCs w:val="20"/>
    </w:rPr>
  </w:style>
  <w:style w:type="character" w:customStyle="1" w:styleId="CommentTextChar">
    <w:name w:val="Comment Text Char"/>
    <w:basedOn w:val="DefaultParagraphFont"/>
    <w:link w:val="CommentText"/>
    <w:uiPriority w:val="99"/>
    <w:semiHidden/>
    <w:rsid w:val="009C7616"/>
    <w:rPr>
      <w:sz w:val="20"/>
      <w:szCs w:val="20"/>
    </w:rPr>
  </w:style>
  <w:style w:type="paragraph" w:styleId="CommentSubject">
    <w:name w:val="annotation subject"/>
    <w:basedOn w:val="CommentText"/>
    <w:next w:val="CommentText"/>
    <w:link w:val="CommentSubjectChar"/>
    <w:uiPriority w:val="99"/>
    <w:semiHidden/>
    <w:unhideWhenUsed/>
    <w:rsid w:val="009C7616"/>
    <w:rPr>
      <w:b/>
      <w:bCs/>
    </w:rPr>
  </w:style>
  <w:style w:type="character" w:customStyle="1" w:styleId="CommentSubjectChar">
    <w:name w:val="Comment Subject Char"/>
    <w:basedOn w:val="CommentTextChar"/>
    <w:link w:val="CommentSubject"/>
    <w:uiPriority w:val="99"/>
    <w:semiHidden/>
    <w:rsid w:val="009C7616"/>
    <w:rPr>
      <w:b/>
      <w:bCs/>
      <w:sz w:val="20"/>
      <w:szCs w:val="20"/>
    </w:rPr>
  </w:style>
  <w:style w:type="character" w:styleId="Hyperlink">
    <w:name w:val="Hyperlink"/>
    <w:basedOn w:val="DefaultParagraphFont"/>
    <w:uiPriority w:val="99"/>
    <w:unhideWhenUsed/>
    <w:rsid w:val="00DE6F02"/>
    <w:rPr>
      <w:color w:val="0000FF" w:themeColor="hyperlink"/>
      <w:u w:val="single"/>
    </w:rPr>
  </w:style>
  <w:style w:type="paragraph" w:styleId="Revision">
    <w:name w:val="Revision"/>
    <w:hidden/>
    <w:uiPriority w:val="99"/>
    <w:semiHidden/>
    <w:rsid w:val="00E31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30D"/>
    <w:rPr>
      <w:rFonts w:ascii="Lucida Grande" w:hAnsi="Lucida Grande" w:cs="Lucida Grande"/>
      <w:sz w:val="18"/>
      <w:szCs w:val="18"/>
    </w:rPr>
  </w:style>
  <w:style w:type="paragraph" w:styleId="ListParagraph">
    <w:name w:val="List Paragraph"/>
    <w:basedOn w:val="Normal"/>
    <w:uiPriority w:val="34"/>
    <w:qFormat/>
    <w:rsid w:val="009779F5"/>
    <w:pPr>
      <w:ind w:left="720"/>
      <w:contextualSpacing/>
    </w:pPr>
  </w:style>
  <w:style w:type="paragraph" w:styleId="FootnoteText">
    <w:name w:val="footnote text"/>
    <w:basedOn w:val="Normal"/>
    <w:link w:val="FootnoteTextChar"/>
    <w:uiPriority w:val="99"/>
    <w:unhideWhenUsed/>
    <w:rsid w:val="006602EC"/>
    <w:rPr>
      <w:rFonts w:eastAsiaTheme="minorHAnsi"/>
      <w:sz w:val="20"/>
      <w:szCs w:val="20"/>
    </w:rPr>
  </w:style>
  <w:style w:type="character" w:customStyle="1" w:styleId="FootnoteTextChar">
    <w:name w:val="Footnote Text Char"/>
    <w:basedOn w:val="DefaultParagraphFont"/>
    <w:link w:val="FootnoteText"/>
    <w:uiPriority w:val="99"/>
    <w:rsid w:val="006602EC"/>
    <w:rPr>
      <w:rFonts w:eastAsiaTheme="minorHAnsi"/>
      <w:sz w:val="20"/>
      <w:szCs w:val="20"/>
    </w:rPr>
  </w:style>
  <w:style w:type="character" w:styleId="FootnoteReference">
    <w:name w:val="footnote reference"/>
    <w:basedOn w:val="DefaultParagraphFont"/>
    <w:uiPriority w:val="99"/>
    <w:unhideWhenUsed/>
    <w:rsid w:val="006602EC"/>
    <w:rPr>
      <w:vertAlign w:val="superscript"/>
    </w:rPr>
  </w:style>
  <w:style w:type="paragraph" w:styleId="Footer">
    <w:name w:val="footer"/>
    <w:basedOn w:val="Normal"/>
    <w:link w:val="FooterChar"/>
    <w:uiPriority w:val="99"/>
    <w:unhideWhenUsed/>
    <w:rsid w:val="00043D5B"/>
    <w:pPr>
      <w:tabs>
        <w:tab w:val="center" w:pos="4320"/>
        <w:tab w:val="right" w:pos="8640"/>
      </w:tabs>
    </w:pPr>
  </w:style>
  <w:style w:type="character" w:customStyle="1" w:styleId="FooterChar">
    <w:name w:val="Footer Char"/>
    <w:basedOn w:val="DefaultParagraphFont"/>
    <w:link w:val="Footer"/>
    <w:uiPriority w:val="99"/>
    <w:rsid w:val="00043D5B"/>
  </w:style>
  <w:style w:type="character" w:styleId="PageNumber">
    <w:name w:val="page number"/>
    <w:basedOn w:val="DefaultParagraphFont"/>
    <w:uiPriority w:val="99"/>
    <w:semiHidden/>
    <w:unhideWhenUsed/>
    <w:rsid w:val="00043D5B"/>
  </w:style>
  <w:style w:type="character" w:styleId="CommentReference">
    <w:name w:val="annotation reference"/>
    <w:basedOn w:val="DefaultParagraphFont"/>
    <w:uiPriority w:val="99"/>
    <w:semiHidden/>
    <w:unhideWhenUsed/>
    <w:rsid w:val="009C7616"/>
    <w:rPr>
      <w:sz w:val="16"/>
      <w:szCs w:val="16"/>
    </w:rPr>
  </w:style>
  <w:style w:type="paragraph" w:styleId="CommentText">
    <w:name w:val="annotation text"/>
    <w:basedOn w:val="Normal"/>
    <w:link w:val="CommentTextChar"/>
    <w:uiPriority w:val="99"/>
    <w:semiHidden/>
    <w:unhideWhenUsed/>
    <w:rsid w:val="009C7616"/>
    <w:rPr>
      <w:sz w:val="20"/>
      <w:szCs w:val="20"/>
    </w:rPr>
  </w:style>
  <w:style w:type="character" w:customStyle="1" w:styleId="CommentTextChar">
    <w:name w:val="Comment Text Char"/>
    <w:basedOn w:val="DefaultParagraphFont"/>
    <w:link w:val="CommentText"/>
    <w:uiPriority w:val="99"/>
    <w:semiHidden/>
    <w:rsid w:val="009C7616"/>
    <w:rPr>
      <w:sz w:val="20"/>
      <w:szCs w:val="20"/>
    </w:rPr>
  </w:style>
  <w:style w:type="paragraph" w:styleId="CommentSubject">
    <w:name w:val="annotation subject"/>
    <w:basedOn w:val="CommentText"/>
    <w:next w:val="CommentText"/>
    <w:link w:val="CommentSubjectChar"/>
    <w:uiPriority w:val="99"/>
    <w:semiHidden/>
    <w:unhideWhenUsed/>
    <w:rsid w:val="009C7616"/>
    <w:rPr>
      <w:b/>
      <w:bCs/>
    </w:rPr>
  </w:style>
  <w:style w:type="character" w:customStyle="1" w:styleId="CommentSubjectChar">
    <w:name w:val="Comment Subject Char"/>
    <w:basedOn w:val="CommentTextChar"/>
    <w:link w:val="CommentSubject"/>
    <w:uiPriority w:val="99"/>
    <w:semiHidden/>
    <w:rsid w:val="009C7616"/>
    <w:rPr>
      <w:b/>
      <w:bCs/>
      <w:sz w:val="20"/>
      <w:szCs w:val="20"/>
    </w:rPr>
  </w:style>
  <w:style w:type="character" w:styleId="Hyperlink">
    <w:name w:val="Hyperlink"/>
    <w:basedOn w:val="DefaultParagraphFont"/>
    <w:uiPriority w:val="99"/>
    <w:unhideWhenUsed/>
    <w:rsid w:val="00DE6F02"/>
    <w:rPr>
      <w:color w:val="0000FF" w:themeColor="hyperlink"/>
      <w:u w:val="single"/>
    </w:rPr>
  </w:style>
  <w:style w:type="paragraph" w:styleId="Revision">
    <w:name w:val="Revision"/>
    <w:hidden/>
    <w:uiPriority w:val="99"/>
    <w:semiHidden/>
    <w:rsid w:val="00E3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089">
      <w:bodyDiv w:val="1"/>
      <w:marLeft w:val="0"/>
      <w:marRight w:val="0"/>
      <w:marTop w:val="0"/>
      <w:marBottom w:val="0"/>
      <w:divBdr>
        <w:top w:val="none" w:sz="0" w:space="0" w:color="auto"/>
        <w:left w:val="none" w:sz="0" w:space="0" w:color="auto"/>
        <w:bottom w:val="none" w:sz="0" w:space="0" w:color="auto"/>
        <w:right w:val="none" w:sz="0" w:space="0" w:color="auto"/>
      </w:divBdr>
    </w:div>
    <w:div w:id="307168630">
      <w:bodyDiv w:val="1"/>
      <w:marLeft w:val="0"/>
      <w:marRight w:val="0"/>
      <w:marTop w:val="0"/>
      <w:marBottom w:val="0"/>
      <w:divBdr>
        <w:top w:val="none" w:sz="0" w:space="0" w:color="auto"/>
        <w:left w:val="none" w:sz="0" w:space="0" w:color="auto"/>
        <w:bottom w:val="none" w:sz="0" w:space="0" w:color="auto"/>
        <w:right w:val="none" w:sz="0" w:space="0" w:color="auto"/>
      </w:divBdr>
    </w:div>
    <w:div w:id="837622663">
      <w:bodyDiv w:val="1"/>
      <w:marLeft w:val="0"/>
      <w:marRight w:val="0"/>
      <w:marTop w:val="0"/>
      <w:marBottom w:val="0"/>
      <w:divBdr>
        <w:top w:val="none" w:sz="0" w:space="0" w:color="auto"/>
        <w:left w:val="none" w:sz="0" w:space="0" w:color="auto"/>
        <w:bottom w:val="none" w:sz="0" w:space="0" w:color="auto"/>
        <w:right w:val="none" w:sz="0" w:space="0" w:color="auto"/>
      </w:divBdr>
    </w:div>
    <w:div w:id="885069071">
      <w:bodyDiv w:val="1"/>
      <w:marLeft w:val="0"/>
      <w:marRight w:val="0"/>
      <w:marTop w:val="0"/>
      <w:marBottom w:val="0"/>
      <w:divBdr>
        <w:top w:val="none" w:sz="0" w:space="0" w:color="auto"/>
        <w:left w:val="none" w:sz="0" w:space="0" w:color="auto"/>
        <w:bottom w:val="none" w:sz="0" w:space="0" w:color="auto"/>
        <w:right w:val="none" w:sz="0" w:space="0" w:color="auto"/>
      </w:divBdr>
    </w:div>
    <w:div w:id="938488411">
      <w:bodyDiv w:val="1"/>
      <w:marLeft w:val="0"/>
      <w:marRight w:val="0"/>
      <w:marTop w:val="0"/>
      <w:marBottom w:val="0"/>
      <w:divBdr>
        <w:top w:val="none" w:sz="0" w:space="0" w:color="auto"/>
        <w:left w:val="none" w:sz="0" w:space="0" w:color="auto"/>
        <w:bottom w:val="none" w:sz="0" w:space="0" w:color="auto"/>
        <w:right w:val="none" w:sz="0" w:space="0" w:color="auto"/>
      </w:divBdr>
    </w:div>
    <w:div w:id="1058631908">
      <w:bodyDiv w:val="1"/>
      <w:marLeft w:val="0"/>
      <w:marRight w:val="0"/>
      <w:marTop w:val="0"/>
      <w:marBottom w:val="0"/>
      <w:divBdr>
        <w:top w:val="none" w:sz="0" w:space="0" w:color="auto"/>
        <w:left w:val="none" w:sz="0" w:space="0" w:color="auto"/>
        <w:bottom w:val="none" w:sz="0" w:space="0" w:color="auto"/>
        <w:right w:val="none" w:sz="0" w:space="0" w:color="auto"/>
      </w:divBdr>
    </w:div>
    <w:div w:id="1243492317">
      <w:bodyDiv w:val="1"/>
      <w:marLeft w:val="0"/>
      <w:marRight w:val="0"/>
      <w:marTop w:val="0"/>
      <w:marBottom w:val="0"/>
      <w:divBdr>
        <w:top w:val="none" w:sz="0" w:space="0" w:color="auto"/>
        <w:left w:val="none" w:sz="0" w:space="0" w:color="auto"/>
        <w:bottom w:val="none" w:sz="0" w:space="0" w:color="auto"/>
        <w:right w:val="none" w:sz="0" w:space="0" w:color="auto"/>
      </w:divBdr>
    </w:div>
    <w:div w:id="1266116180">
      <w:bodyDiv w:val="1"/>
      <w:marLeft w:val="0"/>
      <w:marRight w:val="0"/>
      <w:marTop w:val="0"/>
      <w:marBottom w:val="0"/>
      <w:divBdr>
        <w:top w:val="none" w:sz="0" w:space="0" w:color="auto"/>
        <w:left w:val="none" w:sz="0" w:space="0" w:color="auto"/>
        <w:bottom w:val="none" w:sz="0" w:space="0" w:color="auto"/>
        <w:right w:val="none" w:sz="0" w:space="0" w:color="auto"/>
      </w:divBdr>
    </w:div>
    <w:div w:id="1267344892">
      <w:bodyDiv w:val="1"/>
      <w:marLeft w:val="0"/>
      <w:marRight w:val="0"/>
      <w:marTop w:val="0"/>
      <w:marBottom w:val="0"/>
      <w:divBdr>
        <w:top w:val="none" w:sz="0" w:space="0" w:color="auto"/>
        <w:left w:val="none" w:sz="0" w:space="0" w:color="auto"/>
        <w:bottom w:val="none" w:sz="0" w:space="0" w:color="auto"/>
        <w:right w:val="none" w:sz="0" w:space="0" w:color="auto"/>
      </w:divBdr>
      <w:divsChild>
        <w:div w:id="377903127">
          <w:marLeft w:val="0"/>
          <w:marRight w:val="0"/>
          <w:marTop w:val="0"/>
          <w:marBottom w:val="0"/>
          <w:divBdr>
            <w:top w:val="none" w:sz="0" w:space="0" w:color="auto"/>
            <w:left w:val="none" w:sz="0" w:space="0" w:color="auto"/>
            <w:bottom w:val="none" w:sz="0" w:space="0" w:color="auto"/>
            <w:right w:val="none" w:sz="0" w:space="0" w:color="auto"/>
          </w:divBdr>
        </w:div>
        <w:div w:id="2137408290">
          <w:marLeft w:val="0"/>
          <w:marRight w:val="0"/>
          <w:marTop w:val="0"/>
          <w:marBottom w:val="0"/>
          <w:divBdr>
            <w:top w:val="none" w:sz="0" w:space="0" w:color="auto"/>
            <w:left w:val="none" w:sz="0" w:space="0" w:color="auto"/>
            <w:bottom w:val="none" w:sz="0" w:space="0" w:color="auto"/>
            <w:right w:val="none" w:sz="0" w:space="0" w:color="auto"/>
          </w:divBdr>
        </w:div>
        <w:div w:id="170025984">
          <w:marLeft w:val="0"/>
          <w:marRight w:val="0"/>
          <w:marTop w:val="0"/>
          <w:marBottom w:val="0"/>
          <w:divBdr>
            <w:top w:val="none" w:sz="0" w:space="0" w:color="auto"/>
            <w:left w:val="none" w:sz="0" w:space="0" w:color="auto"/>
            <w:bottom w:val="none" w:sz="0" w:space="0" w:color="auto"/>
            <w:right w:val="none" w:sz="0" w:space="0" w:color="auto"/>
          </w:divBdr>
        </w:div>
        <w:div w:id="1895115914">
          <w:marLeft w:val="0"/>
          <w:marRight w:val="0"/>
          <w:marTop w:val="0"/>
          <w:marBottom w:val="0"/>
          <w:divBdr>
            <w:top w:val="none" w:sz="0" w:space="0" w:color="auto"/>
            <w:left w:val="none" w:sz="0" w:space="0" w:color="auto"/>
            <w:bottom w:val="none" w:sz="0" w:space="0" w:color="auto"/>
            <w:right w:val="none" w:sz="0" w:space="0" w:color="auto"/>
          </w:divBdr>
        </w:div>
      </w:divsChild>
    </w:div>
    <w:div w:id="1273703269">
      <w:bodyDiv w:val="1"/>
      <w:marLeft w:val="0"/>
      <w:marRight w:val="0"/>
      <w:marTop w:val="0"/>
      <w:marBottom w:val="0"/>
      <w:divBdr>
        <w:top w:val="none" w:sz="0" w:space="0" w:color="auto"/>
        <w:left w:val="none" w:sz="0" w:space="0" w:color="auto"/>
        <w:bottom w:val="none" w:sz="0" w:space="0" w:color="auto"/>
        <w:right w:val="none" w:sz="0" w:space="0" w:color="auto"/>
      </w:divBdr>
    </w:div>
    <w:div w:id="1286616735">
      <w:bodyDiv w:val="1"/>
      <w:marLeft w:val="0"/>
      <w:marRight w:val="0"/>
      <w:marTop w:val="0"/>
      <w:marBottom w:val="0"/>
      <w:divBdr>
        <w:top w:val="none" w:sz="0" w:space="0" w:color="auto"/>
        <w:left w:val="none" w:sz="0" w:space="0" w:color="auto"/>
        <w:bottom w:val="none" w:sz="0" w:space="0" w:color="auto"/>
        <w:right w:val="none" w:sz="0" w:space="0" w:color="auto"/>
      </w:divBdr>
    </w:div>
    <w:div w:id="1484351801">
      <w:bodyDiv w:val="1"/>
      <w:marLeft w:val="0"/>
      <w:marRight w:val="0"/>
      <w:marTop w:val="0"/>
      <w:marBottom w:val="0"/>
      <w:divBdr>
        <w:top w:val="none" w:sz="0" w:space="0" w:color="auto"/>
        <w:left w:val="none" w:sz="0" w:space="0" w:color="auto"/>
        <w:bottom w:val="none" w:sz="0" w:space="0" w:color="auto"/>
        <w:right w:val="none" w:sz="0" w:space="0" w:color="auto"/>
      </w:divBdr>
    </w:div>
    <w:div w:id="1688947156">
      <w:bodyDiv w:val="1"/>
      <w:marLeft w:val="0"/>
      <w:marRight w:val="0"/>
      <w:marTop w:val="0"/>
      <w:marBottom w:val="0"/>
      <w:divBdr>
        <w:top w:val="none" w:sz="0" w:space="0" w:color="auto"/>
        <w:left w:val="none" w:sz="0" w:space="0" w:color="auto"/>
        <w:bottom w:val="none" w:sz="0" w:space="0" w:color="auto"/>
        <w:right w:val="none" w:sz="0" w:space="0" w:color="auto"/>
      </w:divBdr>
    </w:div>
    <w:div w:id="1705515901">
      <w:bodyDiv w:val="1"/>
      <w:marLeft w:val="0"/>
      <w:marRight w:val="0"/>
      <w:marTop w:val="0"/>
      <w:marBottom w:val="0"/>
      <w:divBdr>
        <w:top w:val="none" w:sz="0" w:space="0" w:color="auto"/>
        <w:left w:val="none" w:sz="0" w:space="0" w:color="auto"/>
        <w:bottom w:val="none" w:sz="0" w:space="0" w:color="auto"/>
        <w:right w:val="none" w:sz="0" w:space="0" w:color="auto"/>
      </w:divBdr>
    </w:div>
    <w:div w:id="1751000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cr.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icar.n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plf.org/en"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laborrights.org/issues/living-wage" TargetMode="External"/><Relationship Id="rId2" Type="http://schemas.openxmlformats.org/officeDocument/2006/relationships/hyperlink" Target="https://cleanclothes.org/livingwage/stitched-up" TargetMode="External"/><Relationship Id="rId1" Type="http://schemas.openxmlformats.org/officeDocument/2006/relationships/hyperlink" Target="http://labourbehindthelabel.org/campaigns/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93756-5EEA-4FD7-A6E1-1B857A030B19}"/>
</file>

<file path=customXml/itemProps2.xml><?xml version="1.0" encoding="utf-8"?>
<ds:datastoreItem xmlns:ds="http://schemas.openxmlformats.org/officeDocument/2006/customXml" ds:itemID="{B6CA269F-13B7-400C-81E5-223332CD91A4}"/>
</file>

<file path=customXml/itemProps3.xml><?xml version="1.0" encoding="utf-8"?>
<ds:datastoreItem xmlns:ds="http://schemas.openxmlformats.org/officeDocument/2006/customXml" ds:itemID="{BA464047-48B3-4265-98D5-ABD1EB346C06}"/>
</file>

<file path=customXml/itemProps4.xml><?xml version="1.0" encoding="utf-8"?>
<ds:datastoreItem xmlns:ds="http://schemas.openxmlformats.org/officeDocument/2006/customXml" ds:itemID="{C3414CAF-769A-48BA-8394-ED9508F413C6}"/>
</file>

<file path=docProps/app.xml><?xml version="1.0" encoding="utf-8"?>
<Properties xmlns="http://schemas.openxmlformats.org/officeDocument/2006/extended-properties" xmlns:vt="http://schemas.openxmlformats.org/officeDocument/2006/docPropsVTypes">
  <Template>Normal.dotm</Template>
  <TotalTime>1</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ICAR</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Woods</dc:creator>
  <cp:lastModifiedBy>Jung Rin KIM</cp:lastModifiedBy>
  <cp:revision>2</cp:revision>
  <cp:lastPrinted>2017-01-12T21:29:00Z</cp:lastPrinted>
  <dcterms:created xsi:type="dcterms:W3CDTF">2017-01-20T15:20:00Z</dcterms:created>
  <dcterms:modified xsi:type="dcterms:W3CDTF">2017-01-20T15:20:00Z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