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3F" w:rsidRDefault="000814B9" w:rsidP="000814B9">
      <w:pPr>
        <w:jc w:val="center"/>
        <w:rPr>
          <w:b/>
        </w:rPr>
      </w:pPr>
      <w:bookmarkStart w:id="0" w:name="_GoBack"/>
      <w:bookmarkEnd w:id="0"/>
      <w:permStart w:id="983503563" w:edGrp="everyone"/>
      <w:permEnd w:id="983503563"/>
      <w:r w:rsidRPr="000814B9">
        <w:rPr>
          <w:b/>
        </w:rPr>
        <w:t>Promoting and Protecting Women Migrant Workers’ Labour and Human Rights</w:t>
      </w:r>
      <w:r w:rsidR="00215CED">
        <w:rPr>
          <w:b/>
        </w:rPr>
        <w:t xml:space="preserve"> </w:t>
      </w:r>
    </w:p>
    <w:p w:rsidR="000814B9" w:rsidRPr="000814B9" w:rsidRDefault="000814B9" w:rsidP="000814B9">
      <w:pPr>
        <w:jc w:val="center"/>
        <w:rPr>
          <w:b/>
        </w:rPr>
      </w:pPr>
    </w:p>
    <w:p w:rsidR="000814B9" w:rsidRDefault="00564BA3" w:rsidP="000814B9">
      <w:pPr>
        <w:jc w:val="center"/>
      </w:pPr>
      <w:r>
        <w:t xml:space="preserve"> </w:t>
      </w:r>
      <w:r w:rsidR="00125B58">
        <w:t>21</w:t>
      </w:r>
      <w:r w:rsidR="001A4D03">
        <w:t xml:space="preserve"> &amp; </w:t>
      </w:r>
      <w:r w:rsidR="00125B58">
        <w:t xml:space="preserve">22 </w:t>
      </w:r>
      <w:r w:rsidR="001A4D03">
        <w:t>November 2016</w:t>
      </w:r>
      <w:r w:rsidR="00AB0EFF">
        <w:t xml:space="preserve"> </w:t>
      </w:r>
    </w:p>
    <w:p w:rsidR="00251033" w:rsidRPr="00AB0EFF" w:rsidRDefault="00251033" w:rsidP="000814B9">
      <w:pPr>
        <w:jc w:val="center"/>
      </w:pPr>
      <w:r>
        <w:t xml:space="preserve">Room IV | </w:t>
      </w:r>
      <w:proofErr w:type="spellStart"/>
      <w:r>
        <w:t>Palais</w:t>
      </w:r>
      <w:proofErr w:type="spellEnd"/>
      <w:r>
        <w:t xml:space="preserve"> des Nations</w:t>
      </w:r>
      <w:r w:rsidR="004A3017">
        <w:t>| Geneva</w:t>
      </w:r>
    </w:p>
    <w:p w:rsidR="00AB0EFF" w:rsidRPr="000814B9" w:rsidRDefault="00AB0EFF" w:rsidP="000814B9">
      <w:pPr>
        <w:jc w:val="center"/>
        <w:rPr>
          <w:b/>
        </w:rPr>
      </w:pPr>
    </w:p>
    <w:p w:rsidR="00D929CA" w:rsidRDefault="000814B9" w:rsidP="000814B9">
      <w:pPr>
        <w:jc w:val="center"/>
        <w:rPr>
          <w:b/>
        </w:rPr>
      </w:pPr>
      <w:r w:rsidRPr="000814B9">
        <w:rPr>
          <w:b/>
        </w:rPr>
        <w:t>Concept Note</w:t>
      </w:r>
    </w:p>
    <w:p w:rsidR="000814B9" w:rsidRPr="000814B9" w:rsidRDefault="000813B0" w:rsidP="000814B9">
      <w:pPr>
        <w:jc w:val="center"/>
        <w:rPr>
          <w:b/>
        </w:rPr>
      </w:pPr>
      <w:r>
        <w:rPr>
          <w:b/>
        </w:rPr>
        <w:t>Expert</w:t>
      </w:r>
      <w:r w:rsidR="001A4D03">
        <w:rPr>
          <w:b/>
        </w:rPr>
        <w:t xml:space="preserve"> Meeting</w:t>
      </w:r>
    </w:p>
    <w:p w:rsidR="000814B9" w:rsidRDefault="000814B9" w:rsidP="000814B9">
      <w:pPr>
        <w:jc w:val="both"/>
      </w:pPr>
    </w:p>
    <w:p w:rsidR="008E76F0" w:rsidRPr="008E76F0" w:rsidRDefault="00564741" w:rsidP="0013343C">
      <w:pPr>
        <w:jc w:val="both"/>
        <w:rPr>
          <w:b/>
        </w:rPr>
      </w:pPr>
      <w:r>
        <w:rPr>
          <w:b/>
        </w:rPr>
        <w:t>Introduction</w:t>
      </w:r>
    </w:p>
    <w:p w:rsidR="0013343C" w:rsidRDefault="0013343C" w:rsidP="0013343C">
      <w:pPr>
        <w:jc w:val="both"/>
        <w:rPr>
          <w:rFonts w:cstheme="minorHAnsi"/>
          <w:sz w:val="24"/>
          <w:szCs w:val="24"/>
        </w:rPr>
      </w:pPr>
      <w:r w:rsidRPr="00877D8C">
        <w:t>Women make up approximately half of the</w:t>
      </w:r>
      <w:r>
        <w:t xml:space="preserve"> 244 million</w:t>
      </w:r>
      <w:r w:rsidRPr="00877D8C">
        <w:t xml:space="preserve"> international migrants worldwide</w:t>
      </w:r>
      <w:r w:rsidR="00D929CA">
        <w:t>,</w:t>
      </w:r>
      <w:r>
        <w:t xml:space="preserve"> contributing to </w:t>
      </w:r>
      <w:r w:rsidR="000813B0">
        <w:t>economic growth and human development</w:t>
      </w:r>
      <w:r w:rsidRPr="00877D8C">
        <w:t xml:space="preserve">. </w:t>
      </w:r>
      <w:r w:rsidR="008E76F0">
        <w:t xml:space="preserve"> At the same time,</w:t>
      </w:r>
      <w:r w:rsidR="000813B0">
        <w:t xml:space="preserve"> refugee and migrant </w:t>
      </w:r>
      <w:r w:rsidRPr="00877D8C">
        <w:t xml:space="preserve">women face </w:t>
      </w:r>
      <w:r>
        <w:t>high</w:t>
      </w:r>
      <w:r w:rsidRPr="00877D8C">
        <w:t xml:space="preserve"> risk</w:t>
      </w:r>
      <w:r>
        <w:t>s</w:t>
      </w:r>
      <w:r w:rsidRPr="00877D8C">
        <w:t xml:space="preserve"> of sexual and gender-based violence,</w:t>
      </w:r>
      <w:r>
        <w:t xml:space="preserve"> </w:t>
      </w:r>
      <w:r w:rsidRPr="00877D8C">
        <w:t>psychosocial stress and trauma, health complications, physical harm</w:t>
      </w:r>
      <w:r>
        <w:t>,</w:t>
      </w:r>
      <w:r w:rsidRPr="00877D8C">
        <w:t xml:space="preserve"> injury and exploitation</w:t>
      </w:r>
      <w:r w:rsidR="005E366D">
        <w:t>.</w:t>
      </w:r>
      <w:r w:rsidR="00D929CA">
        <w:rPr>
          <w:rStyle w:val="FootnoteReference"/>
        </w:rPr>
        <w:footnoteReference w:id="1"/>
      </w:r>
      <w:r>
        <w:t xml:space="preserve"> </w:t>
      </w:r>
      <w:r w:rsidRPr="00877D8C">
        <w:t xml:space="preserve">Migrant women are commonly subject to multiple and intersecting forms of discrimination, as women, </w:t>
      </w:r>
      <w:r w:rsidR="00D929CA">
        <w:t xml:space="preserve">as </w:t>
      </w:r>
      <w:r w:rsidRPr="00877D8C">
        <w:t>migrants, and often on additional grounds such as race</w:t>
      </w:r>
      <w:r w:rsidR="00006DDF">
        <w:t>, ethnicity</w:t>
      </w:r>
      <w:r w:rsidRPr="00877D8C">
        <w:t xml:space="preserve"> or belonging to a minority group. Such gender-based discrimination limits </w:t>
      </w:r>
      <w:r w:rsidR="00D929CA">
        <w:t xml:space="preserve">migrant </w:t>
      </w:r>
      <w:r w:rsidRPr="00877D8C">
        <w:t>women’s decision-making and agency in the household and in the labo</w:t>
      </w:r>
      <w:r w:rsidR="000D213F">
        <w:t>u</w:t>
      </w:r>
      <w:r w:rsidRPr="00877D8C">
        <w:t>r market, as well as their mobility – within and outside their countries of origin.</w:t>
      </w:r>
      <w:r>
        <w:rPr>
          <w:rFonts w:cstheme="minorHAnsi"/>
          <w:sz w:val="24"/>
          <w:szCs w:val="24"/>
        </w:rPr>
        <w:t xml:space="preserve"> </w:t>
      </w:r>
    </w:p>
    <w:p w:rsidR="0013343C" w:rsidRPr="0013343C" w:rsidRDefault="0013343C" w:rsidP="0013343C">
      <w:pPr>
        <w:jc w:val="both"/>
        <w:rPr>
          <w:rFonts w:cstheme="minorHAnsi"/>
        </w:rPr>
      </w:pPr>
    </w:p>
    <w:p w:rsidR="0013343C" w:rsidRDefault="0013343C" w:rsidP="0013343C">
      <w:pPr>
        <w:jc w:val="both"/>
      </w:pPr>
      <w:r>
        <w:t>UN Women’s project</w:t>
      </w:r>
      <w:r w:rsidRPr="009D38C2">
        <w:t xml:space="preserve"> "</w:t>
      </w:r>
      <w:r>
        <w:t xml:space="preserve">Promoting and </w:t>
      </w:r>
      <w:r w:rsidR="00D929CA">
        <w:t>p</w:t>
      </w:r>
      <w:r>
        <w:t xml:space="preserve">rotecting </w:t>
      </w:r>
      <w:r w:rsidR="00D929CA">
        <w:t>w</w:t>
      </w:r>
      <w:r>
        <w:t xml:space="preserve">omen </w:t>
      </w:r>
      <w:r w:rsidR="00D929CA">
        <w:t>m</w:t>
      </w:r>
      <w:r>
        <w:t xml:space="preserve">igrant </w:t>
      </w:r>
      <w:r w:rsidR="00D929CA">
        <w:t>w</w:t>
      </w:r>
      <w:r>
        <w:t>orkers’ labour and human rights: Engaging with international</w:t>
      </w:r>
      <w:r w:rsidR="00D929CA">
        <w:t xml:space="preserve"> and </w:t>
      </w:r>
      <w:r>
        <w:t>national human rights mechanisms to enhance accountability</w:t>
      </w:r>
      <w:r w:rsidRPr="009D38C2">
        <w:t>"</w:t>
      </w:r>
      <w:r>
        <w:t xml:space="preserve"> promote</w:t>
      </w:r>
      <w:r w:rsidR="0014055C">
        <w:t>s</w:t>
      </w:r>
      <w:r>
        <w:t xml:space="preserve"> women migrant workers’ (WMWs) rights and protect</w:t>
      </w:r>
      <w:r w:rsidR="000813B0">
        <w:t xml:space="preserve">ion </w:t>
      </w:r>
      <w:r>
        <w:t>against exclusion and exploitati</w:t>
      </w:r>
      <w:r w:rsidR="000813B0">
        <w:t>on at all stages of migration. Piloted in the Philippines, Mexico and Moldova, t</w:t>
      </w:r>
      <w:r>
        <w:t>his global project is funded by the European Union (EU), and aims to:</w:t>
      </w:r>
    </w:p>
    <w:p w:rsidR="0013343C" w:rsidRDefault="0013343C" w:rsidP="0013343C">
      <w:pPr>
        <w:pStyle w:val="ListParagraph"/>
        <w:numPr>
          <w:ilvl w:val="0"/>
          <w:numId w:val="9"/>
        </w:numPr>
        <w:jc w:val="both"/>
      </w:pPr>
      <w:r>
        <w:t>strength</w:t>
      </w:r>
      <w:r w:rsidR="0014055C">
        <w:t>en</w:t>
      </w:r>
      <w:r>
        <w:t xml:space="preserve"> strategic international human rights mechanisms, national oversight institutions and governments to ensure accountability to women migrant workers at all stages; </w:t>
      </w:r>
    </w:p>
    <w:p w:rsidR="0013343C" w:rsidRDefault="0014055C" w:rsidP="0013343C">
      <w:pPr>
        <w:pStyle w:val="ListParagraph"/>
        <w:numPr>
          <w:ilvl w:val="0"/>
          <w:numId w:val="9"/>
        </w:numPr>
        <w:jc w:val="both"/>
      </w:pPr>
      <w:r>
        <w:t>strengthen</w:t>
      </w:r>
      <w:r w:rsidR="0013343C">
        <w:t xml:space="preserve"> women migrant workers’ organizations and their support groups to effectively engage with the above stakeholders to ensure greater accountability to them. </w:t>
      </w:r>
    </w:p>
    <w:p w:rsidR="0013343C" w:rsidRDefault="0013343C" w:rsidP="0013343C">
      <w:pPr>
        <w:jc w:val="both"/>
      </w:pPr>
    </w:p>
    <w:p w:rsidR="00616F29" w:rsidRDefault="0013343C" w:rsidP="0013343C">
      <w:pPr>
        <w:shd w:val="clear" w:color="auto" w:fill="FFFFFF"/>
        <w:jc w:val="both"/>
      </w:pPr>
      <w:r>
        <w:t xml:space="preserve">Since 2014, the project has </w:t>
      </w:r>
      <w:r w:rsidR="000813B0">
        <w:t>generated</w:t>
      </w:r>
      <w:r>
        <w:t xml:space="preserve"> original research, building capacity among a variety of stakeholders, and</w:t>
      </w:r>
      <w:r w:rsidR="00E41D65">
        <w:t xml:space="preserve"> </w:t>
      </w:r>
      <w:r w:rsidR="00006DDF">
        <w:t>strengthening</w:t>
      </w:r>
      <w:r w:rsidR="00E41D65">
        <w:t xml:space="preserve"> </w:t>
      </w:r>
      <w:r>
        <w:t xml:space="preserve">advocacy at the national level, focusing on the promotion and protection of WMWs within the framework of the Convention on the Elimination of All Forms of Discrimination against Women (CEDAW), in particular </w:t>
      </w:r>
      <w:r w:rsidR="00D929CA">
        <w:t xml:space="preserve">the Committee’s </w:t>
      </w:r>
      <w:r>
        <w:t>General Recommendation 26 (GR26)</w:t>
      </w:r>
      <w:r w:rsidR="00E41D65">
        <w:t>,</w:t>
      </w:r>
      <w:r>
        <w:t xml:space="preserve"> </w:t>
      </w:r>
      <w:r w:rsidR="00100E49">
        <w:t>the Convention</w:t>
      </w:r>
      <w:r>
        <w:t xml:space="preserve"> on the Protection of Migrant Workers and Members of their Families (</w:t>
      </w:r>
      <w:r w:rsidR="003F0640">
        <w:t>I</w:t>
      </w:r>
      <w:r>
        <w:t>C</w:t>
      </w:r>
      <w:r w:rsidR="003F0640">
        <w:t>R</w:t>
      </w:r>
      <w:r>
        <w:t>MW)</w:t>
      </w:r>
      <w:r w:rsidR="00E41D65">
        <w:t>, and the ILO Convention concerning Decent Work for Domestic W</w:t>
      </w:r>
      <w:r w:rsidR="00E41D65" w:rsidRPr="00E41D65">
        <w:t>orkers</w:t>
      </w:r>
      <w:r w:rsidR="00E41D65">
        <w:t xml:space="preserve"> (C189)</w:t>
      </w:r>
      <w:r w:rsidR="00D52531">
        <w:t>.</w:t>
      </w:r>
      <w:r w:rsidR="00E41D65">
        <w:t xml:space="preserve"> </w:t>
      </w:r>
      <w:r w:rsidR="003F0640">
        <w:t xml:space="preserve">As part of these efforts, the project has provided advice on strengthening the gender dimensions of two key </w:t>
      </w:r>
      <w:r w:rsidR="00F01FD4">
        <w:t xml:space="preserve">outputs </w:t>
      </w:r>
      <w:r w:rsidR="003F0640">
        <w:t xml:space="preserve">of the Committee </w:t>
      </w:r>
      <w:r w:rsidR="00DB5A2B">
        <w:t>on</w:t>
      </w:r>
      <w:r w:rsidR="003F0640">
        <w:t xml:space="preserve"> Migrant Workers (CMW), namely the </w:t>
      </w:r>
      <w:r w:rsidR="003F0640" w:rsidRPr="003B3973">
        <w:t xml:space="preserve">List of </w:t>
      </w:r>
      <w:r w:rsidR="003F0640">
        <w:t>I</w:t>
      </w:r>
      <w:r w:rsidR="003F0640" w:rsidRPr="003B3973">
        <w:t xml:space="preserve">ssues </w:t>
      </w:r>
      <w:r w:rsidR="003F0640">
        <w:t>P</w:t>
      </w:r>
      <w:r w:rsidR="003F0640" w:rsidRPr="003B3973">
        <w:t xml:space="preserve">rior to the submission of the initial periodic </w:t>
      </w:r>
      <w:r w:rsidR="003F0640">
        <w:t>R</w:t>
      </w:r>
      <w:r w:rsidR="003F0640" w:rsidRPr="003B3973">
        <w:t xml:space="preserve">eport of </w:t>
      </w:r>
      <w:r w:rsidR="003F0640">
        <w:t xml:space="preserve">countries (LOIPR), and the </w:t>
      </w:r>
      <w:r w:rsidR="00F01FD4">
        <w:t>C</w:t>
      </w:r>
      <w:r w:rsidR="00231314">
        <w:t xml:space="preserve">ommittee’s </w:t>
      </w:r>
      <w:r w:rsidR="003F0640" w:rsidRPr="003B3973">
        <w:t xml:space="preserve">Concluding </w:t>
      </w:r>
      <w:r w:rsidR="003F0640">
        <w:t>O</w:t>
      </w:r>
      <w:r w:rsidR="003F0640" w:rsidRPr="003B3973">
        <w:t xml:space="preserve">bservations </w:t>
      </w:r>
      <w:r w:rsidR="003F0640">
        <w:t xml:space="preserve">(COBs), that are delivered to State Parties. It has also provided direct briefings to </w:t>
      </w:r>
      <w:r w:rsidR="00231314">
        <w:t xml:space="preserve">the </w:t>
      </w:r>
      <w:r w:rsidR="003F0640">
        <w:t>CMW Committee, highlighting the linkages between gender</w:t>
      </w:r>
      <w:r w:rsidR="00D929CA">
        <w:t xml:space="preserve"> equality</w:t>
      </w:r>
      <w:r w:rsidR="003F0640">
        <w:t xml:space="preserve"> and migration and the importance of addressing WMWs’ rights through CEDAW and ICRMW. </w:t>
      </w:r>
      <w:r w:rsidR="00D929CA">
        <w:t>As part of t</w:t>
      </w:r>
      <w:r w:rsidR="00F35321">
        <w:t>he project</w:t>
      </w:r>
      <w:r w:rsidR="00D929CA">
        <w:t>, UN Women</w:t>
      </w:r>
      <w:r w:rsidR="00231314">
        <w:t xml:space="preserve"> co-organised a side eve</w:t>
      </w:r>
      <w:r w:rsidR="000813B0">
        <w:t xml:space="preserve">nt </w:t>
      </w:r>
      <w:r w:rsidR="005E366D">
        <w:t>to the 64</w:t>
      </w:r>
      <w:r w:rsidR="005E366D" w:rsidRPr="005E366D">
        <w:rPr>
          <w:vertAlign w:val="superscript"/>
        </w:rPr>
        <w:t>th</w:t>
      </w:r>
      <w:r w:rsidR="005E366D">
        <w:t xml:space="preserve"> CEDAW Session on 21 July 2016 </w:t>
      </w:r>
      <w:r w:rsidR="000813B0">
        <w:t xml:space="preserve">with OHCHR with </w:t>
      </w:r>
      <w:r w:rsidR="000813B0">
        <w:lastRenderedPageBreak/>
        <w:t>panellists f</w:t>
      </w:r>
      <w:r w:rsidR="00231314">
        <w:t>r</w:t>
      </w:r>
      <w:r w:rsidR="000813B0">
        <w:t>o</w:t>
      </w:r>
      <w:r w:rsidR="00231314">
        <w:t xml:space="preserve">m the CMW and CEDAW Committees, international organisations and civil society exchanging on the importance of addressing the needs of WMW through the CEDAW and CMW review processes. </w:t>
      </w:r>
      <w:r w:rsidR="00B77928">
        <w:t xml:space="preserve">A side event was also co-organized by the Permanent Missions of Mexico, Moldova and the Philippines together with UN Women on 4 November at </w:t>
      </w:r>
      <w:r w:rsidR="00B77928" w:rsidRPr="00B77928">
        <w:t>UPR 26th Session</w:t>
      </w:r>
      <w:r w:rsidR="00B77928">
        <w:t xml:space="preserve"> to highlight the role of international human rights mechanisms, including the UPR in protecting and promoting the rights of WMW.</w:t>
      </w:r>
    </w:p>
    <w:p w:rsidR="00616F29" w:rsidRDefault="00616F29" w:rsidP="0013343C">
      <w:pPr>
        <w:shd w:val="clear" w:color="auto" w:fill="FFFFFF"/>
        <w:jc w:val="both"/>
      </w:pPr>
    </w:p>
    <w:p w:rsidR="0013343C" w:rsidRDefault="00B77928" w:rsidP="0013343C">
      <w:pPr>
        <w:shd w:val="clear" w:color="auto" w:fill="FFFFFF"/>
        <w:jc w:val="both"/>
      </w:pPr>
      <w:r>
        <w:t>T</w:t>
      </w:r>
      <w:r w:rsidR="00F35321">
        <w:t xml:space="preserve">he project </w:t>
      </w:r>
      <w:r>
        <w:t xml:space="preserve">also </w:t>
      </w:r>
      <w:r w:rsidR="00F35321">
        <w:t xml:space="preserve">coordinated a joint statement by the CEDAW and CMW Committees, OHCHR and UN Women on addressing gender dimensions in large-scale movements of </w:t>
      </w:r>
      <w:r w:rsidR="00AF102E">
        <w:t xml:space="preserve">refugees and </w:t>
      </w:r>
      <w:r w:rsidR="00F35321">
        <w:t>migrants</w:t>
      </w:r>
      <w:r w:rsidR="00AF102E">
        <w:t>, which was released on 19 September 2016 to coincide with the UN Summit for Refugees and Migrants</w:t>
      </w:r>
      <w:r w:rsidR="005E366D">
        <w:t xml:space="preserve"> (see, </w:t>
      </w:r>
      <w:r w:rsidR="005E366D" w:rsidRPr="005E366D">
        <w:t>http://www.unwomen.org/en/news/stories/2016/9/statement-addressing-gender-dimensions-in-large-scale-movements-of-refugees-and-migrants</w:t>
      </w:r>
      <w:r w:rsidR="005E366D">
        <w:t>)</w:t>
      </w:r>
      <w:r w:rsidR="00AF102E">
        <w:t>.</w:t>
      </w:r>
      <w:r w:rsidR="00F35321">
        <w:t xml:space="preserve"> </w:t>
      </w:r>
      <w:r>
        <w:t>In addition, t</w:t>
      </w:r>
      <w:r w:rsidR="00616F29">
        <w:t xml:space="preserve">he project also hosted a </w:t>
      </w:r>
      <w:r w:rsidR="005021D9">
        <w:t>r</w:t>
      </w:r>
      <w:r w:rsidR="00616F29">
        <w:t xml:space="preserve">elated </w:t>
      </w:r>
      <w:r w:rsidR="005021D9">
        <w:t>e</w:t>
      </w:r>
      <w:r w:rsidR="00616F29">
        <w:t xml:space="preserve">vent prior to the </w:t>
      </w:r>
      <w:r w:rsidR="005E366D">
        <w:t>Summit on 16 September 2016, which</w:t>
      </w:r>
      <w:r w:rsidR="00616F29">
        <w:t xml:space="preserve"> featured a representati</w:t>
      </w:r>
      <w:r w:rsidR="000813B0">
        <w:t xml:space="preserve">ve of the CMW on the panel together with </w:t>
      </w:r>
      <w:r w:rsidR="005021D9">
        <w:t>representatives of M</w:t>
      </w:r>
      <w:r w:rsidR="000813B0">
        <w:t xml:space="preserve">ember </w:t>
      </w:r>
      <w:r w:rsidR="005021D9">
        <w:t>S</w:t>
      </w:r>
      <w:r w:rsidR="000813B0">
        <w:t xml:space="preserve">tates, UN agencies and civil society. </w:t>
      </w:r>
      <w:r w:rsidR="00616F29">
        <w:t xml:space="preserve"> </w:t>
      </w:r>
    </w:p>
    <w:p w:rsidR="00AF102E" w:rsidRDefault="00AF102E" w:rsidP="0013343C">
      <w:pPr>
        <w:shd w:val="clear" w:color="auto" w:fill="FFFFFF"/>
        <w:jc w:val="both"/>
      </w:pPr>
    </w:p>
    <w:p w:rsidR="00564741" w:rsidRPr="00564741" w:rsidRDefault="00564741" w:rsidP="0013343C">
      <w:pPr>
        <w:shd w:val="clear" w:color="auto" w:fill="FFFFFF"/>
        <w:jc w:val="both"/>
        <w:rPr>
          <w:b/>
        </w:rPr>
      </w:pPr>
      <w:r w:rsidRPr="00564741">
        <w:rPr>
          <w:b/>
        </w:rPr>
        <w:t>Context</w:t>
      </w:r>
    </w:p>
    <w:p w:rsidR="00616F29" w:rsidRDefault="0014055C" w:rsidP="0013343C">
      <w:pPr>
        <w:shd w:val="clear" w:color="auto" w:fill="FFFFFF"/>
        <w:jc w:val="both"/>
      </w:pPr>
      <w:r>
        <w:t>During the Summit for Refugees and Migrants,</w:t>
      </w:r>
      <w:r w:rsidR="00AF102E">
        <w:t xml:space="preserve"> </w:t>
      </w:r>
      <w:r w:rsidR="005021D9">
        <w:t>M</w:t>
      </w:r>
      <w:r w:rsidR="00AF102E">
        <w:t xml:space="preserve">ember </w:t>
      </w:r>
      <w:r w:rsidR="005021D9">
        <w:t>S</w:t>
      </w:r>
      <w:r w:rsidR="00AF102E">
        <w:t>tates adopted the New York Declaration</w:t>
      </w:r>
      <w:r w:rsidR="00616F29">
        <w:t xml:space="preserve"> for Refugees and Migrants</w:t>
      </w:r>
      <w:r w:rsidR="005021D9">
        <w:t xml:space="preserve"> (A/RES/71/</w:t>
      </w:r>
      <w:r w:rsidR="00675067">
        <w:t>59</w:t>
      </w:r>
      <w:r w:rsidR="005021D9">
        <w:t>)</w:t>
      </w:r>
      <w:r w:rsidR="00AF102E">
        <w:t>,</w:t>
      </w:r>
      <w:r w:rsidR="00616F29">
        <w:t xml:space="preserve"> which expresses the political will of world leaders to protect the rights of r</w:t>
      </w:r>
      <w:r>
        <w:t>efugees and migrants, to save li</w:t>
      </w:r>
      <w:r w:rsidR="00616F29">
        <w:t xml:space="preserve">ves and share responsibility for large </w:t>
      </w:r>
      <w:r>
        <w:t>population movements</w:t>
      </w:r>
      <w:r w:rsidR="00616F29">
        <w:t xml:space="preserve">. The </w:t>
      </w:r>
      <w:r w:rsidR="005021D9">
        <w:t xml:space="preserve">New York </w:t>
      </w:r>
      <w:r w:rsidR="00616F29">
        <w:t>Declaration recogni</w:t>
      </w:r>
      <w:r w:rsidR="005021D9">
        <w:t>z</w:t>
      </w:r>
      <w:r w:rsidR="00616F29">
        <w:t xml:space="preserve">es the specific vulnerabilities of women on the move (para </w:t>
      </w:r>
      <w:r w:rsidR="00251033">
        <w:t>23</w:t>
      </w:r>
      <w:r w:rsidR="00616F29">
        <w:t>) and makes commitments to ensur</w:t>
      </w:r>
      <w:r w:rsidR="005021D9">
        <w:t xml:space="preserve">e </w:t>
      </w:r>
      <w:r w:rsidR="00616F29">
        <w:t>that responses mainstream a gender perspective, promote gender equality and the empowerment of all women and girls, and respect and protect t</w:t>
      </w:r>
      <w:r w:rsidR="00B3007C">
        <w:t xml:space="preserve">heir rights (para </w:t>
      </w:r>
      <w:r w:rsidR="00251033">
        <w:t>31</w:t>
      </w:r>
      <w:r w:rsidR="00B3007C">
        <w:t xml:space="preserve">). The </w:t>
      </w:r>
      <w:r w:rsidR="005021D9">
        <w:t xml:space="preserve">New York </w:t>
      </w:r>
      <w:r w:rsidR="00B3007C">
        <w:t xml:space="preserve">Declaration also recognizes the significant contributions and leadership of women, committing to ensuring women’s full and meaningful participation in the development of local solutions (para </w:t>
      </w:r>
      <w:r w:rsidR="00251033">
        <w:t>31</w:t>
      </w:r>
      <w:r w:rsidR="00B3007C">
        <w:t>).</w:t>
      </w:r>
      <w:r w:rsidR="00D16093">
        <w:t xml:space="preserve"> The </w:t>
      </w:r>
      <w:r w:rsidR="005021D9">
        <w:t xml:space="preserve">New York </w:t>
      </w:r>
      <w:r w:rsidR="00D16093">
        <w:t xml:space="preserve">Declaration refers to the existing international normative framework on the protection of migrant worker rights, calling upon States to ratify or accede to the ICRMW (para </w:t>
      </w:r>
      <w:r w:rsidR="00251033">
        <w:t>48</w:t>
      </w:r>
      <w:r w:rsidR="00D16093">
        <w:t>).</w:t>
      </w:r>
    </w:p>
    <w:p w:rsidR="00616F29" w:rsidRDefault="00616F29" w:rsidP="0013343C">
      <w:pPr>
        <w:shd w:val="clear" w:color="auto" w:fill="FFFFFF"/>
        <w:jc w:val="both"/>
      </w:pPr>
    </w:p>
    <w:p w:rsidR="00AF102E" w:rsidRPr="0032646B" w:rsidRDefault="00AF102E" w:rsidP="0013343C">
      <w:pPr>
        <w:shd w:val="clear" w:color="auto" w:fill="FFFFFF"/>
        <w:jc w:val="both"/>
      </w:pPr>
      <w:r>
        <w:t xml:space="preserve">Annex two of </w:t>
      </w:r>
      <w:r w:rsidR="00D16093">
        <w:t>the New York Declaration</w:t>
      </w:r>
      <w:r>
        <w:t xml:space="preserve">, “Towards a </w:t>
      </w:r>
      <w:r w:rsidR="005021D9">
        <w:t>g</w:t>
      </w:r>
      <w:r>
        <w:t xml:space="preserve">lobal </w:t>
      </w:r>
      <w:r w:rsidR="005021D9">
        <w:t>c</w:t>
      </w:r>
      <w:r>
        <w:t xml:space="preserve">ompact for </w:t>
      </w:r>
      <w:r w:rsidR="005021D9">
        <w:t>s</w:t>
      </w:r>
      <w:r>
        <w:t xml:space="preserve">afe, </w:t>
      </w:r>
      <w:r w:rsidR="005021D9">
        <w:t>o</w:t>
      </w:r>
      <w:r>
        <w:t xml:space="preserve">rderly and </w:t>
      </w:r>
      <w:r w:rsidR="005021D9">
        <w:t>r</w:t>
      </w:r>
      <w:r>
        <w:t xml:space="preserve">egular </w:t>
      </w:r>
      <w:r w:rsidR="005021D9">
        <w:t>m</w:t>
      </w:r>
      <w:r>
        <w:t>igration”</w:t>
      </w:r>
      <w:r w:rsidR="00D17684">
        <w:t xml:space="preserve"> (see annex)</w:t>
      </w:r>
      <w:r>
        <w:t xml:space="preserve"> </w:t>
      </w:r>
      <w:r w:rsidR="00B07347">
        <w:t>set</w:t>
      </w:r>
      <w:r w:rsidR="005021D9">
        <w:t>s</w:t>
      </w:r>
      <w:r w:rsidR="00B07347">
        <w:t xml:space="preserve"> out </w:t>
      </w:r>
      <w:r w:rsidR="001027FB">
        <w:t xml:space="preserve">a commitment to a process that will lead to the adoption of a new “Global </w:t>
      </w:r>
      <w:r w:rsidR="005021D9">
        <w:t>c</w:t>
      </w:r>
      <w:r w:rsidR="001027FB">
        <w:t xml:space="preserve">ompact for </w:t>
      </w:r>
      <w:r w:rsidR="005021D9">
        <w:t>s</w:t>
      </w:r>
      <w:r w:rsidR="001027FB">
        <w:t xml:space="preserve">afe, </w:t>
      </w:r>
      <w:r w:rsidR="005021D9">
        <w:t>o</w:t>
      </w:r>
      <w:r w:rsidR="001027FB">
        <w:t xml:space="preserve">rderly and </w:t>
      </w:r>
      <w:r w:rsidR="005021D9">
        <w:t>r</w:t>
      </w:r>
      <w:r w:rsidR="001027FB">
        <w:t xml:space="preserve">egular </w:t>
      </w:r>
      <w:r w:rsidR="005021D9">
        <w:t>m</w:t>
      </w:r>
      <w:r w:rsidR="001027FB">
        <w:t xml:space="preserve">igration”. </w:t>
      </w:r>
      <w:r w:rsidR="005021D9">
        <w:t>T</w:t>
      </w:r>
      <w:r w:rsidR="001027FB">
        <w:t xml:space="preserve">he Global Compact </w:t>
      </w:r>
      <w:r w:rsidR="005021D9">
        <w:t xml:space="preserve">is expected to </w:t>
      </w:r>
      <w:r w:rsidR="0014055C">
        <w:t>stipulate</w:t>
      </w:r>
      <w:r w:rsidR="001027FB">
        <w:t xml:space="preserve"> a range of principles, commitments and understandings among Member States </w:t>
      </w:r>
      <w:r w:rsidR="00D16093">
        <w:t xml:space="preserve">regarding international migration in all its dimensions, enhancing international coordination and cooperation on migrants and human mobility. The Global Compact </w:t>
      </w:r>
      <w:r w:rsidR="005021D9">
        <w:t xml:space="preserve">is expected to </w:t>
      </w:r>
      <w:r w:rsidR="00D16093">
        <w:t>address</w:t>
      </w:r>
      <w:r w:rsidR="001727A4">
        <w:t xml:space="preserve"> a number of key elements</w:t>
      </w:r>
      <w:r w:rsidR="005021D9">
        <w:t xml:space="preserve">, </w:t>
      </w:r>
      <w:r w:rsidR="001727A4">
        <w:t xml:space="preserve">including </w:t>
      </w:r>
      <w:r w:rsidR="005021D9">
        <w:t>among other issues</w:t>
      </w:r>
      <w:r w:rsidR="00D16093">
        <w:t>, protection of labour rights and a safe environment for migrant workers and those in precarious employment; protection of women migrant workers in all sectors; promotion of labour mobility, including circular migration (para</w:t>
      </w:r>
      <w:r w:rsidR="001727A4">
        <w:t>8. q</w:t>
      </w:r>
      <w:r w:rsidR="00D16093">
        <w:t>). The Global Compact will be elaborated through a process of intergovernmental negotiations, culminating in an intergovernmental conference on international migration in 2018 where the Global Compact will be presented for adoption.</w:t>
      </w:r>
      <w:r w:rsidR="005021D9" w:rsidRPr="005021D9">
        <w:t xml:space="preserve"> </w:t>
      </w:r>
      <w:r w:rsidR="005021D9">
        <w:t xml:space="preserve">Preparations for this process have started, with the appointment by the President of the General Assembly in October of two co-facilitators who are tasked with finalizing a modalities resolution or the Summit by the end of January 2017 and negotiations on the Global Compact beginning thereafter.  </w:t>
      </w:r>
    </w:p>
    <w:p w:rsidR="00157BC4" w:rsidRDefault="00157BC4" w:rsidP="00152D3B">
      <w:pPr>
        <w:jc w:val="both"/>
      </w:pPr>
    </w:p>
    <w:p w:rsidR="00564741" w:rsidRPr="00564741" w:rsidRDefault="00564741" w:rsidP="00152D3B">
      <w:pPr>
        <w:jc w:val="both"/>
        <w:rPr>
          <w:b/>
        </w:rPr>
      </w:pPr>
      <w:r w:rsidRPr="00564741">
        <w:rPr>
          <w:b/>
        </w:rPr>
        <w:t>Expert meeting</w:t>
      </w:r>
    </w:p>
    <w:p w:rsidR="00157BC4" w:rsidRDefault="003F0640" w:rsidP="00152D3B">
      <w:pPr>
        <w:jc w:val="both"/>
      </w:pPr>
      <w:r>
        <w:t>UN Women</w:t>
      </w:r>
      <w:r w:rsidR="000813B0">
        <w:t xml:space="preserve"> and OHCHR</w:t>
      </w:r>
      <w:r>
        <w:t xml:space="preserve"> </w:t>
      </w:r>
      <w:r w:rsidR="00157BC4">
        <w:t xml:space="preserve">will </w:t>
      </w:r>
      <w:r>
        <w:t>host a</w:t>
      </w:r>
      <w:r w:rsidR="004C6336">
        <w:t xml:space="preserve"> meeting of experts</w:t>
      </w:r>
      <w:r w:rsidR="00157BC4">
        <w:t xml:space="preserve"> that will bring together members</w:t>
      </w:r>
      <w:r w:rsidR="004C6336">
        <w:t xml:space="preserve"> from </w:t>
      </w:r>
      <w:r w:rsidR="00157BC4">
        <w:t xml:space="preserve">the CEDAW and CMW </w:t>
      </w:r>
      <w:r w:rsidR="004C6336">
        <w:t>committees</w:t>
      </w:r>
      <w:r>
        <w:t xml:space="preserve">, </w:t>
      </w:r>
      <w:r w:rsidR="007E4BE2">
        <w:t xml:space="preserve">as well as </w:t>
      </w:r>
      <w:r w:rsidR="00157BC4">
        <w:t xml:space="preserve">representatives of select </w:t>
      </w:r>
      <w:r w:rsidR="0014055C">
        <w:t>UN a</w:t>
      </w:r>
      <w:r>
        <w:t>gencies and civil society</w:t>
      </w:r>
      <w:r w:rsidR="007E4BE2">
        <w:t>,</w:t>
      </w:r>
      <w:r w:rsidR="002A0BDD">
        <w:t xml:space="preserve"> to</w:t>
      </w:r>
      <w:r w:rsidR="000813B0">
        <w:t xml:space="preserve"> identify key </w:t>
      </w:r>
      <w:r w:rsidR="00157BC4">
        <w:t xml:space="preserve">issues </w:t>
      </w:r>
      <w:r w:rsidR="000813B0">
        <w:t>and</w:t>
      </w:r>
      <w:r w:rsidR="002A0BDD">
        <w:t xml:space="preserve"> develop </w:t>
      </w:r>
      <w:r w:rsidR="001A4D03">
        <w:t>recommend</w:t>
      </w:r>
      <w:r w:rsidR="00157BC4">
        <w:t xml:space="preserve">ations </w:t>
      </w:r>
      <w:r w:rsidR="004C6336">
        <w:t>for addressing g</w:t>
      </w:r>
      <w:r w:rsidR="002A0BDD">
        <w:t xml:space="preserve">ender </w:t>
      </w:r>
      <w:r w:rsidR="00157BC4">
        <w:t xml:space="preserve">perspectives proactively and effectively </w:t>
      </w:r>
      <w:r w:rsidR="002A0BDD">
        <w:t xml:space="preserve">in </w:t>
      </w:r>
      <w:r w:rsidR="008D7E59">
        <w:t xml:space="preserve">the development </w:t>
      </w:r>
      <w:r w:rsidR="00157BC4">
        <w:t xml:space="preserve">of </w:t>
      </w:r>
      <w:r w:rsidR="008E0F7C">
        <w:t xml:space="preserve">the global framework to respond to migration and its subsequent </w:t>
      </w:r>
      <w:r w:rsidR="008D7E59">
        <w:t>implementation</w:t>
      </w:r>
      <w:r w:rsidR="008E0F7C">
        <w:t>.</w:t>
      </w:r>
      <w:r w:rsidR="008D7E59">
        <w:t xml:space="preserve"> </w:t>
      </w:r>
      <w:r w:rsidR="00157BC4">
        <w:t xml:space="preserve">The expert meeting will build on the </w:t>
      </w:r>
      <w:r w:rsidR="008E0F7C">
        <w:t xml:space="preserve">gains achieved through </w:t>
      </w:r>
      <w:r w:rsidR="00157BC4" w:rsidRPr="00157BC4">
        <w:t>the initiatives recently undertaken with the CMW and CEDAW Committees</w:t>
      </w:r>
      <w:r w:rsidR="00157BC4">
        <w:t xml:space="preserve">, and further contribute to their </w:t>
      </w:r>
      <w:r w:rsidR="00157BC4" w:rsidRPr="00157BC4">
        <w:t>stated interest in working more closely together</w:t>
      </w:r>
      <w:r w:rsidR="00157BC4">
        <w:t xml:space="preserve"> for the benefit of </w:t>
      </w:r>
      <w:r w:rsidR="00157BC4" w:rsidRPr="00157BC4">
        <w:t>women migrant workers</w:t>
      </w:r>
      <w:r w:rsidR="00157BC4">
        <w:t>.</w:t>
      </w:r>
    </w:p>
    <w:p w:rsidR="00157BC4" w:rsidRDefault="00157BC4" w:rsidP="00152D3B">
      <w:pPr>
        <w:jc w:val="both"/>
      </w:pPr>
    </w:p>
    <w:p w:rsidR="00CB7905" w:rsidRDefault="004C6336" w:rsidP="00152D3B">
      <w:pPr>
        <w:jc w:val="both"/>
      </w:pPr>
      <w:r>
        <w:t>A primary aim of th</w:t>
      </w:r>
      <w:r w:rsidR="008E0F7C">
        <w:t xml:space="preserve">ese recommendations </w:t>
      </w:r>
      <w:r>
        <w:t>will be to</w:t>
      </w:r>
      <w:r w:rsidR="000813B0">
        <w:t xml:space="preserve"> support</w:t>
      </w:r>
      <w:r w:rsidR="007E4BE2">
        <w:t xml:space="preserve"> the process of developing t</w:t>
      </w:r>
      <w:r>
        <w:t xml:space="preserve">he new </w:t>
      </w:r>
      <w:r w:rsidR="007E4BE2">
        <w:t>G</w:t>
      </w:r>
      <w:r>
        <w:t>lobal Compact</w:t>
      </w:r>
      <w:r w:rsidR="0014055C">
        <w:t xml:space="preserve"> to ensure </w:t>
      </w:r>
      <w:r w:rsidR="00B94F5F">
        <w:t xml:space="preserve">that gender equality and the empowerment of migrant women and girls </w:t>
      </w:r>
      <w:r w:rsidR="008E0F7C">
        <w:t xml:space="preserve">are </w:t>
      </w:r>
      <w:r w:rsidR="00B94F5F">
        <w:t>central</w:t>
      </w:r>
      <w:r w:rsidR="008E0F7C">
        <w:t xml:space="preserve"> to the work and are given</w:t>
      </w:r>
      <w:r w:rsidR="00D17684">
        <w:t xml:space="preserve"> priority in the Global Compact</w:t>
      </w:r>
      <w:r w:rsidR="00B94F5F">
        <w:t xml:space="preserve">. </w:t>
      </w:r>
      <w:r w:rsidR="008E0F7C">
        <w:t>T</w:t>
      </w:r>
      <w:r w:rsidR="007E4BE2">
        <w:t>he meeting</w:t>
      </w:r>
      <w:r w:rsidR="008D7E59">
        <w:t xml:space="preserve"> will also provide an opportunity for representatives of both committees to discuss how the</w:t>
      </w:r>
      <w:r w:rsidR="007E4BE2">
        <w:t>y</w:t>
      </w:r>
      <w:r w:rsidR="008D7E59">
        <w:t xml:space="preserve"> can effect greater collaboration in strengthening the accountability of </w:t>
      </w:r>
      <w:r w:rsidR="008E0F7C">
        <w:t xml:space="preserve">States for </w:t>
      </w:r>
      <w:r w:rsidR="008D7E59">
        <w:t xml:space="preserve">the promotion and protection of women migrant workers’ rights </w:t>
      </w:r>
      <w:r w:rsidR="00F97A65">
        <w:t xml:space="preserve">through </w:t>
      </w:r>
      <w:r w:rsidR="008D7E59">
        <w:t xml:space="preserve">the existing </w:t>
      </w:r>
      <w:r w:rsidR="00F97A65">
        <w:t xml:space="preserve">normative </w:t>
      </w:r>
      <w:r w:rsidR="008D7E59">
        <w:t>framework</w:t>
      </w:r>
      <w:r w:rsidR="007D154F">
        <w:t xml:space="preserve"> and how </w:t>
      </w:r>
      <w:r w:rsidR="00CF41A5">
        <w:t xml:space="preserve">compliance with treaty obligations </w:t>
      </w:r>
      <w:r w:rsidR="007D154F">
        <w:t xml:space="preserve">can be reinforced and enhanced </w:t>
      </w:r>
      <w:r w:rsidR="006D00EE">
        <w:t xml:space="preserve">as part of </w:t>
      </w:r>
      <w:r w:rsidR="007D154F">
        <w:t>the Global Compact.</w:t>
      </w:r>
    </w:p>
    <w:p w:rsidR="00CB7905" w:rsidRDefault="00CB7905" w:rsidP="00152D3B">
      <w:pPr>
        <w:jc w:val="both"/>
      </w:pPr>
    </w:p>
    <w:p w:rsidR="00EA0919" w:rsidRDefault="004C6336" w:rsidP="00152D3B">
      <w:pPr>
        <w:jc w:val="both"/>
      </w:pPr>
      <w:r>
        <w:t xml:space="preserve">This </w:t>
      </w:r>
      <w:r w:rsidR="00CB7905">
        <w:t>expert meeting</w:t>
      </w:r>
      <w:r>
        <w:t xml:space="preserve"> w</w:t>
      </w:r>
      <w:r w:rsidR="00CB7905">
        <w:t>ill</w:t>
      </w:r>
      <w:r>
        <w:t xml:space="preserve"> be held </w:t>
      </w:r>
      <w:r w:rsidR="00F01FD4">
        <w:t>following</w:t>
      </w:r>
      <w:r>
        <w:t xml:space="preserve"> the 65</w:t>
      </w:r>
      <w:r w:rsidRPr="00231314">
        <w:rPr>
          <w:vertAlign w:val="superscript"/>
        </w:rPr>
        <w:t>th</w:t>
      </w:r>
      <w:r>
        <w:t xml:space="preserve"> CEDAW Session </w:t>
      </w:r>
      <w:r w:rsidR="00CB7905">
        <w:t>in Geneva</w:t>
      </w:r>
      <w:r>
        <w:t xml:space="preserve">. </w:t>
      </w:r>
      <w:r w:rsidR="003F0640">
        <w:t xml:space="preserve">The </w:t>
      </w:r>
      <w:r w:rsidR="00CF41A5">
        <w:t xml:space="preserve">two-day </w:t>
      </w:r>
      <w:r w:rsidR="001E3E76">
        <w:t>meeting</w:t>
      </w:r>
      <w:r w:rsidR="00E91D59">
        <w:t xml:space="preserve"> will be joint</w:t>
      </w:r>
      <w:r w:rsidR="00D17684">
        <w:t>ly hosted by UN Women and OHCHR</w:t>
      </w:r>
      <w:r w:rsidR="002A0BDD">
        <w:t>.</w:t>
      </w:r>
      <w:r w:rsidR="00CB7905">
        <w:t xml:space="preserve"> The working language will be English. </w:t>
      </w:r>
    </w:p>
    <w:p w:rsidR="00EA0919" w:rsidRDefault="00EA0919" w:rsidP="00152D3B">
      <w:pPr>
        <w:jc w:val="both"/>
      </w:pPr>
    </w:p>
    <w:p w:rsidR="00152D3B" w:rsidRDefault="00F76926" w:rsidP="00152D3B">
      <w:pPr>
        <w:jc w:val="both"/>
      </w:pPr>
      <w:r>
        <w:t xml:space="preserve">UN Women will prepare </w:t>
      </w:r>
      <w:r w:rsidR="00CF41A5">
        <w:t xml:space="preserve">a background paper to support the </w:t>
      </w:r>
      <w:r>
        <w:t xml:space="preserve">discussion. </w:t>
      </w:r>
      <w:r w:rsidR="00EA0919">
        <w:t xml:space="preserve"> Committee experts, representatives of invited UN entities and civil society are invited </w:t>
      </w:r>
      <w:r w:rsidR="00B77928">
        <w:t xml:space="preserve">if they are inclined to do so </w:t>
      </w:r>
      <w:r w:rsidR="00EA0919">
        <w:t xml:space="preserve">to prepare short notes (2-3 pages) on their work, together with key recommendations for presentation to the expert meeting. </w:t>
      </w:r>
    </w:p>
    <w:p w:rsidR="00EA0919" w:rsidRDefault="00EA0919" w:rsidP="00152D3B">
      <w:pPr>
        <w:jc w:val="both"/>
      </w:pPr>
    </w:p>
    <w:p w:rsidR="00DD52C2" w:rsidRDefault="00716674" w:rsidP="000814B9">
      <w:pPr>
        <w:jc w:val="both"/>
        <w:rPr>
          <w:b/>
        </w:rPr>
      </w:pPr>
      <w:r>
        <w:rPr>
          <w:b/>
        </w:rPr>
        <w:t>Objectives</w:t>
      </w:r>
    </w:p>
    <w:p w:rsidR="001D220C" w:rsidRDefault="003F0640" w:rsidP="003F0640">
      <w:pPr>
        <w:jc w:val="both"/>
      </w:pPr>
      <w:r>
        <w:t xml:space="preserve">The </w:t>
      </w:r>
      <w:r w:rsidR="00EA0919">
        <w:t xml:space="preserve">expert meeting </w:t>
      </w:r>
      <w:r w:rsidR="000813B0">
        <w:t>has</w:t>
      </w:r>
      <w:r w:rsidR="001D220C">
        <w:t xml:space="preserve"> three objectives:</w:t>
      </w:r>
    </w:p>
    <w:p w:rsidR="001D220C" w:rsidRDefault="001D220C" w:rsidP="001D220C">
      <w:pPr>
        <w:pStyle w:val="ListParagraph"/>
        <w:numPr>
          <w:ilvl w:val="0"/>
          <w:numId w:val="23"/>
        </w:numPr>
        <w:jc w:val="both"/>
      </w:pPr>
      <w:r w:rsidRPr="001D220C">
        <w:rPr>
          <w:i/>
          <w:u w:val="single"/>
        </w:rPr>
        <w:t>Knowledge</w:t>
      </w:r>
      <w:r w:rsidR="008E76F0">
        <w:rPr>
          <w:i/>
          <w:u w:val="single"/>
        </w:rPr>
        <w:t xml:space="preserve"> sharing on </w:t>
      </w:r>
      <w:r w:rsidR="00B77928">
        <w:rPr>
          <w:i/>
          <w:u w:val="single"/>
        </w:rPr>
        <w:t>strategies</w:t>
      </w:r>
      <w:r w:rsidRPr="001D220C">
        <w:rPr>
          <w:i/>
          <w:u w:val="single"/>
        </w:rPr>
        <w:t>:</w:t>
      </w:r>
      <w:r>
        <w:t xml:space="preserve"> </w:t>
      </w:r>
      <w:r w:rsidR="000813B0">
        <w:t>present</w:t>
      </w:r>
      <w:r>
        <w:t xml:space="preserve"> cutting edge thinking </w:t>
      </w:r>
      <w:r w:rsidR="00EA0919">
        <w:t xml:space="preserve">and experiences on the linkages between </w:t>
      </w:r>
      <w:r w:rsidR="000813B0">
        <w:t xml:space="preserve">gender </w:t>
      </w:r>
      <w:r w:rsidR="00EA0919">
        <w:t xml:space="preserve">equality </w:t>
      </w:r>
      <w:r w:rsidR="000813B0">
        <w:t>and</w:t>
      </w:r>
      <w:r>
        <w:t xml:space="preserve"> migration</w:t>
      </w:r>
      <w:r w:rsidR="00893998">
        <w:t>,</w:t>
      </w:r>
      <w:r>
        <w:t xml:space="preserve"> </w:t>
      </w:r>
      <w:r w:rsidR="000813B0">
        <w:t xml:space="preserve">including </w:t>
      </w:r>
      <w:r>
        <w:t xml:space="preserve">the </w:t>
      </w:r>
      <w:r w:rsidR="00EA0919">
        <w:t xml:space="preserve">rights, </w:t>
      </w:r>
      <w:r w:rsidR="000813B0">
        <w:t>contributions,</w:t>
      </w:r>
      <w:r>
        <w:t xml:space="preserve"> needs </w:t>
      </w:r>
      <w:r w:rsidR="000813B0">
        <w:t xml:space="preserve">and vulnerabilities </w:t>
      </w:r>
      <w:r>
        <w:t xml:space="preserve">of migrant </w:t>
      </w:r>
      <w:r w:rsidR="00D17684">
        <w:t>women</w:t>
      </w:r>
      <w:r>
        <w:t>;</w:t>
      </w:r>
    </w:p>
    <w:p w:rsidR="001D220C" w:rsidRDefault="001D220C" w:rsidP="001D220C">
      <w:pPr>
        <w:pStyle w:val="ListParagraph"/>
        <w:numPr>
          <w:ilvl w:val="0"/>
          <w:numId w:val="23"/>
        </w:numPr>
        <w:jc w:val="both"/>
      </w:pPr>
      <w:r w:rsidRPr="001D220C">
        <w:rPr>
          <w:i/>
          <w:u w:val="single"/>
        </w:rPr>
        <w:t>Build</w:t>
      </w:r>
      <w:r w:rsidR="00697CBD">
        <w:rPr>
          <w:i/>
          <w:u w:val="single"/>
        </w:rPr>
        <w:t>ing</w:t>
      </w:r>
      <w:r w:rsidRPr="001D220C">
        <w:rPr>
          <w:i/>
          <w:u w:val="single"/>
        </w:rPr>
        <w:t xml:space="preserve"> Consensus:</w:t>
      </w:r>
      <w:r w:rsidR="008D7E59">
        <w:t xml:space="preserve"> </w:t>
      </w:r>
      <w:r w:rsidR="000813B0">
        <w:t xml:space="preserve">identify key </w:t>
      </w:r>
      <w:r w:rsidR="00EA0919">
        <w:t xml:space="preserve">areas for action </w:t>
      </w:r>
      <w:r w:rsidR="000813B0">
        <w:t xml:space="preserve">and develop </w:t>
      </w:r>
      <w:r w:rsidR="0041287F">
        <w:t>recommend</w:t>
      </w:r>
      <w:r w:rsidR="00EA0919">
        <w:t xml:space="preserve">ations for a </w:t>
      </w:r>
      <w:r w:rsidR="0041287F">
        <w:t xml:space="preserve">gender-responsive </w:t>
      </w:r>
      <w:r w:rsidR="00EA0919">
        <w:t xml:space="preserve">approach to </w:t>
      </w:r>
      <w:r w:rsidR="0041287F">
        <w:t>migration</w:t>
      </w:r>
      <w:r w:rsidR="00EA0919">
        <w:t xml:space="preserve">, including in the work towards </w:t>
      </w:r>
      <w:r w:rsidR="0041287F">
        <w:t xml:space="preserve">the </w:t>
      </w:r>
      <w:r w:rsidR="00F97A65">
        <w:t>G</w:t>
      </w:r>
      <w:r w:rsidR="0041287F">
        <w:t xml:space="preserve">lobal </w:t>
      </w:r>
      <w:r w:rsidR="00F97A65">
        <w:t>C</w:t>
      </w:r>
      <w:r w:rsidR="0041287F">
        <w:t>ompact on migration</w:t>
      </w:r>
      <w:r>
        <w:t>;</w:t>
      </w:r>
    </w:p>
    <w:p w:rsidR="001D220C" w:rsidRDefault="001D220C" w:rsidP="001D220C">
      <w:pPr>
        <w:pStyle w:val="ListParagraph"/>
        <w:numPr>
          <w:ilvl w:val="0"/>
          <w:numId w:val="23"/>
        </w:numPr>
        <w:jc w:val="both"/>
      </w:pPr>
      <w:r w:rsidRPr="001D220C">
        <w:rPr>
          <w:i/>
          <w:u w:val="single"/>
        </w:rPr>
        <w:t>Strengthe</w:t>
      </w:r>
      <w:r w:rsidR="00697CBD">
        <w:rPr>
          <w:i/>
          <w:u w:val="single"/>
        </w:rPr>
        <w:t>ning</w:t>
      </w:r>
      <w:r w:rsidRPr="001D220C">
        <w:rPr>
          <w:i/>
          <w:u w:val="single"/>
        </w:rPr>
        <w:t xml:space="preserve"> Cooperation:</w:t>
      </w:r>
      <w:r>
        <w:t xml:space="preserve"> identify </w:t>
      </w:r>
      <w:r w:rsidR="001727A4">
        <w:t xml:space="preserve">steps </w:t>
      </w:r>
      <w:r w:rsidR="00AE1784">
        <w:t>to greater collaboration between CMW and the CEDAW Committee</w:t>
      </w:r>
      <w:r w:rsidR="008D7E59">
        <w:t xml:space="preserve"> </w:t>
      </w:r>
      <w:r w:rsidR="001727A4">
        <w:t xml:space="preserve">to </w:t>
      </w:r>
      <w:r w:rsidR="008D7E59">
        <w:t>increas</w:t>
      </w:r>
      <w:r w:rsidR="001727A4">
        <w:t xml:space="preserve">e </w:t>
      </w:r>
      <w:r w:rsidR="008D7E59">
        <w:t xml:space="preserve">accountability of </w:t>
      </w:r>
      <w:r w:rsidR="001727A4">
        <w:t xml:space="preserve">States for </w:t>
      </w:r>
      <w:r w:rsidR="008D7E59">
        <w:t>the protection and promotion of women migrant workers’ rights</w:t>
      </w:r>
      <w:r w:rsidR="00AE1784">
        <w:t>.</w:t>
      </w:r>
    </w:p>
    <w:p w:rsidR="001727A4" w:rsidRDefault="001727A4" w:rsidP="00EE4F18">
      <w:pPr>
        <w:pStyle w:val="ListParagraph"/>
        <w:ind w:left="360"/>
        <w:jc w:val="both"/>
      </w:pPr>
    </w:p>
    <w:p w:rsidR="00E91D59" w:rsidRDefault="001727A4" w:rsidP="003F0640">
      <w:pPr>
        <w:jc w:val="both"/>
        <w:rPr>
          <w:rFonts w:cs="Calibri"/>
          <w:b/>
        </w:rPr>
      </w:pPr>
      <w:r>
        <w:rPr>
          <w:rFonts w:cs="Calibri"/>
          <w:b/>
        </w:rPr>
        <w:t>Outcomes</w:t>
      </w:r>
    </w:p>
    <w:p w:rsidR="00675067" w:rsidRDefault="001727A4" w:rsidP="003F0640">
      <w:pPr>
        <w:jc w:val="both"/>
        <w:rPr>
          <w:rFonts w:cs="Calibri"/>
        </w:rPr>
      </w:pPr>
      <w:r w:rsidRPr="00EE4F18">
        <w:rPr>
          <w:rFonts w:cs="Calibri"/>
        </w:rPr>
        <w:t xml:space="preserve">The </w:t>
      </w:r>
      <w:r>
        <w:rPr>
          <w:rFonts w:cs="Calibri"/>
        </w:rPr>
        <w:t>expert meeting is expected to adopt a</w:t>
      </w:r>
      <w:r w:rsidR="0011113C">
        <w:rPr>
          <w:rFonts w:cs="Calibri"/>
        </w:rPr>
        <w:t xml:space="preserve"> report containing </w:t>
      </w:r>
      <w:r w:rsidR="009D42C4">
        <w:rPr>
          <w:rFonts w:cs="Calibri"/>
        </w:rPr>
        <w:t>a set of</w:t>
      </w:r>
      <w:r>
        <w:rPr>
          <w:rFonts w:cs="Calibri"/>
        </w:rPr>
        <w:t xml:space="preserve"> </w:t>
      </w:r>
      <w:r w:rsidR="00160979">
        <w:rPr>
          <w:rFonts w:cs="Calibri"/>
        </w:rPr>
        <w:t xml:space="preserve">key areas for action to ensure a gender-responsive approach to migration, as well as recommendations for action by different stakeholders. </w:t>
      </w:r>
    </w:p>
    <w:p w:rsidR="00675067" w:rsidRDefault="00675067" w:rsidP="003F0640">
      <w:pPr>
        <w:jc w:val="both"/>
        <w:rPr>
          <w:rFonts w:cs="Calibri"/>
        </w:rPr>
      </w:pPr>
    </w:p>
    <w:p w:rsidR="00B77928" w:rsidRDefault="00B77928" w:rsidP="00161C8A">
      <w:pPr>
        <w:spacing w:line="240" w:lineRule="auto"/>
        <w:jc w:val="both"/>
        <w:rPr>
          <w:b/>
        </w:rPr>
      </w:pPr>
    </w:p>
    <w:p w:rsidR="00B77928" w:rsidRDefault="00B77928" w:rsidP="00161C8A">
      <w:pPr>
        <w:spacing w:line="240" w:lineRule="auto"/>
        <w:jc w:val="both"/>
        <w:rPr>
          <w:b/>
        </w:rPr>
      </w:pPr>
    </w:p>
    <w:p w:rsidR="00B77928" w:rsidRDefault="00B77928" w:rsidP="00161C8A">
      <w:pPr>
        <w:spacing w:line="240" w:lineRule="auto"/>
        <w:jc w:val="both"/>
        <w:rPr>
          <w:b/>
        </w:rPr>
      </w:pPr>
    </w:p>
    <w:p w:rsidR="00992CED" w:rsidRDefault="008D379E" w:rsidP="00161C8A">
      <w:pPr>
        <w:spacing w:line="240" w:lineRule="auto"/>
        <w:jc w:val="both"/>
        <w:rPr>
          <w:b/>
        </w:rPr>
      </w:pPr>
      <w:r>
        <w:rPr>
          <w:b/>
        </w:rPr>
        <w:t>A</w:t>
      </w:r>
      <w:r w:rsidR="00D17684">
        <w:rPr>
          <w:b/>
        </w:rPr>
        <w:t xml:space="preserve">nnex: </w:t>
      </w:r>
    </w:p>
    <w:p w:rsidR="00D17684" w:rsidRDefault="00D17684"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ascii="Times New Roman" w:hAnsi="Times New Roman" w:cs="Times New Roman"/>
          <w:b/>
          <w:spacing w:val="4"/>
          <w:w w:val="103"/>
          <w:kern w:val="14"/>
          <w:sz w:val="24"/>
          <w:szCs w:val="20"/>
        </w:rPr>
      </w:pPr>
    </w:p>
    <w:p w:rsidR="008D379E" w:rsidRDefault="008D379E"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ascii="Times New Roman" w:hAnsi="Times New Roman" w:cs="Times New Roman"/>
          <w:b/>
          <w:spacing w:val="4"/>
          <w:w w:val="103"/>
          <w:kern w:val="14"/>
          <w:sz w:val="24"/>
          <w:szCs w:val="20"/>
        </w:rPr>
      </w:pPr>
      <w:r>
        <w:rPr>
          <w:rFonts w:ascii="Times New Roman" w:hAnsi="Times New Roman" w:cs="Times New Roman"/>
          <w:b/>
          <w:spacing w:val="4"/>
          <w:w w:val="103"/>
          <w:kern w:val="14"/>
          <w:sz w:val="24"/>
          <w:szCs w:val="20"/>
        </w:rPr>
        <w:t>A/RES/71/1</w:t>
      </w:r>
    </w:p>
    <w:p w:rsidR="008D379E" w:rsidRPr="008D379E" w:rsidRDefault="008D379E"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ascii="Times New Roman" w:hAnsi="Times New Roman" w:cs="Times New Roman"/>
          <w:b/>
          <w:spacing w:val="4"/>
          <w:w w:val="103"/>
          <w:kern w:val="14"/>
          <w:sz w:val="24"/>
          <w:szCs w:val="20"/>
        </w:rPr>
      </w:pPr>
      <w:r w:rsidRPr="008D379E">
        <w:rPr>
          <w:rFonts w:ascii="Times New Roman" w:hAnsi="Times New Roman" w:cs="Times New Roman"/>
          <w:b/>
          <w:spacing w:val="4"/>
          <w:w w:val="103"/>
          <w:kern w:val="14"/>
          <w:sz w:val="24"/>
          <w:szCs w:val="20"/>
        </w:rPr>
        <w:t>Annex II</w:t>
      </w:r>
    </w:p>
    <w:p w:rsidR="008D379E" w:rsidRPr="008D379E" w:rsidRDefault="008D379E"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0" w:hanging="1267"/>
        <w:outlineLvl w:val="0"/>
        <w:rPr>
          <w:rFonts w:ascii="Times New Roman" w:hAnsi="Times New Roman" w:cs="Times New Roman"/>
          <w:b/>
          <w:spacing w:val="4"/>
          <w:w w:val="103"/>
          <w:kern w:val="14"/>
          <w:sz w:val="24"/>
          <w:szCs w:val="20"/>
        </w:rPr>
      </w:pPr>
      <w:r w:rsidRPr="008D379E">
        <w:rPr>
          <w:rFonts w:ascii="Times New Roman" w:hAnsi="Times New Roman" w:cs="Times New Roman"/>
          <w:b/>
          <w:spacing w:val="4"/>
          <w:w w:val="103"/>
          <w:kern w:val="14"/>
          <w:sz w:val="24"/>
          <w:szCs w:val="20"/>
        </w:rPr>
        <w:tab/>
      </w:r>
      <w:r w:rsidRPr="008D379E">
        <w:rPr>
          <w:rFonts w:ascii="Times New Roman" w:hAnsi="Times New Roman" w:cs="Times New Roman"/>
          <w:b/>
          <w:spacing w:val="4"/>
          <w:w w:val="103"/>
          <w:kern w:val="14"/>
          <w:sz w:val="24"/>
          <w:szCs w:val="20"/>
        </w:rPr>
        <w:tab/>
        <w:t>Towards a global compact for safe, orderly and regular migration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ascii="Times New Roman" w:hAnsi="Times New Roman" w:cs="Times New Roman"/>
          <w:b/>
          <w:spacing w:val="2"/>
          <w:w w:val="103"/>
          <w:kern w:val="14"/>
          <w:sz w:val="20"/>
          <w:szCs w:val="20"/>
        </w:rPr>
      </w:pPr>
      <w:r w:rsidRPr="008D379E">
        <w:rPr>
          <w:rFonts w:ascii="Times New Roman" w:hAnsi="Times New Roman" w:cs="Times New Roman"/>
          <w:b/>
          <w:spacing w:val="2"/>
          <w:w w:val="103"/>
          <w:kern w:val="14"/>
          <w:sz w:val="20"/>
          <w:szCs w:val="20"/>
        </w:rPr>
        <w:tab/>
        <w:t>I.</w:t>
      </w:r>
      <w:r w:rsidRPr="008D379E">
        <w:rPr>
          <w:rFonts w:ascii="Times New Roman" w:hAnsi="Times New Roman" w:cs="Times New Roman"/>
          <w:b/>
          <w:spacing w:val="2"/>
          <w:w w:val="103"/>
          <w:kern w:val="14"/>
          <w:sz w:val="20"/>
          <w:szCs w:val="20"/>
        </w:rPr>
        <w:tab/>
        <w:t>Introduction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1.</w:t>
      </w:r>
      <w:r w:rsidRPr="008D379E">
        <w:rPr>
          <w:rFonts w:ascii="Times New Roman" w:hAnsi="Times New Roman" w:cs="Times New Roman"/>
          <w:spacing w:val="4"/>
          <w:w w:val="103"/>
          <w:kern w:val="14"/>
          <w:sz w:val="20"/>
          <w:szCs w:val="20"/>
        </w:rPr>
        <w:tab/>
        <w:t>This year, we will launch a process of intergovernmental negotiations leading to the adoption of a global compact for safe, orderly and regular migration.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2.</w:t>
      </w:r>
      <w:r w:rsidRPr="008D379E">
        <w:rPr>
          <w:rFonts w:ascii="Times New Roman" w:hAnsi="Times New Roman" w:cs="Times New Roman"/>
          <w:spacing w:val="4"/>
          <w:w w:val="103"/>
          <w:kern w:val="14"/>
          <w:sz w:val="20"/>
          <w:szCs w:val="20"/>
        </w:rPr>
        <w:tab/>
        <w:t>The global compact would set out a range of principles, commitments and understandings among Member States regarding international migration in all its dimensions. It would make an important contribution to global governance and enhance coordination on international migration. It would present a framework for comprehensive international cooperation on migrants and human mobility. It would deal with all aspects of international migration, including the humanitarian, developmental, human rights-related and other aspects of migration. It would be guided by the 2030 Agenda for Sustainable Development</w:t>
      </w:r>
      <w:r w:rsidRPr="008D379E">
        <w:rPr>
          <w:rFonts w:ascii="Times New Roman" w:hAnsi="Times New Roman" w:cs="Times New Roman"/>
          <w:spacing w:val="5"/>
          <w:w w:val="103"/>
          <w:kern w:val="14"/>
          <w:sz w:val="20"/>
          <w:szCs w:val="20"/>
          <w:vertAlign w:val="superscript"/>
        </w:rPr>
        <w:footnoteReference w:id="2"/>
      </w:r>
      <w:r w:rsidRPr="008D379E">
        <w:rPr>
          <w:rFonts w:ascii="Times New Roman" w:hAnsi="Times New Roman" w:cs="Times New Roman"/>
          <w:spacing w:val="4"/>
          <w:w w:val="103"/>
          <w:kern w:val="14"/>
          <w:sz w:val="20"/>
          <w:szCs w:val="20"/>
        </w:rPr>
        <w:t xml:space="preserve"> and the Addis Ababa Action Agenda of the Third International Conference on Financing for Development,</w:t>
      </w:r>
      <w:r w:rsidRPr="008D379E">
        <w:rPr>
          <w:rFonts w:ascii="Times New Roman" w:hAnsi="Times New Roman" w:cs="Times New Roman"/>
          <w:spacing w:val="5"/>
          <w:w w:val="103"/>
          <w:kern w:val="14"/>
          <w:sz w:val="20"/>
          <w:szCs w:val="20"/>
          <w:vertAlign w:val="superscript"/>
        </w:rPr>
        <w:footnoteReference w:id="3"/>
      </w:r>
      <w:r w:rsidRPr="008D379E">
        <w:rPr>
          <w:rFonts w:ascii="Times New Roman" w:hAnsi="Times New Roman" w:cs="Times New Roman"/>
          <w:spacing w:val="4"/>
          <w:w w:val="103"/>
          <w:kern w:val="14"/>
          <w:sz w:val="20"/>
          <w:szCs w:val="20"/>
        </w:rPr>
        <w:t xml:space="preserve"> and informed by the Declaration of the High-level Dialogue on International Migration and Development adopted in October 2013.</w:t>
      </w:r>
      <w:r w:rsidRPr="008D379E">
        <w:rPr>
          <w:rFonts w:ascii="Times New Roman" w:hAnsi="Times New Roman" w:cs="Times New Roman"/>
          <w:spacing w:val="5"/>
          <w:w w:val="103"/>
          <w:kern w:val="14"/>
          <w:sz w:val="20"/>
          <w:szCs w:val="20"/>
          <w:vertAlign w:val="superscript"/>
        </w:rPr>
        <w:footnoteReference w:id="4"/>
      </w:r>
      <w:r w:rsidRPr="008D379E">
        <w:rPr>
          <w:rFonts w:ascii="Times New Roman" w:hAnsi="Times New Roman" w:cs="Times New Roman"/>
          <w:spacing w:val="4"/>
          <w:w w:val="103"/>
          <w:kern w:val="14"/>
          <w:sz w:val="20"/>
          <w:szCs w:val="20"/>
        </w:rPr>
        <w:t xml:space="preserve"> </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ascii="Times New Roman" w:hAnsi="Times New Roman" w:cs="Times New Roman"/>
          <w:b/>
          <w:spacing w:val="2"/>
          <w:w w:val="103"/>
          <w:kern w:val="14"/>
          <w:sz w:val="20"/>
          <w:szCs w:val="20"/>
        </w:rPr>
      </w:pPr>
      <w:r w:rsidRPr="008D379E">
        <w:rPr>
          <w:rFonts w:ascii="Times New Roman" w:hAnsi="Times New Roman" w:cs="Times New Roman"/>
          <w:b/>
          <w:spacing w:val="2"/>
          <w:w w:val="103"/>
          <w:kern w:val="14"/>
          <w:sz w:val="20"/>
          <w:szCs w:val="20"/>
        </w:rPr>
        <w:tab/>
        <w:t>II.</w:t>
      </w:r>
      <w:r w:rsidRPr="008D379E">
        <w:rPr>
          <w:rFonts w:ascii="Times New Roman" w:hAnsi="Times New Roman" w:cs="Times New Roman"/>
          <w:b/>
          <w:spacing w:val="2"/>
          <w:w w:val="103"/>
          <w:kern w:val="14"/>
          <w:sz w:val="20"/>
          <w:szCs w:val="20"/>
        </w:rPr>
        <w:tab/>
        <w:t>Context</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3.</w:t>
      </w:r>
      <w:r w:rsidRPr="008D379E">
        <w:rPr>
          <w:rFonts w:ascii="Times New Roman" w:hAnsi="Times New Roman" w:cs="Times New Roman"/>
          <w:spacing w:val="4"/>
          <w:w w:val="103"/>
          <w:kern w:val="14"/>
          <w:sz w:val="20"/>
          <w:szCs w:val="20"/>
        </w:rPr>
        <w:tab/>
        <w:t>We acknowledge the important contribution made by migrants and migration to development in countries of origin, transit and destination, as well as the complex interrelationship between migration and development.</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4.</w:t>
      </w:r>
      <w:r w:rsidRPr="008D379E">
        <w:rPr>
          <w:rFonts w:ascii="Times New Roman" w:hAnsi="Times New Roman" w:cs="Times New Roman"/>
          <w:spacing w:val="4"/>
          <w:w w:val="103"/>
          <w:kern w:val="14"/>
          <w:sz w:val="20"/>
          <w:szCs w:val="20"/>
        </w:rPr>
        <w:tab/>
        <w:t>We recognize the positive contribution of migrants to sustainable and inclusive development. We also recognize that international migration is a multidimensional reality of major relevance for the development of countries of origin, transit and destination, which requires coherent and comprehensive responses.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5.</w:t>
      </w:r>
      <w:r w:rsidRPr="008D379E">
        <w:rPr>
          <w:rFonts w:ascii="Times New Roman" w:hAnsi="Times New Roman" w:cs="Times New Roman"/>
          <w:spacing w:val="4"/>
          <w:w w:val="103"/>
          <w:kern w:val="14"/>
          <w:sz w:val="20"/>
          <w:szCs w:val="20"/>
        </w:rPr>
        <w:tab/>
        <w:t>We will cooperate internationally to ensure safe, orderly and regular migration involving full respect for human rights and the humane treatment of migrants, regardless of migration status. We underline the need to ensure respect for the dignity of migrants and the protection of their rights under applicable international law, including the principle of non-discrimination under international law.</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6.</w:t>
      </w:r>
      <w:r w:rsidRPr="008D379E">
        <w:rPr>
          <w:rFonts w:ascii="Times New Roman" w:hAnsi="Times New Roman" w:cs="Times New Roman"/>
          <w:spacing w:val="4"/>
          <w:w w:val="103"/>
          <w:kern w:val="14"/>
          <w:sz w:val="20"/>
          <w:szCs w:val="20"/>
        </w:rPr>
        <w:tab/>
        <w:t>We emphasize the multidimensional character of international migration, the importance of international, regional and bilateral cooperation and dialogue in this regard, and the need to protect the human rights of all migrants, regardless of status, particularly at a time when migration flows have increased.</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7.</w:t>
      </w:r>
      <w:r w:rsidRPr="008D379E">
        <w:rPr>
          <w:rFonts w:ascii="Times New Roman" w:hAnsi="Times New Roman" w:cs="Times New Roman"/>
          <w:spacing w:val="4"/>
          <w:w w:val="103"/>
          <w:kern w:val="14"/>
          <w:sz w:val="20"/>
          <w:szCs w:val="20"/>
        </w:rPr>
        <w:tab/>
        <w:t xml:space="preserve">We bear in mind that policies and initiatives on the issue of migration should promote holistic approaches that take into account the causes and consequences of the phenomenon. We acknowledge that poverty, underdevelopment, lack of opportunities, poor governance and environmental factors are among the drivers of migration. In turn, pro-poor policies relating to trade, employment and productive investments can stimulate growth and create enormous development potential. </w:t>
      </w:r>
      <w:r w:rsidRPr="008D379E">
        <w:rPr>
          <w:rFonts w:ascii="Times New Roman" w:hAnsi="Times New Roman" w:cs="Times New Roman"/>
          <w:spacing w:val="2"/>
          <w:w w:val="103"/>
          <w:kern w:val="14"/>
          <w:sz w:val="20"/>
          <w:szCs w:val="20"/>
        </w:rPr>
        <w:t>We note that international economic imbalances, poverty and environmental degradation, combined with the absence of peace and security and lack of respect for human rights, are all factors affecting international migration.</w:t>
      </w:r>
      <w:r w:rsidRPr="008D379E">
        <w:rPr>
          <w:rFonts w:ascii="Times New Roman" w:hAnsi="Times New Roman" w:cs="Times New Roman"/>
          <w:spacing w:val="4"/>
          <w:w w:val="103"/>
          <w:kern w:val="14"/>
          <w:sz w:val="20"/>
          <w:szCs w:val="20"/>
        </w:rPr>
        <w:t xml:space="preserve"> </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ascii="Times New Roman" w:hAnsi="Times New Roman" w:cs="Times New Roman"/>
          <w:b/>
          <w:spacing w:val="2"/>
          <w:w w:val="103"/>
          <w:kern w:val="14"/>
          <w:sz w:val="20"/>
          <w:szCs w:val="20"/>
        </w:rPr>
      </w:pPr>
      <w:r w:rsidRPr="008D379E">
        <w:rPr>
          <w:rFonts w:ascii="Times New Roman" w:hAnsi="Times New Roman" w:cs="Times New Roman"/>
          <w:b/>
          <w:spacing w:val="2"/>
          <w:w w:val="103"/>
          <w:kern w:val="14"/>
          <w:sz w:val="20"/>
          <w:szCs w:val="20"/>
        </w:rPr>
        <w:tab/>
        <w:t>III.</w:t>
      </w:r>
      <w:r w:rsidRPr="008D379E">
        <w:rPr>
          <w:rFonts w:ascii="Times New Roman" w:hAnsi="Times New Roman" w:cs="Times New Roman"/>
          <w:b/>
          <w:spacing w:val="2"/>
          <w:w w:val="103"/>
          <w:kern w:val="14"/>
          <w:sz w:val="20"/>
          <w:szCs w:val="20"/>
        </w:rPr>
        <w:tab/>
        <w:t>Content</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8.</w:t>
      </w:r>
      <w:r w:rsidRPr="008D379E">
        <w:rPr>
          <w:rFonts w:ascii="Times New Roman" w:hAnsi="Times New Roman" w:cs="Times New Roman"/>
          <w:spacing w:val="4"/>
          <w:w w:val="103"/>
          <w:kern w:val="14"/>
          <w:sz w:val="20"/>
          <w:szCs w:val="20"/>
        </w:rPr>
        <w:tab/>
        <w:t>The global compact could include, but would not be limited to, the following elements: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(a)</w:t>
      </w:r>
      <w:r w:rsidRPr="008D379E">
        <w:rPr>
          <w:rFonts w:ascii="Times New Roman" w:hAnsi="Times New Roman" w:cs="Times New Roman"/>
          <w:spacing w:val="4"/>
          <w:w w:val="103"/>
          <w:kern w:val="14"/>
          <w:sz w:val="20"/>
          <w:szCs w:val="20"/>
        </w:rPr>
        <w:tab/>
        <w:t>International migration as a multidimensional reality of major relevance for the development of countries of origin, transit and destination, as recognized in the 2030 Agenda for Sustainable Development;</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(b)</w:t>
      </w:r>
      <w:r w:rsidRPr="008D379E">
        <w:rPr>
          <w:rFonts w:ascii="Times New Roman" w:hAnsi="Times New Roman" w:cs="Times New Roman"/>
          <w:spacing w:val="4"/>
          <w:w w:val="103"/>
          <w:kern w:val="14"/>
          <w:sz w:val="20"/>
          <w:szCs w:val="20"/>
        </w:rPr>
        <w:tab/>
        <w:t>International migration as a potential opportunity for migrants and their families;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(c)</w:t>
      </w:r>
      <w:r w:rsidRPr="008D379E">
        <w:rPr>
          <w:rFonts w:ascii="Times New Roman" w:hAnsi="Times New Roman" w:cs="Times New Roman"/>
          <w:spacing w:val="4"/>
          <w:w w:val="103"/>
          <w:kern w:val="14"/>
          <w:sz w:val="20"/>
          <w:szCs w:val="20"/>
        </w:rPr>
        <w:tab/>
        <w:t>The need to address the drivers of migration, including through strengthened efforts in development, poverty eradication and conflict prevention and resolution;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(d)</w:t>
      </w:r>
      <w:r w:rsidRPr="008D379E">
        <w:rPr>
          <w:rFonts w:ascii="Times New Roman" w:hAnsi="Times New Roman" w:cs="Times New Roman"/>
          <w:spacing w:val="4"/>
          <w:w w:val="103"/>
          <w:kern w:val="14"/>
          <w:sz w:val="20"/>
          <w:szCs w:val="20"/>
        </w:rPr>
        <w:tab/>
        <w:t>The contribution made by migrants to sustainable development and the complex interrelationship between migration and development;</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(e)</w:t>
      </w:r>
      <w:r w:rsidRPr="008D379E">
        <w:rPr>
          <w:rFonts w:ascii="Times New Roman" w:hAnsi="Times New Roman" w:cs="Times New Roman"/>
          <w:spacing w:val="4"/>
          <w:w w:val="103"/>
          <w:kern w:val="14"/>
          <w:sz w:val="20"/>
          <w:szCs w:val="20"/>
        </w:rPr>
        <w:tab/>
        <w:t>The facilitation of safe, orderly, regular and responsible migration and mobility of people, including through the implementation of planned and well-managed migration policies; this may include the creation and expansion of safe, regular pathways for migration;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(f)</w:t>
      </w:r>
      <w:r w:rsidRPr="008D379E">
        <w:rPr>
          <w:rFonts w:ascii="Times New Roman" w:hAnsi="Times New Roman" w:cs="Times New Roman"/>
          <w:spacing w:val="4"/>
          <w:w w:val="103"/>
          <w:kern w:val="14"/>
          <w:sz w:val="20"/>
          <w:szCs w:val="20"/>
        </w:rPr>
        <w:tab/>
        <w:t>The scope for greater international cooperation, with a view to improving migration governance;</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(g)</w:t>
      </w:r>
      <w:r w:rsidRPr="008D379E">
        <w:rPr>
          <w:rFonts w:ascii="Times New Roman" w:hAnsi="Times New Roman" w:cs="Times New Roman"/>
          <w:spacing w:val="4"/>
          <w:w w:val="103"/>
          <w:kern w:val="14"/>
          <w:sz w:val="20"/>
          <w:szCs w:val="20"/>
        </w:rPr>
        <w:tab/>
        <w:t>The impact of migration on human capital in countries of origin;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(h)</w:t>
      </w:r>
      <w:r w:rsidRPr="008D379E">
        <w:rPr>
          <w:rFonts w:ascii="Times New Roman" w:hAnsi="Times New Roman" w:cs="Times New Roman"/>
          <w:spacing w:val="4"/>
          <w:w w:val="103"/>
          <w:kern w:val="14"/>
          <w:sz w:val="20"/>
          <w:szCs w:val="20"/>
        </w:rPr>
        <w:tab/>
        <w:t xml:space="preserve">Remittances as an important source of private capital and their contribution to development and promotion of faster, cheaper and safer transfers of remittances through legal channels, in both source and recipient countries, including through a reduction in transaction costs; </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w:t>
      </w:r>
      <w:proofErr w:type="spellStart"/>
      <w:r w:rsidRPr="008D379E">
        <w:rPr>
          <w:rFonts w:ascii="Times New Roman" w:hAnsi="Times New Roman" w:cs="Times New Roman"/>
          <w:spacing w:val="4"/>
          <w:w w:val="103"/>
          <w:kern w:val="14"/>
          <w:sz w:val="20"/>
          <w:szCs w:val="20"/>
        </w:rPr>
        <w:t>i</w:t>
      </w:r>
      <w:proofErr w:type="spellEnd"/>
      <w:r w:rsidRPr="008D379E">
        <w:rPr>
          <w:rFonts w:ascii="Times New Roman" w:hAnsi="Times New Roman" w:cs="Times New Roman"/>
          <w:spacing w:val="4"/>
          <w:w w:val="103"/>
          <w:kern w:val="14"/>
          <w:sz w:val="20"/>
          <w:szCs w:val="20"/>
        </w:rPr>
        <w:t>)</w:t>
      </w:r>
      <w:r w:rsidRPr="008D379E">
        <w:rPr>
          <w:rFonts w:ascii="Times New Roman" w:hAnsi="Times New Roman" w:cs="Times New Roman"/>
          <w:spacing w:val="4"/>
          <w:w w:val="103"/>
          <w:kern w:val="14"/>
          <w:sz w:val="20"/>
          <w:szCs w:val="20"/>
        </w:rPr>
        <w:tab/>
        <w:t>Effective protection of the human rights and fundamental freedoms of migrants, including women and children, regardless of their migratory status, and the specific needs of migrants in vulnerable situations;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(j)</w:t>
      </w:r>
      <w:r w:rsidRPr="008D379E">
        <w:rPr>
          <w:rFonts w:ascii="Times New Roman" w:hAnsi="Times New Roman" w:cs="Times New Roman"/>
          <w:spacing w:val="4"/>
          <w:w w:val="103"/>
          <w:kern w:val="14"/>
          <w:sz w:val="20"/>
          <w:szCs w:val="20"/>
        </w:rPr>
        <w:tab/>
        <w:t>International cooperation for border control, with full respect for the human rights of migrants;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(k)</w:t>
      </w:r>
      <w:r w:rsidRPr="008D379E">
        <w:rPr>
          <w:rFonts w:ascii="Times New Roman" w:hAnsi="Times New Roman" w:cs="Times New Roman"/>
          <w:spacing w:val="4"/>
          <w:w w:val="103"/>
          <w:kern w:val="14"/>
          <w:sz w:val="20"/>
          <w:szCs w:val="20"/>
        </w:rPr>
        <w:tab/>
        <w:t>Combating trafficking in persons, smuggling of migrants and contemporary forms of slavery;</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(l)</w:t>
      </w:r>
      <w:r w:rsidRPr="008D379E">
        <w:rPr>
          <w:rFonts w:ascii="Times New Roman" w:hAnsi="Times New Roman" w:cs="Times New Roman"/>
          <w:spacing w:val="4"/>
          <w:w w:val="103"/>
          <w:kern w:val="14"/>
          <w:sz w:val="20"/>
          <w:szCs w:val="20"/>
        </w:rPr>
        <w:tab/>
        <w:t xml:space="preserve">Identifying those who have been trafficked and considering providing assistance, including temporary or permanent residency, and work permits, as appropriate; </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(m)</w:t>
      </w:r>
      <w:r w:rsidRPr="008D379E">
        <w:rPr>
          <w:rFonts w:ascii="Times New Roman" w:hAnsi="Times New Roman" w:cs="Times New Roman"/>
          <w:spacing w:val="4"/>
          <w:w w:val="103"/>
          <w:kern w:val="14"/>
          <w:sz w:val="20"/>
          <w:szCs w:val="20"/>
        </w:rPr>
        <w:tab/>
        <w:t>Reduction of the incidence and impact of irregular migration;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(n)</w:t>
      </w:r>
      <w:r w:rsidRPr="008D379E">
        <w:rPr>
          <w:rFonts w:ascii="Times New Roman" w:hAnsi="Times New Roman" w:cs="Times New Roman"/>
          <w:spacing w:val="4"/>
          <w:w w:val="103"/>
          <w:kern w:val="14"/>
          <w:sz w:val="20"/>
          <w:szCs w:val="20"/>
        </w:rPr>
        <w:tab/>
        <w:t>Addressing the situations of migrants in countries in crisis;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(o)</w:t>
      </w:r>
      <w:r w:rsidRPr="008D379E">
        <w:rPr>
          <w:rFonts w:ascii="Times New Roman" w:hAnsi="Times New Roman" w:cs="Times New Roman"/>
          <w:spacing w:val="4"/>
          <w:w w:val="103"/>
          <w:kern w:val="14"/>
          <w:sz w:val="20"/>
          <w:szCs w:val="20"/>
        </w:rPr>
        <w:tab/>
        <w:t>Promotion, as appropriate, of the inclusion of migrants in host societies, access to basic services for migrants and gender-responsive services;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(p)</w:t>
      </w:r>
      <w:r w:rsidRPr="008D379E">
        <w:rPr>
          <w:rFonts w:ascii="Times New Roman" w:hAnsi="Times New Roman" w:cs="Times New Roman"/>
          <w:spacing w:val="4"/>
          <w:w w:val="103"/>
          <w:kern w:val="14"/>
          <w:sz w:val="20"/>
          <w:szCs w:val="20"/>
        </w:rPr>
        <w:tab/>
        <w:t>Consideration of policies to regularize the status of migrants;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(q)</w:t>
      </w:r>
      <w:r w:rsidRPr="008D379E">
        <w:rPr>
          <w:rFonts w:ascii="Times New Roman" w:hAnsi="Times New Roman" w:cs="Times New Roman"/>
          <w:spacing w:val="4"/>
          <w:w w:val="103"/>
          <w:kern w:val="14"/>
          <w:sz w:val="20"/>
          <w:szCs w:val="20"/>
        </w:rPr>
        <w:tab/>
        <w:t>Protection of labour rights and a safe environment for migrant workers and those in precarious employment, protection of women migrant workers in all sectors and promotion of labour mobility, including circular migration;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(r)</w:t>
      </w:r>
      <w:r w:rsidRPr="008D379E">
        <w:rPr>
          <w:rFonts w:ascii="Times New Roman" w:hAnsi="Times New Roman" w:cs="Times New Roman"/>
          <w:spacing w:val="4"/>
          <w:w w:val="103"/>
          <w:kern w:val="14"/>
          <w:sz w:val="20"/>
          <w:szCs w:val="20"/>
        </w:rPr>
        <w:tab/>
        <w:t>The responsibilities and obligations of migrants towards host countries;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(s)</w:t>
      </w:r>
      <w:r w:rsidRPr="008D379E">
        <w:rPr>
          <w:rFonts w:ascii="Times New Roman" w:hAnsi="Times New Roman" w:cs="Times New Roman"/>
          <w:spacing w:val="4"/>
          <w:w w:val="103"/>
          <w:kern w:val="14"/>
          <w:sz w:val="20"/>
          <w:szCs w:val="20"/>
        </w:rPr>
        <w:tab/>
        <w:t>Return and readmission, and improving cooperation in this regard between countries of origin and destination;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(t)</w:t>
      </w:r>
      <w:r w:rsidRPr="008D379E">
        <w:rPr>
          <w:rFonts w:ascii="Times New Roman" w:hAnsi="Times New Roman" w:cs="Times New Roman"/>
          <w:spacing w:val="4"/>
          <w:w w:val="103"/>
          <w:kern w:val="14"/>
          <w:sz w:val="20"/>
          <w:szCs w:val="20"/>
        </w:rPr>
        <w:tab/>
        <w:t>Harnessing the contribution of diasporas and strengthening links with countries of origin;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(u)</w:t>
      </w:r>
      <w:r w:rsidRPr="008D379E">
        <w:rPr>
          <w:rFonts w:ascii="Times New Roman" w:hAnsi="Times New Roman" w:cs="Times New Roman"/>
          <w:spacing w:val="4"/>
          <w:w w:val="103"/>
          <w:kern w:val="14"/>
          <w:sz w:val="20"/>
          <w:szCs w:val="20"/>
        </w:rPr>
        <w:tab/>
      </w:r>
      <w:r w:rsidRPr="008D379E">
        <w:rPr>
          <w:rFonts w:ascii="Times New Roman" w:hAnsi="Times New Roman" w:cs="Times New Roman"/>
          <w:spacing w:val="2"/>
          <w:w w:val="103"/>
          <w:kern w:val="14"/>
          <w:sz w:val="20"/>
          <w:szCs w:val="20"/>
        </w:rPr>
        <w:t>Combating racism, xenophobia, discrimination and intolerance towards all migrants;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(v)</w:t>
      </w:r>
      <w:r w:rsidRPr="008D379E">
        <w:rPr>
          <w:rFonts w:ascii="Times New Roman" w:hAnsi="Times New Roman" w:cs="Times New Roman"/>
          <w:spacing w:val="4"/>
          <w:w w:val="103"/>
          <w:kern w:val="14"/>
          <w:sz w:val="20"/>
          <w:szCs w:val="20"/>
        </w:rPr>
        <w:tab/>
        <w:t>Disaggregated data on international migration;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(w)</w:t>
      </w:r>
      <w:r w:rsidRPr="008D379E">
        <w:rPr>
          <w:rFonts w:ascii="Times New Roman" w:hAnsi="Times New Roman" w:cs="Times New Roman"/>
          <w:spacing w:val="4"/>
          <w:w w:val="103"/>
          <w:kern w:val="14"/>
          <w:sz w:val="20"/>
          <w:szCs w:val="20"/>
        </w:rPr>
        <w:tab/>
        <w:t>Recognition of foreign qualifications, education and skills and cooperation in access to and portability of earned benefits;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ab/>
        <w:t>(x)</w:t>
      </w:r>
      <w:r w:rsidRPr="008D379E">
        <w:rPr>
          <w:rFonts w:ascii="Times New Roman" w:hAnsi="Times New Roman" w:cs="Times New Roman"/>
          <w:spacing w:val="4"/>
          <w:w w:val="103"/>
          <w:kern w:val="14"/>
          <w:sz w:val="20"/>
          <w:szCs w:val="20"/>
        </w:rPr>
        <w:tab/>
        <w:t>Cooperation at the national, regional and international levels on all aspects of migration.</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0" w:hanging="1267"/>
        <w:outlineLvl w:val="1"/>
        <w:rPr>
          <w:rFonts w:ascii="Times New Roman" w:hAnsi="Times New Roman" w:cs="Times New Roman"/>
          <w:b/>
          <w:spacing w:val="2"/>
          <w:w w:val="103"/>
          <w:kern w:val="14"/>
          <w:sz w:val="20"/>
          <w:szCs w:val="20"/>
        </w:rPr>
      </w:pPr>
      <w:r w:rsidRPr="008D379E">
        <w:rPr>
          <w:rFonts w:ascii="Times New Roman" w:hAnsi="Times New Roman" w:cs="Times New Roman"/>
          <w:b/>
          <w:spacing w:val="2"/>
          <w:w w:val="103"/>
          <w:kern w:val="14"/>
          <w:sz w:val="20"/>
          <w:szCs w:val="20"/>
        </w:rPr>
        <w:tab/>
        <w:t>IV.</w:t>
      </w:r>
      <w:r w:rsidRPr="008D379E">
        <w:rPr>
          <w:rFonts w:ascii="Times New Roman" w:hAnsi="Times New Roman" w:cs="Times New Roman"/>
          <w:b/>
          <w:spacing w:val="2"/>
          <w:w w:val="103"/>
          <w:kern w:val="14"/>
          <w:sz w:val="20"/>
          <w:szCs w:val="20"/>
        </w:rPr>
        <w:tab/>
        <w:t>The way forward</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hAnsi="Times New Roman" w:cs="Times New Roman"/>
          <w:spacing w:val="4"/>
          <w:w w:val="103"/>
          <w:kern w:val="14"/>
          <w:sz w:val="10"/>
          <w:szCs w:val="20"/>
        </w:rPr>
      </w:pP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9.</w:t>
      </w:r>
      <w:r w:rsidRPr="008D379E">
        <w:rPr>
          <w:rFonts w:ascii="Times New Roman" w:hAnsi="Times New Roman" w:cs="Times New Roman"/>
          <w:spacing w:val="4"/>
          <w:w w:val="103"/>
          <w:kern w:val="14"/>
          <w:sz w:val="20"/>
          <w:szCs w:val="20"/>
        </w:rPr>
        <w:tab/>
        <w:t xml:space="preserve">The global compact would be elaborated through a process of intergovernmental negotiations, for which preparations will begin immediately. The negotiations, which will begin in early 2017, are to culminate in an intergovernmental conference on international migration in 2018 at which the global compact will be presented for adoption. </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10.</w:t>
      </w:r>
      <w:r w:rsidRPr="008D379E">
        <w:rPr>
          <w:rFonts w:ascii="Times New Roman" w:hAnsi="Times New Roman" w:cs="Times New Roman"/>
          <w:spacing w:val="4"/>
          <w:w w:val="103"/>
          <w:kern w:val="14"/>
          <w:sz w:val="20"/>
          <w:szCs w:val="20"/>
        </w:rPr>
        <w:tab/>
        <w:t>As the Third High-level Dialogue on International Migration and Development is to be held in New York no later than 2019,</w:t>
      </w:r>
      <w:r w:rsidRPr="008D379E">
        <w:rPr>
          <w:rFonts w:ascii="Times New Roman" w:hAnsi="Times New Roman" w:cs="Times New Roman"/>
          <w:spacing w:val="5"/>
          <w:w w:val="103"/>
          <w:kern w:val="14"/>
          <w:sz w:val="20"/>
          <w:szCs w:val="20"/>
          <w:vertAlign w:val="superscript"/>
        </w:rPr>
        <w:footnoteReference w:id="5"/>
      </w:r>
      <w:r w:rsidRPr="008D379E">
        <w:rPr>
          <w:rFonts w:ascii="Times New Roman" w:hAnsi="Times New Roman" w:cs="Times New Roman"/>
          <w:spacing w:val="4"/>
          <w:w w:val="103"/>
          <w:kern w:val="14"/>
          <w:sz w:val="20"/>
          <w:szCs w:val="20"/>
        </w:rPr>
        <w:t xml:space="preserve"> a role should be envisaged for the High-level Dialogue in the process.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11.</w:t>
      </w:r>
      <w:r w:rsidRPr="008D379E">
        <w:rPr>
          <w:rFonts w:ascii="Times New Roman" w:hAnsi="Times New Roman" w:cs="Times New Roman"/>
          <w:spacing w:val="4"/>
          <w:w w:val="103"/>
          <w:kern w:val="14"/>
          <w:sz w:val="20"/>
          <w:szCs w:val="20"/>
        </w:rPr>
        <w:tab/>
        <w:t>The President of the General Assembly is invited to make early arrangements for the appointment of two co-facilitators to lead open, transparent and inclusive consultations with States, with a view to the determination of modalities, a timeline, the possible holding of preparatory conferences and other practicalities relating to the intergovernmental negotiations, including the integration of Geneva-based migration expertise.</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12.</w:t>
      </w:r>
      <w:r w:rsidRPr="008D379E">
        <w:rPr>
          <w:rFonts w:ascii="Times New Roman" w:hAnsi="Times New Roman" w:cs="Times New Roman"/>
          <w:spacing w:val="4"/>
          <w:w w:val="103"/>
          <w:kern w:val="14"/>
          <w:sz w:val="20"/>
          <w:szCs w:val="20"/>
        </w:rPr>
        <w:tab/>
        <w:t>The Secretary-General is requested to provide appropriate support for the negotiations. We envisage that the Secretariat of the United Nations and the International Organization for Migration would jointly service the negotiations, the former providing capacity and support and the latter extending the technical and policy expertise required.</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13.</w:t>
      </w:r>
      <w:r w:rsidRPr="008D379E">
        <w:rPr>
          <w:rFonts w:ascii="Times New Roman" w:hAnsi="Times New Roman" w:cs="Times New Roman"/>
          <w:spacing w:val="4"/>
          <w:w w:val="103"/>
          <w:kern w:val="14"/>
          <w:sz w:val="20"/>
          <w:szCs w:val="20"/>
        </w:rPr>
        <w:tab/>
        <w:t>We envisage also that the Special Representative of the Secretary-General for International Migration and Development, Mr. Peter Sutherland, would coordinate the contributions to be made to the negotiation process by the Global Forum on Migration and Development and the Global Migration Group. We envisage that the International Labour Organization, the United Nations Office on Drugs and Crime, the Office of the United Nations High Commissioner for Refugees, the United Nations Development Programme, the Office of the United Nations High Commissioner for Human Rights and other entities with significant mandates and expertise related to migration would contribute to the process.</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14.</w:t>
      </w:r>
      <w:r w:rsidRPr="008D379E">
        <w:rPr>
          <w:rFonts w:ascii="Times New Roman" w:hAnsi="Times New Roman" w:cs="Times New Roman"/>
          <w:spacing w:val="4"/>
          <w:w w:val="103"/>
          <w:kern w:val="14"/>
          <w:sz w:val="20"/>
          <w:szCs w:val="20"/>
        </w:rPr>
        <w:tab/>
        <w:t>Regional consultations in support of the negotiations would be desirable, including through existing consultative processes and mechanisms, where appropriate.</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spacing w:val="4"/>
          <w:w w:val="103"/>
          <w:kern w:val="14"/>
          <w:sz w:val="20"/>
          <w:szCs w:val="20"/>
        </w:rPr>
        <w:t>15.</w:t>
      </w:r>
      <w:r w:rsidRPr="008D379E">
        <w:rPr>
          <w:rFonts w:ascii="Times New Roman" w:hAnsi="Times New Roman" w:cs="Times New Roman"/>
          <w:spacing w:val="4"/>
          <w:w w:val="103"/>
          <w:kern w:val="14"/>
          <w:sz w:val="20"/>
          <w:szCs w:val="20"/>
        </w:rPr>
        <w:tab/>
        <w:t>Civil society, the private sector, diaspora communities and migrant organizations would be invited to contribute to the process for the preparation of the global compact.</w:t>
      </w:r>
    </w:p>
    <w:p w:rsidR="008D379E" w:rsidRPr="008D379E" w:rsidRDefault="008D379E" w:rsidP="008D379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rPr>
          <w:rFonts w:ascii="Times New Roman" w:hAnsi="Times New Roman" w:cs="Times New Roman"/>
          <w:spacing w:val="4"/>
          <w:w w:val="103"/>
          <w:kern w:val="14"/>
          <w:sz w:val="20"/>
          <w:szCs w:val="20"/>
        </w:rPr>
      </w:pPr>
      <w:r w:rsidRPr="008D379E">
        <w:rPr>
          <w:rFonts w:ascii="Times New Roman" w:hAnsi="Times New Roman" w:cs="Times New Roman"/>
          <w:noProof/>
          <w:spacing w:val="4"/>
          <w:kern w:val="14"/>
          <w:sz w:val="20"/>
          <w:szCs w:val="20"/>
          <w:lang w:eastAsia="en-GB"/>
        </w:rPr>
        <mc:AlternateContent>
          <mc:Choice Requires="wps">
            <w:drawing>
              <wp:anchor distT="0" distB="0" distL="114300" distR="114300" simplePos="0" relativeHeight="251659264" behindDoc="0" locked="0" layoutInCell="1" allowOverlap="1" wp14:anchorId="06ED8235" wp14:editId="60A8EE3D">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5248CD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" strokecolor="#010000" strokeweight=".25pt"/>
            </w:pict>
          </mc:Fallback>
        </mc:AlternateContent>
      </w:r>
    </w:p>
    <w:p w:rsidR="008D379E" w:rsidRPr="00AB0EFF" w:rsidRDefault="008D379E" w:rsidP="00161C8A">
      <w:pPr>
        <w:spacing w:line="240" w:lineRule="auto"/>
        <w:jc w:val="both"/>
        <w:rPr>
          <w:b/>
        </w:rPr>
      </w:pPr>
    </w:p>
    <w:sectPr w:rsidR="008D379E" w:rsidRPr="00AB0EFF" w:rsidSect="00E90895">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92" w:rsidRDefault="005B2292" w:rsidP="000814B9">
      <w:pPr>
        <w:spacing w:line="240" w:lineRule="auto"/>
      </w:pPr>
      <w:r>
        <w:separator/>
      </w:r>
    </w:p>
  </w:endnote>
  <w:endnote w:type="continuationSeparator" w:id="0">
    <w:p w:rsidR="005B2292" w:rsidRDefault="005B2292" w:rsidP="000814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92" w:rsidRDefault="005B2292" w:rsidP="000814B9">
      <w:pPr>
        <w:spacing w:line="240" w:lineRule="auto"/>
      </w:pPr>
      <w:r>
        <w:separator/>
      </w:r>
    </w:p>
  </w:footnote>
  <w:footnote w:type="continuationSeparator" w:id="0">
    <w:p w:rsidR="005B2292" w:rsidRDefault="005B2292" w:rsidP="000814B9">
      <w:pPr>
        <w:spacing w:line="240" w:lineRule="auto"/>
      </w:pPr>
      <w:r>
        <w:continuationSeparator/>
      </w:r>
    </w:p>
  </w:footnote>
  <w:footnote w:id="1">
    <w:p w:rsidR="00D929CA" w:rsidRPr="005E366D" w:rsidRDefault="00D929CA">
      <w:pPr>
        <w:pStyle w:val="FootnoteText"/>
        <w:rPr>
          <w:lang w:val="en-US"/>
        </w:rPr>
      </w:pPr>
      <w:r>
        <w:rPr>
          <w:rStyle w:val="FootnoteReference"/>
        </w:rPr>
        <w:footnoteRef/>
      </w:r>
      <w:r>
        <w:t xml:space="preserve"> R</w:t>
      </w:r>
      <w:r w:rsidRPr="00D929CA">
        <w:t>eport of the Secretary-General</w:t>
      </w:r>
      <w:r>
        <w:t>, A/71/</w:t>
      </w:r>
      <w:r w:rsidR="004E0A6E">
        <w:t>59</w:t>
      </w:r>
      <w:r>
        <w:t>,</w:t>
      </w:r>
      <w:r w:rsidRPr="00D929CA">
        <w:t xml:space="preserve"> "In </w:t>
      </w:r>
      <w:r w:rsidR="00675067">
        <w:t>s</w:t>
      </w:r>
      <w:r w:rsidRPr="00D929CA">
        <w:t xml:space="preserve">afety and </w:t>
      </w:r>
      <w:r w:rsidR="00675067">
        <w:t>d</w:t>
      </w:r>
      <w:r w:rsidRPr="00D929CA">
        <w:t xml:space="preserve">ignity: </w:t>
      </w:r>
      <w:r w:rsidR="00675067">
        <w:t>a</w:t>
      </w:r>
      <w:r w:rsidRPr="00D929CA">
        <w:t xml:space="preserve">ddressing </w:t>
      </w:r>
      <w:r w:rsidR="00675067">
        <w:t>l</w:t>
      </w:r>
      <w:r w:rsidRPr="00D929CA">
        <w:t xml:space="preserve">arge </w:t>
      </w:r>
      <w:r w:rsidR="00675067">
        <w:t>m</w:t>
      </w:r>
      <w:r w:rsidRPr="00D929CA">
        <w:t xml:space="preserve">ovements of </w:t>
      </w:r>
      <w:r w:rsidR="00675067">
        <w:t>r</w:t>
      </w:r>
      <w:r w:rsidRPr="00D929CA">
        <w:t xml:space="preserve">efugees and </w:t>
      </w:r>
      <w:r w:rsidR="00675067">
        <w:t>m</w:t>
      </w:r>
      <w:r w:rsidRPr="00D929CA">
        <w:t>igrants"</w:t>
      </w:r>
    </w:p>
  </w:footnote>
  <w:footnote w:id="2">
    <w:p w:rsidR="008D379E" w:rsidRPr="0042354A" w:rsidRDefault="008D379E" w:rsidP="008D3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A833EB">
        <w:rPr>
          <w:lang w:val="es-ES"/>
        </w:rPr>
        <w:tab/>
      </w:r>
      <w:r>
        <w:rPr>
          <w:rStyle w:val="FootnoteReference"/>
        </w:rPr>
        <w:footnoteRef/>
      </w:r>
      <w:r>
        <w:t xml:space="preserve"> </w:t>
      </w:r>
      <w:r>
        <w:tab/>
      </w:r>
      <w:r w:rsidRPr="0042354A">
        <w:t>Resolution 70/1</w:t>
      </w:r>
      <w:r>
        <w:t>.</w:t>
      </w:r>
    </w:p>
  </w:footnote>
  <w:footnote w:id="3">
    <w:p w:rsidR="008D379E" w:rsidRPr="00D7275A" w:rsidRDefault="008D379E" w:rsidP="008D3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7275A">
        <w:t>Resolution 69/313, annex.</w:t>
      </w:r>
    </w:p>
  </w:footnote>
  <w:footnote w:id="4">
    <w:p w:rsidR="008D379E" w:rsidRPr="00D7275A" w:rsidRDefault="008D379E" w:rsidP="008D3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7275A">
        <w:t>Resolution 68/4.</w:t>
      </w:r>
    </w:p>
  </w:footnote>
  <w:footnote w:id="5">
    <w:p w:rsidR="008D379E" w:rsidRPr="00D7275A" w:rsidRDefault="008D379E" w:rsidP="008D379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7275A">
        <w:t>See resolution 69/229, para. 32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531" w:rsidRDefault="00D52531" w:rsidP="000814B9">
    <w:pPr>
      <w:pStyle w:val="Header"/>
      <w:jc w:val="right"/>
    </w:pPr>
    <w:r w:rsidRPr="002E7BCD">
      <w:rPr>
        <w:noProof/>
        <w:lang w:eastAsia="en-GB"/>
      </w:rPr>
      <w:drawing>
        <wp:anchor distT="0" distB="0" distL="114300" distR="114300" simplePos="0" relativeHeight="251661312" behindDoc="0" locked="0" layoutInCell="1" allowOverlap="1" wp14:anchorId="027732F9" wp14:editId="31EB3221">
          <wp:simplePos x="0" y="0"/>
          <wp:positionH relativeFrom="margin">
            <wp:posOffset>4431665</wp:posOffset>
          </wp:positionH>
          <wp:positionV relativeFrom="paragraph">
            <wp:posOffset>-227965</wp:posOffset>
          </wp:positionV>
          <wp:extent cx="1669415" cy="758825"/>
          <wp:effectExtent l="0" t="0" r="6985" b="3175"/>
          <wp:wrapNone/>
          <wp:docPr id="1" name="Picture 1" descr="UN_Women_English_Blue_Small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_Women_English_Blue_Small_ALO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941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531" w:rsidRDefault="00D52531" w:rsidP="000814B9">
    <w:pPr>
      <w:pStyle w:val="Header"/>
      <w:jc w:val="right"/>
    </w:pPr>
  </w:p>
  <w:p w:rsidR="0013343C" w:rsidRDefault="0013343C" w:rsidP="000814B9">
    <w:pPr>
      <w:pStyle w:val="Header"/>
      <w:jc w:val="right"/>
    </w:pPr>
  </w:p>
  <w:p w:rsidR="00B12413" w:rsidRDefault="00B12413" w:rsidP="000814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B39"/>
    <w:multiLevelType w:val="hybridMultilevel"/>
    <w:tmpl w:val="5068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76D1D"/>
    <w:multiLevelType w:val="hybridMultilevel"/>
    <w:tmpl w:val="0BCCF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074DF2"/>
    <w:multiLevelType w:val="hybridMultilevel"/>
    <w:tmpl w:val="0B700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0798B"/>
    <w:multiLevelType w:val="hybridMultilevel"/>
    <w:tmpl w:val="BCD607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1CE47E8"/>
    <w:multiLevelType w:val="hybridMultilevel"/>
    <w:tmpl w:val="B85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B84E77"/>
    <w:multiLevelType w:val="hybridMultilevel"/>
    <w:tmpl w:val="98A2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6"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3DC0837"/>
    <w:multiLevelType w:val="hybridMultilevel"/>
    <w:tmpl w:val="B5585F18"/>
    <w:lvl w:ilvl="0" w:tplc="8EC0E884">
      <w:start w:val="1"/>
      <w:numFmt w:val="bullet"/>
      <w:lvlText w:val="•"/>
      <w:lvlJc w:val="left"/>
      <w:pPr>
        <w:tabs>
          <w:tab w:val="num" w:pos="720"/>
        </w:tabs>
        <w:ind w:left="720" w:hanging="360"/>
      </w:pPr>
      <w:rPr>
        <w:rFonts w:ascii="Arial" w:hAnsi="Arial" w:hint="default"/>
      </w:rPr>
    </w:lvl>
    <w:lvl w:ilvl="1" w:tplc="A6020978">
      <w:start w:val="1"/>
      <w:numFmt w:val="bullet"/>
      <w:lvlText w:val="•"/>
      <w:lvlJc w:val="left"/>
      <w:pPr>
        <w:tabs>
          <w:tab w:val="num" w:pos="1440"/>
        </w:tabs>
        <w:ind w:left="1440" w:hanging="360"/>
      </w:pPr>
      <w:rPr>
        <w:rFonts w:ascii="Arial" w:hAnsi="Arial" w:hint="default"/>
      </w:rPr>
    </w:lvl>
    <w:lvl w:ilvl="2" w:tplc="79B450EA">
      <w:start w:val="2309"/>
      <w:numFmt w:val="bullet"/>
      <w:lvlText w:val="•"/>
      <w:lvlJc w:val="left"/>
      <w:pPr>
        <w:tabs>
          <w:tab w:val="num" w:pos="2160"/>
        </w:tabs>
        <w:ind w:left="2160" w:hanging="360"/>
      </w:pPr>
      <w:rPr>
        <w:rFonts w:ascii="Arial" w:hAnsi="Arial" w:hint="default"/>
      </w:rPr>
    </w:lvl>
    <w:lvl w:ilvl="3" w:tplc="B57E10E6" w:tentative="1">
      <w:start w:val="1"/>
      <w:numFmt w:val="bullet"/>
      <w:lvlText w:val="•"/>
      <w:lvlJc w:val="left"/>
      <w:pPr>
        <w:tabs>
          <w:tab w:val="num" w:pos="2880"/>
        </w:tabs>
        <w:ind w:left="2880" w:hanging="360"/>
      </w:pPr>
      <w:rPr>
        <w:rFonts w:ascii="Arial" w:hAnsi="Arial" w:hint="default"/>
      </w:rPr>
    </w:lvl>
    <w:lvl w:ilvl="4" w:tplc="A2562726" w:tentative="1">
      <w:start w:val="1"/>
      <w:numFmt w:val="bullet"/>
      <w:lvlText w:val="•"/>
      <w:lvlJc w:val="left"/>
      <w:pPr>
        <w:tabs>
          <w:tab w:val="num" w:pos="3600"/>
        </w:tabs>
        <w:ind w:left="3600" w:hanging="360"/>
      </w:pPr>
      <w:rPr>
        <w:rFonts w:ascii="Arial" w:hAnsi="Arial" w:hint="default"/>
      </w:rPr>
    </w:lvl>
    <w:lvl w:ilvl="5" w:tplc="3B24278C" w:tentative="1">
      <w:start w:val="1"/>
      <w:numFmt w:val="bullet"/>
      <w:lvlText w:val="•"/>
      <w:lvlJc w:val="left"/>
      <w:pPr>
        <w:tabs>
          <w:tab w:val="num" w:pos="4320"/>
        </w:tabs>
        <w:ind w:left="4320" w:hanging="360"/>
      </w:pPr>
      <w:rPr>
        <w:rFonts w:ascii="Arial" w:hAnsi="Arial" w:hint="default"/>
      </w:rPr>
    </w:lvl>
    <w:lvl w:ilvl="6" w:tplc="7E948EF4" w:tentative="1">
      <w:start w:val="1"/>
      <w:numFmt w:val="bullet"/>
      <w:lvlText w:val="•"/>
      <w:lvlJc w:val="left"/>
      <w:pPr>
        <w:tabs>
          <w:tab w:val="num" w:pos="5040"/>
        </w:tabs>
        <w:ind w:left="5040" w:hanging="360"/>
      </w:pPr>
      <w:rPr>
        <w:rFonts w:ascii="Arial" w:hAnsi="Arial" w:hint="default"/>
      </w:rPr>
    </w:lvl>
    <w:lvl w:ilvl="7" w:tplc="892023A0" w:tentative="1">
      <w:start w:val="1"/>
      <w:numFmt w:val="bullet"/>
      <w:lvlText w:val="•"/>
      <w:lvlJc w:val="left"/>
      <w:pPr>
        <w:tabs>
          <w:tab w:val="num" w:pos="5760"/>
        </w:tabs>
        <w:ind w:left="5760" w:hanging="360"/>
      </w:pPr>
      <w:rPr>
        <w:rFonts w:ascii="Arial" w:hAnsi="Arial" w:hint="default"/>
      </w:rPr>
    </w:lvl>
    <w:lvl w:ilvl="8" w:tplc="355EDD64" w:tentative="1">
      <w:start w:val="1"/>
      <w:numFmt w:val="bullet"/>
      <w:lvlText w:val="•"/>
      <w:lvlJc w:val="left"/>
      <w:pPr>
        <w:tabs>
          <w:tab w:val="num" w:pos="6480"/>
        </w:tabs>
        <w:ind w:left="6480" w:hanging="360"/>
      </w:pPr>
      <w:rPr>
        <w:rFonts w:ascii="Arial" w:hAnsi="Arial" w:hint="default"/>
      </w:rPr>
    </w:lvl>
  </w:abstractNum>
  <w:abstractNum w:abstractNumId="7">
    <w:nsid w:val="156A3DFF"/>
    <w:multiLevelType w:val="hybridMultilevel"/>
    <w:tmpl w:val="22D83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E97DB5"/>
    <w:multiLevelType w:val="hybridMultilevel"/>
    <w:tmpl w:val="CB9A5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6A134A"/>
    <w:multiLevelType w:val="hybridMultilevel"/>
    <w:tmpl w:val="55645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551A98"/>
    <w:multiLevelType w:val="hybridMultilevel"/>
    <w:tmpl w:val="AFDAE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A02FAA"/>
    <w:multiLevelType w:val="hybridMultilevel"/>
    <w:tmpl w:val="2EEE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1C525F"/>
    <w:multiLevelType w:val="hybridMultilevel"/>
    <w:tmpl w:val="B59243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01239D"/>
    <w:multiLevelType w:val="hybridMultilevel"/>
    <w:tmpl w:val="04708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7766DA"/>
    <w:multiLevelType w:val="hybridMultilevel"/>
    <w:tmpl w:val="164A7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33A1F8F"/>
    <w:multiLevelType w:val="hybridMultilevel"/>
    <w:tmpl w:val="D3BE9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B940E84"/>
    <w:multiLevelType w:val="hybridMultilevel"/>
    <w:tmpl w:val="C688C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873FB5"/>
    <w:multiLevelType w:val="hybridMultilevel"/>
    <w:tmpl w:val="3E4EB068"/>
    <w:lvl w:ilvl="0" w:tplc="0C6CFC2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0335890"/>
    <w:multiLevelType w:val="hybridMultilevel"/>
    <w:tmpl w:val="AE625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C47EC9"/>
    <w:multiLevelType w:val="hybridMultilevel"/>
    <w:tmpl w:val="8BD288A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nsid w:val="73391311"/>
    <w:multiLevelType w:val="hybridMultilevel"/>
    <w:tmpl w:val="95F09D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0012BB"/>
    <w:multiLevelType w:val="hybridMultilevel"/>
    <w:tmpl w:val="82D6A9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B694B18"/>
    <w:multiLevelType w:val="hybridMultilevel"/>
    <w:tmpl w:val="D5548E90"/>
    <w:lvl w:ilvl="0" w:tplc="D7902C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BFF2CAA"/>
    <w:multiLevelType w:val="hybridMultilevel"/>
    <w:tmpl w:val="F516F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10"/>
  </w:num>
  <w:num w:numId="4">
    <w:abstractNumId w:val="11"/>
  </w:num>
  <w:num w:numId="5">
    <w:abstractNumId w:val="21"/>
  </w:num>
  <w:num w:numId="6">
    <w:abstractNumId w:val="17"/>
  </w:num>
  <w:num w:numId="7">
    <w:abstractNumId w:val="20"/>
  </w:num>
  <w:num w:numId="8">
    <w:abstractNumId w:val="5"/>
  </w:num>
  <w:num w:numId="9">
    <w:abstractNumId w:val="12"/>
  </w:num>
  <w:num w:numId="10">
    <w:abstractNumId w:val="1"/>
  </w:num>
  <w:num w:numId="11">
    <w:abstractNumId w:val="3"/>
  </w:num>
  <w:num w:numId="12">
    <w:abstractNumId w:val="4"/>
  </w:num>
  <w:num w:numId="13">
    <w:abstractNumId w:val="2"/>
  </w:num>
  <w:num w:numId="14">
    <w:abstractNumId w:val="15"/>
  </w:num>
  <w:num w:numId="15">
    <w:abstractNumId w:val="19"/>
  </w:num>
  <w:num w:numId="16">
    <w:abstractNumId w:val="14"/>
  </w:num>
  <w:num w:numId="17">
    <w:abstractNumId w:val="7"/>
  </w:num>
  <w:num w:numId="18">
    <w:abstractNumId w:val="0"/>
  </w:num>
  <w:num w:numId="19">
    <w:abstractNumId w:val="16"/>
  </w:num>
  <w:num w:numId="20">
    <w:abstractNumId w:val="18"/>
  </w:num>
  <w:num w:numId="21">
    <w:abstractNumId w:val="13"/>
  </w:num>
  <w:num w:numId="22">
    <w:abstractNumId w:val="9"/>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ocumentProtection w:edit="readOnly" w:formatting="1" w:enforcement="1" w:cryptProviderType="rsaFull" w:cryptAlgorithmClass="hash" w:cryptAlgorithmType="typeAny" w:cryptAlgorithmSid="4" w:cryptSpinCount="100000" w:hash="RMTB+XBfSg6soGwTJFS4ezKGKyc=" w:salt="IGU8V2b7Dg2GVawQKRAul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5A"/>
    <w:rsid w:val="00006478"/>
    <w:rsid w:val="00006DDF"/>
    <w:rsid w:val="00026835"/>
    <w:rsid w:val="00032C34"/>
    <w:rsid w:val="00036EEF"/>
    <w:rsid w:val="0004429D"/>
    <w:rsid w:val="0004436F"/>
    <w:rsid w:val="000443A4"/>
    <w:rsid w:val="0005134B"/>
    <w:rsid w:val="000557C1"/>
    <w:rsid w:val="00063575"/>
    <w:rsid w:val="00064346"/>
    <w:rsid w:val="0006602B"/>
    <w:rsid w:val="000757F6"/>
    <w:rsid w:val="000813B0"/>
    <w:rsid w:val="000814B9"/>
    <w:rsid w:val="00084A90"/>
    <w:rsid w:val="000B390C"/>
    <w:rsid w:val="000D0EFD"/>
    <w:rsid w:val="000D213F"/>
    <w:rsid w:val="000D7155"/>
    <w:rsid w:val="000D796C"/>
    <w:rsid w:val="000E48E7"/>
    <w:rsid w:val="00100E49"/>
    <w:rsid w:val="001027FB"/>
    <w:rsid w:val="0011113C"/>
    <w:rsid w:val="001156FF"/>
    <w:rsid w:val="00125B58"/>
    <w:rsid w:val="00130E2D"/>
    <w:rsid w:val="0013343C"/>
    <w:rsid w:val="00136147"/>
    <w:rsid w:val="0014055C"/>
    <w:rsid w:val="001478C8"/>
    <w:rsid w:val="001478D5"/>
    <w:rsid w:val="00152D3B"/>
    <w:rsid w:val="001531AC"/>
    <w:rsid w:val="00157BC4"/>
    <w:rsid w:val="00160979"/>
    <w:rsid w:val="00161C8A"/>
    <w:rsid w:val="001727A4"/>
    <w:rsid w:val="001777EB"/>
    <w:rsid w:val="00184AA6"/>
    <w:rsid w:val="00185F8B"/>
    <w:rsid w:val="001913BE"/>
    <w:rsid w:val="001A4D03"/>
    <w:rsid w:val="001C6CAF"/>
    <w:rsid w:val="001D090C"/>
    <w:rsid w:val="001D220C"/>
    <w:rsid w:val="001D7F41"/>
    <w:rsid w:val="001E3E76"/>
    <w:rsid w:val="001E679D"/>
    <w:rsid w:val="001F4181"/>
    <w:rsid w:val="00201B76"/>
    <w:rsid w:val="00203FE6"/>
    <w:rsid w:val="00215CED"/>
    <w:rsid w:val="002260B5"/>
    <w:rsid w:val="00231314"/>
    <w:rsid w:val="00232D54"/>
    <w:rsid w:val="00251033"/>
    <w:rsid w:val="00252E91"/>
    <w:rsid w:val="002823A2"/>
    <w:rsid w:val="0028454B"/>
    <w:rsid w:val="002A0BDD"/>
    <w:rsid w:val="002A5FF0"/>
    <w:rsid w:val="002B00EA"/>
    <w:rsid w:val="002B134D"/>
    <w:rsid w:val="002C7D48"/>
    <w:rsid w:val="002D1D22"/>
    <w:rsid w:val="002E61E2"/>
    <w:rsid w:val="002F3F71"/>
    <w:rsid w:val="002F75D9"/>
    <w:rsid w:val="0030744E"/>
    <w:rsid w:val="00310B72"/>
    <w:rsid w:val="00316EDD"/>
    <w:rsid w:val="0032037C"/>
    <w:rsid w:val="00340818"/>
    <w:rsid w:val="003622FC"/>
    <w:rsid w:val="003B1232"/>
    <w:rsid w:val="003B7F0B"/>
    <w:rsid w:val="003E49EE"/>
    <w:rsid w:val="003F0640"/>
    <w:rsid w:val="003F7D14"/>
    <w:rsid w:val="0041287F"/>
    <w:rsid w:val="00457DC4"/>
    <w:rsid w:val="00470759"/>
    <w:rsid w:val="00471FD0"/>
    <w:rsid w:val="00493055"/>
    <w:rsid w:val="004A0EFF"/>
    <w:rsid w:val="004A3017"/>
    <w:rsid w:val="004A436D"/>
    <w:rsid w:val="004A5EFD"/>
    <w:rsid w:val="004B2652"/>
    <w:rsid w:val="004C077C"/>
    <w:rsid w:val="004C0D41"/>
    <w:rsid w:val="004C6336"/>
    <w:rsid w:val="004C7FC4"/>
    <w:rsid w:val="004D2EE7"/>
    <w:rsid w:val="004D6BBE"/>
    <w:rsid w:val="004E0A6E"/>
    <w:rsid w:val="004E7602"/>
    <w:rsid w:val="005021D9"/>
    <w:rsid w:val="005332CB"/>
    <w:rsid w:val="00545834"/>
    <w:rsid w:val="00563C70"/>
    <w:rsid w:val="00564741"/>
    <w:rsid w:val="00564BA3"/>
    <w:rsid w:val="0056678C"/>
    <w:rsid w:val="00567DE3"/>
    <w:rsid w:val="00575F4B"/>
    <w:rsid w:val="0057632D"/>
    <w:rsid w:val="00594479"/>
    <w:rsid w:val="00596DBE"/>
    <w:rsid w:val="00597417"/>
    <w:rsid w:val="005A0FBC"/>
    <w:rsid w:val="005B04E4"/>
    <w:rsid w:val="005B2292"/>
    <w:rsid w:val="005D0E7A"/>
    <w:rsid w:val="005E366D"/>
    <w:rsid w:val="005E54B3"/>
    <w:rsid w:val="005F0E8C"/>
    <w:rsid w:val="005F375C"/>
    <w:rsid w:val="005F5FF4"/>
    <w:rsid w:val="00600CB2"/>
    <w:rsid w:val="00606A50"/>
    <w:rsid w:val="00606ED3"/>
    <w:rsid w:val="00607C16"/>
    <w:rsid w:val="0061271A"/>
    <w:rsid w:val="00612E6F"/>
    <w:rsid w:val="00616F29"/>
    <w:rsid w:val="006175ED"/>
    <w:rsid w:val="00617873"/>
    <w:rsid w:val="00623D75"/>
    <w:rsid w:val="006331C4"/>
    <w:rsid w:val="00647549"/>
    <w:rsid w:val="006649E8"/>
    <w:rsid w:val="00672B20"/>
    <w:rsid w:val="00672FFC"/>
    <w:rsid w:val="00675067"/>
    <w:rsid w:val="006825D6"/>
    <w:rsid w:val="006902C0"/>
    <w:rsid w:val="00690B59"/>
    <w:rsid w:val="00697C6F"/>
    <w:rsid w:val="00697CBD"/>
    <w:rsid w:val="006A518E"/>
    <w:rsid w:val="006B2927"/>
    <w:rsid w:val="006B7A77"/>
    <w:rsid w:val="006C6840"/>
    <w:rsid w:val="006C6B8F"/>
    <w:rsid w:val="006D00EE"/>
    <w:rsid w:val="006D2486"/>
    <w:rsid w:val="006D3F09"/>
    <w:rsid w:val="006D490C"/>
    <w:rsid w:val="006F2A98"/>
    <w:rsid w:val="006F5789"/>
    <w:rsid w:val="00700B23"/>
    <w:rsid w:val="00715E17"/>
    <w:rsid w:val="00716674"/>
    <w:rsid w:val="00724391"/>
    <w:rsid w:val="00730713"/>
    <w:rsid w:val="00763E93"/>
    <w:rsid w:val="007833A7"/>
    <w:rsid w:val="007A54BD"/>
    <w:rsid w:val="007B5079"/>
    <w:rsid w:val="007C2462"/>
    <w:rsid w:val="007C3208"/>
    <w:rsid w:val="007C36CA"/>
    <w:rsid w:val="007D154F"/>
    <w:rsid w:val="007D6A19"/>
    <w:rsid w:val="007E4BE2"/>
    <w:rsid w:val="00851561"/>
    <w:rsid w:val="00851750"/>
    <w:rsid w:val="008874E6"/>
    <w:rsid w:val="00893998"/>
    <w:rsid w:val="00894E01"/>
    <w:rsid w:val="008A0029"/>
    <w:rsid w:val="008A5B89"/>
    <w:rsid w:val="008B0B41"/>
    <w:rsid w:val="008B6B12"/>
    <w:rsid w:val="008C2C0E"/>
    <w:rsid w:val="008C5A67"/>
    <w:rsid w:val="008D113C"/>
    <w:rsid w:val="008D379E"/>
    <w:rsid w:val="008D7E59"/>
    <w:rsid w:val="008E0F7C"/>
    <w:rsid w:val="008E1C9C"/>
    <w:rsid w:val="008E442F"/>
    <w:rsid w:val="008E76F0"/>
    <w:rsid w:val="0090528C"/>
    <w:rsid w:val="00913240"/>
    <w:rsid w:val="00931AEB"/>
    <w:rsid w:val="00945FD2"/>
    <w:rsid w:val="009648EB"/>
    <w:rsid w:val="00970D68"/>
    <w:rsid w:val="00977C5A"/>
    <w:rsid w:val="00992CED"/>
    <w:rsid w:val="009973AC"/>
    <w:rsid w:val="009A0784"/>
    <w:rsid w:val="009A5CB2"/>
    <w:rsid w:val="009C10C9"/>
    <w:rsid w:val="009C3DEB"/>
    <w:rsid w:val="009D42C4"/>
    <w:rsid w:val="00A056CF"/>
    <w:rsid w:val="00A22251"/>
    <w:rsid w:val="00A227F7"/>
    <w:rsid w:val="00A70CD5"/>
    <w:rsid w:val="00A7625A"/>
    <w:rsid w:val="00A87D09"/>
    <w:rsid w:val="00AB0EFF"/>
    <w:rsid w:val="00AB2AFC"/>
    <w:rsid w:val="00AB2F47"/>
    <w:rsid w:val="00AB3D9F"/>
    <w:rsid w:val="00AB5A2E"/>
    <w:rsid w:val="00AC00CB"/>
    <w:rsid w:val="00AD5F0A"/>
    <w:rsid w:val="00AE1784"/>
    <w:rsid w:val="00AE76B6"/>
    <w:rsid w:val="00AF102E"/>
    <w:rsid w:val="00B07347"/>
    <w:rsid w:val="00B12413"/>
    <w:rsid w:val="00B15497"/>
    <w:rsid w:val="00B1705A"/>
    <w:rsid w:val="00B21134"/>
    <w:rsid w:val="00B3007C"/>
    <w:rsid w:val="00B407A4"/>
    <w:rsid w:val="00B419BD"/>
    <w:rsid w:val="00B47A1E"/>
    <w:rsid w:val="00B510E9"/>
    <w:rsid w:val="00B556D0"/>
    <w:rsid w:val="00B67DC8"/>
    <w:rsid w:val="00B73139"/>
    <w:rsid w:val="00B77928"/>
    <w:rsid w:val="00B81EDB"/>
    <w:rsid w:val="00B8223D"/>
    <w:rsid w:val="00B916E2"/>
    <w:rsid w:val="00B93390"/>
    <w:rsid w:val="00B94F5F"/>
    <w:rsid w:val="00BA223E"/>
    <w:rsid w:val="00BA71A1"/>
    <w:rsid w:val="00BB5A63"/>
    <w:rsid w:val="00BD4A25"/>
    <w:rsid w:val="00BD6647"/>
    <w:rsid w:val="00C11D79"/>
    <w:rsid w:val="00C207AB"/>
    <w:rsid w:val="00C97A6B"/>
    <w:rsid w:val="00CA185E"/>
    <w:rsid w:val="00CA58B8"/>
    <w:rsid w:val="00CB7905"/>
    <w:rsid w:val="00CC7DB7"/>
    <w:rsid w:val="00CE5CC6"/>
    <w:rsid w:val="00CF41A5"/>
    <w:rsid w:val="00CF6A35"/>
    <w:rsid w:val="00D112F5"/>
    <w:rsid w:val="00D133E0"/>
    <w:rsid w:val="00D16093"/>
    <w:rsid w:val="00D17684"/>
    <w:rsid w:val="00D258DD"/>
    <w:rsid w:val="00D3185F"/>
    <w:rsid w:val="00D37269"/>
    <w:rsid w:val="00D410B3"/>
    <w:rsid w:val="00D41D34"/>
    <w:rsid w:val="00D52531"/>
    <w:rsid w:val="00D6035E"/>
    <w:rsid w:val="00D62CFB"/>
    <w:rsid w:val="00D82E4C"/>
    <w:rsid w:val="00D929CA"/>
    <w:rsid w:val="00D96039"/>
    <w:rsid w:val="00DA18AC"/>
    <w:rsid w:val="00DB5A2B"/>
    <w:rsid w:val="00DB6A92"/>
    <w:rsid w:val="00DD3F53"/>
    <w:rsid w:val="00DD52C2"/>
    <w:rsid w:val="00DE1056"/>
    <w:rsid w:val="00DF3598"/>
    <w:rsid w:val="00DF4193"/>
    <w:rsid w:val="00E14A5B"/>
    <w:rsid w:val="00E41D65"/>
    <w:rsid w:val="00E5563C"/>
    <w:rsid w:val="00E726B7"/>
    <w:rsid w:val="00E73E97"/>
    <w:rsid w:val="00E77471"/>
    <w:rsid w:val="00E81CC8"/>
    <w:rsid w:val="00E90895"/>
    <w:rsid w:val="00E91D59"/>
    <w:rsid w:val="00E93165"/>
    <w:rsid w:val="00E9478B"/>
    <w:rsid w:val="00EA0919"/>
    <w:rsid w:val="00EB012E"/>
    <w:rsid w:val="00EB3298"/>
    <w:rsid w:val="00EC5522"/>
    <w:rsid w:val="00EE2B90"/>
    <w:rsid w:val="00EE4F18"/>
    <w:rsid w:val="00EF6ED7"/>
    <w:rsid w:val="00F01FD4"/>
    <w:rsid w:val="00F112B6"/>
    <w:rsid w:val="00F305CF"/>
    <w:rsid w:val="00F32671"/>
    <w:rsid w:val="00F32D32"/>
    <w:rsid w:val="00F35321"/>
    <w:rsid w:val="00F41FC2"/>
    <w:rsid w:val="00F42BD4"/>
    <w:rsid w:val="00F5799B"/>
    <w:rsid w:val="00F70D4D"/>
    <w:rsid w:val="00F714AF"/>
    <w:rsid w:val="00F76926"/>
    <w:rsid w:val="00F80AE2"/>
    <w:rsid w:val="00F85902"/>
    <w:rsid w:val="00F97A65"/>
    <w:rsid w:val="00FA35B3"/>
    <w:rsid w:val="00FA4D74"/>
    <w:rsid w:val="00FC07D4"/>
    <w:rsid w:val="00FC783D"/>
    <w:rsid w:val="00FC7EC7"/>
    <w:rsid w:val="00FD1778"/>
    <w:rsid w:val="00FD7E91"/>
    <w:rsid w:val="00FF40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4B9"/>
    <w:pPr>
      <w:tabs>
        <w:tab w:val="center" w:pos="4513"/>
        <w:tab w:val="right" w:pos="9026"/>
      </w:tabs>
      <w:spacing w:line="240" w:lineRule="auto"/>
    </w:pPr>
  </w:style>
  <w:style w:type="character" w:customStyle="1" w:styleId="HeaderChar">
    <w:name w:val="Header Char"/>
    <w:basedOn w:val="DefaultParagraphFont"/>
    <w:link w:val="Header"/>
    <w:uiPriority w:val="99"/>
    <w:rsid w:val="000814B9"/>
  </w:style>
  <w:style w:type="paragraph" w:styleId="Footer">
    <w:name w:val="footer"/>
    <w:basedOn w:val="Normal"/>
    <w:link w:val="FooterChar"/>
    <w:uiPriority w:val="99"/>
    <w:unhideWhenUsed/>
    <w:rsid w:val="000814B9"/>
    <w:pPr>
      <w:tabs>
        <w:tab w:val="center" w:pos="4513"/>
        <w:tab w:val="right" w:pos="9026"/>
      </w:tabs>
      <w:spacing w:line="240" w:lineRule="auto"/>
    </w:pPr>
  </w:style>
  <w:style w:type="character" w:customStyle="1" w:styleId="FooterChar">
    <w:name w:val="Footer Char"/>
    <w:basedOn w:val="DefaultParagraphFont"/>
    <w:link w:val="Footer"/>
    <w:uiPriority w:val="99"/>
    <w:rsid w:val="000814B9"/>
  </w:style>
  <w:style w:type="table" w:styleId="TableGrid">
    <w:name w:val="Table Grid"/>
    <w:basedOn w:val="TableNormal"/>
    <w:uiPriority w:val="59"/>
    <w:rsid w:val="0008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14B9"/>
    <w:pPr>
      <w:ind w:left="720"/>
      <w:contextualSpacing/>
    </w:pPr>
  </w:style>
  <w:style w:type="character" w:styleId="CommentReference">
    <w:name w:val="annotation reference"/>
    <w:basedOn w:val="DefaultParagraphFont"/>
    <w:uiPriority w:val="99"/>
    <w:semiHidden/>
    <w:unhideWhenUsed/>
    <w:rsid w:val="00CA185E"/>
    <w:rPr>
      <w:sz w:val="16"/>
      <w:szCs w:val="16"/>
    </w:rPr>
  </w:style>
  <w:style w:type="paragraph" w:styleId="CommentText">
    <w:name w:val="annotation text"/>
    <w:basedOn w:val="Normal"/>
    <w:link w:val="CommentTextChar"/>
    <w:uiPriority w:val="99"/>
    <w:unhideWhenUsed/>
    <w:rsid w:val="00CA185E"/>
    <w:pPr>
      <w:spacing w:line="240" w:lineRule="auto"/>
    </w:pPr>
    <w:rPr>
      <w:sz w:val="20"/>
      <w:szCs w:val="20"/>
    </w:rPr>
  </w:style>
  <w:style w:type="character" w:customStyle="1" w:styleId="CommentTextChar">
    <w:name w:val="Comment Text Char"/>
    <w:basedOn w:val="DefaultParagraphFont"/>
    <w:link w:val="CommentText"/>
    <w:uiPriority w:val="99"/>
    <w:rsid w:val="00CA185E"/>
    <w:rPr>
      <w:sz w:val="20"/>
      <w:szCs w:val="20"/>
    </w:rPr>
  </w:style>
  <w:style w:type="paragraph" w:styleId="CommentSubject">
    <w:name w:val="annotation subject"/>
    <w:basedOn w:val="CommentText"/>
    <w:next w:val="CommentText"/>
    <w:link w:val="CommentSubjectChar"/>
    <w:uiPriority w:val="99"/>
    <w:semiHidden/>
    <w:unhideWhenUsed/>
    <w:rsid w:val="00CA185E"/>
    <w:rPr>
      <w:b/>
      <w:bCs/>
    </w:rPr>
  </w:style>
  <w:style w:type="character" w:customStyle="1" w:styleId="CommentSubjectChar">
    <w:name w:val="Comment Subject Char"/>
    <w:basedOn w:val="CommentTextChar"/>
    <w:link w:val="CommentSubject"/>
    <w:uiPriority w:val="99"/>
    <w:semiHidden/>
    <w:rsid w:val="00CA185E"/>
    <w:rPr>
      <w:b/>
      <w:bCs/>
      <w:sz w:val="20"/>
      <w:szCs w:val="20"/>
    </w:rPr>
  </w:style>
  <w:style w:type="paragraph" w:styleId="BalloonText">
    <w:name w:val="Balloon Text"/>
    <w:basedOn w:val="Normal"/>
    <w:link w:val="BalloonTextChar"/>
    <w:uiPriority w:val="99"/>
    <w:semiHidden/>
    <w:unhideWhenUsed/>
    <w:rsid w:val="00CA18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5E"/>
    <w:rPr>
      <w:rFonts w:ascii="Tahoma" w:hAnsi="Tahoma" w:cs="Tahoma"/>
      <w:sz w:val="16"/>
      <w:szCs w:val="16"/>
    </w:rPr>
  </w:style>
  <w:style w:type="character" w:styleId="Hyperlink">
    <w:name w:val="Hyperlink"/>
    <w:basedOn w:val="DefaultParagraphFont"/>
    <w:uiPriority w:val="99"/>
    <w:unhideWhenUsed/>
    <w:rsid w:val="00716674"/>
    <w:rPr>
      <w:color w:val="0000FF"/>
      <w:u w:val="single"/>
    </w:rPr>
  </w:style>
  <w:style w:type="paragraph" w:customStyle="1" w:styleId="Default">
    <w:name w:val="Default"/>
    <w:rsid w:val="00C11D79"/>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otnoteReference">
    <w:name w:val="footnote reference"/>
    <w:semiHidden/>
    <w:rsid w:val="00C97A6B"/>
    <w:rPr>
      <w:spacing w:val="-5"/>
      <w:w w:val="130"/>
      <w:position w:val="-4"/>
      <w:vertAlign w:val="superscript"/>
    </w:rPr>
  </w:style>
  <w:style w:type="paragraph" w:styleId="FootnoteText">
    <w:name w:val="footnote text"/>
    <w:basedOn w:val="Normal"/>
    <w:link w:val="FootnoteTextChar"/>
    <w:semiHidden/>
    <w:rsid w:val="00C97A6B"/>
    <w:pPr>
      <w:widowControl w:val="0"/>
      <w:tabs>
        <w:tab w:val="right" w:pos="418"/>
      </w:tabs>
      <w:suppressAutoHyphens/>
      <w:spacing w:line="210" w:lineRule="exact"/>
      <w:ind w:left="475" w:hanging="475"/>
      <w:jc w:val="both"/>
    </w:pPr>
    <w:rPr>
      <w:rFonts w:eastAsia="SimSun" w:cs="Times New Roman"/>
      <w:spacing w:val="5"/>
      <w:w w:val="104"/>
      <w:kern w:val="14"/>
      <w:sz w:val="17"/>
      <w:szCs w:val="20"/>
      <w:lang w:eastAsia="zh-CN"/>
    </w:rPr>
  </w:style>
  <w:style w:type="character" w:customStyle="1" w:styleId="FootnoteTextChar">
    <w:name w:val="Footnote Text Char"/>
    <w:basedOn w:val="DefaultParagraphFont"/>
    <w:link w:val="FootnoteText"/>
    <w:semiHidden/>
    <w:rsid w:val="00C97A6B"/>
    <w:rPr>
      <w:rFonts w:eastAsia="SimSun" w:cs="Times New Roman"/>
      <w:spacing w:val="5"/>
      <w:w w:val="104"/>
      <w:kern w:val="14"/>
      <w:sz w:val="17"/>
      <w:szCs w:val="20"/>
      <w:lang w:eastAsia="zh-CN"/>
    </w:rPr>
  </w:style>
  <w:style w:type="character" w:customStyle="1" w:styleId="ListParagraphChar">
    <w:name w:val="List Paragraph Char"/>
    <w:link w:val="ListParagraph"/>
    <w:uiPriority w:val="34"/>
    <w:locked/>
    <w:rsid w:val="0013343C"/>
  </w:style>
  <w:style w:type="character" w:styleId="Strong">
    <w:name w:val="Strong"/>
    <w:basedOn w:val="DefaultParagraphFont"/>
    <w:uiPriority w:val="22"/>
    <w:qFormat/>
    <w:rsid w:val="00B407A4"/>
    <w:rPr>
      <w:b/>
      <w:bCs/>
    </w:rPr>
  </w:style>
  <w:style w:type="character" w:customStyle="1" w:styleId="apple-converted-space">
    <w:name w:val="apple-converted-space"/>
    <w:basedOn w:val="DefaultParagraphFont"/>
    <w:rsid w:val="00B407A4"/>
  </w:style>
  <w:style w:type="paragraph" w:styleId="NormalWeb">
    <w:name w:val="Normal (Web)"/>
    <w:basedOn w:val="Normal"/>
    <w:uiPriority w:val="99"/>
    <w:unhideWhenUsed/>
    <w:rsid w:val="00B407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4B9"/>
    <w:pPr>
      <w:tabs>
        <w:tab w:val="center" w:pos="4513"/>
        <w:tab w:val="right" w:pos="9026"/>
      </w:tabs>
      <w:spacing w:line="240" w:lineRule="auto"/>
    </w:pPr>
  </w:style>
  <w:style w:type="character" w:customStyle="1" w:styleId="HeaderChar">
    <w:name w:val="Header Char"/>
    <w:basedOn w:val="DefaultParagraphFont"/>
    <w:link w:val="Header"/>
    <w:uiPriority w:val="99"/>
    <w:rsid w:val="000814B9"/>
  </w:style>
  <w:style w:type="paragraph" w:styleId="Footer">
    <w:name w:val="footer"/>
    <w:basedOn w:val="Normal"/>
    <w:link w:val="FooterChar"/>
    <w:uiPriority w:val="99"/>
    <w:unhideWhenUsed/>
    <w:rsid w:val="000814B9"/>
    <w:pPr>
      <w:tabs>
        <w:tab w:val="center" w:pos="4513"/>
        <w:tab w:val="right" w:pos="9026"/>
      </w:tabs>
      <w:spacing w:line="240" w:lineRule="auto"/>
    </w:pPr>
  </w:style>
  <w:style w:type="character" w:customStyle="1" w:styleId="FooterChar">
    <w:name w:val="Footer Char"/>
    <w:basedOn w:val="DefaultParagraphFont"/>
    <w:link w:val="Footer"/>
    <w:uiPriority w:val="99"/>
    <w:rsid w:val="000814B9"/>
  </w:style>
  <w:style w:type="table" w:styleId="TableGrid">
    <w:name w:val="Table Grid"/>
    <w:basedOn w:val="TableNormal"/>
    <w:uiPriority w:val="59"/>
    <w:rsid w:val="0008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814B9"/>
    <w:pPr>
      <w:ind w:left="720"/>
      <w:contextualSpacing/>
    </w:pPr>
  </w:style>
  <w:style w:type="character" w:styleId="CommentReference">
    <w:name w:val="annotation reference"/>
    <w:basedOn w:val="DefaultParagraphFont"/>
    <w:uiPriority w:val="99"/>
    <w:semiHidden/>
    <w:unhideWhenUsed/>
    <w:rsid w:val="00CA185E"/>
    <w:rPr>
      <w:sz w:val="16"/>
      <w:szCs w:val="16"/>
    </w:rPr>
  </w:style>
  <w:style w:type="paragraph" w:styleId="CommentText">
    <w:name w:val="annotation text"/>
    <w:basedOn w:val="Normal"/>
    <w:link w:val="CommentTextChar"/>
    <w:uiPriority w:val="99"/>
    <w:unhideWhenUsed/>
    <w:rsid w:val="00CA185E"/>
    <w:pPr>
      <w:spacing w:line="240" w:lineRule="auto"/>
    </w:pPr>
    <w:rPr>
      <w:sz w:val="20"/>
      <w:szCs w:val="20"/>
    </w:rPr>
  </w:style>
  <w:style w:type="character" w:customStyle="1" w:styleId="CommentTextChar">
    <w:name w:val="Comment Text Char"/>
    <w:basedOn w:val="DefaultParagraphFont"/>
    <w:link w:val="CommentText"/>
    <w:uiPriority w:val="99"/>
    <w:rsid w:val="00CA185E"/>
    <w:rPr>
      <w:sz w:val="20"/>
      <w:szCs w:val="20"/>
    </w:rPr>
  </w:style>
  <w:style w:type="paragraph" w:styleId="CommentSubject">
    <w:name w:val="annotation subject"/>
    <w:basedOn w:val="CommentText"/>
    <w:next w:val="CommentText"/>
    <w:link w:val="CommentSubjectChar"/>
    <w:uiPriority w:val="99"/>
    <w:semiHidden/>
    <w:unhideWhenUsed/>
    <w:rsid w:val="00CA185E"/>
    <w:rPr>
      <w:b/>
      <w:bCs/>
    </w:rPr>
  </w:style>
  <w:style w:type="character" w:customStyle="1" w:styleId="CommentSubjectChar">
    <w:name w:val="Comment Subject Char"/>
    <w:basedOn w:val="CommentTextChar"/>
    <w:link w:val="CommentSubject"/>
    <w:uiPriority w:val="99"/>
    <w:semiHidden/>
    <w:rsid w:val="00CA185E"/>
    <w:rPr>
      <w:b/>
      <w:bCs/>
      <w:sz w:val="20"/>
      <w:szCs w:val="20"/>
    </w:rPr>
  </w:style>
  <w:style w:type="paragraph" w:styleId="BalloonText">
    <w:name w:val="Balloon Text"/>
    <w:basedOn w:val="Normal"/>
    <w:link w:val="BalloonTextChar"/>
    <w:uiPriority w:val="99"/>
    <w:semiHidden/>
    <w:unhideWhenUsed/>
    <w:rsid w:val="00CA18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85E"/>
    <w:rPr>
      <w:rFonts w:ascii="Tahoma" w:hAnsi="Tahoma" w:cs="Tahoma"/>
      <w:sz w:val="16"/>
      <w:szCs w:val="16"/>
    </w:rPr>
  </w:style>
  <w:style w:type="character" w:styleId="Hyperlink">
    <w:name w:val="Hyperlink"/>
    <w:basedOn w:val="DefaultParagraphFont"/>
    <w:uiPriority w:val="99"/>
    <w:unhideWhenUsed/>
    <w:rsid w:val="00716674"/>
    <w:rPr>
      <w:color w:val="0000FF"/>
      <w:u w:val="single"/>
    </w:rPr>
  </w:style>
  <w:style w:type="paragraph" w:customStyle="1" w:styleId="Default">
    <w:name w:val="Default"/>
    <w:rsid w:val="00C11D79"/>
    <w:pPr>
      <w:autoSpaceDE w:val="0"/>
      <w:autoSpaceDN w:val="0"/>
      <w:adjustRightInd w:val="0"/>
      <w:spacing w:after="0" w:line="240" w:lineRule="auto"/>
    </w:pPr>
    <w:rPr>
      <w:rFonts w:ascii="Calibri" w:eastAsia="Calibri" w:hAnsi="Calibri" w:cs="Calibri"/>
      <w:color w:val="000000"/>
      <w:sz w:val="24"/>
      <w:szCs w:val="24"/>
      <w:lang w:val="en-US"/>
    </w:rPr>
  </w:style>
  <w:style w:type="character" w:styleId="FootnoteReference">
    <w:name w:val="footnote reference"/>
    <w:semiHidden/>
    <w:rsid w:val="00C97A6B"/>
    <w:rPr>
      <w:spacing w:val="-5"/>
      <w:w w:val="130"/>
      <w:position w:val="-4"/>
      <w:vertAlign w:val="superscript"/>
    </w:rPr>
  </w:style>
  <w:style w:type="paragraph" w:styleId="FootnoteText">
    <w:name w:val="footnote text"/>
    <w:basedOn w:val="Normal"/>
    <w:link w:val="FootnoteTextChar"/>
    <w:semiHidden/>
    <w:rsid w:val="00C97A6B"/>
    <w:pPr>
      <w:widowControl w:val="0"/>
      <w:tabs>
        <w:tab w:val="right" w:pos="418"/>
      </w:tabs>
      <w:suppressAutoHyphens/>
      <w:spacing w:line="210" w:lineRule="exact"/>
      <w:ind w:left="475" w:hanging="475"/>
      <w:jc w:val="both"/>
    </w:pPr>
    <w:rPr>
      <w:rFonts w:eastAsia="SimSun" w:cs="Times New Roman"/>
      <w:spacing w:val="5"/>
      <w:w w:val="104"/>
      <w:kern w:val="14"/>
      <w:sz w:val="17"/>
      <w:szCs w:val="20"/>
      <w:lang w:eastAsia="zh-CN"/>
    </w:rPr>
  </w:style>
  <w:style w:type="character" w:customStyle="1" w:styleId="FootnoteTextChar">
    <w:name w:val="Footnote Text Char"/>
    <w:basedOn w:val="DefaultParagraphFont"/>
    <w:link w:val="FootnoteText"/>
    <w:semiHidden/>
    <w:rsid w:val="00C97A6B"/>
    <w:rPr>
      <w:rFonts w:eastAsia="SimSun" w:cs="Times New Roman"/>
      <w:spacing w:val="5"/>
      <w:w w:val="104"/>
      <w:kern w:val="14"/>
      <w:sz w:val="17"/>
      <w:szCs w:val="20"/>
      <w:lang w:eastAsia="zh-CN"/>
    </w:rPr>
  </w:style>
  <w:style w:type="character" w:customStyle="1" w:styleId="ListParagraphChar">
    <w:name w:val="List Paragraph Char"/>
    <w:link w:val="ListParagraph"/>
    <w:uiPriority w:val="34"/>
    <w:locked/>
    <w:rsid w:val="0013343C"/>
  </w:style>
  <w:style w:type="character" w:styleId="Strong">
    <w:name w:val="Strong"/>
    <w:basedOn w:val="DefaultParagraphFont"/>
    <w:uiPriority w:val="22"/>
    <w:qFormat/>
    <w:rsid w:val="00B407A4"/>
    <w:rPr>
      <w:b/>
      <w:bCs/>
    </w:rPr>
  </w:style>
  <w:style w:type="character" w:customStyle="1" w:styleId="apple-converted-space">
    <w:name w:val="apple-converted-space"/>
    <w:basedOn w:val="DefaultParagraphFont"/>
    <w:rsid w:val="00B407A4"/>
  </w:style>
  <w:style w:type="paragraph" w:styleId="NormalWeb">
    <w:name w:val="Normal (Web)"/>
    <w:basedOn w:val="Normal"/>
    <w:uiPriority w:val="99"/>
    <w:unhideWhenUsed/>
    <w:rsid w:val="00B407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9617">
      <w:bodyDiv w:val="1"/>
      <w:marLeft w:val="0"/>
      <w:marRight w:val="0"/>
      <w:marTop w:val="0"/>
      <w:marBottom w:val="0"/>
      <w:divBdr>
        <w:top w:val="none" w:sz="0" w:space="0" w:color="auto"/>
        <w:left w:val="none" w:sz="0" w:space="0" w:color="auto"/>
        <w:bottom w:val="none" w:sz="0" w:space="0" w:color="auto"/>
        <w:right w:val="none" w:sz="0" w:space="0" w:color="auto"/>
      </w:divBdr>
    </w:div>
    <w:div w:id="714042416">
      <w:bodyDiv w:val="1"/>
      <w:marLeft w:val="0"/>
      <w:marRight w:val="0"/>
      <w:marTop w:val="0"/>
      <w:marBottom w:val="0"/>
      <w:divBdr>
        <w:top w:val="none" w:sz="0" w:space="0" w:color="auto"/>
        <w:left w:val="none" w:sz="0" w:space="0" w:color="auto"/>
        <w:bottom w:val="none" w:sz="0" w:space="0" w:color="auto"/>
        <w:right w:val="none" w:sz="0" w:space="0" w:color="auto"/>
      </w:divBdr>
      <w:divsChild>
        <w:div w:id="112360765">
          <w:marLeft w:val="720"/>
          <w:marRight w:val="0"/>
          <w:marTop w:val="0"/>
          <w:marBottom w:val="240"/>
          <w:divBdr>
            <w:top w:val="none" w:sz="0" w:space="0" w:color="auto"/>
            <w:left w:val="none" w:sz="0" w:space="0" w:color="auto"/>
            <w:bottom w:val="none" w:sz="0" w:space="0" w:color="auto"/>
            <w:right w:val="none" w:sz="0" w:space="0" w:color="auto"/>
          </w:divBdr>
        </w:div>
        <w:div w:id="886599820">
          <w:marLeft w:val="360"/>
          <w:marRight w:val="0"/>
          <w:marTop w:val="0"/>
          <w:marBottom w:val="240"/>
          <w:divBdr>
            <w:top w:val="none" w:sz="0" w:space="0" w:color="auto"/>
            <w:left w:val="none" w:sz="0" w:space="0" w:color="auto"/>
            <w:bottom w:val="none" w:sz="0" w:space="0" w:color="auto"/>
            <w:right w:val="none" w:sz="0" w:space="0" w:color="auto"/>
          </w:divBdr>
        </w:div>
        <w:div w:id="1099181340">
          <w:marLeft w:val="720"/>
          <w:marRight w:val="0"/>
          <w:marTop w:val="0"/>
          <w:marBottom w:val="240"/>
          <w:divBdr>
            <w:top w:val="none" w:sz="0" w:space="0" w:color="auto"/>
            <w:left w:val="none" w:sz="0" w:space="0" w:color="auto"/>
            <w:bottom w:val="none" w:sz="0" w:space="0" w:color="auto"/>
            <w:right w:val="none" w:sz="0" w:space="0" w:color="auto"/>
          </w:divBdr>
        </w:div>
        <w:div w:id="1353992769">
          <w:marLeft w:val="720"/>
          <w:marRight w:val="0"/>
          <w:marTop w:val="0"/>
          <w:marBottom w:val="240"/>
          <w:divBdr>
            <w:top w:val="none" w:sz="0" w:space="0" w:color="auto"/>
            <w:left w:val="none" w:sz="0" w:space="0" w:color="auto"/>
            <w:bottom w:val="none" w:sz="0" w:space="0" w:color="auto"/>
            <w:right w:val="none" w:sz="0" w:space="0" w:color="auto"/>
          </w:divBdr>
        </w:div>
        <w:div w:id="1414469390">
          <w:marLeft w:val="720"/>
          <w:marRight w:val="0"/>
          <w:marTop w:val="0"/>
          <w:marBottom w:val="240"/>
          <w:divBdr>
            <w:top w:val="none" w:sz="0" w:space="0" w:color="auto"/>
            <w:left w:val="none" w:sz="0" w:space="0" w:color="auto"/>
            <w:bottom w:val="none" w:sz="0" w:space="0" w:color="auto"/>
            <w:right w:val="none" w:sz="0" w:space="0" w:color="auto"/>
          </w:divBdr>
        </w:div>
        <w:div w:id="1631934604">
          <w:marLeft w:val="720"/>
          <w:marRight w:val="0"/>
          <w:marTop w:val="0"/>
          <w:marBottom w:val="240"/>
          <w:divBdr>
            <w:top w:val="none" w:sz="0" w:space="0" w:color="auto"/>
            <w:left w:val="none" w:sz="0" w:space="0" w:color="auto"/>
            <w:bottom w:val="none" w:sz="0" w:space="0" w:color="auto"/>
            <w:right w:val="none" w:sz="0" w:space="0" w:color="auto"/>
          </w:divBdr>
        </w:div>
      </w:divsChild>
    </w:div>
    <w:div w:id="15004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C46E0-AFDA-487C-BB9E-8537147D6825}"/>
</file>

<file path=customXml/itemProps2.xml><?xml version="1.0" encoding="utf-8"?>
<ds:datastoreItem xmlns:ds="http://schemas.openxmlformats.org/officeDocument/2006/customXml" ds:itemID="{B17DD4FC-663E-4B91-B669-DB49C06557C3}"/>
</file>

<file path=customXml/itemProps3.xml><?xml version="1.0" encoding="utf-8"?>
<ds:datastoreItem xmlns:ds="http://schemas.openxmlformats.org/officeDocument/2006/customXml" ds:itemID="{E64CCED3-4274-46D6-80DF-7CAEBEF1764A}"/>
</file>

<file path=customXml/itemProps4.xml><?xml version="1.0" encoding="utf-8"?>
<ds:datastoreItem xmlns:ds="http://schemas.openxmlformats.org/officeDocument/2006/customXml" ds:itemID="{49C19396-124A-440C-9CB1-FA70983DB960}"/>
</file>

<file path=docProps/app.xml><?xml version="1.0" encoding="utf-8"?>
<Properties xmlns="http://schemas.openxmlformats.org/officeDocument/2006/extended-properties" xmlns:vt="http://schemas.openxmlformats.org/officeDocument/2006/docPropsVTypes">
  <Template>Normal.dotm</Template>
  <TotalTime>0</TotalTime>
  <Pages>7</Pages>
  <Words>2656</Words>
  <Characters>15144</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Brautigam</dc:creator>
  <cp:keywords/>
  <dc:description/>
  <cp:lastModifiedBy>Fleche Isabelle</cp:lastModifiedBy>
  <cp:revision>3</cp:revision>
  <dcterms:created xsi:type="dcterms:W3CDTF">2016-11-18T22:07:00Z</dcterms:created>
  <dcterms:modified xsi:type="dcterms:W3CDTF">2016-12-05T11:10:00Z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3904700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