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5FDF" w:rsidRDefault="009C40BE" w:rsidP="00084D08">
      <w:pPr>
        <w:spacing w:after="0" w:line="240" w:lineRule="auto"/>
        <w:contextualSpacing/>
        <w:jc w:val="center"/>
        <w:rPr>
          <w:rFonts w:asciiTheme="majorHAnsi" w:hAnsiTheme="majorHAnsi"/>
          <w:noProof/>
          <w:sz w:val="28"/>
          <w:szCs w:val="28"/>
          <w:lang w:eastAsia="en-GB"/>
        </w:rPr>
      </w:pPr>
      <w:r>
        <w:rPr>
          <w:rFonts w:asciiTheme="majorHAnsi" w:hAnsiTheme="majorHAnsi"/>
          <w:noProof/>
          <w:sz w:val="28"/>
          <w:szCs w:val="28"/>
          <w:lang w:eastAsia="en-GB"/>
        </w:rPr>
        <mc:AlternateContent>
          <mc:Choice Requires="wps">
            <w:drawing>
              <wp:anchor distT="0" distB="0" distL="114300" distR="114300" simplePos="0" relativeHeight="251669504" behindDoc="0" locked="0" layoutInCell="1" allowOverlap="1" wp14:anchorId="7734B89B" wp14:editId="3C9AFD88">
                <wp:simplePos x="0" y="0"/>
                <wp:positionH relativeFrom="column">
                  <wp:posOffset>4935626</wp:posOffset>
                </wp:positionH>
                <wp:positionV relativeFrom="paragraph">
                  <wp:posOffset>238760</wp:posOffset>
                </wp:positionV>
                <wp:extent cx="1600200" cy="32258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1600200" cy="322580"/>
                        </a:xfrm>
                        <a:prstGeom prst="rect">
                          <a:avLst/>
                        </a:prstGeom>
                        <a:solidFill>
                          <a:srgbClr val="235591"/>
                        </a:solidFill>
                        <a:ln w="6350">
                          <a:solidFill>
                            <a:srgbClr val="235591"/>
                          </a:solidFill>
                        </a:ln>
                        <a:effectLst/>
                      </wps:spPr>
                      <wps:txbx>
                        <w:txbxContent>
                          <w:p w:rsidR="009C40BE" w:rsidRPr="00E3071B" w:rsidRDefault="00E3071B" w:rsidP="009C40BE">
                            <w:pPr>
                              <w:spacing w:line="240" w:lineRule="auto"/>
                              <w:jc w:val="center"/>
                              <w:rPr>
                                <w:color w:val="FFFFFF" w:themeColor="background1"/>
                                <w:sz w:val="24"/>
                                <w:szCs w:val="24"/>
                                <w:lang w:val="en-US"/>
                              </w:rPr>
                            </w:pPr>
                            <w:r>
                              <w:rPr>
                                <w:b/>
                                <w:color w:val="FFFFFF" w:themeColor="background1"/>
                                <w:sz w:val="24"/>
                                <w:szCs w:val="24"/>
                                <w:lang w:val="en-US"/>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4B89B" id="_x0000_t202" coordsize="21600,21600" o:spt="202" path="m,l,21600r21600,l21600,xe">
                <v:stroke joinstyle="miter"/>
                <v:path gradientshapeok="t" o:connecttype="rect"/>
              </v:shapetype>
              <v:shape id="Text Box 2" o:spid="_x0000_s1026" type="#_x0000_t202" style="position:absolute;left:0;text-align:left;margin-left:388.65pt;margin-top:18.8pt;width:126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" fillcolor="#235591" strokecolor="#235591" strokeweight=".5pt">
                <v:textbox>
                  <w:txbxContent>
                    <w:p w:rsidR="009C40BE" w:rsidRPr="00E3071B" w:rsidRDefault="00E3071B" w:rsidP="009C40BE">
                      <w:pPr>
                        <w:spacing w:line="240" w:lineRule="auto"/>
                        <w:jc w:val="center"/>
                        <w:rPr>
                          <w:color w:val="FFFFFF" w:themeColor="background1"/>
                          <w:sz w:val="24"/>
                          <w:szCs w:val="24"/>
                          <w:lang w:val="en-US"/>
                        </w:rPr>
                      </w:pPr>
                      <w:r>
                        <w:rPr>
                          <w:b/>
                          <w:color w:val="FFFFFF" w:themeColor="background1"/>
                          <w:sz w:val="24"/>
                          <w:szCs w:val="24"/>
                          <w:lang w:val="en-US"/>
                        </w:rPr>
                        <w:t>June 2017</w:t>
                      </w:r>
                    </w:p>
                  </w:txbxContent>
                </v:textbox>
              </v:shape>
            </w:pict>
          </mc:Fallback>
        </mc:AlternateContent>
      </w:r>
      <w:r w:rsidR="009F5FDF">
        <w:rPr>
          <w:rFonts w:asciiTheme="majorHAnsi" w:hAnsiTheme="majorHAnsi"/>
          <w:noProof/>
          <w:sz w:val="28"/>
          <w:szCs w:val="28"/>
          <w:lang w:eastAsia="en-GB"/>
        </w:rPr>
        <mc:AlternateContent>
          <mc:Choice Requires="wps">
            <w:drawing>
              <wp:anchor distT="0" distB="0" distL="114300" distR="114300" simplePos="0" relativeHeight="251667456" behindDoc="0" locked="0" layoutInCell="1" allowOverlap="1" wp14:anchorId="390E7175" wp14:editId="7A235E08">
                <wp:simplePos x="0" y="0"/>
                <wp:positionH relativeFrom="column">
                  <wp:posOffset>-789940</wp:posOffset>
                </wp:positionH>
                <wp:positionV relativeFrom="paragraph">
                  <wp:posOffset>209550</wp:posOffset>
                </wp:positionV>
                <wp:extent cx="1600200" cy="3225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1600200" cy="322580"/>
                        </a:xfrm>
                        <a:prstGeom prst="rect">
                          <a:avLst/>
                        </a:prstGeom>
                        <a:solidFill>
                          <a:srgbClr val="235591"/>
                        </a:solidFill>
                        <a:ln w="6350">
                          <a:solidFill>
                            <a:srgbClr val="235591"/>
                          </a:solidFill>
                        </a:ln>
                        <a:effectLst/>
                      </wps:spPr>
                      <wps:style>
                        <a:lnRef idx="0">
                          <a:schemeClr val="accent1"/>
                        </a:lnRef>
                        <a:fillRef idx="0">
                          <a:schemeClr val="accent1"/>
                        </a:fillRef>
                        <a:effectRef idx="0">
                          <a:schemeClr val="accent1"/>
                        </a:effectRef>
                        <a:fontRef idx="minor">
                          <a:schemeClr val="dk1"/>
                        </a:fontRef>
                      </wps:style>
                      <wps:txbx>
                        <w:txbxContent>
                          <w:p w:rsidR="00241493" w:rsidRPr="000E5635" w:rsidRDefault="005F59E5" w:rsidP="00343C47">
                            <w:pPr>
                              <w:spacing w:line="240" w:lineRule="auto"/>
                              <w:jc w:val="center"/>
                              <w:rPr>
                                <w:color w:val="FFFFFF" w:themeColor="background1"/>
                                <w:sz w:val="24"/>
                                <w:szCs w:val="24"/>
                              </w:rPr>
                            </w:pPr>
                            <w:r w:rsidRPr="000E5635">
                              <w:rPr>
                                <w:b/>
                                <w:color w:val="FFFFFF" w:themeColor="background1"/>
                                <w:sz w:val="24"/>
                                <w:szCs w:val="24"/>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E7175" id="Text Box 7" o:spid="_x0000_s1027" type="#_x0000_t202" style="position:absolute;left:0;text-align:left;margin-left:-62.2pt;margin-top:16.5pt;width:126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" fillcolor="#235591" strokecolor="#235591" strokeweight=".5pt">
                <v:textbox>
                  <w:txbxContent>
                    <w:p w:rsidR="00241493" w:rsidRPr="000E5635" w:rsidRDefault="005F59E5" w:rsidP="00343C47">
                      <w:pPr>
                        <w:spacing w:line="240" w:lineRule="auto"/>
                        <w:jc w:val="center"/>
                        <w:rPr>
                          <w:color w:val="FFFFFF" w:themeColor="background1"/>
                          <w:sz w:val="24"/>
                          <w:szCs w:val="24"/>
                        </w:rPr>
                      </w:pPr>
                      <w:r w:rsidRPr="000E5635">
                        <w:rPr>
                          <w:b/>
                          <w:color w:val="FFFFFF" w:themeColor="background1"/>
                          <w:sz w:val="24"/>
                          <w:szCs w:val="24"/>
                        </w:rPr>
                        <w:t>REPORT</w:t>
                      </w:r>
                    </w:p>
                  </w:txbxContent>
                </v:textbox>
              </v:shape>
            </w:pict>
          </mc:Fallback>
        </mc:AlternateContent>
      </w:r>
    </w:p>
    <w:p w:rsidR="009C40BE" w:rsidRPr="00241493" w:rsidRDefault="009C40BE" w:rsidP="00084D08">
      <w:pPr>
        <w:spacing w:after="0" w:line="240" w:lineRule="auto"/>
        <w:contextualSpacing/>
        <w:jc w:val="center"/>
        <w:rPr>
          <w:color w:val="FFFFFF" w:themeColor="background1"/>
          <w:sz w:val="24"/>
          <w:szCs w:val="24"/>
        </w:rPr>
      </w:pPr>
      <w:r>
        <w:rPr>
          <w:rFonts w:ascii="Roboto Condensed" w:hAnsi="Roboto Condensed"/>
          <w:b/>
          <w:color w:val="FFFFFF" w:themeColor="background1"/>
          <w:sz w:val="24"/>
          <w:szCs w:val="24"/>
        </w:rPr>
        <w:t>REPORT</w:t>
      </w:r>
    </w:p>
    <w:p w:rsidR="007555F3" w:rsidRDefault="007555F3" w:rsidP="00084D08">
      <w:pPr>
        <w:spacing w:after="0" w:line="240" w:lineRule="auto"/>
        <w:contextualSpacing/>
        <w:jc w:val="center"/>
        <w:rPr>
          <w:rFonts w:ascii="Roboto Condensed" w:eastAsiaTheme="majorEastAsia" w:hAnsi="Roboto Condensed" w:cstheme="majorBidi"/>
          <w:b/>
          <w:bCs/>
          <w:noProof/>
          <w:color w:val="365F91" w:themeColor="accent1" w:themeShade="BF"/>
          <w:sz w:val="40"/>
          <w:szCs w:val="28"/>
          <w:lang w:eastAsia="en-GB"/>
        </w:rPr>
      </w:pPr>
    </w:p>
    <w:p w:rsidR="00303724" w:rsidRPr="000E5635" w:rsidRDefault="007555F3" w:rsidP="00303724">
      <w:pPr>
        <w:pStyle w:val="Heading1"/>
        <w:spacing w:before="0" w:after="100" w:afterAutospacing="1" w:line="240" w:lineRule="auto"/>
        <w:contextualSpacing/>
        <w:jc w:val="center"/>
        <w:rPr>
          <w:rFonts w:asciiTheme="minorHAnsi" w:hAnsiTheme="minorHAnsi"/>
          <w:noProof/>
          <w:lang w:eastAsia="en-GB"/>
        </w:rPr>
      </w:pPr>
      <w:bookmarkStart w:id="1" w:name="_Toc440035233"/>
      <w:bookmarkStart w:id="2" w:name="_Toc444099685"/>
      <w:bookmarkStart w:id="3" w:name="_Toc444532031"/>
      <w:bookmarkStart w:id="4" w:name="_Toc486226558"/>
      <w:bookmarkStart w:id="5" w:name="_Toc444070714"/>
      <w:r w:rsidRPr="000E5635">
        <w:rPr>
          <w:rFonts w:asciiTheme="minorHAnsi" w:hAnsiTheme="minorHAnsi"/>
          <w:noProof/>
          <w:lang w:eastAsia="en-GB"/>
        </w:rPr>
        <w:t xml:space="preserve">EASPD </w:t>
      </w:r>
      <w:bookmarkEnd w:id="1"/>
      <w:r w:rsidR="006D3D40" w:rsidRPr="000E5635">
        <w:rPr>
          <w:rFonts w:asciiTheme="minorHAnsi" w:hAnsiTheme="minorHAnsi"/>
          <w:noProof/>
          <w:lang w:eastAsia="en-GB"/>
        </w:rPr>
        <w:t xml:space="preserve">CONTRIBUTION TO </w:t>
      </w:r>
      <w:r w:rsidR="00303724" w:rsidRPr="000E5635">
        <w:rPr>
          <w:rFonts w:asciiTheme="minorHAnsi" w:hAnsiTheme="minorHAnsi"/>
          <w:noProof/>
          <w:lang w:eastAsia="en-GB"/>
        </w:rPr>
        <w:t>THE</w:t>
      </w:r>
      <w:bookmarkEnd w:id="2"/>
      <w:bookmarkEnd w:id="3"/>
      <w:bookmarkEnd w:id="4"/>
      <w:r w:rsidR="00303724" w:rsidRPr="000E5635">
        <w:rPr>
          <w:rFonts w:asciiTheme="minorHAnsi" w:hAnsiTheme="minorHAnsi"/>
          <w:noProof/>
          <w:lang w:eastAsia="en-GB"/>
        </w:rPr>
        <w:t xml:space="preserve"> </w:t>
      </w:r>
    </w:p>
    <w:p w:rsidR="008A5C85" w:rsidRPr="000E5635" w:rsidRDefault="00E3071B" w:rsidP="00303724">
      <w:pPr>
        <w:pStyle w:val="Heading1"/>
        <w:spacing w:before="0" w:after="100" w:afterAutospacing="1" w:line="240" w:lineRule="auto"/>
        <w:contextualSpacing/>
        <w:jc w:val="center"/>
        <w:rPr>
          <w:rFonts w:asciiTheme="minorHAnsi" w:hAnsiTheme="minorHAnsi"/>
          <w:noProof/>
          <w:lang w:eastAsia="en-GB"/>
        </w:rPr>
      </w:pPr>
      <w:bookmarkStart w:id="6" w:name="_Toc444099686"/>
      <w:bookmarkStart w:id="7" w:name="_Toc444532032"/>
      <w:bookmarkStart w:id="8" w:name="_Toc486226559"/>
      <w:r>
        <w:rPr>
          <w:rFonts w:asciiTheme="minorHAnsi" w:hAnsiTheme="minorHAnsi"/>
          <w:noProof/>
          <w:lang w:eastAsia="en-GB"/>
        </w:rPr>
        <w:t>DRAFT</w:t>
      </w:r>
      <w:r w:rsidR="006D3D40" w:rsidRPr="000E5635">
        <w:rPr>
          <w:rFonts w:asciiTheme="minorHAnsi" w:hAnsiTheme="minorHAnsi"/>
          <w:noProof/>
          <w:lang w:eastAsia="en-GB"/>
        </w:rPr>
        <w:t xml:space="preserve"> GENERAL </w:t>
      </w:r>
      <w:r>
        <w:rPr>
          <w:rFonts w:asciiTheme="minorHAnsi" w:hAnsiTheme="minorHAnsi"/>
          <w:noProof/>
          <w:lang w:eastAsia="en-GB"/>
        </w:rPr>
        <w:t>COMMENT</w:t>
      </w:r>
      <w:r w:rsidR="006D3D40" w:rsidRPr="000E5635">
        <w:rPr>
          <w:rFonts w:asciiTheme="minorHAnsi" w:hAnsiTheme="minorHAnsi"/>
          <w:noProof/>
          <w:lang w:eastAsia="en-GB"/>
        </w:rPr>
        <w:t xml:space="preserve"> ON ARTICLE 19 UNCRPD</w:t>
      </w:r>
      <w:bookmarkEnd w:id="5"/>
      <w:bookmarkEnd w:id="6"/>
      <w:bookmarkEnd w:id="7"/>
      <w:bookmarkEnd w:id="8"/>
    </w:p>
    <w:p w:rsidR="008A5C85" w:rsidRPr="000E5635" w:rsidRDefault="008A5C85" w:rsidP="00720289">
      <w:pPr>
        <w:spacing w:after="0" w:line="240" w:lineRule="auto"/>
        <w:contextualSpacing/>
        <w:rPr>
          <w:sz w:val="20"/>
          <w:szCs w:val="20"/>
        </w:rPr>
      </w:pPr>
    </w:p>
    <w:sdt>
      <w:sdtPr>
        <w:rPr>
          <w:rFonts w:asciiTheme="minorHAnsi" w:eastAsiaTheme="minorEastAsia" w:hAnsiTheme="minorHAnsi" w:cstheme="minorBidi"/>
          <w:b w:val="0"/>
          <w:bCs w:val="0"/>
          <w:color w:val="auto"/>
          <w:sz w:val="20"/>
          <w:szCs w:val="20"/>
          <w:lang w:val="en-GB" w:eastAsia="fr-BE"/>
        </w:rPr>
        <w:id w:val="-376012294"/>
        <w:docPartObj>
          <w:docPartGallery w:val="Table of Contents"/>
          <w:docPartUnique/>
        </w:docPartObj>
      </w:sdtPr>
      <w:sdtEndPr>
        <w:rPr>
          <w:noProof/>
          <w:sz w:val="22"/>
          <w:szCs w:val="22"/>
        </w:rPr>
      </w:sdtEndPr>
      <w:sdtContent>
        <w:p w:rsidR="00872A91" w:rsidRPr="000E5635" w:rsidRDefault="00872A91" w:rsidP="00720289">
          <w:pPr>
            <w:pStyle w:val="TOCHeading"/>
            <w:spacing w:before="0" w:line="240" w:lineRule="auto"/>
            <w:contextualSpacing/>
            <w:rPr>
              <w:rFonts w:asciiTheme="minorHAnsi" w:hAnsiTheme="minorHAnsi"/>
              <w:sz w:val="24"/>
              <w:szCs w:val="20"/>
            </w:rPr>
          </w:pPr>
          <w:r w:rsidRPr="000E5635">
            <w:rPr>
              <w:rFonts w:asciiTheme="minorHAnsi" w:hAnsiTheme="minorHAnsi"/>
              <w:sz w:val="24"/>
              <w:szCs w:val="20"/>
            </w:rPr>
            <w:t>Contents</w:t>
          </w:r>
        </w:p>
        <w:p w:rsidR="00AD762C" w:rsidRDefault="00AD762C">
          <w:pPr>
            <w:pStyle w:val="TOC1"/>
            <w:rPr>
              <w:noProof w:val="0"/>
            </w:rPr>
          </w:pPr>
        </w:p>
        <w:p w:rsidR="00AD762C" w:rsidRPr="00AD762C" w:rsidRDefault="00872A91" w:rsidP="00AD762C">
          <w:pPr>
            <w:pStyle w:val="TOC1"/>
            <w:spacing w:after="0" w:line="240" w:lineRule="auto"/>
            <w:rPr>
              <w:sz w:val="20"/>
              <w:szCs w:val="20"/>
              <w:lang w:val="en-US" w:eastAsia="en-US"/>
            </w:rPr>
          </w:pPr>
          <w:r w:rsidRPr="000E5635">
            <w:rPr>
              <w:noProof w:val="0"/>
            </w:rPr>
            <w:fldChar w:fldCharType="begin"/>
          </w:r>
          <w:r w:rsidRPr="000E5635">
            <w:instrText xml:space="preserve"> TOC \o "1-3" \h \z \u </w:instrText>
          </w:r>
          <w:r w:rsidRPr="000E5635">
            <w:rPr>
              <w:noProof w:val="0"/>
            </w:rPr>
            <w:fldChar w:fldCharType="separate"/>
          </w:r>
          <w:hyperlink w:anchor="_Toc486226560" w:history="1">
            <w:r w:rsidR="00AD762C" w:rsidRPr="00AD762C">
              <w:rPr>
                <w:rStyle w:val="Hyperlink"/>
                <w:sz w:val="20"/>
                <w:szCs w:val="20"/>
              </w:rPr>
              <w:t>Executive Summary</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_Toc486226560 \h </w:instrText>
            </w:r>
            <w:r w:rsidR="00AD762C" w:rsidRPr="00AD762C">
              <w:rPr>
                <w:webHidden/>
                <w:sz w:val="20"/>
                <w:szCs w:val="20"/>
              </w:rPr>
            </w:r>
            <w:r w:rsidR="00AD762C" w:rsidRPr="00AD762C">
              <w:rPr>
                <w:webHidden/>
                <w:sz w:val="20"/>
                <w:szCs w:val="20"/>
              </w:rPr>
              <w:fldChar w:fldCharType="separate"/>
            </w:r>
            <w:r w:rsidR="00176701">
              <w:rPr>
                <w:webHidden/>
                <w:sz w:val="20"/>
                <w:szCs w:val="20"/>
              </w:rPr>
              <w:t>1</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1" w:history="1">
            <w:r w:rsidR="00AD762C" w:rsidRPr="00AD762C">
              <w:rPr>
                <w:rStyle w:val="Hyperlink"/>
                <w:sz w:val="20"/>
                <w:szCs w:val="20"/>
              </w:rPr>
              <w:t>1. Introduction</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_Toc486226561 \h </w:instrText>
            </w:r>
            <w:r w:rsidR="00AD762C" w:rsidRPr="00AD762C">
              <w:rPr>
                <w:webHidden/>
                <w:sz w:val="20"/>
                <w:szCs w:val="20"/>
              </w:rPr>
            </w:r>
            <w:r w:rsidR="00AD762C" w:rsidRPr="00AD762C">
              <w:rPr>
                <w:webHidden/>
                <w:sz w:val="20"/>
                <w:szCs w:val="20"/>
              </w:rPr>
              <w:fldChar w:fldCharType="separate"/>
            </w:r>
            <w:r w:rsidR="00176701">
              <w:rPr>
                <w:webHidden/>
                <w:sz w:val="20"/>
                <w:szCs w:val="20"/>
              </w:rPr>
              <w:t>1</w:t>
            </w:r>
            <w:r w:rsidR="00AD762C" w:rsidRPr="00AD762C">
              <w:rPr>
                <w:webHidden/>
                <w:sz w:val="20"/>
                <w:szCs w:val="20"/>
              </w:rPr>
              <w:fldChar w:fldCharType="end"/>
            </w:r>
          </w:hyperlink>
        </w:p>
        <w:p w:rsidR="00AD762C" w:rsidRPr="00AD762C" w:rsidRDefault="00A447C2" w:rsidP="00AD762C">
          <w:pPr>
            <w:pStyle w:val="TOC1"/>
            <w:tabs>
              <w:tab w:val="left" w:pos="440"/>
            </w:tabs>
            <w:spacing w:after="0" w:line="240" w:lineRule="auto"/>
            <w:rPr>
              <w:sz w:val="20"/>
              <w:szCs w:val="20"/>
              <w:lang w:val="en-US" w:eastAsia="en-US"/>
            </w:rPr>
          </w:pPr>
          <w:hyperlink w:anchor="_Toc486226562" w:history="1">
            <w:r w:rsidR="00AD762C" w:rsidRPr="00AD762C">
              <w:rPr>
                <w:rStyle w:val="Hyperlink"/>
                <w:sz w:val="20"/>
                <w:szCs w:val="20"/>
              </w:rPr>
              <w:t>1.</w:t>
            </w:r>
            <w:r w:rsidR="00AD762C" w:rsidRPr="00AD762C">
              <w:rPr>
                <w:sz w:val="20"/>
                <w:szCs w:val="20"/>
                <w:lang w:val="en-US" w:eastAsia="en-US"/>
              </w:rPr>
              <w:tab/>
            </w:r>
            <w:r w:rsidR="00AD762C" w:rsidRPr="00AD762C">
              <w:rPr>
                <w:rStyle w:val="Hyperlink"/>
                <w:sz w:val="20"/>
                <w:szCs w:val="20"/>
              </w:rPr>
              <w:t>Key issues for support services</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_Toc486226562 \h </w:instrText>
            </w:r>
            <w:r w:rsidR="00AD762C" w:rsidRPr="00AD762C">
              <w:rPr>
                <w:webHidden/>
                <w:sz w:val="20"/>
                <w:szCs w:val="20"/>
              </w:rPr>
            </w:r>
            <w:r w:rsidR="00AD762C" w:rsidRPr="00AD762C">
              <w:rPr>
                <w:webHidden/>
                <w:sz w:val="20"/>
                <w:szCs w:val="20"/>
              </w:rPr>
              <w:fldChar w:fldCharType="separate"/>
            </w:r>
            <w:r w:rsidR="00176701">
              <w:rPr>
                <w:webHidden/>
                <w:sz w:val="20"/>
                <w:szCs w:val="20"/>
              </w:rPr>
              <w:t>2</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3" w:history="1">
            <w:r w:rsidR="00AD762C" w:rsidRPr="00AD762C">
              <w:rPr>
                <w:rStyle w:val="Hyperlink"/>
                <w:sz w:val="20"/>
                <w:szCs w:val="20"/>
              </w:rPr>
              <w:t>2. Comments on Article 19 UN CRPD</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_Toc486226563 \h </w:instrText>
            </w:r>
            <w:r w:rsidR="00AD762C" w:rsidRPr="00AD762C">
              <w:rPr>
                <w:webHidden/>
                <w:sz w:val="20"/>
                <w:szCs w:val="20"/>
              </w:rPr>
            </w:r>
            <w:r w:rsidR="00AD762C" w:rsidRPr="00AD762C">
              <w:rPr>
                <w:webHidden/>
                <w:sz w:val="20"/>
                <w:szCs w:val="20"/>
              </w:rPr>
              <w:fldChar w:fldCharType="separate"/>
            </w:r>
            <w:r w:rsidR="00176701">
              <w:rPr>
                <w:webHidden/>
                <w:sz w:val="20"/>
                <w:szCs w:val="20"/>
              </w:rPr>
              <w:t>3</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4" w:history="1">
            <w:r w:rsidR="00AD762C" w:rsidRPr="00AD762C">
              <w:rPr>
                <w:rStyle w:val="Hyperlink"/>
                <w:sz w:val="20"/>
                <w:szCs w:val="20"/>
              </w:rPr>
              <w:t>3. Specific comments on the paragraphs of the CRPD Draft General Comment</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_Toc486226564 \h </w:instrText>
            </w:r>
            <w:r w:rsidR="00AD762C" w:rsidRPr="00AD762C">
              <w:rPr>
                <w:webHidden/>
                <w:sz w:val="20"/>
                <w:szCs w:val="20"/>
              </w:rPr>
            </w:r>
            <w:r w:rsidR="00AD762C" w:rsidRPr="00AD762C">
              <w:rPr>
                <w:webHidden/>
                <w:sz w:val="20"/>
                <w:szCs w:val="20"/>
              </w:rPr>
              <w:fldChar w:fldCharType="separate"/>
            </w:r>
            <w:r w:rsidR="00176701">
              <w:rPr>
                <w:webHidden/>
                <w:sz w:val="20"/>
                <w:szCs w:val="20"/>
              </w:rPr>
              <w:t>4</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5" w:history="1">
            <w:r w:rsidR="00AD762C" w:rsidRPr="00AD762C">
              <w:rPr>
                <w:rStyle w:val="Hyperlink"/>
                <w:sz w:val="20"/>
                <w:szCs w:val="20"/>
              </w:rPr>
              <w:t>4. Relations with other Articles</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_Toc486226565 \h </w:instrText>
            </w:r>
            <w:r w:rsidR="00AD762C" w:rsidRPr="00AD762C">
              <w:rPr>
                <w:webHidden/>
                <w:sz w:val="20"/>
                <w:szCs w:val="20"/>
              </w:rPr>
            </w:r>
            <w:r w:rsidR="00AD762C" w:rsidRPr="00AD762C">
              <w:rPr>
                <w:webHidden/>
                <w:sz w:val="20"/>
                <w:szCs w:val="20"/>
              </w:rPr>
              <w:fldChar w:fldCharType="separate"/>
            </w:r>
            <w:r w:rsidR="00176701">
              <w:rPr>
                <w:webHidden/>
                <w:sz w:val="20"/>
                <w:szCs w:val="20"/>
              </w:rPr>
              <w:t>5</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6" w:history="1">
            <w:r w:rsidR="00AD762C" w:rsidRPr="00AD762C">
              <w:rPr>
                <w:rStyle w:val="Hyperlink"/>
                <w:sz w:val="20"/>
                <w:szCs w:val="20"/>
              </w:rPr>
              <w:t>Conclusions</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_Toc486226566 \h </w:instrText>
            </w:r>
            <w:r w:rsidR="00AD762C" w:rsidRPr="00AD762C">
              <w:rPr>
                <w:webHidden/>
                <w:sz w:val="20"/>
                <w:szCs w:val="20"/>
              </w:rPr>
            </w:r>
            <w:r w:rsidR="00AD762C" w:rsidRPr="00AD762C">
              <w:rPr>
                <w:webHidden/>
                <w:sz w:val="20"/>
                <w:szCs w:val="20"/>
              </w:rPr>
              <w:fldChar w:fldCharType="separate"/>
            </w:r>
            <w:r w:rsidR="00176701">
              <w:rPr>
                <w:webHidden/>
                <w:sz w:val="20"/>
                <w:szCs w:val="20"/>
              </w:rPr>
              <w:t>5</w:t>
            </w:r>
            <w:r w:rsidR="00AD762C" w:rsidRPr="00AD762C">
              <w:rPr>
                <w:webHidden/>
                <w:sz w:val="20"/>
                <w:szCs w:val="20"/>
              </w:rPr>
              <w:fldChar w:fldCharType="end"/>
            </w:r>
          </w:hyperlink>
        </w:p>
        <w:p w:rsidR="00AD762C" w:rsidRPr="00AD762C" w:rsidRDefault="00A447C2" w:rsidP="00AD762C">
          <w:pPr>
            <w:pStyle w:val="TOC1"/>
            <w:spacing w:after="0" w:line="240" w:lineRule="auto"/>
            <w:rPr>
              <w:sz w:val="20"/>
              <w:szCs w:val="20"/>
              <w:lang w:val="en-US" w:eastAsia="en-US"/>
            </w:rPr>
          </w:pPr>
          <w:hyperlink w:anchor="_Toc486226567" w:history="1">
            <w:r w:rsidR="00AD762C" w:rsidRPr="00AD762C">
              <w:rPr>
                <w:rStyle w:val="Hyperlink"/>
                <w:sz w:val="20"/>
                <w:szCs w:val="20"/>
              </w:rPr>
              <w:t>References</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_Toc486226567 \h </w:instrText>
            </w:r>
            <w:r w:rsidR="00AD762C" w:rsidRPr="00AD762C">
              <w:rPr>
                <w:webHidden/>
                <w:sz w:val="20"/>
                <w:szCs w:val="20"/>
              </w:rPr>
            </w:r>
            <w:r w:rsidR="00AD762C" w:rsidRPr="00AD762C">
              <w:rPr>
                <w:webHidden/>
                <w:sz w:val="20"/>
                <w:szCs w:val="20"/>
              </w:rPr>
              <w:fldChar w:fldCharType="separate"/>
            </w:r>
            <w:r w:rsidR="00176701">
              <w:rPr>
                <w:webHidden/>
                <w:sz w:val="20"/>
                <w:szCs w:val="20"/>
              </w:rPr>
              <w:t>6</w:t>
            </w:r>
            <w:r w:rsidR="00AD762C" w:rsidRPr="00AD762C">
              <w:rPr>
                <w:webHidden/>
                <w:sz w:val="20"/>
                <w:szCs w:val="20"/>
              </w:rPr>
              <w:fldChar w:fldCharType="end"/>
            </w:r>
          </w:hyperlink>
        </w:p>
        <w:p w:rsidR="00AD762C" w:rsidRDefault="00A447C2" w:rsidP="00AD762C">
          <w:pPr>
            <w:pStyle w:val="TOC1"/>
            <w:spacing w:after="0" w:line="240" w:lineRule="auto"/>
            <w:rPr>
              <w:lang w:val="en-US" w:eastAsia="en-US"/>
            </w:rPr>
          </w:pPr>
          <w:hyperlink w:anchor="_Toc486226568" w:history="1">
            <w:r w:rsidR="00AD762C" w:rsidRPr="00AD762C">
              <w:rPr>
                <w:rStyle w:val="Hyperlink"/>
                <w:sz w:val="20"/>
                <w:szCs w:val="20"/>
              </w:rPr>
              <w:t>Contacts</w:t>
            </w:r>
            <w:r w:rsidR="00AD762C" w:rsidRPr="00AD762C">
              <w:rPr>
                <w:webHidden/>
                <w:sz w:val="20"/>
                <w:szCs w:val="20"/>
              </w:rPr>
              <w:tab/>
            </w:r>
            <w:r w:rsidR="00AD762C" w:rsidRPr="00AD762C">
              <w:rPr>
                <w:webHidden/>
                <w:sz w:val="20"/>
                <w:szCs w:val="20"/>
              </w:rPr>
              <w:fldChar w:fldCharType="begin"/>
            </w:r>
            <w:r w:rsidR="00AD762C" w:rsidRPr="00AD762C">
              <w:rPr>
                <w:webHidden/>
                <w:sz w:val="20"/>
                <w:szCs w:val="20"/>
              </w:rPr>
              <w:instrText xml:space="preserve"> PAGEREF _Toc486226568 \h </w:instrText>
            </w:r>
            <w:r w:rsidR="00AD762C" w:rsidRPr="00AD762C">
              <w:rPr>
                <w:webHidden/>
                <w:sz w:val="20"/>
                <w:szCs w:val="20"/>
              </w:rPr>
            </w:r>
            <w:r w:rsidR="00AD762C" w:rsidRPr="00AD762C">
              <w:rPr>
                <w:webHidden/>
                <w:sz w:val="20"/>
                <w:szCs w:val="20"/>
              </w:rPr>
              <w:fldChar w:fldCharType="separate"/>
            </w:r>
            <w:r w:rsidR="00176701">
              <w:rPr>
                <w:webHidden/>
                <w:sz w:val="20"/>
                <w:szCs w:val="20"/>
              </w:rPr>
              <w:t>6</w:t>
            </w:r>
            <w:r w:rsidR="00AD762C" w:rsidRPr="00AD762C">
              <w:rPr>
                <w:webHidden/>
                <w:sz w:val="20"/>
                <w:szCs w:val="20"/>
              </w:rPr>
              <w:fldChar w:fldCharType="end"/>
            </w:r>
          </w:hyperlink>
        </w:p>
        <w:p w:rsidR="00872A91" w:rsidRPr="000E5635" w:rsidRDefault="00872A91" w:rsidP="00720289">
          <w:pPr>
            <w:spacing w:after="0" w:line="240" w:lineRule="auto"/>
            <w:contextualSpacing/>
          </w:pPr>
          <w:r w:rsidRPr="000E5635">
            <w:rPr>
              <w:b/>
              <w:bCs/>
              <w:noProof/>
              <w:sz w:val="20"/>
              <w:szCs w:val="20"/>
            </w:rPr>
            <w:fldChar w:fldCharType="end"/>
          </w:r>
        </w:p>
      </w:sdtContent>
    </w:sdt>
    <w:p w:rsidR="00FB6FB3" w:rsidRPr="000E5635" w:rsidRDefault="006D3D40" w:rsidP="00084D08">
      <w:pPr>
        <w:pStyle w:val="Heading1"/>
        <w:pBdr>
          <w:bottom w:val="single" w:sz="4" w:space="1" w:color="auto"/>
        </w:pBdr>
        <w:spacing w:before="0" w:after="100" w:afterAutospacing="1" w:line="240" w:lineRule="auto"/>
        <w:contextualSpacing/>
        <w:rPr>
          <w:rFonts w:asciiTheme="minorHAnsi" w:hAnsiTheme="minorHAnsi"/>
          <w:sz w:val="24"/>
        </w:rPr>
      </w:pPr>
      <w:bookmarkStart w:id="9" w:name="_Toc486226560"/>
      <w:r w:rsidRPr="000E5635">
        <w:rPr>
          <w:rFonts w:asciiTheme="minorHAnsi" w:hAnsiTheme="minorHAnsi"/>
          <w:sz w:val="24"/>
        </w:rPr>
        <w:t>Executive Summary</w:t>
      </w:r>
      <w:bookmarkEnd w:id="9"/>
    </w:p>
    <w:p w:rsidR="00084D08" w:rsidRPr="000E5635" w:rsidRDefault="00084D08" w:rsidP="00084D08">
      <w:pPr>
        <w:spacing w:after="0" w:line="240" w:lineRule="auto"/>
        <w:contextualSpacing/>
        <w:rPr>
          <w:rFonts w:cs="Arial"/>
          <w:sz w:val="20"/>
          <w:szCs w:val="20"/>
        </w:rPr>
      </w:pPr>
      <w:r w:rsidRPr="000E5635">
        <w:rPr>
          <w:rFonts w:cs="Arial"/>
          <w:sz w:val="20"/>
          <w:szCs w:val="20"/>
        </w:rPr>
        <w:t xml:space="preserve">This report aims at giving EASPD’s inputs to the </w:t>
      </w:r>
      <w:r w:rsidR="00E3071B">
        <w:rPr>
          <w:rFonts w:cs="Arial"/>
          <w:sz w:val="20"/>
          <w:szCs w:val="20"/>
        </w:rPr>
        <w:t xml:space="preserve">CRPD Committee Draft </w:t>
      </w:r>
      <w:r w:rsidRPr="000E5635">
        <w:rPr>
          <w:rFonts w:cs="Arial"/>
          <w:sz w:val="20"/>
          <w:szCs w:val="20"/>
        </w:rPr>
        <w:t xml:space="preserve">General </w:t>
      </w:r>
      <w:r w:rsidR="00E3071B">
        <w:rPr>
          <w:rFonts w:cs="Arial"/>
          <w:sz w:val="20"/>
          <w:szCs w:val="20"/>
        </w:rPr>
        <w:t>Comment</w:t>
      </w:r>
      <w:r w:rsidRPr="000E5635">
        <w:rPr>
          <w:rFonts w:cs="Arial"/>
          <w:sz w:val="20"/>
          <w:szCs w:val="20"/>
        </w:rPr>
        <w:t xml:space="preserve"> on Article 19 </w:t>
      </w:r>
      <w:r w:rsidR="00E3071B">
        <w:rPr>
          <w:rFonts w:cs="Arial"/>
          <w:sz w:val="20"/>
          <w:szCs w:val="20"/>
        </w:rPr>
        <w:t>“Living independently and being included in the community”</w:t>
      </w:r>
      <w:r w:rsidRPr="000E5635">
        <w:rPr>
          <w:rFonts w:cs="Arial"/>
          <w:sz w:val="20"/>
          <w:szCs w:val="20"/>
        </w:rPr>
        <w:t xml:space="preserve">. </w:t>
      </w:r>
    </w:p>
    <w:p w:rsidR="00084D08" w:rsidRPr="000E5635" w:rsidRDefault="00084D08" w:rsidP="00084D08">
      <w:pPr>
        <w:spacing w:after="0" w:line="240" w:lineRule="auto"/>
        <w:contextualSpacing/>
        <w:rPr>
          <w:rFonts w:cs="Arial"/>
          <w:sz w:val="20"/>
          <w:szCs w:val="20"/>
        </w:rPr>
      </w:pPr>
      <w:r w:rsidRPr="000E5635">
        <w:rPr>
          <w:rFonts w:cs="Arial"/>
          <w:sz w:val="20"/>
          <w:szCs w:val="20"/>
        </w:rPr>
        <w:t>EASPD presents the role of suppor</w:t>
      </w:r>
      <w:r w:rsidR="004E5C66" w:rsidRPr="000E5635">
        <w:rPr>
          <w:rFonts w:cs="Arial"/>
          <w:sz w:val="20"/>
          <w:szCs w:val="20"/>
        </w:rPr>
        <w:t>t services in the development and set-</w:t>
      </w:r>
      <w:r w:rsidRPr="000E5635">
        <w:rPr>
          <w:rFonts w:cs="Arial"/>
          <w:sz w:val="20"/>
          <w:szCs w:val="20"/>
        </w:rPr>
        <w:t xml:space="preserve">up of community-based </w:t>
      </w:r>
      <w:r w:rsidR="00506F3D">
        <w:rPr>
          <w:rFonts w:cs="Arial"/>
          <w:sz w:val="20"/>
          <w:szCs w:val="20"/>
        </w:rPr>
        <w:t>living</w:t>
      </w:r>
      <w:r w:rsidR="0041485F" w:rsidRPr="000E5635">
        <w:rPr>
          <w:rFonts w:cs="Arial"/>
          <w:sz w:val="20"/>
          <w:szCs w:val="20"/>
        </w:rPr>
        <w:t xml:space="preserve"> solutions </w:t>
      </w:r>
      <w:r w:rsidR="00E3071B">
        <w:rPr>
          <w:rFonts w:cs="Arial"/>
          <w:sz w:val="20"/>
          <w:szCs w:val="20"/>
        </w:rPr>
        <w:t>for persons with disabilities in the European context, having around 150 member</w:t>
      </w:r>
      <w:r w:rsidR="00AD762C">
        <w:rPr>
          <w:rFonts w:cs="Arial"/>
          <w:sz w:val="20"/>
          <w:szCs w:val="20"/>
        </w:rPr>
        <w:t>-</w:t>
      </w:r>
      <w:r w:rsidR="00E3071B">
        <w:rPr>
          <w:rFonts w:cs="Arial"/>
          <w:sz w:val="20"/>
          <w:szCs w:val="20"/>
        </w:rPr>
        <w:t>organisation within its organisation and representing in total 15.000 social and support providers.</w:t>
      </w:r>
    </w:p>
    <w:p w:rsidR="006D3D40" w:rsidRPr="000E5635" w:rsidRDefault="00990737" w:rsidP="00084D08">
      <w:pPr>
        <w:spacing w:after="0" w:line="240" w:lineRule="auto"/>
        <w:contextualSpacing/>
        <w:rPr>
          <w:rFonts w:eastAsiaTheme="majorEastAsia" w:cstheme="majorBidi"/>
          <w:bCs/>
          <w:sz w:val="20"/>
          <w:szCs w:val="28"/>
        </w:rPr>
      </w:pPr>
      <w:r w:rsidRPr="000E5635">
        <w:rPr>
          <w:rFonts w:eastAsiaTheme="majorEastAsia" w:cstheme="majorBidi"/>
          <w:bCs/>
          <w:sz w:val="20"/>
          <w:szCs w:val="28"/>
        </w:rPr>
        <w:t>Support services</w:t>
      </w:r>
      <w:r w:rsidR="0041485F" w:rsidRPr="000E5635">
        <w:rPr>
          <w:rFonts w:eastAsiaTheme="majorEastAsia" w:cstheme="majorBidi"/>
          <w:bCs/>
          <w:sz w:val="20"/>
          <w:szCs w:val="28"/>
        </w:rPr>
        <w:t xml:space="preserve"> play a key role in the implementation of Article 19; it is therefore essential to have in place strong methodologies to ensure the design, development and delivery of the service is tailored to the individual needs and wishes. EASPD believes one of the ways forward in this regard is represented by the implementation of co-production methodologies whereby users, support services and all relevant stakeholders are meaningfully involved in a cooperative way</w:t>
      </w:r>
      <w:r w:rsidR="008863EF">
        <w:rPr>
          <w:rFonts w:eastAsiaTheme="majorEastAsia" w:cstheme="majorBidi"/>
          <w:bCs/>
          <w:sz w:val="20"/>
          <w:szCs w:val="28"/>
        </w:rPr>
        <w:t>,</w:t>
      </w:r>
      <w:r w:rsidR="0041485F" w:rsidRPr="000E5635">
        <w:rPr>
          <w:rFonts w:eastAsiaTheme="majorEastAsia" w:cstheme="majorBidi"/>
          <w:bCs/>
          <w:sz w:val="20"/>
          <w:szCs w:val="28"/>
        </w:rPr>
        <w:t xml:space="preserve"> leading to </w:t>
      </w:r>
      <w:r w:rsidR="00F531FB" w:rsidRPr="000E5635">
        <w:rPr>
          <w:rFonts w:eastAsiaTheme="majorEastAsia" w:cstheme="majorBidi"/>
          <w:bCs/>
          <w:sz w:val="20"/>
          <w:szCs w:val="28"/>
        </w:rPr>
        <w:t>outcomes that are co-produced.</w:t>
      </w:r>
    </w:p>
    <w:p w:rsidR="00EC2830" w:rsidRPr="000E5635" w:rsidRDefault="00EC2830" w:rsidP="00EC2830"/>
    <w:p w:rsidR="008A5C85" w:rsidRPr="000E5635" w:rsidRDefault="002B2031" w:rsidP="00084D08">
      <w:pPr>
        <w:pStyle w:val="Heading1"/>
        <w:pBdr>
          <w:bottom w:val="single" w:sz="4" w:space="1" w:color="auto"/>
        </w:pBdr>
        <w:spacing w:before="0" w:after="100" w:afterAutospacing="1" w:line="240" w:lineRule="auto"/>
        <w:contextualSpacing/>
        <w:rPr>
          <w:rFonts w:asciiTheme="minorHAnsi" w:hAnsiTheme="minorHAnsi"/>
          <w:sz w:val="24"/>
        </w:rPr>
      </w:pPr>
      <w:bookmarkStart w:id="10" w:name="_Toc486226561"/>
      <w:r w:rsidRPr="000E5635">
        <w:rPr>
          <w:rFonts w:asciiTheme="minorHAnsi" w:hAnsiTheme="minorHAnsi"/>
          <w:sz w:val="24"/>
        </w:rPr>
        <w:t xml:space="preserve">1. </w:t>
      </w:r>
      <w:r w:rsidR="008A5C85" w:rsidRPr="000E5635">
        <w:rPr>
          <w:rFonts w:asciiTheme="minorHAnsi" w:hAnsiTheme="minorHAnsi"/>
          <w:sz w:val="24"/>
        </w:rPr>
        <w:t>Introduction</w:t>
      </w:r>
      <w:bookmarkEnd w:id="10"/>
    </w:p>
    <w:p w:rsidR="008A5C85" w:rsidRPr="000E5635" w:rsidRDefault="003D119F" w:rsidP="00084D08">
      <w:pPr>
        <w:spacing w:after="0" w:line="240" w:lineRule="auto"/>
        <w:contextualSpacing/>
        <w:rPr>
          <w:rFonts w:eastAsiaTheme="majorEastAsia" w:cstheme="majorBidi"/>
          <w:b/>
          <w:bCs/>
          <w:color w:val="365F91" w:themeColor="accent1" w:themeShade="BF"/>
          <w:sz w:val="20"/>
          <w:szCs w:val="20"/>
        </w:rPr>
      </w:pPr>
      <w:r w:rsidRPr="000E5635">
        <w:rPr>
          <w:rFonts w:eastAsiaTheme="majorEastAsia" w:cstheme="majorBidi"/>
          <w:b/>
          <w:bCs/>
          <w:color w:val="365F91" w:themeColor="accent1" w:themeShade="BF"/>
          <w:sz w:val="20"/>
          <w:szCs w:val="20"/>
        </w:rPr>
        <w:t xml:space="preserve">Who is </w:t>
      </w:r>
      <w:r w:rsidR="008A5C85" w:rsidRPr="000E5635">
        <w:rPr>
          <w:rFonts w:eastAsiaTheme="majorEastAsia" w:cstheme="majorBidi"/>
          <w:b/>
          <w:bCs/>
          <w:color w:val="365F91" w:themeColor="accent1" w:themeShade="BF"/>
          <w:sz w:val="20"/>
          <w:szCs w:val="20"/>
        </w:rPr>
        <w:t>EASPD</w:t>
      </w:r>
    </w:p>
    <w:p w:rsidR="008A5C85" w:rsidRPr="000E5635" w:rsidRDefault="00A447C2" w:rsidP="00084D08">
      <w:pPr>
        <w:spacing w:after="0" w:line="240" w:lineRule="auto"/>
        <w:contextualSpacing/>
        <w:rPr>
          <w:rFonts w:cs="Arial"/>
          <w:sz w:val="20"/>
          <w:szCs w:val="20"/>
        </w:rPr>
      </w:pPr>
      <w:hyperlink r:id="rId9" w:history="1">
        <w:r w:rsidR="008A5C85" w:rsidRPr="000E5635">
          <w:rPr>
            <w:rStyle w:val="Hyperlink"/>
            <w:rFonts w:cs="Arial"/>
            <w:sz w:val="20"/>
            <w:szCs w:val="20"/>
          </w:rPr>
          <w:t>EASPD</w:t>
        </w:r>
      </w:hyperlink>
      <w:r w:rsidR="008A5C85" w:rsidRPr="000E5635">
        <w:rPr>
          <w:rFonts w:cs="Arial"/>
          <w:sz w:val="20"/>
          <w:szCs w:val="20"/>
        </w:rPr>
        <w:t xml:space="preserve"> (European Association of Service providers for Persons with Disabilities) is a European NGO network representing 1</w:t>
      </w:r>
      <w:r w:rsidR="00E3071B">
        <w:rPr>
          <w:rFonts w:cs="Arial"/>
          <w:sz w:val="20"/>
          <w:szCs w:val="20"/>
        </w:rPr>
        <w:t>5</w:t>
      </w:r>
      <w:r w:rsidR="008A5C85" w:rsidRPr="000E5635">
        <w:rPr>
          <w:rFonts w:cs="Arial"/>
          <w:sz w:val="20"/>
          <w:szCs w:val="20"/>
        </w:rPr>
        <w:t xml:space="preserve">,000 social and health support provider organisations across Europe and across disabilities. </w:t>
      </w:r>
      <w:r w:rsidR="000D5BD8">
        <w:rPr>
          <w:rFonts w:cs="Arial"/>
          <w:sz w:val="20"/>
          <w:szCs w:val="20"/>
        </w:rPr>
        <w:t>Our</w:t>
      </w:r>
      <w:r w:rsidR="008A5C85" w:rsidRPr="000E5635">
        <w:rPr>
          <w:rFonts w:cs="Arial"/>
          <w:sz w:val="20"/>
          <w:szCs w:val="20"/>
        </w:rPr>
        <w:t xml:space="preserve"> objective is to promote equal opportunities for people with disabilities through effective and high-quality service systems. We work towards ensuring the full implementation of the UN Convention on the Rights of Persons with Disabilities (UN CRPD) and we are accredited to the Conference of States Parties to the CRPD.</w:t>
      </w:r>
    </w:p>
    <w:p w:rsidR="00DC5BBF" w:rsidRPr="000E5635" w:rsidRDefault="00DC5BBF" w:rsidP="00084D08">
      <w:pPr>
        <w:spacing w:after="0" w:line="240" w:lineRule="auto"/>
        <w:contextualSpacing/>
        <w:rPr>
          <w:rFonts w:cs="Arial"/>
          <w:sz w:val="20"/>
          <w:szCs w:val="20"/>
        </w:rPr>
      </w:pPr>
    </w:p>
    <w:p w:rsidR="007B1B3F" w:rsidRPr="000E5635" w:rsidRDefault="007B1B3F" w:rsidP="00084D08">
      <w:pPr>
        <w:spacing w:after="0" w:line="240" w:lineRule="auto"/>
        <w:contextualSpacing/>
        <w:rPr>
          <w:rFonts w:cs="Arial"/>
          <w:sz w:val="20"/>
          <w:szCs w:val="20"/>
        </w:rPr>
      </w:pPr>
      <w:r w:rsidRPr="000E5635">
        <w:rPr>
          <w:rFonts w:cs="Arial"/>
          <w:sz w:val="20"/>
          <w:szCs w:val="20"/>
        </w:rPr>
        <w:t>EASPD is fully committed to the implementation of the Convention on the Rights of Persons with Disabilities and the promotion of deinstitutionalisation accompanied by the development and set up of community-based services is among the core objectives of EASPD.</w:t>
      </w:r>
    </w:p>
    <w:p w:rsidR="007B1B3F" w:rsidRPr="000E5635" w:rsidRDefault="00E3071B" w:rsidP="00084D08">
      <w:pPr>
        <w:spacing w:after="0" w:line="240" w:lineRule="auto"/>
        <w:contextualSpacing/>
        <w:rPr>
          <w:rFonts w:cs="Arial"/>
          <w:sz w:val="20"/>
          <w:szCs w:val="20"/>
        </w:rPr>
      </w:pPr>
      <w:r>
        <w:rPr>
          <w:rFonts w:cs="Arial"/>
          <w:sz w:val="20"/>
          <w:szCs w:val="20"/>
        </w:rPr>
        <w:t>Part of the work of EASPD related to implementation of Article 19 is done through t</w:t>
      </w:r>
      <w:r w:rsidR="007B1B3F" w:rsidRPr="000E5635">
        <w:rPr>
          <w:rFonts w:cs="Arial"/>
          <w:sz w:val="20"/>
          <w:szCs w:val="20"/>
        </w:rPr>
        <w:t xml:space="preserve">he </w:t>
      </w:r>
      <w:r>
        <w:rPr>
          <w:rFonts w:cs="Arial"/>
          <w:sz w:val="20"/>
          <w:szCs w:val="20"/>
        </w:rPr>
        <w:t>“</w:t>
      </w:r>
      <w:r w:rsidR="007B1B3F" w:rsidRPr="000E5635">
        <w:rPr>
          <w:rFonts w:cs="Arial"/>
          <w:sz w:val="20"/>
          <w:szCs w:val="20"/>
        </w:rPr>
        <w:t>European Expert Group on transition from institutional to community-based care</w:t>
      </w:r>
      <w:r>
        <w:rPr>
          <w:rFonts w:cs="Arial"/>
          <w:sz w:val="20"/>
          <w:szCs w:val="20"/>
        </w:rPr>
        <w:t>”</w:t>
      </w:r>
      <w:r w:rsidR="007B1B3F" w:rsidRPr="000E5635">
        <w:rPr>
          <w:rFonts w:cs="Arial"/>
          <w:sz w:val="20"/>
          <w:szCs w:val="20"/>
        </w:rPr>
        <w:t xml:space="preserve"> of which </w:t>
      </w:r>
      <w:r>
        <w:rPr>
          <w:rFonts w:cs="Arial"/>
          <w:sz w:val="20"/>
          <w:szCs w:val="20"/>
        </w:rPr>
        <w:t>Ms Sabrina Ferraina, Policy Manager</w:t>
      </w:r>
      <w:r w:rsidR="007B1B3F" w:rsidRPr="000E5635">
        <w:rPr>
          <w:rFonts w:cs="Arial"/>
          <w:sz w:val="20"/>
          <w:szCs w:val="20"/>
        </w:rPr>
        <w:t xml:space="preserve"> is currently co-chair. </w:t>
      </w:r>
    </w:p>
    <w:p w:rsidR="007B1B3F" w:rsidRPr="000E5635" w:rsidRDefault="007B1B3F" w:rsidP="00084D08">
      <w:pPr>
        <w:spacing w:after="0" w:line="240" w:lineRule="auto"/>
        <w:contextualSpacing/>
        <w:rPr>
          <w:rFonts w:cs="Arial"/>
          <w:sz w:val="20"/>
          <w:szCs w:val="20"/>
        </w:rPr>
      </w:pPr>
    </w:p>
    <w:p w:rsidR="00DC5BBF" w:rsidRPr="000E5635" w:rsidRDefault="00DC5BBF" w:rsidP="00084D08">
      <w:pPr>
        <w:spacing w:after="0" w:line="240" w:lineRule="auto"/>
        <w:contextualSpacing/>
        <w:rPr>
          <w:rFonts w:cs="Arial"/>
          <w:sz w:val="20"/>
          <w:szCs w:val="20"/>
        </w:rPr>
      </w:pPr>
      <w:r w:rsidRPr="000E5635">
        <w:rPr>
          <w:rFonts w:cs="Arial"/>
          <w:sz w:val="20"/>
          <w:szCs w:val="20"/>
        </w:rPr>
        <w:t xml:space="preserve">EASPD is part of the following institutional </w:t>
      </w:r>
      <w:r w:rsidR="00F10D88" w:rsidRPr="000E5635">
        <w:rPr>
          <w:rFonts w:cs="Arial"/>
          <w:sz w:val="20"/>
          <w:szCs w:val="20"/>
        </w:rPr>
        <w:t xml:space="preserve">and civil society </w:t>
      </w:r>
      <w:r w:rsidRPr="000E5635">
        <w:rPr>
          <w:rFonts w:cs="Arial"/>
          <w:sz w:val="20"/>
          <w:szCs w:val="20"/>
        </w:rPr>
        <w:t>working groups</w:t>
      </w:r>
      <w:r w:rsidR="00F10D88" w:rsidRPr="000E5635">
        <w:rPr>
          <w:rFonts w:cs="Arial"/>
          <w:sz w:val="20"/>
          <w:szCs w:val="20"/>
        </w:rPr>
        <w:t xml:space="preserve"> and organisations</w:t>
      </w:r>
      <w:r w:rsidRPr="000E5635">
        <w:rPr>
          <w:rFonts w:cs="Arial"/>
          <w:sz w:val="20"/>
          <w:szCs w:val="20"/>
        </w:rPr>
        <w:t>:</w:t>
      </w:r>
    </w:p>
    <w:p w:rsidR="00F10D88" w:rsidRPr="000E5635" w:rsidRDefault="00F10D88" w:rsidP="00084D08">
      <w:pPr>
        <w:pStyle w:val="ListParagraph"/>
        <w:numPr>
          <w:ilvl w:val="0"/>
          <w:numId w:val="34"/>
        </w:numPr>
        <w:spacing w:after="0" w:line="240" w:lineRule="auto"/>
        <w:rPr>
          <w:rFonts w:cs="Arial"/>
          <w:sz w:val="20"/>
          <w:szCs w:val="20"/>
        </w:rPr>
      </w:pPr>
      <w:r w:rsidRPr="000E5635">
        <w:rPr>
          <w:rFonts w:cs="Arial"/>
          <w:b/>
          <w:sz w:val="20"/>
          <w:szCs w:val="20"/>
        </w:rPr>
        <w:lastRenderedPageBreak/>
        <w:t>Council of Europe</w:t>
      </w:r>
      <w:r w:rsidR="007C43DA" w:rsidRPr="000E5635">
        <w:rPr>
          <w:rFonts w:cs="Arial"/>
          <w:sz w:val="20"/>
          <w:szCs w:val="20"/>
        </w:rPr>
        <w:t xml:space="preserve">: </w:t>
      </w:r>
      <w:r w:rsidR="00784AC7" w:rsidRPr="000E5635">
        <w:rPr>
          <w:rFonts w:cs="Arial"/>
          <w:sz w:val="20"/>
          <w:szCs w:val="20"/>
        </w:rPr>
        <w:t>EASPD is m</w:t>
      </w:r>
      <w:r w:rsidR="007C43DA" w:rsidRPr="000E5635">
        <w:rPr>
          <w:rFonts w:cs="Arial"/>
          <w:sz w:val="20"/>
          <w:szCs w:val="20"/>
        </w:rPr>
        <w:t>ember of the Committee of Experts on the Rights of People with Disabilities;</w:t>
      </w:r>
    </w:p>
    <w:p w:rsidR="00DC5BBF" w:rsidRPr="000E5635" w:rsidRDefault="00DC5BBF" w:rsidP="00084D08">
      <w:pPr>
        <w:pStyle w:val="ListParagraph"/>
        <w:numPr>
          <w:ilvl w:val="0"/>
          <w:numId w:val="34"/>
        </w:numPr>
        <w:spacing w:after="0" w:line="240" w:lineRule="auto"/>
        <w:rPr>
          <w:rFonts w:cs="Arial"/>
          <w:sz w:val="20"/>
          <w:szCs w:val="20"/>
        </w:rPr>
      </w:pPr>
      <w:r w:rsidRPr="000E5635">
        <w:rPr>
          <w:rFonts w:cs="Arial"/>
          <w:b/>
          <w:sz w:val="20"/>
          <w:szCs w:val="20"/>
        </w:rPr>
        <w:t>European Commission</w:t>
      </w:r>
      <w:r w:rsidR="007C43DA" w:rsidRPr="000E5635">
        <w:rPr>
          <w:rFonts w:cs="Arial"/>
          <w:sz w:val="20"/>
          <w:szCs w:val="20"/>
        </w:rPr>
        <w:t>: EASPD is member of the</w:t>
      </w:r>
      <w:r w:rsidRPr="000E5635">
        <w:rPr>
          <w:rFonts w:cs="Arial"/>
          <w:sz w:val="20"/>
          <w:szCs w:val="20"/>
        </w:rPr>
        <w:t xml:space="preserve"> High Level Group</w:t>
      </w:r>
      <w:r w:rsidR="007C43DA" w:rsidRPr="000E5635">
        <w:rPr>
          <w:rFonts w:cs="Arial"/>
          <w:sz w:val="20"/>
          <w:szCs w:val="20"/>
        </w:rPr>
        <w:t xml:space="preserve"> on Disability</w:t>
      </w:r>
      <w:r w:rsidR="0042536E">
        <w:rPr>
          <w:rFonts w:cs="Arial"/>
          <w:sz w:val="20"/>
          <w:szCs w:val="20"/>
        </w:rPr>
        <w:t>;</w:t>
      </w:r>
    </w:p>
    <w:p w:rsidR="00DC5BBF" w:rsidRPr="000E5635" w:rsidRDefault="003D7AF0" w:rsidP="00084D08">
      <w:pPr>
        <w:pStyle w:val="ListParagraph"/>
        <w:numPr>
          <w:ilvl w:val="0"/>
          <w:numId w:val="34"/>
        </w:numPr>
        <w:spacing w:after="0" w:line="240" w:lineRule="auto"/>
        <w:rPr>
          <w:rFonts w:cs="Arial"/>
          <w:sz w:val="20"/>
          <w:szCs w:val="20"/>
        </w:rPr>
      </w:pPr>
      <w:r w:rsidRPr="000E5635">
        <w:rPr>
          <w:rFonts w:cs="Arial"/>
          <w:b/>
          <w:sz w:val="20"/>
          <w:szCs w:val="20"/>
        </w:rPr>
        <w:t>European Economic and Social Committee</w:t>
      </w:r>
      <w:r w:rsidRPr="000E5635">
        <w:rPr>
          <w:rFonts w:cs="Arial"/>
          <w:sz w:val="20"/>
          <w:szCs w:val="20"/>
        </w:rPr>
        <w:t>: EASPD holds membership status with the NGO Liaison Group</w:t>
      </w:r>
      <w:r w:rsidR="0042536E">
        <w:rPr>
          <w:rFonts w:cs="Arial"/>
          <w:sz w:val="20"/>
          <w:szCs w:val="20"/>
        </w:rPr>
        <w:t>;</w:t>
      </w:r>
    </w:p>
    <w:p w:rsidR="00F10D88" w:rsidRPr="000E5635" w:rsidRDefault="00F10D88" w:rsidP="00084D08">
      <w:pPr>
        <w:pStyle w:val="ListParagraph"/>
        <w:numPr>
          <w:ilvl w:val="0"/>
          <w:numId w:val="34"/>
        </w:numPr>
        <w:spacing w:after="0" w:line="240" w:lineRule="auto"/>
        <w:rPr>
          <w:rFonts w:cs="Arial"/>
          <w:sz w:val="20"/>
          <w:szCs w:val="20"/>
        </w:rPr>
      </w:pPr>
      <w:r w:rsidRPr="000E5635">
        <w:rPr>
          <w:rFonts w:cs="Arial"/>
          <w:sz w:val="20"/>
          <w:szCs w:val="20"/>
        </w:rPr>
        <w:t xml:space="preserve">EASPD is member of the </w:t>
      </w:r>
      <w:r w:rsidRPr="000E5635">
        <w:rPr>
          <w:rFonts w:cs="Arial"/>
          <w:b/>
          <w:sz w:val="20"/>
          <w:szCs w:val="20"/>
        </w:rPr>
        <w:t>European Disability Forum</w:t>
      </w:r>
      <w:r w:rsidR="008D3B09" w:rsidRPr="000E5635">
        <w:rPr>
          <w:rFonts w:cs="Arial"/>
          <w:sz w:val="20"/>
          <w:szCs w:val="20"/>
        </w:rPr>
        <w:t>.</w:t>
      </w:r>
    </w:p>
    <w:p w:rsidR="00C53C21" w:rsidRPr="000E5635" w:rsidRDefault="00C53C21" w:rsidP="00084D08">
      <w:pPr>
        <w:pStyle w:val="ListParagraph"/>
        <w:spacing w:after="0" w:line="240" w:lineRule="auto"/>
        <w:rPr>
          <w:rFonts w:cs="Arial"/>
          <w:sz w:val="20"/>
          <w:szCs w:val="20"/>
        </w:rPr>
      </w:pPr>
    </w:p>
    <w:p w:rsidR="008A5C85" w:rsidRPr="000E5635" w:rsidRDefault="008A5C85" w:rsidP="00084D08">
      <w:pPr>
        <w:spacing w:after="0" w:line="240" w:lineRule="auto"/>
        <w:contextualSpacing/>
        <w:rPr>
          <w:rFonts w:eastAsiaTheme="majorEastAsia" w:cstheme="majorBidi"/>
          <w:b/>
          <w:bCs/>
          <w:color w:val="365F91" w:themeColor="accent1" w:themeShade="BF"/>
          <w:sz w:val="20"/>
          <w:szCs w:val="20"/>
        </w:rPr>
      </w:pPr>
      <w:r w:rsidRPr="000E5635">
        <w:rPr>
          <w:rFonts w:eastAsiaTheme="majorEastAsia" w:cstheme="majorBidi"/>
          <w:b/>
          <w:bCs/>
          <w:color w:val="365F91" w:themeColor="accent1" w:themeShade="BF"/>
          <w:sz w:val="20"/>
          <w:szCs w:val="20"/>
        </w:rPr>
        <w:t>Support service provision</w:t>
      </w:r>
      <w:r w:rsidR="004E5C66" w:rsidRPr="000E5635">
        <w:rPr>
          <w:rFonts w:eastAsiaTheme="majorEastAsia" w:cstheme="majorBidi"/>
          <w:b/>
          <w:bCs/>
          <w:color w:val="365F91" w:themeColor="accent1" w:themeShade="BF"/>
          <w:sz w:val="20"/>
          <w:szCs w:val="20"/>
        </w:rPr>
        <w:t xml:space="preserve"> in Europe</w:t>
      </w:r>
    </w:p>
    <w:p w:rsidR="00C238E9" w:rsidRPr="000E5635" w:rsidRDefault="008A5C85" w:rsidP="00084D08">
      <w:pPr>
        <w:spacing w:after="0" w:line="240" w:lineRule="auto"/>
        <w:contextualSpacing/>
        <w:rPr>
          <w:rFonts w:cs="Arial"/>
          <w:sz w:val="20"/>
          <w:szCs w:val="20"/>
        </w:rPr>
      </w:pPr>
      <w:r w:rsidRPr="000E5635">
        <w:rPr>
          <w:rFonts w:cs="Arial"/>
          <w:sz w:val="20"/>
          <w:szCs w:val="20"/>
        </w:rPr>
        <w:t xml:space="preserve">Support service provision in the disability sector has been undergoing substantial changes over the past years, and many services that were set up according to the medical-based approach to disability are currently moving away from this model towards the </w:t>
      </w:r>
      <w:r w:rsidR="004D5FA7">
        <w:rPr>
          <w:rFonts w:cs="Arial"/>
          <w:sz w:val="20"/>
          <w:szCs w:val="20"/>
        </w:rPr>
        <w:t>human</w:t>
      </w:r>
      <w:r w:rsidRPr="000E5635">
        <w:rPr>
          <w:rFonts w:cs="Arial"/>
          <w:sz w:val="20"/>
          <w:szCs w:val="20"/>
        </w:rPr>
        <w:t xml:space="preserve"> rights model introduced by the UN CRPD</w:t>
      </w:r>
      <w:r w:rsidR="006E7727">
        <w:rPr>
          <w:rFonts w:cs="Arial"/>
          <w:sz w:val="20"/>
          <w:szCs w:val="20"/>
        </w:rPr>
        <w:t>,</w:t>
      </w:r>
      <w:r w:rsidRPr="000E5635">
        <w:rPr>
          <w:rFonts w:cs="Arial"/>
          <w:sz w:val="20"/>
          <w:szCs w:val="20"/>
        </w:rPr>
        <w:t xml:space="preserve"> whereby needs and preferences of the individual are at the core of the attitude towards disability. </w:t>
      </w:r>
    </w:p>
    <w:p w:rsidR="00A31A1C" w:rsidRPr="000E5635" w:rsidRDefault="00C238E9" w:rsidP="00084D08">
      <w:pPr>
        <w:spacing w:after="0" w:line="240" w:lineRule="auto"/>
        <w:contextualSpacing/>
        <w:rPr>
          <w:sz w:val="20"/>
          <w:szCs w:val="20"/>
        </w:rPr>
      </w:pPr>
      <w:r w:rsidRPr="000E5635">
        <w:rPr>
          <w:sz w:val="20"/>
          <w:szCs w:val="20"/>
        </w:rPr>
        <w:t xml:space="preserve">The reality, unfortunately, presents a picture that is complex and often not even close to the conditions required for the full enjoyment of human rights, as set in the UN CRPD. Persons with disabilities are frequently obliged to receive the services they need and are entitled to very far away from their homes and often in very low quality human and structural settings. </w:t>
      </w:r>
    </w:p>
    <w:p w:rsidR="0062280B" w:rsidRPr="000E5635" w:rsidRDefault="0062280B" w:rsidP="00084D08">
      <w:pPr>
        <w:spacing w:after="0" w:line="240" w:lineRule="auto"/>
        <w:contextualSpacing/>
        <w:rPr>
          <w:sz w:val="20"/>
          <w:szCs w:val="20"/>
        </w:rPr>
      </w:pPr>
    </w:p>
    <w:p w:rsidR="00EC2830" w:rsidRPr="000E5635" w:rsidRDefault="00EC2830" w:rsidP="00084D08">
      <w:pPr>
        <w:spacing w:after="0" w:line="240" w:lineRule="auto"/>
        <w:contextualSpacing/>
        <w:rPr>
          <w:sz w:val="20"/>
          <w:szCs w:val="20"/>
        </w:rPr>
      </w:pPr>
    </w:p>
    <w:p w:rsidR="0062280B" w:rsidRPr="000E5635" w:rsidRDefault="0062280B" w:rsidP="00084D08">
      <w:pPr>
        <w:pStyle w:val="Heading1"/>
        <w:numPr>
          <w:ilvl w:val="0"/>
          <w:numId w:val="37"/>
        </w:numPr>
        <w:pBdr>
          <w:bottom w:val="single" w:sz="4" w:space="2" w:color="auto"/>
        </w:pBdr>
        <w:spacing w:before="0" w:after="100" w:afterAutospacing="1" w:line="240" w:lineRule="auto"/>
        <w:contextualSpacing/>
        <w:rPr>
          <w:rFonts w:asciiTheme="minorHAnsi" w:hAnsiTheme="minorHAnsi"/>
          <w:sz w:val="24"/>
        </w:rPr>
      </w:pPr>
      <w:bookmarkStart w:id="11" w:name="_Toc486226562"/>
      <w:r w:rsidRPr="000E5635">
        <w:rPr>
          <w:rFonts w:asciiTheme="minorHAnsi" w:hAnsiTheme="minorHAnsi"/>
          <w:sz w:val="24"/>
        </w:rPr>
        <w:t xml:space="preserve">Key issues </w:t>
      </w:r>
      <w:r w:rsidR="00F40534" w:rsidRPr="000E5635">
        <w:rPr>
          <w:rFonts w:asciiTheme="minorHAnsi" w:hAnsiTheme="minorHAnsi"/>
          <w:sz w:val="24"/>
        </w:rPr>
        <w:t>for support services</w:t>
      </w:r>
      <w:bookmarkEnd w:id="11"/>
      <w:r w:rsidRPr="000E5635">
        <w:rPr>
          <w:rFonts w:asciiTheme="minorHAnsi" w:hAnsiTheme="minorHAnsi"/>
          <w:sz w:val="24"/>
        </w:rPr>
        <w:t xml:space="preserve"> </w:t>
      </w:r>
    </w:p>
    <w:p w:rsidR="00A31A1C" w:rsidRPr="000E5635" w:rsidRDefault="008A1143" w:rsidP="00084D08">
      <w:pPr>
        <w:spacing w:after="0" w:line="240" w:lineRule="auto"/>
        <w:contextualSpacing/>
        <w:rPr>
          <w:sz w:val="20"/>
          <w:szCs w:val="20"/>
        </w:rPr>
      </w:pPr>
      <w:r w:rsidRPr="000E5635">
        <w:rPr>
          <w:sz w:val="20"/>
          <w:szCs w:val="20"/>
        </w:rPr>
        <w:t xml:space="preserve">The following represent in our opinion some crucial issues that </w:t>
      </w:r>
      <w:r w:rsidR="00F40534" w:rsidRPr="000E5635">
        <w:rPr>
          <w:sz w:val="20"/>
          <w:szCs w:val="20"/>
        </w:rPr>
        <w:t>need to be tackled as a matter of priority</w:t>
      </w:r>
      <w:r w:rsidRPr="000E5635">
        <w:rPr>
          <w:sz w:val="20"/>
          <w:szCs w:val="20"/>
        </w:rPr>
        <w:t>:</w:t>
      </w:r>
    </w:p>
    <w:p w:rsidR="008A1143" w:rsidRPr="000E5635" w:rsidRDefault="008A1143" w:rsidP="00084D08">
      <w:pPr>
        <w:spacing w:after="0" w:line="240" w:lineRule="auto"/>
        <w:contextualSpacing/>
        <w:rPr>
          <w:sz w:val="20"/>
          <w:szCs w:val="20"/>
        </w:rPr>
      </w:pPr>
    </w:p>
    <w:p w:rsidR="00C238E9" w:rsidRPr="000E5635" w:rsidRDefault="00C238E9" w:rsidP="00084D08">
      <w:pPr>
        <w:pStyle w:val="ListParagraph"/>
        <w:numPr>
          <w:ilvl w:val="0"/>
          <w:numId w:val="35"/>
        </w:numPr>
        <w:spacing w:after="0" w:line="240" w:lineRule="auto"/>
        <w:rPr>
          <w:sz w:val="20"/>
          <w:szCs w:val="20"/>
        </w:rPr>
      </w:pPr>
      <w:r w:rsidRPr="000E5635">
        <w:rPr>
          <w:sz w:val="20"/>
          <w:szCs w:val="20"/>
        </w:rPr>
        <w:t xml:space="preserve">The </w:t>
      </w:r>
      <w:r w:rsidRPr="000E5635">
        <w:rPr>
          <w:b/>
          <w:sz w:val="20"/>
          <w:szCs w:val="20"/>
        </w:rPr>
        <w:t>size</w:t>
      </w:r>
      <w:r w:rsidRPr="000E5635">
        <w:rPr>
          <w:sz w:val="20"/>
          <w:szCs w:val="20"/>
        </w:rPr>
        <w:t xml:space="preserve"> of the </w:t>
      </w:r>
      <w:r w:rsidR="004E5C66" w:rsidRPr="000E5635">
        <w:rPr>
          <w:sz w:val="20"/>
          <w:szCs w:val="20"/>
        </w:rPr>
        <w:t xml:space="preserve">residential </w:t>
      </w:r>
      <w:r w:rsidRPr="000E5635">
        <w:rPr>
          <w:sz w:val="20"/>
          <w:szCs w:val="20"/>
        </w:rPr>
        <w:t>centres. The settings are often very large structures and the users/staff ratio is too big to provide services in a qualitative, i</w:t>
      </w:r>
      <w:r w:rsidR="008773B5" w:rsidRPr="000E5635">
        <w:rPr>
          <w:sz w:val="20"/>
          <w:szCs w:val="20"/>
        </w:rPr>
        <w:t>nclusive and individualised way.</w:t>
      </w:r>
    </w:p>
    <w:p w:rsidR="008A1143" w:rsidRPr="000E5635" w:rsidRDefault="008A1143" w:rsidP="00084D08">
      <w:pPr>
        <w:pStyle w:val="ListParagraph"/>
        <w:numPr>
          <w:ilvl w:val="0"/>
          <w:numId w:val="35"/>
        </w:numPr>
        <w:spacing w:after="0" w:line="240" w:lineRule="auto"/>
        <w:rPr>
          <w:sz w:val="20"/>
          <w:szCs w:val="20"/>
        </w:rPr>
      </w:pPr>
      <w:r w:rsidRPr="000E5635">
        <w:rPr>
          <w:sz w:val="20"/>
          <w:szCs w:val="20"/>
        </w:rPr>
        <w:t xml:space="preserve">The presence of </w:t>
      </w:r>
      <w:r w:rsidRPr="000E5635">
        <w:rPr>
          <w:b/>
          <w:sz w:val="20"/>
          <w:szCs w:val="20"/>
        </w:rPr>
        <w:t>institutional culture</w:t>
      </w:r>
      <w:r w:rsidRPr="000E5635">
        <w:rPr>
          <w:sz w:val="20"/>
          <w:szCs w:val="20"/>
        </w:rPr>
        <w:t xml:space="preserve"> which thrives at times also in smaller settings that, even when based in the communities, </w:t>
      </w:r>
      <w:r w:rsidR="00B56F05" w:rsidRPr="000E5635">
        <w:rPr>
          <w:sz w:val="20"/>
          <w:szCs w:val="20"/>
        </w:rPr>
        <w:t xml:space="preserve">may </w:t>
      </w:r>
      <w:r w:rsidR="007C3006" w:rsidRPr="000E5635">
        <w:rPr>
          <w:sz w:val="20"/>
          <w:szCs w:val="20"/>
        </w:rPr>
        <w:t>present features common to large institutional and segregating settings.</w:t>
      </w:r>
    </w:p>
    <w:p w:rsidR="00C238E9" w:rsidRPr="000E5635" w:rsidRDefault="00C238E9" w:rsidP="00084D08">
      <w:pPr>
        <w:pStyle w:val="ListParagraph"/>
        <w:numPr>
          <w:ilvl w:val="0"/>
          <w:numId w:val="35"/>
        </w:numPr>
        <w:spacing w:after="0" w:line="240" w:lineRule="auto"/>
        <w:rPr>
          <w:sz w:val="20"/>
          <w:szCs w:val="20"/>
        </w:rPr>
      </w:pPr>
      <w:r w:rsidRPr="000E5635">
        <w:rPr>
          <w:sz w:val="20"/>
          <w:szCs w:val="20"/>
        </w:rPr>
        <w:t xml:space="preserve">The </w:t>
      </w:r>
      <w:r w:rsidRPr="000E5635">
        <w:rPr>
          <w:b/>
          <w:sz w:val="20"/>
          <w:szCs w:val="20"/>
        </w:rPr>
        <w:t>cross-border service provision</w:t>
      </w:r>
      <w:r w:rsidRPr="000E5635">
        <w:rPr>
          <w:sz w:val="20"/>
          <w:szCs w:val="20"/>
        </w:rPr>
        <w:t>. The usage of a service that might be very far away from the place of origin of the family is often not the user’s choice, but</w:t>
      </w:r>
      <w:r w:rsidR="007C3006" w:rsidRPr="000E5635">
        <w:rPr>
          <w:sz w:val="20"/>
          <w:szCs w:val="20"/>
        </w:rPr>
        <w:t xml:space="preserve"> is</w:t>
      </w:r>
      <w:r w:rsidRPr="000E5635">
        <w:rPr>
          <w:sz w:val="20"/>
          <w:szCs w:val="20"/>
        </w:rPr>
        <w:t xml:space="preserve"> due to the unavailability of services in the nearby community. </w:t>
      </w:r>
    </w:p>
    <w:p w:rsidR="00C238E9" w:rsidRPr="000E5635" w:rsidRDefault="00C238E9" w:rsidP="00084D08">
      <w:pPr>
        <w:pStyle w:val="ListParagraph"/>
        <w:numPr>
          <w:ilvl w:val="0"/>
          <w:numId w:val="35"/>
        </w:numPr>
        <w:spacing w:after="0" w:line="240" w:lineRule="auto"/>
        <w:rPr>
          <w:sz w:val="20"/>
          <w:szCs w:val="20"/>
        </w:rPr>
      </w:pPr>
      <w:r w:rsidRPr="000E5635">
        <w:rPr>
          <w:sz w:val="20"/>
          <w:szCs w:val="20"/>
        </w:rPr>
        <w:t xml:space="preserve">The </w:t>
      </w:r>
      <w:r w:rsidR="007906B0" w:rsidRPr="000E5635">
        <w:rPr>
          <w:b/>
          <w:sz w:val="20"/>
          <w:szCs w:val="20"/>
        </w:rPr>
        <w:t>training and retraining of professionals</w:t>
      </w:r>
      <w:r w:rsidRPr="000E5635">
        <w:rPr>
          <w:sz w:val="20"/>
          <w:szCs w:val="20"/>
        </w:rPr>
        <w:t xml:space="preserve"> working with the users. Medical approaches are still widely used</w:t>
      </w:r>
      <w:r w:rsidR="007C3006" w:rsidRPr="000E5635">
        <w:rPr>
          <w:sz w:val="20"/>
          <w:szCs w:val="20"/>
        </w:rPr>
        <w:t xml:space="preserve">: </w:t>
      </w:r>
      <w:r w:rsidR="001362A4">
        <w:rPr>
          <w:sz w:val="20"/>
          <w:szCs w:val="20"/>
        </w:rPr>
        <w:t xml:space="preserve">the </w:t>
      </w:r>
      <w:r w:rsidR="007C3006" w:rsidRPr="000E5635">
        <w:rPr>
          <w:sz w:val="20"/>
          <w:szCs w:val="20"/>
        </w:rPr>
        <w:t xml:space="preserve">staff </w:t>
      </w:r>
      <w:r w:rsidR="00B56F05" w:rsidRPr="000E5635">
        <w:rPr>
          <w:sz w:val="20"/>
          <w:szCs w:val="20"/>
        </w:rPr>
        <w:t>need</w:t>
      </w:r>
      <w:r w:rsidR="001362A4">
        <w:rPr>
          <w:sz w:val="20"/>
          <w:szCs w:val="20"/>
        </w:rPr>
        <w:t>s</w:t>
      </w:r>
      <w:r w:rsidR="00B56F05" w:rsidRPr="000E5635">
        <w:rPr>
          <w:sz w:val="20"/>
          <w:szCs w:val="20"/>
        </w:rPr>
        <w:t xml:space="preserve"> </w:t>
      </w:r>
      <w:r w:rsidR="007C3006" w:rsidRPr="000E5635">
        <w:rPr>
          <w:sz w:val="20"/>
          <w:szCs w:val="20"/>
        </w:rPr>
        <w:t xml:space="preserve">to be trained on human rights principles </w:t>
      </w:r>
      <w:r w:rsidR="008773B5" w:rsidRPr="000E5635">
        <w:rPr>
          <w:sz w:val="20"/>
          <w:szCs w:val="20"/>
        </w:rPr>
        <w:t xml:space="preserve">based on participation, inclusion and </w:t>
      </w:r>
      <w:r w:rsidR="007C3006" w:rsidRPr="000E5635">
        <w:rPr>
          <w:sz w:val="20"/>
          <w:szCs w:val="20"/>
        </w:rPr>
        <w:t>address</w:t>
      </w:r>
      <w:r w:rsidR="008773B5" w:rsidRPr="000E5635">
        <w:rPr>
          <w:sz w:val="20"/>
          <w:szCs w:val="20"/>
        </w:rPr>
        <w:t>ing</w:t>
      </w:r>
      <w:r w:rsidR="007C3006" w:rsidRPr="000E5635">
        <w:rPr>
          <w:sz w:val="20"/>
          <w:szCs w:val="20"/>
        </w:rPr>
        <w:t xml:space="preserve"> users’ individual needs</w:t>
      </w:r>
      <w:r w:rsidR="00B56F05" w:rsidRPr="000E5635">
        <w:rPr>
          <w:sz w:val="20"/>
          <w:szCs w:val="20"/>
        </w:rPr>
        <w:t xml:space="preserve"> and </w:t>
      </w:r>
      <w:r w:rsidR="007C3006" w:rsidRPr="000E5635">
        <w:rPr>
          <w:sz w:val="20"/>
          <w:szCs w:val="20"/>
        </w:rPr>
        <w:t>preferences.</w:t>
      </w:r>
    </w:p>
    <w:p w:rsidR="00317EED" w:rsidRPr="000E5635" w:rsidRDefault="008773B5" w:rsidP="00084D08">
      <w:pPr>
        <w:spacing w:after="0" w:line="240" w:lineRule="auto"/>
        <w:ind w:left="708"/>
        <w:contextualSpacing/>
        <w:rPr>
          <w:sz w:val="20"/>
          <w:szCs w:val="20"/>
        </w:rPr>
      </w:pPr>
      <w:r w:rsidRPr="000E5635">
        <w:rPr>
          <w:sz w:val="20"/>
          <w:szCs w:val="20"/>
        </w:rPr>
        <w:t>Re</w:t>
      </w:r>
      <w:r w:rsidR="00317EED" w:rsidRPr="000E5635">
        <w:rPr>
          <w:sz w:val="20"/>
          <w:szCs w:val="20"/>
        </w:rPr>
        <w:t>sponsive and effective quality community based services (CBS) depend on a flexible and well trained workforce</w:t>
      </w:r>
      <w:r w:rsidR="000B4E08">
        <w:rPr>
          <w:sz w:val="20"/>
          <w:szCs w:val="20"/>
        </w:rPr>
        <w:t xml:space="preserve"> </w:t>
      </w:r>
      <w:r w:rsidR="000B4E08" w:rsidRPr="000B4E08">
        <w:rPr>
          <w:sz w:val="20"/>
          <w:szCs w:val="20"/>
        </w:rPr>
        <w:t xml:space="preserve">and </w:t>
      </w:r>
      <w:r w:rsidR="000B4E08">
        <w:rPr>
          <w:sz w:val="20"/>
          <w:szCs w:val="20"/>
        </w:rPr>
        <w:t>an</w:t>
      </w:r>
      <w:r w:rsidR="000B4E08" w:rsidRPr="000B4E08">
        <w:rPr>
          <w:sz w:val="20"/>
          <w:szCs w:val="20"/>
        </w:rPr>
        <w:t xml:space="preserve"> adequate </w:t>
      </w:r>
      <w:r w:rsidR="000B4E08">
        <w:rPr>
          <w:sz w:val="20"/>
          <w:szCs w:val="20"/>
        </w:rPr>
        <w:t>staff-</w:t>
      </w:r>
      <w:r w:rsidR="000B4E08" w:rsidRPr="000B4E08">
        <w:rPr>
          <w:sz w:val="20"/>
          <w:szCs w:val="20"/>
        </w:rPr>
        <w:t>ratio per user, as</w:t>
      </w:r>
      <w:r w:rsidR="000B4E08">
        <w:rPr>
          <w:sz w:val="20"/>
          <w:szCs w:val="20"/>
        </w:rPr>
        <w:t xml:space="preserve"> </w:t>
      </w:r>
      <w:r w:rsidR="000B4E08" w:rsidRPr="000B4E08">
        <w:rPr>
          <w:sz w:val="20"/>
          <w:szCs w:val="20"/>
        </w:rPr>
        <w:t xml:space="preserve">well as technical means to effectively provide </w:t>
      </w:r>
      <w:r w:rsidR="00C0515E">
        <w:rPr>
          <w:sz w:val="20"/>
          <w:szCs w:val="20"/>
        </w:rPr>
        <w:t>them</w:t>
      </w:r>
      <w:r w:rsidR="00317EED" w:rsidRPr="000E5635">
        <w:rPr>
          <w:sz w:val="20"/>
          <w:szCs w:val="20"/>
        </w:rPr>
        <w:t>. Authorities shall provide legal frameworks facilitating adequate working conditions and decent jobs. To achieve a personalised approach, persons with disabilities should be involved as they are experts in the types of support that they require.</w:t>
      </w:r>
    </w:p>
    <w:p w:rsidR="00317EED" w:rsidRPr="000E5635" w:rsidRDefault="00C238E9" w:rsidP="00084D08">
      <w:pPr>
        <w:pStyle w:val="ListParagraph"/>
        <w:numPr>
          <w:ilvl w:val="0"/>
          <w:numId w:val="35"/>
        </w:numPr>
        <w:spacing w:after="0" w:line="240" w:lineRule="auto"/>
        <w:ind w:left="708"/>
        <w:rPr>
          <w:sz w:val="20"/>
          <w:szCs w:val="20"/>
        </w:rPr>
      </w:pPr>
      <w:r w:rsidRPr="000E5635">
        <w:rPr>
          <w:b/>
          <w:sz w:val="20"/>
          <w:szCs w:val="20"/>
        </w:rPr>
        <w:t>Quality standards</w:t>
      </w:r>
      <w:r w:rsidRPr="000E5635">
        <w:rPr>
          <w:sz w:val="20"/>
          <w:szCs w:val="20"/>
        </w:rPr>
        <w:t xml:space="preserve">. Quality frameworks </w:t>
      </w:r>
      <w:r w:rsidR="00E42D7D" w:rsidRPr="000E5635">
        <w:rPr>
          <w:sz w:val="20"/>
          <w:szCs w:val="20"/>
        </w:rPr>
        <w:t>may</w:t>
      </w:r>
      <w:r w:rsidRPr="000E5635">
        <w:rPr>
          <w:sz w:val="20"/>
          <w:szCs w:val="20"/>
        </w:rPr>
        <w:t xml:space="preserve"> vary according to the origin of the funding, having an impact on the end-service received by the user.</w:t>
      </w:r>
      <w:r w:rsidR="00E42D7D" w:rsidRPr="000E5635">
        <w:rPr>
          <w:sz w:val="20"/>
          <w:szCs w:val="20"/>
        </w:rPr>
        <w:t xml:space="preserve"> </w:t>
      </w:r>
      <w:r w:rsidR="00317EED" w:rsidRPr="000E5635">
        <w:rPr>
          <w:sz w:val="20"/>
          <w:szCs w:val="20"/>
        </w:rPr>
        <w:t xml:space="preserve">In some countries </w:t>
      </w:r>
      <w:r w:rsidR="00E42D7D" w:rsidRPr="000E5635">
        <w:rPr>
          <w:sz w:val="20"/>
          <w:szCs w:val="20"/>
        </w:rPr>
        <w:t>indeed services and support</w:t>
      </w:r>
      <w:r w:rsidR="00317EED" w:rsidRPr="000E5635">
        <w:rPr>
          <w:sz w:val="20"/>
          <w:szCs w:val="20"/>
        </w:rPr>
        <w:t xml:space="preserve"> are provided in a market model where for profit providers predominate. There is a danger in such scenarios of a two tier level of services emerging, with </w:t>
      </w:r>
      <w:r w:rsidR="00E42D7D" w:rsidRPr="000E5635">
        <w:rPr>
          <w:sz w:val="20"/>
          <w:szCs w:val="20"/>
        </w:rPr>
        <w:t xml:space="preserve">users </w:t>
      </w:r>
      <w:r w:rsidR="00317EED" w:rsidRPr="000E5635">
        <w:rPr>
          <w:sz w:val="20"/>
          <w:szCs w:val="20"/>
        </w:rPr>
        <w:t>who are able to pay enjoying good quality community based supports, while those unable to pay having access only to low quality institutional supports. Member States should avoid this by ensuring equal access to community based services for all. Equality and personalisation should be the focus of the development of community based services, not profit making.</w:t>
      </w:r>
    </w:p>
    <w:p w:rsidR="00317EED" w:rsidRPr="000E5635" w:rsidRDefault="00317EED" w:rsidP="00084D08">
      <w:pPr>
        <w:spacing w:after="0" w:line="240" w:lineRule="auto"/>
        <w:ind w:left="708"/>
        <w:contextualSpacing/>
        <w:rPr>
          <w:sz w:val="20"/>
          <w:szCs w:val="20"/>
        </w:rPr>
      </w:pPr>
      <w:r w:rsidRPr="000E5635">
        <w:rPr>
          <w:sz w:val="20"/>
          <w:szCs w:val="20"/>
        </w:rPr>
        <w:t xml:space="preserve">Proper needs assessment instruments (including a quality of life approach) involving users and their families and individual future planning tools should be the basis of all service delivery mechanisms and should be legally </w:t>
      </w:r>
      <w:r w:rsidR="00806D04">
        <w:rPr>
          <w:sz w:val="20"/>
          <w:szCs w:val="20"/>
        </w:rPr>
        <w:t>binding</w:t>
      </w:r>
      <w:r w:rsidRPr="000E5635">
        <w:rPr>
          <w:sz w:val="20"/>
          <w:szCs w:val="20"/>
        </w:rPr>
        <w:t>.</w:t>
      </w:r>
    </w:p>
    <w:p w:rsidR="00E42D7D" w:rsidRPr="000E5635" w:rsidRDefault="00E42D7D" w:rsidP="00084D08">
      <w:pPr>
        <w:spacing w:after="0" w:line="240" w:lineRule="auto"/>
        <w:ind w:left="708"/>
        <w:contextualSpacing/>
        <w:rPr>
          <w:sz w:val="20"/>
          <w:szCs w:val="20"/>
        </w:rPr>
      </w:pPr>
      <w:r w:rsidRPr="000E5635">
        <w:rPr>
          <w:sz w:val="20"/>
          <w:szCs w:val="20"/>
        </w:rPr>
        <w:t xml:space="preserve">Networking amongst providers and between mainstream and specialized providers should be part of Quality Assurance Systems and monitoring mechanisms. Quality systems should encompass a human rights perspective, focusing on the wishes and the preferences of the individuals, as well as on outcomes instead of on inputs. </w:t>
      </w:r>
    </w:p>
    <w:p w:rsidR="00C238E9" w:rsidRPr="000E5635" w:rsidRDefault="00C238E9" w:rsidP="00084D08">
      <w:pPr>
        <w:pStyle w:val="ListParagraph"/>
        <w:numPr>
          <w:ilvl w:val="0"/>
          <w:numId w:val="35"/>
        </w:numPr>
        <w:spacing w:after="0" w:line="240" w:lineRule="auto"/>
        <w:rPr>
          <w:sz w:val="20"/>
          <w:szCs w:val="20"/>
        </w:rPr>
      </w:pPr>
      <w:r w:rsidRPr="000E5635">
        <w:rPr>
          <w:b/>
          <w:sz w:val="20"/>
          <w:szCs w:val="20"/>
        </w:rPr>
        <w:lastRenderedPageBreak/>
        <w:t>Long waiting lists</w:t>
      </w:r>
      <w:r w:rsidR="00943188">
        <w:rPr>
          <w:sz w:val="20"/>
          <w:szCs w:val="20"/>
        </w:rPr>
        <w:t xml:space="preserve"> prevent</w:t>
      </w:r>
      <w:r w:rsidRPr="000E5635">
        <w:rPr>
          <w:sz w:val="20"/>
          <w:szCs w:val="20"/>
        </w:rPr>
        <w:t xml:space="preserve"> access</w:t>
      </w:r>
      <w:r w:rsidR="00943188">
        <w:rPr>
          <w:sz w:val="20"/>
          <w:szCs w:val="20"/>
        </w:rPr>
        <w:t>ibility to services and have</w:t>
      </w:r>
      <w:r w:rsidRPr="000E5635">
        <w:rPr>
          <w:sz w:val="20"/>
          <w:szCs w:val="20"/>
        </w:rPr>
        <w:t xml:space="preserve"> consequences at all levels. </w:t>
      </w:r>
    </w:p>
    <w:p w:rsidR="00C238E9" w:rsidRPr="000E5635" w:rsidRDefault="00C238E9" w:rsidP="00084D08">
      <w:pPr>
        <w:pStyle w:val="ListParagraph"/>
        <w:numPr>
          <w:ilvl w:val="0"/>
          <w:numId w:val="35"/>
        </w:numPr>
        <w:spacing w:after="0" w:line="240" w:lineRule="auto"/>
        <w:rPr>
          <w:sz w:val="20"/>
          <w:szCs w:val="20"/>
        </w:rPr>
      </w:pPr>
      <w:r w:rsidRPr="000E5635">
        <w:rPr>
          <w:b/>
          <w:sz w:val="20"/>
          <w:szCs w:val="20"/>
        </w:rPr>
        <w:t>Funding of services</w:t>
      </w:r>
      <w:r w:rsidRPr="000E5635">
        <w:rPr>
          <w:sz w:val="20"/>
          <w:szCs w:val="20"/>
        </w:rPr>
        <w:t xml:space="preserve">. </w:t>
      </w:r>
      <w:r w:rsidR="00C96E94" w:rsidRPr="000E5635">
        <w:rPr>
          <w:sz w:val="20"/>
          <w:szCs w:val="20"/>
        </w:rPr>
        <w:t xml:space="preserve">The delivery of quality support services that address individual needs requires sustainable and adequate funding streams. </w:t>
      </w:r>
      <w:r w:rsidR="007906B0" w:rsidRPr="000E5635">
        <w:rPr>
          <w:sz w:val="20"/>
          <w:szCs w:val="20"/>
        </w:rPr>
        <w:t>For-</w:t>
      </w:r>
      <w:r w:rsidRPr="000E5635">
        <w:rPr>
          <w:sz w:val="20"/>
          <w:szCs w:val="20"/>
        </w:rPr>
        <w:t>profit organisations may make a profit out of the delivery of their services at cheaper costs a</w:t>
      </w:r>
      <w:r w:rsidR="007906B0" w:rsidRPr="000E5635">
        <w:rPr>
          <w:sz w:val="20"/>
          <w:szCs w:val="20"/>
        </w:rPr>
        <w:t xml:space="preserve">nd with lower quality standards, therefore it is essential to </w:t>
      </w:r>
      <w:r w:rsidR="00943188">
        <w:rPr>
          <w:sz w:val="20"/>
          <w:szCs w:val="20"/>
        </w:rPr>
        <w:t>have adequate Q</w:t>
      </w:r>
      <w:r w:rsidR="007906B0" w:rsidRPr="000E5635">
        <w:rPr>
          <w:sz w:val="20"/>
          <w:szCs w:val="20"/>
        </w:rPr>
        <w:t xml:space="preserve">uality </w:t>
      </w:r>
      <w:r w:rsidR="00943188">
        <w:rPr>
          <w:sz w:val="20"/>
          <w:szCs w:val="20"/>
        </w:rPr>
        <w:t>A</w:t>
      </w:r>
      <w:r w:rsidR="007906B0" w:rsidRPr="000E5635">
        <w:rPr>
          <w:sz w:val="20"/>
          <w:szCs w:val="20"/>
        </w:rPr>
        <w:t xml:space="preserve">ssurance </w:t>
      </w:r>
      <w:r w:rsidR="00943188">
        <w:rPr>
          <w:sz w:val="20"/>
          <w:szCs w:val="20"/>
        </w:rPr>
        <w:t>S</w:t>
      </w:r>
      <w:r w:rsidR="007906B0" w:rsidRPr="000E5635">
        <w:rPr>
          <w:sz w:val="20"/>
          <w:szCs w:val="20"/>
        </w:rPr>
        <w:t xml:space="preserve">ystems in place to monitor and assess the enjoyment of human rights. International funding streams should be used to facilitate developments in </w:t>
      </w:r>
      <w:r w:rsidR="00506F3D">
        <w:rPr>
          <w:sz w:val="20"/>
          <w:szCs w:val="20"/>
        </w:rPr>
        <w:t xml:space="preserve">the </w:t>
      </w:r>
      <w:r w:rsidR="007906B0" w:rsidRPr="000E5635">
        <w:rPr>
          <w:sz w:val="20"/>
          <w:szCs w:val="20"/>
        </w:rPr>
        <w:t>community and should set the example.</w:t>
      </w:r>
    </w:p>
    <w:p w:rsidR="00C238E9" w:rsidRPr="000E5635" w:rsidRDefault="00C238E9" w:rsidP="00084D08">
      <w:pPr>
        <w:pStyle w:val="ListParagraph"/>
        <w:numPr>
          <w:ilvl w:val="0"/>
          <w:numId w:val="35"/>
        </w:numPr>
        <w:spacing w:after="0" w:line="240" w:lineRule="auto"/>
        <w:rPr>
          <w:sz w:val="20"/>
          <w:szCs w:val="20"/>
        </w:rPr>
      </w:pPr>
      <w:r w:rsidRPr="000E5635">
        <w:rPr>
          <w:b/>
          <w:sz w:val="20"/>
          <w:szCs w:val="20"/>
        </w:rPr>
        <w:t>Legal capacity</w:t>
      </w:r>
      <w:r w:rsidRPr="000E5635">
        <w:rPr>
          <w:sz w:val="20"/>
          <w:szCs w:val="20"/>
        </w:rPr>
        <w:t xml:space="preserve"> of the users. Complaints filings are not always clear and supported-decision making pr</w:t>
      </w:r>
      <w:r w:rsidR="00925CA7" w:rsidRPr="000E5635">
        <w:rPr>
          <w:sz w:val="20"/>
          <w:szCs w:val="20"/>
        </w:rPr>
        <w:t xml:space="preserve">ocedures are not fully in place, </w:t>
      </w:r>
      <w:r w:rsidR="002E6DA4" w:rsidRPr="000E5635">
        <w:rPr>
          <w:sz w:val="20"/>
          <w:szCs w:val="20"/>
        </w:rPr>
        <w:t>limiting the expr</w:t>
      </w:r>
      <w:r w:rsidR="00943188">
        <w:rPr>
          <w:sz w:val="20"/>
          <w:szCs w:val="20"/>
        </w:rPr>
        <w:t xml:space="preserve">ession of free will and choice. </w:t>
      </w:r>
      <w:r w:rsidR="002E6DA4" w:rsidRPr="000E5635">
        <w:rPr>
          <w:sz w:val="20"/>
          <w:szCs w:val="20"/>
        </w:rPr>
        <w:t>People with disabilities should be supported to achieve full citizenship and enjoy their rights as citizens to the full</w:t>
      </w:r>
      <w:r w:rsidR="00BC6E5C" w:rsidRPr="000E5635">
        <w:rPr>
          <w:sz w:val="20"/>
          <w:szCs w:val="20"/>
        </w:rPr>
        <w:t>.</w:t>
      </w:r>
    </w:p>
    <w:p w:rsidR="00780D58" w:rsidRPr="000E5635" w:rsidRDefault="007906B0" w:rsidP="00084D08">
      <w:pPr>
        <w:pStyle w:val="ListParagraph"/>
        <w:numPr>
          <w:ilvl w:val="0"/>
          <w:numId w:val="35"/>
        </w:numPr>
        <w:spacing w:after="0" w:line="240" w:lineRule="auto"/>
        <w:rPr>
          <w:sz w:val="20"/>
          <w:szCs w:val="20"/>
        </w:rPr>
      </w:pPr>
      <w:r w:rsidRPr="000E5635">
        <w:rPr>
          <w:b/>
          <w:sz w:val="20"/>
          <w:szCs w:val="20"/>
        </w:rPr>
        <w:t>Cooperation with the housing sector</w:t>
      </w:r>
      <w:r w:rsidRPr="000E5635">
        <w:rPr>
          <w:sz w:val="20"/>
          <w:szCs w:val="20"/>
        </w:rPr>
        <w:t xml:space="preserve">. </w:t>
      </w:r>
      <w:r w:rsidR="00780D58" w:rsidRPr="000E5635">
        <w:rPr>
          <w:sz w:val="20"/>
          <w:szCs w:val="20"/>
          <w:lang w:eastAsia="en-GB"/>
        </w:rPr>
        <w:t xml:space="preserve">The realisation of inclusive communities where people can live independently and receive support according to </w:t>
      </w:r>
      <w:r w:rsidR="00E3071B">
        <w:rPr>
          <w:sz w:val="20"/>
          <w:szCs w:val="20"/>
          <w:lang w:eastAsia="en-GB"/>
        </w:rPr>
        <w:t xml:space="preserve">their </w:t>
      </w:r>
      <w:r w:rsidR="00780D58" w:rsidRPr="000E5635">
        <w:rPr>
          <w:sz w:val="20"/>
          <w:szCs w:val="20"/>
          <w:lang w:eastAsia="en-GB"/>
        </w:rPr>
        <w:t xml:space="preserve">needs and wishes can only be possible if </w:t>
      </w:r>
      <w:r w:rsidR="00E3071B">
        <w:rPr>
          <w:sz w:val="20"/>
          <w:szCs w:val="20"/>
          <w:lang w:eastAsia="en-GB"/>
        </w:rPr>
        <w:t>individualised support</w:t>
      </w:r>
      <w:r w:rsidR="00780D58" w:rsidRPr="000E5635">
        <w:rPr>
          <w:sz w:val="20"/>
          <w:szCs w:val="20"/>
          <w:lang w:eastAsia="en-GB"/>
        </w:rPr>
        <w:t xml:space="preserve"> services for persons with disabilities are part of a greater network with mainstream services. </w:t>
      </w:r>
      <w:r w:rsidR="00780D58" w:rsidRPr="000E5635">
        <w:rPr>
          <w:sz w:val="20"/>
          <w:szCs w:val="20"/>
        </w:rPr>
        <w:t>The development of community based services and residential facilities should build on a strong cooperation with the housing sector.</w:t>
      </w:r>
    </w:p>
    <w:p w:rsidR="00414CD9" w:rsidRPr="000E5635" w:rsidRDefault="00414CD9" w:rsidP="00084D08">
      <w:pPr>
        <w:spacing w:after="0" w:line="240" w:lineRule="auto"/>
        <w:contextualSpacing/>
        <w:rPr>
          <w:noProof/>
          <w:sz w:val="20"/>
          <w:szCs w:val="20"/>
          <w:lang w:val="en-US" w:eastAsia="en-GB"/>
        </w:rPr>
      </w:pPr>
    </w:p>
    <w:p w:rsidR="00EC2830" w:rsidRPr="000E5635" w:rsidRDefault="00EC2830" w:rsidP="00084D08">
      <w:pPr>
        <w:spacing w:after="0" w:line="240" w:lineRule="auto"/>
        <w:contextualSpacing/>
        <w:rPr>
          <w:noProof/>
          <w:sz w:val="20"/>
          <w:szCs w:val="20"/>
          <w:lang w:val="en-US" w:eastAsia="en-GB"/>
        </w:rPr>
      </w:pPr>
    </w:p>
    <w:p w:rsidR="0034333D" w:rsidRPr="000E5635" w:rsidRDefault="002B2031" w:rsidP="00084D08">
      <w:pPr>
        <w:pStyle w:val="Heading1"/>
        <w:pBdr>
          <w:bottom w:val="single" w:sz="4" w:space="2" w:color="auto"/>
        </w:pBdr>
        <w:spacing w:before="0" w:after="100" w:afterAutospacing="1" w:line="240" w:lineRule="auto"/>
        <w:contextualSpacing/>
        <w:rPr>
          <w:rFonts w:asciiTheme="minorHAnsi" w:hAnsiTheme="minorHAnsi"/>
          <w:sz w:val="24"/>
        </w:rPr>
      </w:pPr>
      <w:bookmarkStart w:id="12" w:name="_Toc486226563"/>
      <w:r w:rsidRPr="000E5635">
        <w:rPr>
          <w:rFonts w:asciiTheme="minorHAnsi" w:hAnsiTheme="minorHAnsi"/>
          <w:sz w:val="24"/>
        </w:rPr>
        <w:t xml:space="preserve">2. </w:t>
      </w:r>
      <w:r w:rsidR="00084D08" w:rsidRPr="000E5635">
        <w:rPr>
          <w:rFonts w:asciiTheme="minorHAnsi" w:hAnsiTheme="minorHAnsi"/>
          <w:sz w:val="24"/>
        </w:rPr>
        <w:t>Comments on</w:t>
      </w:r>
      <w:r w:rsidR="007B1B3F" w:rsidRPr="000E5635">
        <w:rPr>
          <w:rFonts w:asciiTheme="minorHAnsi" w:hAnsiTheme="minorHAnsi"/>
          <w:sz w:val="24"/>
        </w:rPr>
        <w:t xml:space="preserve"> Article 19 </w:t>
      </w:r>
      <w:r w:rsidR="001B6A66" w:rsidRPr="000E5635">
        <w:rPr>
          <w:rFonts w:asciiTheme="minorHAnsi" w:hAnsiTheme="minorHAnsi"/>
          <w:sz w:val="24"/>
        </w:rPr>
        <w:t>UN</w:t>
      </w:r>
      <w:r w:rsidR="007B1B3F" w:rsidRPr="000E5635">
        <w:rPr>
          <w:rFonts w:asciiTheme="minorHAnsi" w:hAnsiTheme="minorHAnsi"/>
          <w:sz w:val="24"/>
        </w:rPr>
        <w:t xml:space="preserve"> CRPD</w:t>
      </w:r>
      <w:bookmarkEnd w:id="12"/>
    </w:p>
    <w:p w:rsidR="00BF3DFF" w:rsidRPr="00920D2A" w:rsidRDefault="00920D2A" w:rsidP="00084D08">
      <w:pPr>
        <w:autoSpaceDE w:val="0"/>
        <w:autoSpaceDN w:val="0"/>
        <w:adjustRightInd w:val="0"/>
        <w:spacing w:after="0" w:line="240" w:lineRule="auto"/>
        <w:contextualSpacing/>
        <w:rPr>
          <w:rFonts w:ascii="TimesNewRoman" w:eastAsiaTheme="minorHAnsi" w:hAnsi="TimesNewRoman" w:cs="TimesNewRoman"/>
          <w:b/>
          <w:i/>
          <w:sz w:val="20"/>
          <w:szCs w:val="20"/>
          <w:lang w:eastAsia="en-US"/>
        </w:rPr>
      </w:pPr>
      <w:r>
        <w:rPr>
          <w:rFonts w:ascii="TimesNewRoman" w:eastAsiaTheme="minorHAnsi" w:hAnsi="TimesNewRoman" w:cs="TimesNewRoman"/>
          <w:b/>
          <w:i/>
          <w:sz w:val="20"/>
          <w:szCs w:val="20"/>
          <w:lang w:eastAsia="en-US"/>
        </w:rPr>
        <w:t>“</w:t>
      </w:r>
      <w:r w:rsidR="00BF3DFF" w:rsidRPr="00920D2A">
        <w:rPr>
          <w:rFonts w:ascii="TimesNewRoman" w:eastAsiaTheme="minorHAnsi" w:hAnsi="TimesNewRoman" w:cs="TimesNewRoman"/>
          <w:b/>
          <w:i/>
          <w:sz w:val="20"/>
          <w:szCs w:val="20"/>
          <w:lang w:eastAsia="en-US"/>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r>
        <w:rPr>
          <w:rFonts w:ascii="TimesNewRoman" w:eastAsiaTheme="minorHAnsi" w:hAnsi="TimesNewRoman" w:cs="TimesNewRoman"/>
          <w:b/>
          <w:i/>
          <w:sz w:val="20"/>
          <w:szCs w:val="20"/>
          <w:lang w:eastAsia="en-US"/>
        </w:rPr>
        <w:t>”</w:t>
      </w:r>
    </w:p>
    <w:p w:rsidR="00BF3DFF" w:rsidRDefault="00BF3DFF" w:rsidP="00084D08">
      <w:pPr>
        <w:autoSpaceDE w:val="0"/>
        <w:autoSpaceDN w:val="0"/>
        <w:adjustRightInd w:val="0"/>
        <w:spacing w:after="0" w:line="240" w:lineRule="auto"/>
        <w:contextualSpacing/>
        <w:rPr>
          <w:rFonts w:ascii="TimesNewRoman" w:eastAsiaTheme="minorHAnsi" w:hAnsi="TimesNewRoman" w:cs="TimesNewRoman"/>
          <w:b/>
          <w:sz w:val="20"/>
          <w:szCs w:val="20"/>
          <w:lang w:eastAsia="en-US"/>
        </w:rPr>
      </w:pPr>
    </w:p>
    <w:p w:rsidR="00082F28" w:rsidRPr="000E5635" w:rsidRDefault="00082F28" w:rsidP="00084D08">
      <w:pPr>
        <w:autoSpaceDE w:val="0"/>
        <w:autoSpaceDN w:val="0"/>
        <w:adjustRightInd w:val="0"/>
        <w:spacing w:after="0" w:line="240" w:lineRule="auto"/>
        <w:contextualSpacing/>
        <w:rPr>
          <w:rFonts w:eastAsiaTheme="minorHAnsi" w:cs="TimesNewRoman"/>
          <w:sz w:val="20"/>
          <w:szCs w:val="20"/>
          <w:lang w:eastAsia="en-US"/>
        </w:rPr>
      </w:pPr>
      <w:r w:rsidRPr="000E5635">
        <w:rPr>
          <w:rFonts w:eastAsiaTheme="minorHAnsi" w:cs="TimesNewRoman"/>
          <w:sz w:val="20"/>
          <w:szCs w:val="20"/>
          <w:lang w:eastAsia="en-US"/>
        </w:rPr>
        <w:t>People with intensive support needs and/or people from minority communities must be taken specifically into account when new services are planned, so that their needs are considered with the same urgency and priority as others who are making the transition to community-base</w:t>
      </w:r>
      <w:r w:rsidR="00920D2A" w:rsidRPr="000E5635">
        <w:rPr>
          <w:rFonts w:eastAsiaTheme="minorHAnsi" w:cs="TimesNewRoman"/>
          <w:sz w:val="20"/>
          <w:szCs w:val="20"/>
          <w:lang w:eastAsia="en-US"/>
        </w:rPr>
        <w:t>d</w:t>
      </w:r>
      <w:r w:rsidRPr="000E5635">
        <w:rPr>
          <w:rFonts w:eastAsiaTheme="minorHAnsi" w:cs="TimesNewRoman"/>
          <w:sz w:val="20"/>
          <w:szCs w:val="20"/>
          <w:lang w:eastAsia="en-US"/>
        </w:rPr>
        <w:t xml:space="preserve"> services.</w:t>
      </w:r>
    </w:p>
    <w:p w:rsidR="00920D2A" w:rsidRPr="000E5635" w:rsidRDefault="00920D2A" w:rsidP="00084D08">
      <w:pPr>
        <w:autoSpaceDE w:val="0"/>
        <w:autoSpaceDN w:val="0"/>
        <w:adjustRightInd w:val="0"/>
        <w:spacing w:after="0" w:line="240" w:lineRule="auto"/>
        <w:contextualSpacing/>
        <w:rPr>
          <w:rFonts w:eastAsiaTheme="minorHAnsi" w:cs="TimesNewRoman"/>
          <w:sz w:val="20"/>
          <w:szCs w:val="20"/>
          <w:lang w:eastAsia="en-US"/>
        </w:rPr>
      </w:pPr>
      <w:r w:rsidRPr="000E5635">
        <w:rPr>
          <w:rFonts w:eastAsiaTheme="minorHAnsi" w:cs="TimesNewRoman"/>
          <w:sz w:val="20"/>
          <w:szCs w:val="20"/>
          <w:lang w:eastAsia="en-US"/>
        </w:rPr>
        <w:t xml:space="preserve">The </w:t>
      </w:r>
      <w:r w:rsidR="000D1A6A" w:rsidRPr="000E5635">
        <w:rPr>
          <w:rFonts w:eastAsiaTheme="minorHAnsi" w:cs="TimesNewRoman"/>
          <w:sz w:val="20"/>
          <w:szCs w:val="20"/>
          <w:lang w:eastAsia="en-US"/>
        </w:rPr>
        <w:t>use</w:t>
      </w:r>
      <w:r w:rsidRPr="000E5635">
        <w:rPr>
          <w:rFonts w:eastAsiaTheme="minorHAnsi" w:cs="TimesNewRoman"/>
          <w:sz w:val="20"/>
          <w:szCs w:val="20"/>
          <w:lang w:eastAsia="en-US"/>
        </w:rPr>
        <w:t xml:space="preserve"> of </w:t>
      </w:r>
      <w:r w:rsidRPr="000E5635">
        <w:rPr>
          <w:rFonts w:eastAsiaTheme="minorHAnsi" w:cs="TimesNewRoman"/>
          <w:b/>
          <w:sz w:val="20"/>
          <w:szCs w:val="20"/>
          <w:lang w:eastAsia="en-US"/>
        </w:rPr>
        <w:t>co-production methodologies</w:t>
      </w:r>
      <w:r w:rsidRPr="000E5635">
        <w:rPr>
          <w:rFonts w:eastAsiaTheme="minorHAnsi" w:cs="TimesNewRoman"/>
          <w:sz w:val="20"/>
          <w:szCs w:val="20"/>
          <w:lang w:eastAsia="en-US"/>
        </w:rPr>
        <w:t xml:space="preserve"> could allow </w:t>
      </w:r>
      <w:r w:rsidR="000D1A6A" w:rsidRPr="000E5635">
        <w:rPr>
          <w:rFonts w:eastAsiaTheme="minorHAnsi" w:cs="TimesNewRoman"/>
          <w:sz w:val="20"/>
          <w:szCs w:val="20"/>
          <w:lang w:eastAsia="en-US"/>
        </w:rPr>
        <w:t xml:space="preserve">the implementation of inclusive working practices with the ultimate goal to </w:t>
      </w:r>
      <w:r w:rsidR="003B54E2" w:rsidRPr="000E5635">
        <w:rPr>
          <w:rFonts w:eastAsiaTheme="minorHAnsi" w:cs="TimesNewRoman"/>
          <w:sz w:val="20"/>
          <w:szCs w:val="20"/>
          <w:lang w:eastAsia="en-US"/>
        </w:rPr>
        <w:t>deliver</w:t>
      </w:r>
      <w:r w:rsidR="000D1A6A" w:rsidRPr="000E5635">
        <w:rPr>
          <w:rFonts w:eastAsiaTheme="minorHAnsi" w:cs="TimesNewRoman"/>
          <w:sz w:val="20"/>
          <w:szCs w:val="20"/>
          <w:lang w:eastAsia="en-US"/>
        </w:rPr>
        <w:t xml:space="preserve"> a service that is responsive to the user’s needs and preferences.</w:t>
      </w:r>
    </w:p>
    <w:p w:rsidR="004966F8" w:rsidRPr="00C938B4" w:rsidRDefault="004966F8" w:rsidP="00084D08">
      <w:pPr>
        <w:autoSpaceDE w:val="0"/>
        <w:autoSpaceDN w:val="0"/>
        <w:adjustRightInd w:val="0"/>
        <w:spacing w:after="0" w:line="240" w:lineRule="auto"/>
        <w:contextualSpacing/>
        <w:rPr>
          <w:rFonts w:ascii="TimesNewRoman" w:eastAsiaTheme="minorHAnsi" w:hAnsi="TimesNewRoman" w:cs="TimesNewRoman"/>
          <w:b/>
          <w:sz w:val="20"/>
          <w:szCs w:val="20"/>
          <w:lang w:eastAsia="en-US"/>
        </w:rPr>
      </w:pPr>
    </w:p>
    <w:p w:rsidR="00A31A1C" w:rsidRPr="00C938B4" w:rsidRDefault="00A31A1C" w:rsidP="007F2927">
      <w:pPr>
        <w:autoSpaceDE w:val="0"/>
        <w:autoSpaceDN w:val="0"/>
        <w:adjustRightInd w:val="0"/>
        <w:spacing w:after="0" w:line="240" w:lineRule="auto"/>
        <w:rPr>
          <w:rFonts w:ascii="TimesNewRoman" w:eastAsiaTheme="minorHAnsi" w:hAnsi="TimesNewRoman" w:cs="TimesNewRoman"/>
          <w:b/>
          <w:sz w:val="20"/>
          <w:szCs w:val="20"/>
          <w:lang w:eastAsia="en-US"/>
        </w:rPr>
      </w:pPr>
      <w:r w:rsidRPr="00C938B4">
        <w:rPr>
          <w:rFonts w:ascii="TimesNewRoman" w:eastAsiaTheme="minorHAnsi" w:hAnsi="TimesNewRoman" w:cs="TimesNewRoman"/>
          <w:b/>
          <w:sz w:val="20"/>
          <w:szCs w:val="20"/>
          <w:lang w:eastAsia="en-US"/>
        </w:rPr>
        <w:t>Article 19 paragraph a</w:t>
      </w:r>
    </w:p>
    <w:p w:rsidR="00A31A1C" w:rsidRPr="00C938B4" w:rsidRDefault="00A31A1C" w:rsidP="00084D08">
      <w:pPr>
        <w:spacing w:after="0" w:line="240" w:lineRule="auto"/>
        <w:contextualSpacing/>
        <w:rPr>
          <w:rFonts w:ascii="TimesNewRoman" w:hAnsi="TimesNewRoman"/>
          <w:b/>
          <w:sz w:val="20"/>
          <w:szCs w:val="20"/>
          <w:lang w:eastAsia="en-US"/>
        </w:rPr>
      </w:pPr>
    </w:p>
    <w:p w:rsidR="00FB6FB3" w:rsidRPr="00920D2A" w:rsidRDefault="00920D2A" w:rsidP="00084D08">
      <w:pPr>
        <w:pStyle w:val="ListParagraph"/>
        <w:numPr>
          <w:ilvl w:val="0"/>
          <w:numId w:val="36"/>
        </w:numPr>
        <w:autoSpaceDE w:val="0"/>
        <w:autoSpaceDN w:val="0"/>
        <w:adjustRightInd w:val="0"/>
        <w:spacing w:after="0" w:line="240" w:lineRule="auto"/>
        <w:rPr>
          <w:rFonts w:ascii="TimesNewRoman" w:eastAsiaTheme="minorHAnsi" w:hAnsi="TimesNewRoman" w:cs="TimesNewRoman"/>
          <w:b/>
          <w:i/>
          <w:sz w:val="20"/>
          <w:szCs w:val="20"/>
          <w:lang w:eastAsia="en-US"/>
        </w:rPr>
      </w:pPr>
      <w:r w:rsidRPr="00920D2A">
        <w:rPr>
          <w:rFonts w:ascii="TimesNewRoman" w:eastAsiaTheme="minorHAnsi" w:hAnsi="TimesNewRoman" w:cs="TimesNewRoman"/>
          <w:b/>
          <w:i/>
          <w:sz w:val="20"/>
          <w:szCs w:val="20"/>
          <w:lang w:eastAsia="en-US"/>
        </w:rPr>
        <w:t>“</w:t>
      </w:r>
      <w:r w:rsidR="00BF3DFF" w:rsidRPr="00920D2A">
        <w:rPr>
          <w:rFonts w:ascii="TimesNewRoman" w:eastAsiaTheme="minorHAnsi" w:hAnsi="TimesNewRoman" w:cs="TimesNewRoman"/>
          <w:b/>
          <w:i/>
          <w:sz w:val="20"/>
          <w:szCs w:val="20"/>
          <w:lang w:eastAsia="en-US"/>
        </w:rPr>
        <w:t>Persons with disabilities have the opportunity to choose their place of residence and where and with whom they live on an equal basis with others and are not obliged to live in a particular living arrangement;</w:t>
      </w:r>
      <w:r w:rsidRPr="00920D2A">
        <w:rPr>
          <w:rFonts w:ascii="TimesNewRoman" w:eastAsiaTheme="minorHAnsi" w:hAnsi="TimesNewRoman" w:cs="TimesNewRoman"/>
          <w:b/>
          <w:i/>
          <w:sz w:val="20"/>
          <w:szCs w:val="20"/>
          <w:lang w:eastAsia="en-US"/>
        </w:rPr>
        <w:t>”</w:t>
      </w:r>
    </w:p>
    <w:p w:rsidR="00A31A1C" w:rsidRDefault="00A31A1C" w:rsidP="00084D08">
      <w:pPr>
        <w:autoSpaceDE w:val="0"/>
        <w:autoSpaceDN w:val="0"/>
        <w:adjustRightInd w:val="0"/>
        <w:spacing w:after="0" w:line="240" w:lineRule="auto"/>
        <w:contextualSpacing/>
        <w:rPr>
          <w:rFonts w:ascii="TimesNewRoman" w:eastAsiaTheme="minorHAnsi" w:hAnsi="TimesNewRoman" w:cs="TimesNewRoman"/>
          <w:sz w:val="20"/>
          <w:szCs w:val="20"/>
          <w:lang w:eastAsia="en-US"/>
        </w:rPr>
      </w:pPr>
    </w:p>
    <w:p w:rsidR="007F2927" w:rsidRPr="000E5635" w:rsidRDefault="007D1A6B" w:rsidP="00084D08">
      <w:pPr>
        <w:autoSpaceDE w:val="0"/>
        <w:autoSpaceDN w:val="0"/>
        <w:adjustRightInd w:val="0"/>
        <w:spacing w:after="0" w:line="240" w:lineRule="auto"/>
        <w:contextualSpacing/>
        <w:rPr>
          <w:sz w:val="20"/>
          <w:szCs w:val="20"/>
        </w:rPr>
      </w:pPr>
      <w:r w:rsidRPr="000E5635">
        <w:rPr>
          <w:sz w:val="20"/>
          <w:szCs w:val="20"/>
        </w:rPr>
        <w:t xml:space="preserve">The successful implementation of reform plans leading to the development and set-up of community-based services requires a </w:t>
      </w:r>
      <w:r w:rsidRPr="00376971">
        <w:rPr>
          <w:b/>
          <w:sz w:val="20"/>
          <w:szCs w:val="20"/>
        </w:rPr>
        <w:t>strong coordination between all the relevant actors</w:t>
      </w:r>
      <w:r w:rsidRPr="000E5635">
        <w:rPr>
          <w:sz w:val="20"/>
          <w:szCs w:val="20"/>
        </w:rPr>
        <w:t>, both at horizontal (various ministries, such as ministries of health and social affairs) and vertical (national and local authorities) level. Participation planning at national, regional and local levels as well as participative structures a</w:t>
      </w:r>
      <w:r w:rsidR="007F2927" w:rsidRPr="000E5635">
        <w:rPr>
          <w:sz w:val="20"/>
          <w:szCs w:val="20"/>
        </w:rPr>
        <w:t>nd bodies should be established; this includes also the promotion and support of independent self-advocacy groups.</w:t>
      </w:r>
    </w:p>
    <w:p w:rsidR="004966F8" w:rsidRDefault="00D94D67" w:rsidP="00084D08">
      <w:pPr>
        <w:autoSpaceDE w:val="0"/>
        <w:autoSpaceDN w:val="0"/>
        <w:adjustRightInd w:val="0"/>
        <w:spacing w:after="0" w:line="240" w:lineRule="auto"/>
        <w:contextualSpacing/>
        <w:rPr>
          <w:rFonts w:ascii="TimesNewRoman" w:eastAsiaTheme="minorHAnsi" w:hAnsi="TimesNewRoman" w:cs="TimesNewRoman"/>
          <w:sz w:val="20"/>
          <w:szCs w:val="20"/>
          <w:lang w:eastAsia="en-US"/>
        </w:rPr>
      </w:pPr>
      <w:r>
        <w:rPr>
          <w:rFonts w:ascii="TimesNewRoman" w:eastAsiaTheme="minorHAnsi" w:hAnsi="TimesNewRoman" w:cs="TimesNewRoman"/>
          <w:sz w:val="20"/>
          <w:szCs w:val="20"/>
          <w:lang w:eastAsia="en-US"/>
        </w:rPr>
        <w:t xml:space="preserve"> </w:t>
      </w:r>
    </w:p>
    <w:p w:rsidR="00A31A1C" w:rsidRPr="003258BE" w:rsidRDefault="00A31A1C" w:rsidP="007F2927">
      <w:pPr>
        <w:autoSpaceDE w:val="0"/>
        <w:autoSpaceDN w:val="0"/>
        <w:adjustRightInd w:val="0"/>
        <w:spacing w:after="0" w:line="240" w:lineRule="auto"/>
        <w:rPr>
          <w:rFonts w:ascii="TimesNewRoman" w:eastAsiaTheme="minorHAnsi" w:hAnsi="TimesNewRoman" w:cs="TimesNewRoman"/>
          <w:b/>
          <w:sz w:val="20"/>
          <w:szCs w:val="20"/>
          <w:lang w:eastAsia="en-US"/>
        </w:rPr>
      </w:pPr>
      <w:r w:rsidRPr="003258BE">
        <w:rPr>
          <w:rFonts w:ascii="TimesNewRoman" w:eastAsiaTheme="minorHAnsi" w:hAnsi="TimesNewRoman" w:cs="TimesNewRoman"/>
          <w:b/>
          <w:sz w:val="20"/>
          <w:szCs w:val="20"/>
          <w:lang w:eastAsia="en-US"/>
        </w:rPr>
        <w:t xml:space="preserve">Article 19 paragraph </w:t>
      </w:r>
      <w:r w:rsidR="007D1A6B" w:rsidRPr="003258BE">
        <w:rPr>
          <w:rFonts w:ascii="TimesNewRoman" w:eastAsiaTheme="minorHAnsi" w:hAnsi="TimesNewRoman" w:cs="TimesNewRoman"/>
          <w:b/>
          <w:sz w:val="20"/>
          <w:szCs w:val="20"/>
          <w:lang w:eastAsia="en-US"/>
        </w:rPr>
        <w:t>b</w:t>
      </w:r>
    </w:p>
    <w:p w:rsidR="00A31A1C" w:rsidRPr="003258BE" w:rsidRDefault="00A31A1C" w:rsidP="00084D08">
      <w:pPr>
        <w:autoSpaceDE w:val="0"/>
        <w:autoSpaceDN w:val="0"/>
        <w:adjustRightInd w:val="0"/>
        <w:spacing w:after="0" w:line="240" w:lineRule="auto"/>
        <w:contextualSpacing/>
        <w:rPr>
          <w:rFonts w:ascii="TimesNewRoman" w:eastAsiaTheme="minorHAnsi" w:hAnsi="TimesNewRoman" w:cs="TimesNewRoman"/>
          <w:b/>
          <w:sz w:val="20"/>
          <w:szCs w:val="20"/>
          <w:lang w:eastAsia="en-US"/>
        </w:rPr>
      </w:pPr>
    </w:p>
    <w:p w:rsidR="00BF3DFF" w:rsidRPr="00920D2A" w:rsidRDefault="00920D2A" w:rsidP="00084D08">
      <w:pPr>
        <w:pStyle w:val="ListParagraph"/>
        <w:numPr>
          <w:ilvl w:val="0"/>
          <w:numId w:val="36"/>
        </w:numPr>
        <w:autoSpaceDE w:val="0"/>
        <w:autoSpaceDN w:val="0"/>
        <w:adjustRightInd w:val="0"/>
        <w:spacing w:after="0" w:line="240" w:lineRule="auto"/>
        <w:rPr>
          <w:rFonts w:ascii="TimesNewRoman" w:eastAsiaTheme="minorHAnsi" w:hAnsi="TimesNewRoman" w:cs="TimesNewRoman"/>
          <w:b/>
          <w:i/>
          <w:sz w:val="20"/>
          <w:szCs w:val="20"/>
          <w:lang w:eastAsia="en-US"/>
        </w:rPr>
      </w:pPr>
      <w:r w:rsidRPr="00920D2A">
        <w:rPr>
          <w:rFonts w:ascii="TimesNewRoman" w:eastAsiaTheme="minorHAnsi" w:hAnsi="TimesNewRoman" w:cs="TimesNewRoman"/>
          <w:b/>
          <w:i/>
          <w:sz w:val="20"/>
          <w:szCs w:val="20"/>
          <w:lang w:eastAsia="en-US"/>
        </w:rPr>
        <w:t>“</w:t>
      </w:r>
      <w:r w:rsidR="00BF3DFF" w:rsidRPr="00920D2A">
        <w:rPr>
          <w:rFonts w:ascii="TimesNewRoman" w:eastAsiaTheme="minorHAnsi" w:hAnsi="TimesNewRoman" w:cs="TimesNewRoman"/>
          <w:b/>
          <w:i/>
          <w:sz w:val="20"/>
          <w:szCs w:val="20"/>
          <w:lang w:eastAsia="en-US"/>
        </w:rPr>
        <w:t>Persons with disabilities have access to a range of in-home, residential and other community support services, including personal assistance necessary to support living and inclusion in the community, and to prevent isolation or segregation from the community;</w:t>
      </w:r>
      <w:r w:rsidRPr="00920D2A">
        <w:rPr>
          <w:rFonts w:ascii="TimesNewRoman" w:eastAsiaTheme="minorHAnsi" w:hAnsi="TimesNewRoman" w:cs="TimesNewRoman"/>
          <w:b/>
          <w:i/>
          <w:sz w:val="20"/>
          <w:szCs w:val="20"/>
          <w:lang w:eastAsia="en-US"/>
        </w:rPr>
        <w:t>”</w:t>
      </w:r>
    </w:p>
    <w:p w:rsidR="00913746" w:rsidRDefault="00913746" w:rsidP="00084D08">
      <w:pPr>
        <w:tabs>
          <w:tab w:val="left" w:pos="142"/>
        </w:tabs>
        <w:spacing w:after="0" w:line="240" w:lineRule="auto"/>
        <w:contextualSpacing/>
        <w:rPr>
          <w:rFonts w:ascii="Roboto Condensed" w:hAnsi="Roboto Condensed"/>
          <w:sz w:val="20"/>
          <w:szCs w:val="20"/>
        </w:rPr>
      </w:pPr>
    </w:p>
    <w:p w:rsidR="004966F8" w:rsidRPr="000E5635" w:rsidRDefault="004966F8" w:rsidP="00084D08">
      <w:pPr>
        <w:tabs>
          <w:tab w:val="left" w:pos="142"/>
        </w:tabs>
        <w:spacing w:after="0" w:line="240" w:lineRule="auto"/>
        <w:contextualSpacing/>
        <w:rPr>
          <w:sz w:val="20"/>
          <w:szCs w:val="20"/>
        </w:rPr>
      </w:pPr>
      <w:r w:rsidRPr="000E5635">
        <w:rPr>
          <w:sz w:val="20"/>
          <w:szCs w:val="20"/>
        </w:rPr>
        <w:t>Services provided should be built around the concepts of person-centeredness and individualisation in order for them to be sensitive to the person’s needs and wishes.</w:t>
      </w:r>
      <w:r w:rsidR="00913746" w:rsidRPr="000E5635">
        <w:rPr>
          <w:sz w:val="20"/>
          <w:szCs w:val="20"/>
        </w:rPr>
        <w:t xml:space="preserve"> Universal design should be included in the service design.</w:t>
      </w:r>
    </w:p>
    <w:p w:rsidR="004966F8" w:rsidRPr="000E5635" w:rsidRDefault="004966F8" w:rsidP="00084D08">
      <w:pPr>
        <w:tabs>
          <w:tab w:val="left" w:pos="142"/>
        </w:tabs>
        <w:spacing w:after="0" w:line="240" w:lineRule="auto"/>
        <w:contextualSpacing/>
        <w:rPr>
          <w:sz w:val="20"/>
          <w:szCs w:val="20"/>
        </w:rPr>
      </w:pPr>
      <w:r w:rsidRPr="000E5635">
        <w:rPr>
          <w:sz w:val="20"/>
          <w:szCs w:val="20"/>
        </w:rPr>
        <w:t xml:space="preserve">Innovation in service provision should be fostered through structural involvement of persons with disabilities and their families. </w:t>
      </w:r>
    </w:p>
    <w:p w:rsidR="004966F8" w:rsidRDefault="00F4775A" w:rsidP="00084D08">
      <w:pPr>
        <w:spacing w:after="0" w:line="240" w:lineRule="auto"/>
        <w:contextualSpacing/>
        <w:rPr>
          <w:sz w:val="20"/>
          <w:szCs w:val="20"/>
        </w:rPr>
      </w:pPr>
      <w:r w:rsidRPr="000E5635">
        <w:rPr>
          <w:sz w:val="20"/>
          <w:szCs w:val="20"/>
        </w:rPr>
        <w:t xml:space="preserve">The delivery of support services should be built on </w:t>
      </w:r>
      <w:r w:rsidRPr="009F60FF">
        <w:rPr>
          <w:b/>
          <w:sz w:val="20"/>
          <w:szCs w:val="20"/>
        </w:rPr>
        <w:t xml:space="preserve">empowering </w:t>
      </w:r>
      <w:r w:rsidR="000E5635" w:rsidRPr="009F60FF">
        <w:rPr>
          <w:b/>
          <w:sz w:val="20"/>
          <w:szCs w:val="20"/>
        </w:rPr>
        <w:t>approaches</w:t>
      </w:r>
      <w:r w:rsidR="009F60FF">
        <w:rPr>
          <w:sz w:val="20"/>
          <w:szCs w:val="20"/>
        </w:rPr>
        <w:t xml:space="preserve"> - which may include also direct payment systems - </w:t>
      </w:r>
      <w:r w:rsidR="000E5635" w:rsidRPr="000E5635">
        <w:rPr>
          <w:sz w:val="20"/>
          <w:szCs w:val="20"/>
        </w:rPr>
        <w:t xml:space="preserve">based on </w:t>
      </w:r>
      <w:r w:rsidR="00954EB3">
        <w:rPr>
          <w:sz w:val="20"/>
          <w:szCs w:val="20"/>
        </w:rPr>
        <w:t>Q</w:t>
      </w:r>
      <w:r w:rsidR="000E5635" w:rsidRPr="000E5635">
        <w:rPr>
          <w:sz w:val="20"/>
          <w:szCs w:val="20"/>
        </w:rPr>
        <w:t xml:space="preserve">uality </w:t>
      </w:r>
      <w:r w:rsidR="00954EB3">
        <w:rPr>
          <w:sz w:val="20"/>
          <w:szCs w:val="20"/>
        </w:rPr>
        <w:t>A</w:t>
      </w:r>
      <w:r w:rsidR="000E5635" w:rsidRPr="000E5635">
        <w:rPr>
          <w:sz w:val="20"/>
          <w:szCs w:val="20"/>
        </w:rPr>
        <w:t xml:space="preserve">ssurance </w:t>
      </w:r>
      <w:r w:rsidR="00954EB3">
        <w:rPr>
          <w:sz w:val="20"/>
          <w:szCs w:val="20"/>
        </w:rPr>
        <w:t>S</w:t>
      </w:r>
      <w:r w:rsidRPr="000E5635">
        <w:rPr>
          <w:sz w:val="20"/>
          <w:szCs w:val="20"/>
        </w:rPr>
        <w:t>ystems</w:t>
      </w:r>
      <w:r w:rsidR="000E5635" w:rsidRPr="000E5635">
        <w:rPr>
          <w:sz w:val="20"/>
          <w:szCs w:val="20"/>
        </w:rPr>
        <w:t xml:space="preserve">. Personal assistance schemes </w:t>
      </w:r>
      <w:r w:rsidR="003E4BD3">
        <w:rPr>
          <w:sz w:val="20"/>
          <w:szCs w:val="20"/>
        </w:rPr>
        <w:t xml:space="preserve">and respite services </w:t>
      </w:r>
      <w:r w:rsidR="000E5635" w:rsidRPr="000E5635">
        <w:rPr>
          <w:sz w:val="20"/>
          <w:szCs w:val="20"/>
        </w:rPr>
        <w:t>should be foreseen and made available as part of a general framework of support services.</w:t>
      </w:r>
    </w:p>
    <w:p w:rsidR="00423E58" w:rsidRDefault="00423E58" w:rsidP="00423E58">
      <w:pPr>
        <w:spacing w:after="0" w:line="240" w:lineRule="auto"/>
        <w:contextualSpacing/>
        <w:rPr>
          <w:sz w:val="20"/>
          <w:szCs w:val="20"/>
        </w:rPr>
      </w:pPr>
      <w:r>
        <w:rPr>
          <w:sz w:val="20"/>
          <w:szCs w:val="20"/>
        </w:rPr>
        <w:t xml:space="preserve">A certain level of competition between services should be allowed in order to ensure the availability of sufficient </w:t>
      </w:r>
      <w:r w:rsidR="009F60FF">
        <w:rPr>
          <w:sz w:val="20"/>
          <w:szCs w:val="20"/>
        </w:rPr>
        <w:t>support</w:t>
      </w:r>
      <w:r>
        <w:rPr>
          <w:sz w:val="20"/>
          <w:szCs w:val="20"/>
        </w:rPr>
        <w:t xml:space="preserve"> choices for the users</w:t>
      </w:r>
      <w:r w:rsidR="009F60FF">
        <w:rPr>
          <w:sz w:val="20"/>
          <w:szCs w:val="20"/>
        </w:rPr>
        <w:t>, provided quality criteria are ensured</w:t>
      </w:r>
      <w:r>
        <w:rPr>
          <w:sz w:val="20"/>
          <w:szCs w:val="20"/>
        </w:rPr>
        <w:t>.</w:t>
      </w:r>
    </w:p>
    <w:p w:rsidR="00423E58" w:rsidRDefault="00423E58" w:rsidP="00084D08">
      <w:pPr>
        <w:spacing w:after="0" w:line="240" w:lineRule="auto"/>
        <w:contextualSpacing/>
        <w:rPr>
          <w:sz w:val="20"/>
          <w:szCs w:val="20"/>
        </w:rPr>
      </w:pPr>
    </w:p>
    <w:p w:rsidR="00F4775A" w:rsidRDefault="00F4775A" w:rsidP="00084D08">
      <w:pPr>
        <w:spacing w:after="0" w:line="240" w:lineRule="auto"/>
        <w:contextualSpacing/>
        <w:rPr>
          <w:rFonts w:ascii="TimesNewRoman" w:eastAsiaTheme="minorHAnsi" w:hAnsi="TimesNewRoman" w:cs="TimesNewRoman"/>
          <w:sz w:val="20"/>
          <w:szCs w:val="20"/>
          <w:lang w:eastAsia="en-US"/>
        </w:rPr>
      </w:pPr>
    </w:p>
    <w:p w:rsidR="00A31A1C" w:rsidRPr="00C938B4" w:rsidRDefault="00A31A1C" w:rsidP="007F2927">
      <w:pPr>
        <w:autoSpaceDE w:val="0"/>
        <w:autoSpaceDN w:val="0"/>
        <w:adjustRightInd w:val="0"/>
        <w:spacing w:after="0" w:line="240" w:lineRule="auto"/>
        <w:rPr>
          <w:rFonts w:ascii="TimesNewRoman" w:eastAsiaTheme="minorHAnsi" w:hAnsi="TimesNewRoman" w:cs="TimesNewRoman"/>
          <w:b/>
          <w:sz w:val="20"/>
          <w:szCs w:val="20"/>
          <w:lang w:eastAsia="en-US"/>
        </w:rPr>
      </w:pPr>
      <w:r w:rsidRPr="00C938B4">
        <w:rPr>
          <w:rFonts w:ascii="TimesNewRoman" w:eastAsiaTheme="minorHAnsi" w:hAnsi="TimesNewRoman" w:cs="TimesNewRoman"/>
          <w:b/>
          <w:sz w:val="20"/>
          <w:szCs w:val="20"/>
          <w:lang w:eastAsia="en-US"/>
        </w:rPr>
        <w:t>Article 19 paragraph c</w:t>
      </w:r>
    </w:p>
    <w:p w:rsidR="000D0D5D" w:rsidRPr="000D1A6A" w:rsidRDefault="000D0D5D" w:rsidP="00084D08">
      <w:pPr>
        <w:spacing w:after="0" w:line="240" w:lineRule="auto"/>
        <w:contextualSpacing/>
        <w:rPr>
          <w:rFonts w:ascii="TimesNewRoman" w:hAnsi="TimesNewRoman"/>
          <w:b/>
          <w:i/>
          <w:sz w:val="20"/>
          <w:szCs w:val="20"/>
          <w:lang w:eastAsia="en-US"/>
        </w:rPr>
      </w:pPr>
    </w:p>
    <w:p w:rsidR="00BF3DFF" w:rsidRPr="000D1A6A" w:rsidRDefault="000D1A6A" w:rsidP="00084D08">
      <w:pPr>
        <w:pStyle w:val="ListParagraph"/>
        <w:numPr>
          <w:ilvl w:val="0"/>
          <w:numId w:val="36"/>
        </w:numPr>
        <w:autoSpaceDE w:val="0"/>
        <w:autoSpaceDN w:val="0"/>
        <w:adjustRightInd w:val="0"/>
        <w:spacing w:after="0" w:line="240" w:lineRule="auto"/>
        <w:rPr>
          <w:rFonts w:ascii="TimesNewRoman" w:eastAsiaTheme="minorHAnsi" w:hAnsi="TimesNewRoman" w:cs="TimesNewRoman"/>
          <w:b/>
          <w:i/>
          <w:sz w:val="20"/>
          <w:szCs w:val="20"/>
          <w:lang w:eastAsia="en-US"/>
        </w:rPr>
      </w:pPr>
      <w:r w:rsidRPr="000D1A6A">
        <w:rPr>
          <w:rFonts w:ascii="TimesNewRoman" w:eastAsiaTheme="minorHAnsi" w:hAnsi="TimesNewRoman" w:cs="TimesNewRoman"/>
          <w:b/>
          <w:i/>
          <w:sz w:val="20"/>
          <w:szCs w:val="20"/>
          <w:lang w:eastAsia="en-US"/>
        </w:rPr>
        <w:t>“</w:t>
      </w:r>
      <w:r w:rsidR="00BF3DFF" w:rsidRPr="000D1A6A">
        <w:rPr>
          <w:rFonts w:ascii="TimesNewRoman" w:eastAsiaTheme="minorHAnsi" w:hAnsi="TimesNewRoman" w:cs="TimesNewRoman"/>
          <w:b/>
          <w:i/>
          <w:sz w:val="20"/>
          <w:szCs w:val="20"/>
          <w:lang w:eastAsia="en-US"/>
        </w:rPr>
        <w:t>Community services and facilities for the general population are available on an equal basis to persons with disabilities and are responsive to their needs.</w:t>
      </w:r>
      <w:r w:rsidRPr="000D1A6A">
        <w:rPr>
          <w:rFonts w:ascii="TimesNewRoman" w:eastAsiaTheme="minorHAnsi" w:hAnsi="TimesNewRoman" w:cs="TimesNewRoman"/>
          <w:b/>
          <w:i/>
          <w:sz w:val="20"/>
          <w:szCs w:val="20"/>
          <w:lang w:eastAsia="en-US"/>
        </w:rPr>
        <w:t>”</w:t>
      </w:r>
    </w:p>
    <w:p w:rsidR="00BF3DFF" w:rsidRDefault="00BF3DFF" w:rsidP="00084D08">
      <w:pPr>
        <w:tabs>
          <w:tab w:val="left" w:pos="142"/>
        </w:tabs>
        <w:spacing w:after="0" w:line="240" w:lineRule="auto"/>
        <w:ind w:right="1134"/>
        <w:contextualSpacing/>
        <w:rPr>
          <w:rFonts w:ascii="Roboto Condensed" w:hAnsi="Roboto Condensed"/>
          <w:sz w:val="20"/>
          <w:szCs w:val="20"/>
        </w:rPr>
      </w:pPr>
    </w:p>
    <w:p w:rsidR="004966F8" w:rsidRPr="000E5635" w:rsidRDefault="004966F8" w:rsidP="00084D08">
      <w:pPr>
        <w:tabs>
          <w:tab w:val="left" w:pos="142"/>
        </w:tabs>
        <w:spacing w:after="0" w:line="240" w:lineRule="auto"/>
        <w:contextualSpacing/>
        <w:rPr>
          <w:sz w:val="20"/>
          <w:szCs w:val="20"/>
        </w:rPr>
      </w:pPr>
      <w:r w:rsidRPr="000E5635">
        <w:rPr>
          <w:sz w:val="20"/>
          <w:szCs w:val="20"/>
        </w:rPr>
        <w:t xml:space="preserve">Welcoming communities are crucial for the development of community-based services; </w:t>
      </w:r>
      <w:r w:rsidR="003B54E2" w:rsidRPr="000E5635">
        <w:rPr>
          <w:sz w:val="20"/>
          <w:szCs w:val="20"/>
        </w:rPr>
        <w:t>therefore,</w:t>
      </w:r>
      <w:r w:rsidRPr="000E5635">
        <w:rPr>
          <w:sz w:val="20"/>
          <w:szCs w:val="20"/>
        </w:rPr>
        <w:t xml:space="preserve"> the public domain must be made accessible and ready to welcome people with support needs. The governments at all levels should make communication tools available to users, their families and the communities to facilitate full and effective inclusion of and participation by people with disabilities in their communities.</w:t>
      </w:r>
    </w:p>
    <w:p w:rsidR="00317EED" w:rsidRPr="000E5635" w:rsidRDefault="004966F8" w:rsidP="00084D08">
      <w:pPr>
        <w:tabs>
          <w:tab w:val="left" w:pos="142"/>
        </w:tabs>
        <w:spacing w:after="0" w:line="240" w:lineRule="auto"/>
        <w:contextualSpacing/>
        <w:rPr>
          <w:sz w:val="20"/>
          <w:szCs w:val="20"/>
        </w:rPr>
      </w:pPr>
      <w:r w:rsidRPr="000E5635">
        <w:rPr>
          <w:sz w:val="20"/>
          <w:szCs w:val="20"/>
        </w:rPr>
        <w:t>To e</w:t>
      </w:r>
      <w:r w:rsidR="00317EED" w:rsidRPr="000E5635">
        <w:rPr>
          <w:sz w:val="20"/>
          <w:szCs w:val="20"/>
        </w:rPr>
        <w:t xml:space="preserve">nsure </w:t>
      </w:r>
      <w:r w:rsidR="00DD4A8F" w:rsidRPr="000E5635">
        <w:rPr>
          <w:sz w:val="20"/>
          <w:szCs w:val="20"/>
        </w:rPr>
        <w:t xml:space="preserve">access to general services to persons with disabilities, a </w:t>
      </w:r>
      <w:r w:rsidR="00317EED" w:rsidRPr="000E5635">
        <w:rPr>
          <w:sz w:val="20"/>
          <w:szCs w:val="20"/>
        </w:rPr>
        <w:t>good cooperation and coordination between health and social services and between professio</w:t>
      </w:r>
      <w:r w:rsidR="00DD4A8F" w:rsidRPr="000E5635">
        <w:rPr>
          <w:sz w:val="20"/>
          <w:szCs w:val="20"/>
        </w:rPr>
        <w:t xml:space="preserve">nal and non-professional </w:t>
      </w:r>
      <w:r w:rsidR="0085655F">
        <w:rPr>
          <w:sz w:val="20"/>
          <w:szCs w:val="20"/>
        </w:rPr>
        <w:t>supporters</w:t>
      </w:r>
      <w:r w:rsidR="00DD4A8F" w:rsidRPr="000E5635">
        <w:rPr>
          <w:sz w:val="20"/>
          <w:szCs w:val="20"/>
        </w:rPr>
        <w:t xml:space="preserve"> is essential. To this end, tr</w:t>
      </w:r>
      <w:r w:rsidR="00317EED" w:rsidRPr="000E5635">
        <w:rPr>
          <w:sz w:val="20"/>
          <w:szCs w:val="20"/>
        </w:rPr>
        <w:t xml:space="preserve">aining programmes of future social, educational and health workers should be adapted to the UN CRPD </w:t>
      </w:r>
      <w:r w:rsidR="00DD4A8F" w:rsidRPr="000E5635">
        <w:rPr>
          <w:sz w:val="20"/>
          <w:szCs w:val="20"/>
        </w:rPr>
        <w:t>human rights</w:t>
      </w:r>
      <w:r w:rsidR="00317EED" w:rsidRPr="000E5635">
        <w:rPr>
          <w:sz w:val="20"/>
          <w:szCs w:val="20"/>
        </w:rPr>
        <w:t xml:space="preserve"> model of disability.</w:t>
      </w:r>
    </w:p>
    <w:p w:rsidR="00317EED" w:rsidRDefault="00317EED" w:rsidP="00084D08">
      <w:pPr>
        <w:tabs>
          <w:tab w:val="left" w:pos="142"/>
        </w:tabs>
        <w:spacing w:after="0" w:line="240" w:lineRule="auto"/>
        <w:contextualSpacing/>
        <w:rPr>
          <w:sz w:val="20"/>
          <w:szCs w:val="20"/>
        </w:rPr>
      </w:pPr>
    </w:p>
    <w:p w:rsidR="00AD65AC" w:rsidRDefault="00AD65AC" w:rsidP="00084D08">
      <w:pPr>
        <w:tabs>
          <w:tab w:val="left" w:pos="142"/>
        </w:tabs>
        <w:spacing w:after="0" w:line="240" w:lineRule="auto"/>
        <w:contextualSpacing/>
        <w:rPr>
          <w:sz w:val="20"/>
          <w:szCs w:val="20"/>
        </w:rPr>
      </w:pPr>
    </w:p>
    <w:p w:rsidR="00DF4100" w:rsidRPr="000E5635" w:rsidRDefault="00DF4100" w:rsidP="00DF4100">
      <w:pPr>
        <w:pStyle w:val="Heading1"/>
        <w:pBdr>
          <w:bottom w:val="single" w:sz="4" w:space="2" w:color="auto"/>
        </w:pBdr>
        <w:spacing w:before="0" w:after="100" w:afterAutospacing="1" w:line="240" w:lineRule="auto"/>
        <w:contextualSpacing/>
        <w:rPr>
          <w:rFonts w:asciiTheme="minorHAnsi" w:hAnsiTheme="minorHAnsi"/>
          <w:sz w:val="24"/>
        </w:rPr>
      </w:pPr>
      <w:bookmarkStart w:id="13" w:name="_Toc486226564"/>
      <w:r w:rsidRPr="000E5635">
        <w:rPr>
          <w:rFonts w:asciiTheme="minorHAnsi" w:hAnsiTheme="minorHAnsi"/>
          <w:sz w:val="24"/>
        </w:rPr>
        <w:t xml:space="preserve">3. </w:t>
      </w:r>
      <w:r>
        <w:rPr>
          <w:rFonts w:asciiTheme="minorHAnsi" w:hAnsiTheme="minorHAnsi"/>
          <w:sz w:val="24"/>
        </w:rPr>
        <w:t xml:space="preserve">Specific comments on the paragraphs of the </w:t>
      </w:r>
      <w:r w:rsidR="00F22550">
        <w:rPr>
          <w:rFonts w:asciiTheme="minorHAnsi" w:hAnsiTheme="minorHAnsi"/>
          <w:sz w:val="24"/>
        </w:rPr>
        <w:t xml:space="preserve">CRPD </w:t>
      </w:r>
      <w:r>
        <w:rPr>
          <w:rFonts w:asciiTheme="minorHAnsi" w:hAnsiTheme="minorHAnsi"/>
          <w:sz w:val="24"/>
        </w:rPr>
        <w:t>Draft General Comment</w:t>
      </w:r>
      <w:bookmarkEnd w:id="13"/>
      <w:r>
        <w:rPr>
          <w:rFonts w:asciiTheme="minorHAnsi" w:hAnsiTheme="minorHAnsi"/>
          <w:sz w:val="24"/>
        </w:rPr>
        <w:t xml:space="preserve"> </w:t>
      </w:r>
    </w:p>
    <w:p w:rsidR="00DF4100" w:rsidRPr="004209E7" w:rsidRDefault="00171DF2" w:rsidP="00084D08">
      <w:pPr>
        <w:tabs>
          <w:tab w:val="left" w:pos="142"/>
        </w:tabs>
        <w:spacing w:after="0" w:line="240" w:lineRule="auto"/>
        <w:contextualSpacing/>
        <w:rPr>
          <w:b/>
          <w:i/>
          <w:sz w:val="20"/>
          <w:szCs w:val="20"/>
        </w:rPr>
      </w:pPr>
      <w:r w:rsidRPr="004209E7">
        <w:rPr>
          <w:b/>
          <w:i/>
          <w:sz w:val="20"/>
          <w:szCs w:val="20"/>
        </w:rPr>
        <w:t>Paragraph 24</w:t>
      </w:r>
    </w:p>
    <w:p w:rsidR="00171DF2" w:rsidRDefault="00171DF2" w:rsidP="00084D08">
      <w:pPr>
        <w:tabs>
          <w:tab w:val="left" w:pos="142"/>
        </w:tabs>
        <w:spacing w:after="0" w:line="240" w:lineRule="auto"/>
        <w:contextualSpacing/>
        <w:rPr>
          <w:sz w:val="20"/>
          <w:szCs w:val="20"/>
        </w:rPr>
      </w:pPr>
      <w:r>
        <w:rPr>
          <w:sz w:val="20"/>
          <w:szCs w:val="20"/>
        </w:rPr>
        <w:t xml:space="preserve">The exercise of choice can be effectively realised when individuals are made part of the decision-making act. </w:t>
      </w:r>
      <w:r w:rsidRPr="005C081A">
        <w:rPr>
          <w:b/>
          <w:sz w:val="20"/>
          <w:szCs w:val="20"/>
        </w:rPr>
        <w:t>We would like to recommend the use of co-production methodologies</w:t>
      </w:r>
      <w:r>
        <w:rPr>
          <w:sz w:val="20"/>
          <w:szCs w:val="20"/>
        </w:rPr>
        <w:t xml:space="preserve"> and approaches as a way to allow individuals to take ownership through active and meaningful partnerships. </w:t>
      </w:r>
      <w:r w:rsidRPr="00171DF2">
        <w:rPr>
          <w:sz w:val="20"/>
          <w:szCs w:val="20"/>
        </w:rPr>
        <w:t xml:space="preserve">Through co-production all stakeholders are empowered and are empowering as they are continuously involved </w:t>
      </w:r>
      <w:r w:rsidR="00806D04">
        <w:rPr>
          <w:sz w:val="20"/>
          <w:szCs w:val="20"/>
        </w:rPr>
        <w:t xml:space="preserve">in a structural, meaningful and ongoing manner </w:t>
      </w:r>
      <w:r w:rsidRPr="00171DF2">
        <w:rPr>
          <w:sz w:val="20"/>
          <w:szCs w:val="20"/>
        </w:rPr>
        <w:t>in the design, development and delivery of the service, policy or activity</w:t>
      </w:r>
      <w:r>
        <w:rPr>
          <w:rStyle w:val="FootnoteReference"/>
          <w:sz w:val="20"/>
          <w:szCs w:val="20"/>
        </w:rPr>
        <w:footnoteReference w:id="1"/>
      </w:r>
      <w:r>
        <w:rPr>
          <w:sz w:val="20"/>
          <w:szCs w:val="20"/>
        </w:rPr>
        <w:t>.</w:t>
      </w:r>
      <w:r w:rsidR="004209E7">
        <w:rPr>
          <w:sz w:val="20"/>
          <w:szCs w:val="20"/>
        </w:rPr>
        <w:t xml:space="preserve"> </w:t>
      </w:r>
      <w:r w:rsidR="004209E7" w:rsidRPr="004209E7">
        <w:rPr>
          <w:sz w:val="20"/>
          <w:szCs w:val="20"/>
        </w:rPr>
        <w:t xml:space="preserve"> Co-production requires all stakeholders to acknowledge and recognise the expertise, desires, will and preferences of the person with support needs. Mechanisms must be put in place to ensure that people are provided with the right level of independent support, which empowers persons with disabilities to make fully informed decisions on how to engage in a co-productive process</w:t>
      </w:r>
      <w:r w:rsidR="004209E7">
        <w:rPr>
          <w:sz w:val="20"/>
          <w:szCs w:val="20"/>
        </w:rPr>
        <w:t>.</w:t>
      </w:r>
    </w:p>
    <w:p w:rsidR="00DF4100" w:rsidRDefault="00DF4100" w:rsidP="00084D08">
      <w:pPr>
        <w:tabs>
          <w:tab w:val="left" w:pos="142"/>
        </w:tabs>
        <w:spacing w:after="0" w:line="240" w:lineRule="auto"/>
        <w:contextualSpacing/>
        <w:rPr>
          <w:sz w:val="20"/>
          <w:szCs w:val="20"/>
        </w:rPr>
      </w:pPr>
    </w:p>
    <w:p w:rsidR="0021121A" w:rsidRPr="004209E7" w:rsidRDefault="0021121A" w:rsidP="0021121A">
      <w:pPr>
        <w:tabs>
          <w:tab w:val="left" w:pos="142"/>
        </w:tabs>
        <w:spacing w:after="0" w:line="240" w:lineRule="auto"/>
        <w:contextualSpacing/>
        <w:rPr>
          <w:b/>
          <w:i/>
          <w:sz w:val="20"/>
          <w:szCs w:val="20"/>
        </w:rPr>
      </w:pPr>
      <w:r w:rsidRPr="004209E7">
        <w:rPr>
          <w:b/>
          <w:i/>
          <w:sz w:val="20"/>
          <w:szCs w:val="20"/>
        </w:rPr>
        <w:t>Paragraph 2</w:t>
      </w:r>
      <w:r>
        <w:rPr>
          <w:b/>
          <w:i/>
          <w:sz w:val="20"/>
          <w:szCs w:val="20"/>
        </w:rPr>
        <w:t>7</w:t>
      </w:r>
    </w:p>
    <w:p w:rsidR="0021121A" w:rsidRPr="00D435BD" w:rsidRDefault="00376971" w:rsidP="00084D08">
      <w:pPr>
        <w:tabs>
          <w:tab w:val="left" w:pos="142"/>
        </w:tabs>
        <w:spacing w:after="0" w:line="240" w:lineRule="auto"/>
        <w:contextualSpacing/>
        <w:rPr>
          <w:i/>
          <w:sz w:val="20"/>
          <w:szCs w:val="20"/>
          <w:lang w:val="en-US"/>
        </w:rPr>
      </w:pPr>
      <w:r>
        <w:rPr>
          <w:i/>
          <w:sz w:val="20"/>
          <w:szCs w:val="20"/>
          <w:lang w:val="en-US"/>
        </w:rPr>
        <w:t>“</w:t>
      </w:r>
      <w:r w:rsidR="0021121A" w:rsidRPr="00D435BD">
        <w:rPr>
          <w:i/>
          <w:sz w:val="20"/>
          <w:szCs w:val="20"/>
          <w:lang w:val="en-US"/>
        </w:rPr>
        <w:t>27.</w:t>
      </w:r>
      <w:r w:rsidR="0021121A" w:rsidRPr="00D435BD">
        <w:rPr>
          <w:i/>
          <w:sz w:val="20"/>
          <w:szCs w:val="20"/>
          <w:lang w:val="en-US"/>
        </w:rPr>
        <w:tab/>
        <w:t>Article 19 (b) has to be interpreted in line with the human rights model of disability. Hence, individualised support services must be considered a right instead of a form of medical care or charity. For many persons with disabilities, access to a range of individualised support services is a precondition for independent and community living. Persons with disabilities have the right to choose services and service providers according to their individual requirements and personal preferences</w:t>
      </w:r>
      <w:r>
        <w:rPr>
          <w:i/>
          <w:sz w:val="20"/>
          <w:szCs w:val="20"/>
          <w:lang w:val="en-US"/>
        </w:rPr>
        <w:t>”</w:t>
      </w:r>
      <w:r w:rsidR="0021121A" w:rsidRPr="00D435BD">
        <w:rPr>
          <w:i/>
          <w:sz w:val="20"/>
          <w:szCs w:val="20"/>
          <w:lang w:val="en-US"/>
        </w:rPr>
        <w:t xml:space="preserve"> </w:t>
      </w:r>
      <w:r w:rsidR="0021121A" w:rsidRPr="00D435BD">
        <w:rPr>
          <w:b/>
          <w:i/>
          <w:sz w:val="20"/>
          <w:szCs w:val="20"/>
          <w:lang w:val="en-US"/>
        </w:rPr>
        <w:t xml:space="preserve">and individualized support should be flexible enough to adapt to the users’ needs </w:t>
      </w:r>
      <w:r w:rsidR="00D435BD" w:rsidRPr="00D435BD">
        <w:rPr>
          <w:b/>
          <w:i/>
          <w:sz w:val="20"/>
          <w:szCs w:val="20"/>
          <w:lang w:val="en-US"/>
        </w:rPr>
        <w:t>and not the other way around</w:t>
      </w:r>
      <w:r w:rsidR="0021121A" w:rsidRPr="00D435BD">
        <w:rPr>
          <w:i/>
          <w:sz w:val="20"/>
          <w:szCs w:val="20"/>
          <w:lang w:val="en-US"/>
        </w:rPr>
        <w:t>.</w:t>
      </w:r>
    </w:p>
    <w:p w:rsidR="0021121A" w:rsidRDefault="0021121A" w:rsidP="00084D08">
      <w:pPr>
        <w:tabs>
          <w:tab w:val="left" w:pos="142"/>
        </w:tabs>
        <w:spacing w:after="0" w:line="240" w:lineRule="auto"/>
        <w:contextualSpacing/>
        <w:rPr>
          <w:sz w:val="20"/>
          <w:szCs w:val="20"/>
        </w:rPr>
      </w:pPr>
    </w:p>
    <w:p w:rsidR="00941246" w:rsidRDefault="00941246" w:rsidP="00941246">
      <w:pPr>
        <w:tabs>
          <w:tab w:val="left" w:pos="142"/>
        </w:tabs>
        <w:spacing w:after="0" w:line="240" w:lineRule="auto"/>
        <w:contextualSpacing/>
        <w:rPr>
          <w:b/>
          <w:i/>
          <w:sz w:val="20"/>
          <w:szCs w:val="20"/>
        </w:rPr>
      </w:pPr>
      <w:r w:rsidRPr="004209E7">
        <w:rPr>
          <w:b/>
          <w:i/>
          <w:sz w:val="20"/>
          <w:szCs w:val="20"/>
        </w:rPr>
        <w:t xml:space="preserve">Paragraph </w:t>
      </w:r>
      <w:r w:rsidR="00AB1BBE">
        <w:rPr>
          <w:b/>
          <w:i/>
          <w:sz w:val="20"/>
          <w:szCs w:val="20"/>
        </w:rPr>
        <w:t>88</w:t>
      </w:r>
    </w:p>
    <w:p w:rsidR="009B1808" w:rsidRPr="00941246" w:rsidRDefault="00AB1BBE" w:rsidP="009B1808">
      <w:pPr>
        <w:tabs>
          <w:tab w:val="left" w:pos="142"/>
        </w:tabs>
        <w:spacing w:after="0" w:line="240" w:lineRule="auto"/>
        <w:contextualSpacing/>
        <w:rPr>
          <w:sz w:val="20"/>
          <w:szCs w:val="20"/>
        </w:rPr>
      </w:pPr>
      <w:r>
        <w:rPr>
          <w:sz w:val="20"/>
          <w:szCs w:val="20"/>
        </w:rPr>
        <w:t xml:space="preserve">While sheltered work does not always represent the most inclusive work practice, the more innovative forms of </w:t>
      </w:r>
      <w:r w:rsidRPr="00AB1BBE">
        <w:rPr>
          <w:b/>
          <w:sz w:val="20"/>
          <w:szCs w:val="20"/>
        </w:rPr>
        <w:t>sheltered work can provide a bridge between persons with disabilities and the labour market</w:t>
      </w:r>
      <w:r>
        <w:rPr>
          <w:sz w:val="20"/>
          <w:szCs w:val="20"/>
        </w:rPr>
        <w:t>. Often this represents their only possibility to make a step in</w:t>
      </w:r>
      <w:r w:rsidR="00376971">
        <w:rPr>
          <w:sz w:val="20"/>
          <w:szCs w:val="20"/>
        </w:rPr>
        <w:t>to</w:t>
      </w:r>
      <w:r w:rsidR="00D92418">
        <w:rPr>
          <w:sz w:val="20"/>
          <w:szCs w:val="20"/>
        </w:rPr>
        <w:t xml:space="preserve"> the</w:t>
      </w:r>
      <w:r>
        <w:rPr>
          <w:sz w:val="20"/>
          <w:szCs w:val="20"/>
        </w:rPr>
        <w:t xml:space="preserve"> world of work, therefore there is a need for sheltered work to be better connected with mainstream actors of society to strengthen the potential of inclusion of persons with disabilities.</w:t>
      </w:r>
      <w:r w:rsidR="00D92418">
        <w:rPr>
          <w:sz w:val="20"/>
          <w:szCs w:val="20"/>
        </w:rPr>
        <w:t xml:space="preserve"> </w:t>
      </w:r>
      <w:r w:rsidR="009B1808" w:rsidRPr="00376971">
        <w:rPr>
          <w:b/>
          <w:sz w:val="20"/>
          <w:szCs w:val="20"/>
        </w:rPr>
        <w:t>Social economy enterprises</w:t>
      </w:r>
      <w:r w:rsidR="009B1808">
        <w:rPr>
          <w:sz w:val="20"/>
          <w:szCs w:val="20"/>
        </w:rPr>
        <w:t xml:space="preserve"> – which sometimes fall under the category of sheltered work</w:t>
      </w:r>
      <w:r w:rsidR="00376971">
        <w:rPr>
          <w:sz w:val="20"/>
          <w:szCs w:val="20"/>
        </w:rPr>
        <w:t>,</w:t>
      </w:r>
      <w:r w:rsidR="009B1808">
        <w:rPr>
          <w:sz w:val="20"/>
          <w:szCs w:val="20"/>
        </w:rPr>
        <w:t xml:space="preserve"> depending on national definitions - are a positive example of inclusion of persons with disabilities in the </w:t>
      </w:r>
      <w:r w:rsidR="00376971">
        <w:rPr>
          <w:sz w:val="20"/>
          <w:szCs w:val="20"/>
        </w:rPr>
        <w:t xml:space="preserve">open </w:t>
      </w:r>
      <w:r w:rsidR="009B1808">
        <w:rPr>
          <w:sz w:val="20"/>
          <w:szCs w:val="20"/>
        </w:rPr>
        <w:t>labour market.</w:t>
      </w:r>
    </w:p>
    <w:p w:rsidR="004E7A47" w:rsidRDefault="004E7A47" w:rsidP="00941246">
      <w:pPr>
        <w:tabs>
          <w:tab w:val="left" w:pos="142"/>
        </w:tabs>
        <w:spacing w:after="0" w:line="240" w:lineRule="auto"/>
        <w:contextualSpacing/>
        <w:rPr>
          <w:sz w:val="20"/>
          <w:szCs w:val="20"/>
        </w:rPr>
      </w:pPr>
    </w:p>
    <w:p w:rsidR="003E586D" w:rsidRDefault="003E586D" w:rsidP="003E586D">
      <w:pPr>
        <w:tabs>
          <w:tab w:val="left" w:pos="142"/>
        </w:tabs>
        <w:spacing w:after="0" w:line="240" w:lineRule="auto"/>
        <w:contextualSpacing/>
        <w:rPr>
          <w:b/>
          <w:i/>
          <w:sz w:val="20"/>
          <w:szCs w:val="20"/>
        </w:rPr>
      </w:pPr>
      <w:r w:rsidRPr="004209E7">
        <w:rPr>
          <w:b/>
          <w:i/>
          <w:sz w:val="20"/>
          <w:szCs w:val="20"/>
        </w:rPr>
        <w:t xml:space="preserve">Paragraph </w:t>
      </w:r>
      <w:r>
        <w:rPr>
          <w:b/>
          <w:i/>
          <w:sz w:val="20"/>
          <w:szCs w:val="20"/>
        </w:rPr>
        <w:t>89</w:t>
      </w:r>
    </w:p>
    <w:p w:rsidR="003E586D" w:rsidRPr="00D92418" w:rsidRDefault="003E586D" w:rsidP="00084D08">
      <w:pPr>
        <w:tabs>
          <w:tab w:val="left" w:pos="142"/>
        </w:tabs>
        <w:spacing w:after="0" w:line="240" w:lineRule="auto"/>
        <w:contextualSpacing/>
        <w:rPr>
          <w:sz w:val="20"/>
          <w:szCs w:val="20"/>
        </w:rPr>
      </w:pPr>
      <w:r w:rsidRPr="00D92418">
        <w:rPr>
          <w:sz w:val="20"/>
          <w:szCs w:val="20"/>
        </w:rPr>
        <w:t xml:space="preserve">It is important to mark </w:t>
      </w:r>
      <w:r w:rsidRPr="00D92418">
        <w:rPr>
          <w:b/>
          <w:sz w:val="20"/>
          <w:szCs w:val="20"/>
        </w:rPr>
        <w:t>the need for support services along the cycle of life of the individual, including the elderly stage of life</w:t>
      </w:r>
      <w:r w:rsidRPr="00D92418">
        <w:rPr>
          <w:sz w:val="20"/>
          <w:szCs w:val="20"/>
        </w:rPr>
        <w:t xml:space="preserve"> and ensuring the availability of support and residential-comm</w:t>
      </w:r>
      <w:r w:rsidR="00774CD4" w:rsidRPr="00D92418">
        <w:rPr>
          <w:sz w:val="20"/>
          <w:szCs w:val="20"/>
        </w:rPr>
        <w:t xml:space="preserve">unity based services also when family </w:t>
      </w:r>
      <w:r w:rsidR="0085655F">
        <w:rPr>
          <w:sz w:val="20"/>
          <w:szCs w:val="20"/>
        </w:rPr>
        <w:t>members and supported</w:t>
      </w:r>
      <w:r w:rsidR="00774CD4" w:rsidRPr="00D92418">
        <w:rPr>
          <w:sz w:val="20"/>
          <w:szCs w:val="20"/>
        </w:rPr>
        <w:t xml:space="preserve"> have passed away. Often, the lack of continuity and of permanent support to individuals in more inclusive-community-base</w:t>
      </w:r>
      <w:r w:rsidR="0085655F">
        <w:rPr>
          <w:sz w:val="20"/>
          <w:szCs w:val="20"/>
        </w:rPr>
        <w:t>d settings obliges family-supporters</w:t>
      </w:r>
      <w:r w:rsidR="00774CD4" w:rsidRPr="00D92418">
        <w:rPr>
          <w:sz w:val="20"/>
          <w:szCs w:val="20"/>
        </w:rPr>
        <w:t xml:space="preserve"> to give priority to less inclusive services that guarantee support in the long-term, </w:t>
      </w:r>
      <w:r w:rsidR="00AD65AC" w:rsidRPr="00D92418">
        <w:rPr>
          <w:sz w:val="20"/>
          <w:szCs w:val="20"/>
        </w:rPr>
        <w:t>including</w:t>
      </w:r>
      <w:r w:rsidR="00774CD4" w:rsidRPr="00D92418">
        <w:rPr>
          <w:sz w:val="20"/>
          <w:szCs w:val="20"/>
        </w:rPr>
        <w:t xml:space="preserve"> when they will not be able to support their family members.</w:t>
      </w:r>
    </w:p>
    <w:p w:rsidR="003E586D" w:rsidRDefault="003E586D" w:rsidP="00084D08">
      <w:pPr>
        <w:tabs>
          <w:tab w:val="left" w:pos="142"/>
        </w:tabs>
        <w:spacing w:after="0" w:line="240" w:lineRule="auto"/>
        <w:contextualSpacing/>
        <w:rPr>
          <w:sz w:val="18"/>
          <w:szCs w:val="20"/>
        </w:rPr>
      </w:pPr>
    </w:p>
    <w:p w:rsidR="000915F4" w:rsidRPr="000E5635" w:rsidRDefault="00DF4100" w:rsidP="000915F4">
      <w:pPr>
        <w:pStyle w:val="Heading1"/>
        <w:pBdr>
          <w:bottom w:val="single" w:sz="4" w:space="2" w:color="auto"/>
        </w:pBdr>
        <w:spacing w:before="0" w:after="100" w:afterAutospacing="1" w:line="240" w:lineRule="auto"/>
        <w:contextualSpacing/>
        <w:rPr>
          <w:rFonts w:asciiTheme="minorHAnsi" w:hAnsiTheme="minorHAnsi"/>
          <w:sz w:val="24"/>
        </w:rPr>
      </w:pPr>
      <w:bookmarkStart w:id="14" w:name="_Toc486226565"/>
      <w:r>
        <w:rPr>
          <w:rFonts w:asciiTheme="minorHAnsi" w:hAnsiTheme="minorHAnsi"/>
          <w:sz w:val="24"/>
        </w:rPr>
        <w:t>4</w:t>
      </w:r>
      <w:r w:rsidR="000915F4" w:rsidRPr="000E5635">
        <w:rPr>
          <w:rFonts w:asciiTheme="minorHAnsi" w:hAnsiTheme="minorHAnsi"/>
          <w:sz w:val="24"/>
        </w:rPr>
        <w:t>. Relations with other Articles</w:t>
      </w:r>
      <w:bookmarkEnd w:id="14"/>
    </w:p>
    <w:p w:rsidR="000C60C9" w:rsidRPr="000E5635" w:rsidRDefault="000C60C9" w:rsidP="000C60C9">
      <w:pPr>
        <w:pStyle w:val="H23G"/>
        <w:numPr>
          <w:ilvl w:val="0"/>
          <w:numId w:val="40"/>
        </w:numPr>
        <w:spacing w:after="0" w:line="240" w:lineRule="auto"/>
        <w:ind w:right="0"/>
        <w:contextualSpacing/>
        <w:jc w:val="both"/>
        <w:rPr>
          <w:rFonts w:asciiTheme="minorHAnsi" w:hAnsiTheme="minorHAnsi"/>
          <w:b w:val="0"/>
        </w:rPr>
      </w:pPr>
      <w:r w:rsidRPr="000E5635">
        <w:rPr>
          <w:rFonts w:asciiTheme="minorHAnsi" w:hAnsiTheme="minorHAnsi"/>
        </w:rPr>
        <w:t xml:space="preserve">Article 8 (Awareness raising): </w:t>
      </w:r>
      <w:r w:rsidRPr="000E5635">
        <w:rPr>
          <w:rFonts w:asciiTheme="minorHAnsi" w:hAnsiTheme="minorHAnsi"/>
          <w:b w:val="0"/>
        </w:rPr>
        <w:t>Living independently leads to the recognition of people as full citizens with equal rights. The general population should become more and more familiar with societies that are truly inclusive and promote equal opportunities for all.</w:t>
      </w:r>
    </w:p>
    <w:p w:rsidR="000C60C9" w:rsidRPr="000E5635" w:rsidRDefault="000C60C9" w:rsidP="00ED0AAB">
      <w:pPr>
        <w:pStyle w:val="H23G"/>
        <w:numPr>
          <w:ilvl w:val="0"/>
          <w:numId w:val="40"/>
        </w:numPr>
        <w:spacing w:before="0" w:after="0" w:line="240" w:lineRule="auto"/>
        <w:ind w:right="0"/>
        <w:contextualSpacing/>
        <w:jc w:val="both"/>
        <w:rPr>
          <w:rFonts w:asciiTheme="minorHAnsi" w:hAnsiTheme="minorHAnsi"/>
          <w:b w:val="0"/>
        </w:rPr>
      </w:pPr>
      <w:r w:rsidRPr="000E5635">
        <w:rPr>
          <w:rFonts w:asciiTheme="minorHAnsi" w:hAnsiTheme="minorHAnsi"/>
        </w:rPr>
        <w:t>Article 9 (Accessibility)</w:t>
      </w:r>
      <w:r w:rsidR="004318AD" w:rsidRPr="000E5635">
        <w:rPr>
          <w:rFonts w:asciiTheme="minorHAnsi" w:hAnsiTheme="minorHAnsi"/>
        </w:rPr>
        <w:t>:</w:t>
      </w:r>
      <w:r w:rsidR="00380324" w:rsidRPr="000E5635">
        <w:rPr>
          <w:rFonts w:asciiTheme="minorHAnsi" w:hAnsiTheme="minorHAnsi"/>
        </w:rPr>
        <w:t xml:space="preserve"> </w:t>
      </w:r>
      <w:r w:rsidR="00380324" w:rsidRPr="000E5635">
        <w:rPr>
          <w:rFonts w:asciiTheme="minorHAnsi" w:hAnsiTheme="minorHAnsi"/>
          <w:b w:val="0"/>
        </w:rPr>
        <w:t>Accessibility is fundamental to promote participation of persons with disabilities in society.</w:t>
      </w:r>
    </w:p>
    <w:p w:rsidR="00ED0AAB" w:rsidRPr="000E5635" w:rsidRDefault="00ED0AAB" w:rsidP="00ED0AAB">
      <w:pPr>
        <w:spacing w:after="0" w:line="240" w:lineRule="auto"/>
        <w:ind w:left="708"/>
        <w:contextualSpacing/>
        <w:rPr>
          <w:sz w:val="20"/>
          <w:szCs w:val="20"/>
          <w:lang w:eastAsia="en-US"/>
        </w:rPr>
      </w:pPr>
      <w:r w:rsidRPr="000E5635">
        <w:rPr>
          <w:sz w:val="20"/>
          <w:szCs w:val="20"/>
          <w:lang w:eastAsia="en-US"/>
        </w:rPr>
        <w:t xml:space="preserve">When it comes to accessibility implementation plans a truly comprehensive approach is needed, taking into consideration the needs of every individual and all aspects of the environment (i.e. education, work, culture, social participation, transport, leisure, etc.). The right to accessibility has to be guaranteed to persons with physical, sensorial, mental and intellectual disabilities that can have different sorts of needs. </w:t>
      </w:r>
    </w:p>
    <w:p w:rsidR="00ED0AAB" w:rsidRPr="000E5635" w:rsidRDefault="00ED0AAB" w:rsidP="008C5AA4">
      <w:pPr>
        <w:spacing w:after="0" w:line="240" w:lineRule="auto"/>
        <w:ind w:left="708"/>
        <w:contextualSpacing/>
        <w:rPr>
          <w:sz w:val="20"/>
          <w:szCs w:val="20"/>
          <w:lang w:eastAsia="en-US"/>
        </w:rPr>
      </w:pPr>
      <w:r w:rsidRPr="000E5635">
        <w:rPr>
          <w:sz w:val="20"/>
          <w:szCs w:val="20"/>
          <w:lang w:eastAsia="en-US"/>
        </w:rPr>
        <w:t>Accessibility should therefore be understood as going beyond the idea of overcoming physical barriers, and it should include also technical and human support. Simplification of information (e.g. easy-to-read language), human support and ad-hoc tools are all equally essential to ensure full participation to persons with intellectual disabilities.</w:t>
      </w:r>
    </w:p>
    <w:p w:rsidR="004318AD" w:rsidRPr="000E5635" w:rsidRDefault="004318AD" w:rsidP="001868BB">
      <w:pPr>
        <w:pStyle w:val="ListParagraph"/>
        <w:numPr>
          <w:ilvl w:val="0"/>
          <w:numId w:val="40"/>
        </w:numPr>
        <w:spacing w:after="0" w:line="240" w:lineRule="auto"/>
        <w:rPr>
          <w:b/>
          <w:sz w:val="20"/>
          <w:szCs w:val="20"/>
          <w:lang w:eastAsia="en-US"/>
        </w:rPr>
      </w:pPr>
      <w:r w:rsidRPr="000E5635">
        <w:rPr>
          <w:b/>
          <w:sz w:val="20"/>
          <w:szCs w:val="20"/>
          <w:lang w:eastAsia="en-US"/>
        </w:rPr>
        <w:t>Article 12 (Equal recognition before the law):</w:t>
      </w:r>
      <w:r w:rsidR="00380324" w:rsidRPr="000E5635">
        <w:rPr>
          <w:b/>
          <w:sz w:val="20"/>
          <w:szCs w:val="20"/>
          <w:lang w:eastAsia="en-US"/>
        </w:rPr>
        <w:t xml:space="preserve"> </w:t>
      </w:r>
      <w:r w:rsidR="00475C81" w:rsidRPr="000E5635">
        <w:rPr>
          <w:sz w:val="20"/>
          <w:szCs w:val="20"/>
          <w:lang w:eastAsia="en-US"/>
        </w:rPr>
        <w:t xml:space="preserve">Often the choice of residence in a place to live is </w:t>
      </w:r>
      <w:r w:rsidR="008C5AA4" w:rsidRPr="000E5635">
        <w:rPr>
          <w:sz w:val="20"/>
          <w:szCs w:val="20"/>
          <w:lang w:eastAsia="en-US"/>
        </w:rPr>
        <w:t xml:space="preserve">jeopardized by the non-recognition of the individual’s legal capacity. It is therefore imperative for authorities to take </w:t>
      </w:r>
      <w:r w:rsidR="00AA1231" w:rsidRPr="000E5635">
        <w:rPr>
          <w:sz w:val="20"/>
          <w:szCs w:val="20"/>
          <w:lang w:eastAsia="en-US"/>
        </w:rPr>
        <w:t>measures that remove any obstacle to a person’s recognition before the law and at the same providing adequate support measures</w:t>
      </w:r>
      <w:r w:rsidR="00EF5245">
        <w:rPr>
          <w:sz w:val="20"/>
          <w:szCs w:val="20"/>
          <w:lang w:eastAsia="en-US"/>
        </w:rPr>
        <w:t xml:space="preserve"> and systems</w:t>
      </w:r>
      <w:r w:rsidR="00AA1231" w:rsidRPr="000E5635">
        <w:rPr>
          <w:sz w:val="20"/>
          <w:szCs w:val="20"/>
          <w:lang w:eastAsia="en-US"/>
        </w:rPr>
        <w:t xml:space="preserve"> to allow persons with multiple support needs to be able to express their views</w:t>
      </w:r>
      <w:r w:rsidR="001868BB">
        <w:rPr>
          <w:sz w:val="20"/>
          <w:szCs w:val="20"/>
          <w:lang w:eastAsia="en-US"/>
        </w:rPr>
        <w:t xml:space="preserve"> and</w:t>
      </w:r>
      <w:r w:rsidR="00AA1231" w:rsidRPr="000E5635">
        <w:rPr>
          <w:sz w:val="20"/>
          <w:szCs w:val="20"/>
          <w:lang w:eastAsia="en-US"/>
        </w:rPr>
        <w:t xml:space="preserve"> </w:t>
      </w:r>
      <w:r w:rsidR="001868BB" w:rsidRPr="001868BB">
        <w:rPr>
          <w:sz w:val="20"/>
          <w:szCs w:val="20"/>
          <w:lang w:eastAsia="en-US"/>
        </w:rPr>
        <w:t xml:space="preserve">avoid </w:t>
      </w:r>
      <w:r w:rsidR="001868BB">
        <w:rPr>
          <w:sz w:val="20"/>
          <w:szCs w:val="20"/>
          <w:lang w:eastAsia="en-US"/>
        </w:rPr>
        <w:t xml:space="preserve">any </w:t>
      </w:r>
      <w:r w:rsidR="001868BB" w:rsidRPr="001868BB">
        <w:rPr>
          <w:sz w:val="20"/>
          <w:szCs w:val="20"/>
          <w:lang w:eastAsia="en-US"/>
        </w:rPr>
        <w:t>undue influence, exploitation and abuse, both social and financial.</w:t>
      </w:r>
    </w:p>
    <w:p w:rsidR="007C2F71" w:rsidRPr="000E5635" w:rsidRDefault="007C2F71" w:rsidP="008C5AA4">
      <w:pPr>
        <w:pStyle w:val="ListParagraph"/>
        <w:numPr>
          <w:ilvl w:val="0"/>
          <w:numId w:val="40"/>
        </w:numPr>
        <w:spacing w:after="0" w:line="240" w:lineRule="auto"/>
        <w:rPr>
          <w:b/>
          <w:sz w:val="20"/>
          <w:szCs w:val="20"/>
          <w:lang w:eastAsia="en-US"/>
        </w:rPr>
      </w:pPr>
      <w:r w:rsidRPr="000E5635">
        <w:rPr>
          <w:b/>
          <w:sz w:val="20"/>
          <w:szCs w:val="20"/>
          <w:lang w:eastAsia="en-US"/>
        </w:rPr>
        <w:t xml:space="preserve">Article 24 (Education): </w:t>
      </w:r>
      <w:r w:rsidR="000E6F1D" w:rsidRPr="000E5635">
        <w:rPr>
          <w:sz w:val="20"/>
          <w:szCs w:val="20"/>
          <w:lang w:eastAsia="en-US"/>
        </w:rPr>
        <w:t>The possibility of living in a</w:t>
      </w:r>
      <w:r w:rsidR="00E27154" w:rsidRPr="000E5635">
        <w:rPr>
          <w:sz w:val="20"/>
          <w:szCs w:val="20"/>
          <w:lang w:eastAsia="en-US"/>
        </w:rPr>
        <w:t>n inclusive</w:t>
      </w:r>
      <w:r w:rsidR="00475C81" w:rsidRPr="000E5635">
        <w:rPr>
          <w:sz w:val="20"/>
          <w:szCs w:val="20"/>
          <w:lang w:eastAsia="en-US"/>
        </w:rPr>
        <w:t xml:space="preserve"> family-type of</w:t>
      </w:r>
      <w:r w:rsidR="00E27154" w:rsidRPr="000E5635">
        <w:rPr>
          <w:sz w:val="20"/>
          <w:szCs w:val="20"/>
          <w:lang w:eastAsia="en-US"/>
        </w:rPr>
        <w:t xml:space="preserve"> environment, based in the community</w:t>
      </w:r>
      <w:r w:rsidR="00475C81" w:rsidRPr="000E5635">
        <w:rPr>
          <w:sz w:val="20"/>
          <w:szCs w:val="20"/>
          <w:lang w:eastAsia="en-US"/>
        </w:rPr>
        <w:t xml:space="preserve"> and</w:t>
      </w:r>
      <w:r w:rsidR="000E6F1D" w:rsidRPr="000E5635">
        <w:rPr>
          <w:sz w:val="20"/>
          <w:szCs w:val="20"/>
          <w:lang w:eastAsia="en-US"/>
        </w:rPr>
        <w:t xml:space="preserve"> where the </w:t>
      </w:r>
      <w:r w:rsidR="00E27154" w:rsidRPr="000E5635">
        <w:rPr>
          <w:sz w:val="20"/>
          <w:szCs w:val="20"/>
          <w:lang w:eastAsia="en-US"/>
        </w:rPr>
        <w:t xml:space="preserve">individual </w:t>
      </w:r>
      <w:r w:rsidR="000E6F1D" w:rsidRPr="000E5635">
        <w:rPr>
          <w:sz w:val="20"/>
          <w:szCs w:val="20"/>
          <w:lang w:eastAsia="en-US"/>
        </w:rPr>
        <w:t>needs of each individual are duly taken into consideration is functio</w:t>
      </w:r>
      <w:r w:rsidR="00E27154" w:rsidRPr="000E5635">
        <w:rPr>
          <w:sz w:val="20"/>
          <w:szCs w:val="20"/>
          <w:lang w:eastAsia="en-US"/>
        </w:rPr>
        <w:t>nal to the self-development of the individual</w:t>
      </w:r>
      <w:r w:rsidR="00475C81" w:rsidRPr="000E5635">
        <w:rPr>
          <w:sz w:val="20"/>
          <w:szCs w:val="20"/>
          <w:lang w:eastAsia="en-US"/>
        </w:rPr>
        <w:t xml:space="preserve"> and to his sense of belonging to a community.</w:t>
      </w:r>
      <w:r w:rsidR="008C5AA4" w:rsidRPr="000E5635">
        <w:rPr>
          <w:sz w:val="20"/>
          <w:szCs w:val="20"/>
          <w:lang w:eastAsia="en-US"/>
        </w:rPr>
        <w:t xml:space="preserve"> The emotional and physical wellbeing that can be attained in these settings can pave the way to inclus</w:t>
      </w:r>
      <w:r w:rsidR="00AA1231" w:rsidRPr="000E5635">
        <w:rPr>
          <w:sz w:val="20"/>
          <w:szCs w:val="20"/>
          <w:lang w:eastAsia="en-US"/>
        </w:rPr>
        <w:t>ion in the education sector.</w:t>
      </w:r>
    </w:p>
    <w:p w:rsidR="000915F4" w:rsidRPr="000E5635" w:rsidRDefault="000915F4" w:rsidP="008C5AA4">
      <w:pPr>
        <w:pStyle w:val="H23G"/>
        <w:numPr>
          <w:ilvl w:val="0"/>
          <w:numId w:val="40"/>
        </w:numPr>
        <w:spacing w:before="0" w:after="0" w:line="240" w:lineRule="auto"/>
        <w:ind w:right="0"/>
        <w:contextualSpacing/>
        <w:jc w:val="both"/>
        <w:rPr>
          <w:rFonts w:asciiTheme="minorHAnsi" w:hAnsiTheme="minorHAnsi"/>
          <w:b w:val="0"/>
        </w:rPr>
      </w:pPr>
      <w:r w:rsidRPr="000E5635">
        <w:rPr>
          <w:rFonts w:asciiTheme="minorHAnsi" w:hAnsiTheme="minorHAnsi"/>
        </w:rPr>
        <w:t>Article 27</w:t>
      </w:r>
      <w:r w:rsidR="000C60C9" w:rsidRPr="000E5635">
        <w:rPr>
          <w:rFonts w:asciiTheme="minorHAnsi" w:hAnsiTheme="minorHAnsi"/>
        </w:rPr>
        <w:t xml:space="preserve"> (Work and employment)</w:t>
      </w:r>
      <w:r w:rsidRPr="000E5635">
        <w:rPr>
          <w:rFonts w:asciiTheme="minorHAnsi" w:hAnsiTheme="minorHAnsi"/>
        </w:rPr>
        <w:t xml:space="preserve">: </w:t>
      </w:r>
      <w:r w:rsidRPr="000E5635">
        <w:rPr>
          <w:rFonts w:asciiTheme="minorHAnsi" w:hAnsiTheme="minorHAnsi"/>
          <w:b w:val="0"/>
        </w:rPr>
        <w:t>The possibility for persons with disabilities to live in inclusive settings is a pre</w:t>
      </w:r>
      <w:r w:rsidR="00F85E83" w:rsidRPr="000E5635">
        <w:rPr>
          <w:rFonts w:asciiTheme="minorHAnsi" w:hAnsiTheme="minorHAnsi"/>
          <w:b w:val="0"/>
        </w:rPr>
        <w:t>-</w:t>
      </w:r>
      <w:r w:rsidRPr="000E5635">
        <w:rPr>
          <w:rFonts w:asciiTheme="minorHAnsi" w:hAnsiTheme="minorHAnsi"/>
          <w:b w:val="0"/>
        </w:rPr>
        <w:t xml:space="preserve">condition to be empowered and </w:t>
      </w:r>
      <w:r w:rsidR="00EF5245">
        <w:rPr>
          <w:rFonts w:asciiTheme="minorHAnsi" w:hAnsiTheme="minorHAnsi"/>
          <w:b w:val="0"/>
        </w:rPr>
        <w:t>become</w:t>
      </w:r>
      <w:r w:rsidRPr="000E5635">
        <w:rPr>
          <w:rFonts w:asciiTheme="minorHAnsi" w:hAnsiTheme="minorHAnsi"/>
          <w:b w:val="0"/>
        </w:rPr>
        <w:t xml:space="preserve"> active citizen</w:t>
      </w:r>
      <w:r w:rsidR="00EF5245">
        <w:rPr>
          <w:rFonts w:asciiTheme="minorHAnsi" w:hAnsiTheme="minorHAnsi"/>
          <w:b w:val="0"/>
        </w:rPr>
        <w:t>s</w:t>
      </w:r>
      <w:r w:rsidRPr="000E5635">
        <w:rPr>
          <w:rFonts w:asciiTheme="minorHAnsi" w:hAnsiTheme="minorHAnsi"/>
          <w:b w:val="0"/>
        </w:rPr>
        <w:t xml:space="preserve">. As such, independent living also leads to the possibility of </w:t>
      </w:r>
      <w:r w:rsidR="004D6C22" w:rsidRPr="000E5635">
        <w:rPr>
          <w:rFonts w:asciiTheme="minorHAnsi" w:hAnsiTheme="minorHAnsi"/>
          <w:b w:val="0"/>
        </w:rPr>
        <w:t>expand the independence</w:t>
      </w:r>
      <w:r w:rsidR="000C60C9" w:rsidRPr="000E5635">
        <w:rPr>
          <w:rFonts w:asciiTheme="minorHAnsi" w:hAnsiTheme="minorHAnsi"/>
          <w:b w:val="0"/>
        </w:rPr>
        <w:t xml:space="preserve"> of the person</w:t>
      </w:r>
      <w:r w:rsidR="004D6C22" w:rsidRPr="000E5635">
        <w:rPr>
          <w:rFonts w:asciiTheme="minorHAnsi" w:hAnsiTheme="minorHAnsi"/>
          <w:b w:val="0"/>
        </w:rPr>
        <w:t xml:space="preserve"> to other spheres of life that are equally important to be included in society</w:t>
      </w:r>
      <w:r w:rsidR="000C60C9" w:rsidRPr="000E5635">
        <w:rPr>
          <w:rFonts w:asciiTheme="minorHAnsi" w:hAnsiTheme="minorHAnsi"/>
          <w:b w:val="0"/>
        </w:rPr>
        <w:t xml:space="preserve">. Successful employment can become a reality </w:t>
      </w:r>
      <w:r w:rsidR="00EF5245">
        <w:rPr>
          <w:rFonts w:asciiTheme="minorHAnsi" w:hAnsiTheme="minorHAnsi"/>
          <w:b w:val="0"/>
        </w:rPr>
        <w:t xml:space="preserve">also </w:t>
      </w:r>
      <w:r w:rsidR="000C60C9" w:rsidRPr="000E5635">
        <w:rPr>
          <w:rFonts w:asciiTheme="minorHAnsi" w:hAnsiTheme="minorHAnsi"/>
          <w:b w:val="0"/>
        </w:rPr>
        <w:t xml:space="preserve">when persons are empowered to live their lives independently with the support they require, being responsible for their own decisions. </w:t>
      </w:r>
    </w:p>
    <w:p w:rsidR="004D6C22" w:rsidRPr="000E5635" w:rsidRDefault="004D6C22" w:rsidP="004D6C22">
      <w:pPr>
        <w:rPr>
          <w:sz w:val="20"/>
          <w:szCs w:val="20"/>
          <w:lang w:eastAsia="en-US"/>
        </w:rPr>
      </w:pPr>
    </w:p>
    <w:p w:rsidR="0062280B" w:rsidRPr="000E5635" w:rsidRDefault="0062280B" w:rsidP="00084D08">
      <w:pPr>
        <w:pStyle w:val="Heading1"/>
        <w:pBdr>
          <w:bottom w:val="single" w:sz="4" w:space="1" w:color="auto"/>
        </w:pBdr>
        <w:spacing w:before="0" w:after="100" w:afterAutospacing="1" w:line="240" w:lineRule="auto"/>
        <w:contextualSpacing/>
        <w:rPr>
          <w:rFonts w:asciiTheme="minorHAnsi" w:hAnsiTheme="minorHAnsi"/>
          <w:sz w:val="24"/>
        </w:rPr>
      </w:pPr>
      <w:bookmarkStart w:id="15" w:name="_Toc486226566"/>
      <w:r w:rsidRPr="000E5635">
        <w:rPr>
          <w:rFonts w:asciiTheme="minorHAnsi" w:hAnsiTheme="minorHAnsi"/>
          <w:sz w:val="24"/>
        </w:rPr>
        <w:t>Conclusions</w:t>
      </w:r>
      <w:bookmarkEnd w:id="15"/>
    </w:p>
    <w:p w:rsidR="0062280B" w:rsidRPr="000E5635" w:rsidRDefault="00EF3FEC" w:rsidP="00084D08">
      <w:pPr>
        <w:spacing w:after="0" w:line="240" w:lineRule="auto"/>
        <w:contextualSpacing/>
        <w:rPr>
          <w:rFonts w:cs="Arial"/>
          <w:sz w:val="20"/>
          <w:szCs w:val="20"/>
        </w:rPr>
      </w:pPr>
      <w:r w:rsidRPr="000E5635">
        <w:rPr>
          <w:rFonts w:cs="Arial"/>
          <w:sz w:val="20"/>
          <w:szCs w:val="20"/>
        </w:rPr>
        <w:t>F</w:t>
      </w:r>
      <w:r w:rsidR="0062280B" w:rsidRPr="000E5635">
        <w:rPr>
          <w:rFonts w:cs="Arial"/>
          <w:sz w:val="20"/>
          <w:szCs w:val="20"/>
        </w:rPr>
        <w:t>undamental changes in the services’ design and delivery are clearly yet to be fully accomplished in the policy and in the practice and they represent the challenge for the s</w:t>
      </w:r>
      <w:r w:rsidR="00DD4A8F" w:rsidRPr="000E5635">
        <w:rPr>
          <w:rFonts w:cs="Arial"/>
          <w:sz w:val="20"/>
          <w:szCs w:val="20"/>
        </w:rPr>
        <w:t>upport service</w:t>
      </w:r>
      <w:r w:rsidR="0062280B" w:rsidRPr="000E5635">
        <w:rPr>
          <w:rFonts w:cs="Arial"/>
          <w:sz w:val="20"/>
          <w:szCs w:val="20"/>
        </w:rPr>
        <w:t xml:space="preserve"> provision of tomorrow as well as for policy makers at national </w:t>
      </w:r>
      <w:r w:rsidR="00DD4A8F" w:rsidRPr="000E5635">
        <w:rPr>
          <w:rFonts w:cs="Arial"/>
          <w:sz w:val="20"/>
          <w:szCs w:val="20"/>
        </w:rPr>
        <w:t xml:space="preserve">and international </w:t>
      </w:r>
      <w:r w:rsidR="0062280B" w:rsidRPr="000E5635">
        <w:rPr>
          <w:rFonts w:cs="Arial"/>
          <w:sz w:val="20"/>
          <w:szCs w:val="20"/>
        </w:rPr>
        <w:t>level.</w:t>
      </w:r>
    </w:p>
    <w:p w:rsidR="0062280B" w:rsidRPr="000E5635" w:rsidRDefault="0062280B" w:rsidP="00084D08">
      <w:pPr>
        <w:tabs>
          <w:tab w:val="left" w:pos="142"/>
        </w:tabs>
        <w:spacing w:after="0" w:line="240" w:lineRule="auto"/>
        <w:ind w:right="1134"/>
        <w:contextualSpacing/>
        <w:rPr>
          <w:sz w:val="20"/>
          <w:szCs w:val="20"/>
        </w:rPr>
      </w:pPr>
    </w:p>
    <w:p w:rsidR="005D5D32" w:rsidRPr="000E5635" w:rsidRDefault="005D5D32" w:rsidP="00084D08">
      <w:pPr>
        <w:tabs>
          <w:tab w:val="left" w:pos="142"/>
          <w:tab w:val="left" w:pos="9072"/>
        </w:tabs>
        <w:spacing w:after="0" w:line="240" w:lineRule="auto"/>
        <w:contextualSpacing/>
        <w:rPr>
          <w:sz w:val="20"/>
          <w:szCs w:val="20"/>
        </w:rPr>
      </w:pPr>
      <w:r w:rsidRPr="000E5635">
        <w:rPr>
          <w:sz w:val="20"/>
          <w:szCs w:val="20"/>
        </w:rPr>
        <w:t>Community-based services can become a reality for people with disabilities only when they themselves, their families and their providers of support services are involved in every stage of the planning, design</w:t>
      </w:r>
      <w:r w:rsidR="00DD4A8F" w:rsidRPr="000E5635">
        <w:rPr>
          <w:sz w:val="20"/>
          <w:szCs w:val="20"/>
        </w:rPr>
        <w:t>, development</w:t>
      </w:r>
      <w:r w:rsidRPr="000E5635">
        <w:rPr>
          <w:sz w:val="20"/>
          <w:szCs w:val="20"/>
        </w:rPr>
        <w:t xml:space="preserve"> and delivery of services. Society needs to be challenged on the big cultural shift needed to fully ensure the rights of persons with disabilities and respect for their dignity. A mind-set change will be more effective when it is accompanied with concrete changes in the lives of </w:t>
      </w:r>
      <w:r w:rsidR="00DD4A8F" w:rsidRPr="000E5635">
        <w:rPr>
          <w:sz w:val="20"/>
          <w:szCs w:val="20"/>
        </w:rPr>
        <w:t>those</w:t>
      </w:r>
      <w:r w:rsidRPr="000E5635">
        <w:rPr>
          <w:sz w:val="20"/>
          <w:szCs w:val="20"/>
        </w:rPr>
        <w:t xml:space="preserve"> who require support. </w:t>
      </w:r>
    </w:p>
    <w:p w:rsidR="005D5D32" w:rsidRPr="000E5635" w:rsidRDefault="005D5D32" w:rsidP="00084D08">
      <w:pPr>
        <w:tabs>
          <w:tab w:val="left" w:pos="142"/>
          <w:tab w:val="left" w:pos="9072"/>
        </w:tabs>
        <w:spacing w:after="0" w:line="240" w:lineRule="auto"/>
        <w:contextualSpacing/>
        <w:rPr>
          <w:sz w:val="20"/>
          <w:szCs w:val="20"/>
        </w:rPr>
      </w:pPr>
      <w:r w:rsidRPr="000E5635">
        <w:rPr>
          <w:sz w:val="20"/>
          <w:szCs w:val="20"/>
        </w:rPr>
        <w:t>Mainstreaming of services should occur with and through all involved actors (i.e. persons with disabilities and their families, employers, housing corporations, professionals, public authorities at local/national level, health bodies), using the expertise of specialised support providers.</w:t>
      </w:r>
    </w:p>
    <w:p w:rsidR="005D5D32" w:rsidRPr="000E5635" w:rsidRDefault="005D5D32" w:rsidP="00084D08">
      <w:pPr>
        <w:tabs>
          <w:tab w:val="left" w:pos="142"/>
          <w:tab w:val="left" w:pos="9072"/>
        </w:tabs>
        <w:spacing w:after="0" w:line="240" w:lineRule="auto"/>
        <w:contextualSpacing/>
        <w:rPr>
          <w:sz w:val="20"/>
          <w:szCs w:val="20"/>
        </w:rPr>
      </w:pPr>
    </w:p>
    <w:p w:rsidR="005D5D32" w:rsidRPr="000E5635" w:rsidRDefault="005D5D32" w:rsidP="00084D08">
      <w:pPr>
        <w:tabs>
          <w:tab w:val="left" w:pos="142"/>
          <w:tab w:val="left" w:pos="9072"/>
        </w:tabs>
        <w:spacing w:after="0" w:line="240" w:lineRule="auto"/>
        <w:contextualSpacing/>
        <w:rPr>
          <w:sz w:val="20"/>
          <w:szCs w:val="20"/>
        </w:rPr>
      </w:pPr>
      <w:r w:rsidRPr="000E5635">
        <w:rPr>
          <w:sz w:val="20"/>
          <w:szCs w:val="20"/>
        </w:rPr>
        <w:t xml:space="preserve">In the provision of community-based services, quality of life should be at the centre of the planning and it should not be confused with quality of services, although the latter contributes to the enjoyment of human rights and of a life of human flourishing and dignity. </w:t>
      </w:r>
    </w:p>
    <w:p w:rsidR="005D5D32" w:rsidRPr="000E5635" w:rsidRDefault="005D5D32" w:rsidP="00084D08">
      <w:pPr>
        <w:tabs>
          <w:tab w:val="left" w:pos="142"/>
          <w:tab w:val="left" w:pos="9072"/>
        </w:tabs>
        <w:spacing w:after="0" w:line="240" w:lineRule="auto"/>
        <w:contextualSpacing/>
        <w:rPr>
          <w:sz w:val="20"/>
          <w:szCs w:val="20"/>
        </w:rPr>
      </w:pPr>
      <w:r w:rsidRPr="000E5635">
        <w:rPr>
          <w:sz w:val="20"/>
          <w:szCs w:val="20"/>
        </w:rPr>
        <w:t xml:space="preserve">Institutional culture and its negative consequences are not automatically eradicated with the dismantling of huge buildings; it can indeed thrive also in community-based services; therefore, frequent assessments, responsive to individual’s needs, wishes and preferences, are needed to monitor the measures taken and adapt them if needed. </w:t>
      </w:r>
    </w:p>
    <w:p w:rsidR="00D101D7" w:rsidRPr="000E5635" w:rsidRDefault="00D101D7" w:rsidP="00084D08">
      <w:pPr>
        <w:spacing w:after="0" w:line="240" w:lineRule="auto"/>
        <w:contextualSpacing/>
        <w:rPr>
          <w:sz w:val="20"/>
          <w:szCs w:val="20"/>
        </w:rPr>
      </w:pPr>
      <w:r w:rsidRPr="000E5635">
        <w:rPr>
          <w:sz w:val="20"/>
          <w:szCs w:val="20"/>
        </w:rPr>
        <w:t>Disability sup</w:t>
      </w:r>
      <w:r w:rsidR="00C24136">
        <w:rPr>
          <w:sz w:val="20"/>
          <w:szCs w:val="20"/>
        </w:rPr>
        <w:t>port services currently employ 10</w:t>
      </w:r>
      <w:r w:rsidRPr="000E5635">
        <w:rPr>
          <w:sz w:val="20"/>
          <w:szCs w:val="20"/>
        </w:rPr>
        <w:t xml:space="preserve"> million professionals who may represent a lever for change in the sector and are key players in the process of transition towards the human rights based model introduced by the Convention. Training of disability leaders and staff in support services is essential if we are to provide the correct support to persons with disabilities.</w:t>
      </w:r>
    </w:p>
    <w:p w:rsidR="00D101D7" w:rsidRPr="000E5635" w:rsidRDefault="00D101D7" w:rsidP="00084D08">
      <w:pPr>
        <w:tabs>
          <w:tab w:val="left" w:pos="142"/>
          <w:tab w:val="left" w:pos="9072"/>
        </w:tabs>
        <w:spacing w:after="0" w:line="240" w:lineRule="auto"/>
        <w:contextualSpacing/>
        <w:rPr>
          <w:sz w:val="20"/>
          <w:szCs w:val="20"/>
        </w:rPr>
      </w:pPr>
    </w:p>
    <w:p w:rsidR="00D92B71" w:rsidRPr="000E5635" w:rsidRDefault="00D92B71" w:rsidP="00D33D7A">
      <w:pPr>
        <w:pStyle w:val="Heading1"/>
        <w:pBdr>
          <w:bottom w:val="single" w:sz="4" w:space="1" w:color="auto"/>
        </w:pBdr>
        <w:spacing w:before="0" w:after="100" w:afterAutospacing="1" w:line="240" w:lineRule="auto"/>
        <w:contextualSpacing/>
        <w:rPr>
          <w:rFonts w:asciiTheme="minorHAnsi" w:hAnsiTheme="minorHAnsi"/>
          <w:sz w:val="24"/>
        </w:rPr>
      </w:pPr>
      <w:bookmarkStart w:id="16" w:name="_Toc444070720"/>
      <w:bookmarkStart w:id="17" w:name="_Toc444099693"/>
      <w:bookmarkStart w:id="18" w:name="_Toc444532039"/>
      <w:bookmarkStart w:id="19" w:name="_Toc486226567"/>
      <w:r w:rsidRPr="000E5635">
        <w:rPr>
          <w:rFonts w:asciiTheme="minorHAnsi" w:hAnsiTheme="minorHAnsi"/>
          <w:sz w:val="24"/>
        </w:rPr>
        <w:t>References</w:t>
      </w:r>
      <w:bookmarkEnd w:id="16"/>
      <w:bookmarkEnd w:id="17"/>
      <w:bookmarkEnd w:id="18"/>
      <w:bookmarkEnd w:id="19"/>
    </w:p>
    <w:p w:rsidR="003B1326" w:rsidRDefault="003B1326" w:rsidP="00084D08">
      <w:pPr>
        <w:pStyle w:val="FootnoteText"/>
        <w:numPr>
          <w:ilvl w:val="0"/>
          <w:numId w:val="28"/>
        </w:numPr>
        <w:ind w:left="714" w:hanging="357"/>
        <w:contextualSpacing/>
        <w:jc w:val="both"/>
      </w:pPr>
      <w:r>
        <w:t xml:space="preserve">2016, </w:t>
      </w:r>
      <w:r w:rsidR="00A70192">
        <w:t>Joint Declaration: Developing the support services of tomorrow</w:t>
      </w:r>
    </w:p>
    <w:p w:rsidR="00A70192" w:rsidRDefault="00A447C2" w:rsidP="00A70192">
      <w:pPr>
        <w:pStyle w:val="FootnoteText"/>
        <w:ind w:left="720"/>
        <w:contextualSpacing/>
        <w:jc w:val="both"/>
      </w:pPr>
      <w:hyperlink r:id="rId10" w:history="1">
        <w:r w:rsidR="00A70192" w:rsidRPr="00B31C1B">
          <w:rPr>
            <w:rStyle w:val="Hyperlink"/>
          </w:rPr>
          <w:t>http://www.easpd.eu/sites/default/files/sites/default/files/joint_declaration_v2_final.pdf</w:t>
        </w:r>
      </w:hyperlink>
    </w:p>
    <w:p w:rsidR="00D92B71" w:rsidRPr="000E5635" w:rsidRDefault="006B2255" w:rsidP="00084D08">
      <w:pPr>
        <w:pStyle w:val="FootnoteText"/>
        <w:numPr>
          <w:ilvl w:val="0"/>
          <w:numId w:val="28"/>
        </w:numPr>
        <w:ind w:left="714" w:hanging="357"/>
        <w:contextualSpacing/>
        <w:jc w:val="both"/>
      </w:pPr>
      <w:r w:rsidRPr="000E5635">
        <w:t xml:space="preserve">2015, </w:t>
      </w:r>
      <w:r w:rsidR="00D92B71" w:rsidRPr="000E5635">
        <w:t xml:space="preserve">EASPD Alternative Report on the implementation of the UN CRPD by the European Union: </w:t>
      </w:r>
      <w:hyperlink r:id="rId11" w:history="1">
        <w:r w:rsidR="00D92B71" w:rsidRPr="000E5635">
          <w:rPr>
            <w:rStyle w:val="Hyperlink"/>
          </w:rPr>
          <w:t>http://www.easpd.eu/sites/default/files/sites/default/files/easpd_alternative_report_en_final_1.pdf</w:t>
        </w:r>
      </w:hyperlink>
    </w:p>
    <w:p w:rsidR="007A2D33" w:rsidRPr="000E5635" w:rsidRDefault="006B2255" w:rsidP="00084D08">
      <w:pPr>
        <w:pStyle w:val="ListParagraph"/>
        <w:numPr>
          <w:ilvl w:val="0"/>
          <w:numId w:val="28"/>
        </w:numPr>
        <w:tabs>
          <w:tab w:val="left" w:pos="9248"/>
        </w:tabs>
        <w:spacing w:after="0" w:line="240" w:lineRule="auto"/>
        <w:ind w:left="714" w:hanging="357"/>
        <w:rPr>
          <w:sz w:val="20"/>
          <w:szCs w:val="20"/>
        </w:rPr>
      </w:pPr>
      <w:r w:rsidRPr="000E5635">
        <w:rPr>
          <w:sz w:val="20"/>
          <w:szCs w:val="20"/>
        </w:rPr>
        <w:t xml:space="preserve">2015, </w:t>
      </w:r>
      <w:r w:rsidR="007A2D33" w:rsidRPr="000E5635">
        <w:rPr>
          <w:sz w:val="20"/>
          <w:szCs w:val="20"/>
        </w:rPr>
        <w:t>EASPD Position Paper “</w:t>
      </w:r>
      <w:hyperlink r:id="rId12" w:history="1">
        <w:r w:rsidR="007A2D33" w:rsidRPr="000E5635">
          <w:rPr>
            <w:rStyle w:val="Hyperlink"/>
            <w:sz w:val="20"/>
            <w:szCs w:val="20"/>
          </w:rPr>
          <w:t>Service Provision to Tackle Long-Term Unemployment</w:t>
        </w:r>
      </w:hyperlink>
      <w:r w:rsidR="007A2D33" w:rsidRPr="000E5635">
        <w:rPr>
          <w:sz w:val="20"/>
          <w:szCs w:val="20"/>
        </w:rPr>
        <w:t>”</w:t>
      </w:r>
    </w:p>
    <w:p w:rsidR="006B2255" w:rsidRPr="000E5635" w:rsidRDefault="006B2255" w:rsidP="00084D08">
      <w:pPr>
        <w:pStyle w:val="ListParagraph"/>
        <w:numPr>
          <w:ilvl w:val="0"/>
          <w:numId w:val="28"/>
        </w:numPr>
        <w:tabs>
          <w:tab w:val="left" w:pos="9248"/>
        </w:tabs>
        <w:spacing w:after="0" w:line="240" w:lineRule="auto"/>
        <w:rPr>
          <w:sz w:val="20"/>
          <w:szCs w:val="20"/>
        </w:rPr>
      </w:pPr>
      <w:r w:rsidRPr="000E5635">
        <w:rPr>
          <w:sz w:val="20"/>
          <w:szCs w:val="20"/>
        </w:rPr>
        <w:t>2014, Toolkit on the use of European Union funds for the transition from institutional to community-based care. European Expert Group on the transition from institutional to community-based care</w:t>
      </w:r>
    </w:p>
    <w:p w:rsidR="006B2255" w:rsidRPr="000E5635" w:rsidRDefault="00FB5E8B" w:rsidP="00084D08">
      <w:pPr>
        <w:pStyle w:val="ListParagraph"/>
        <w:numPr>
          <w:ilvl w:val="0"/>
          <w:numId w:val="28"/>
        </w:numPr>
        <w:spacing w:after="0" w:line="240" w:lineRule="auto"/>
        <w:rPr>
          <w:noProof/>
          <w:sz w:val="20"/>
          <w:szCs w:val="20"/>
          <w:lang w:eastAsia="en-GB"/>
        </w:rPr>
      </w:pPr>
      <w:r w:rsidRPr="000E5635">
        <w:rPr>
          <w:noProof/>
          <w:sz w:val="20"/>
          <w:szCs w:val="20"/>
          <w:lang w:eastAsia="en-GB"/>
        </w:rPr>
        <w:t xml:space="preserve">2013, </w:t>
      </w:r>
      <w:r w:rsidR="006B2255" w:rsidRPr="000E5635">
        <w:rPr>
          <w:noProof/>
          <w:sz w:val="20"/>
          <w:szCs w:val="20"/>
          <w:lang w:eastAsia="en-GB"/>
        </w:rPr>
        <w:t xml:space="preserve">EASPD, </w:t>
      </w:r>
      <w:r w:rsidR="006B2255" w:rsidRPr="000E5635">
        <w:rPr>
          <w:i/>
          <w:noProof/>
          <w:sz w:val="20"/>
          <w:szCs w:val="20"/>
          <w:lang w:eastAsia="en-GB"/>
        </w:rPr>
        <w:t>Making Community-based Services a Reality – Roadmap on Deinstitutionalisation</w:t>
      </w:r>
    </w:p>
    <w:p w:rsidR="006B2255" w:rsidRPr="000E5635" w:rsidRDefault="00A447C2" w:rsidP="00084D08">
      <w:pPr>
        <w:pStyle w:val="ListParagraph"/>
        <w:spacing w:after="0" w:line="240" w:lineRule="auto"/>
        <w:rPr>
          <w:noProof/>
          <w:sz w:val="20"/>
          <w:szCs w:val="20"/>
          <w:lang w:eastAsia="en-GB"/>
        </w:rPr>
      </w:pPr>
      <w:hyperlink r:id="rId13" w:history="1">
        <w:r w:rsidR="006B2255" w:rsidRPr="000E5635">
          <w:rPr>
            <w:rStyle w:val="Hyperlink"/>
            <w:noProof/>
            <w:sz w:val="20"/>
            <w:szCs w:val="20"/>
            <w:lang w:eastAsia="en-GB"/>
          </w:rPr>
          <w:t>http://easpd.all2all.org/sites/default/files/sites/default/files/Policy/easpd_di_roadmap_final.pdf</w:t>
        </w:r>
      </w:hyperlink>
    </w:p>
    <w:p w:rsidR="00474B04" w:rsidRDefault="006B2255" w:rsidP="00084D08">
      <w:pPr>
        <w:pStyle w:val="ListParagraph"/>
        <w:numPr>
          <w:ilvl w:val="0"/>
          <w:numId w:val="28"/>
        </w:numPr>
        <w:tabs>
          <w:tab w:val="left" w:pos="9248"/>
        </w:tabs>
        <w:spacing w:after="0" w:line="240" w:lineRule="auto"/>
        <w:rPr>
          <w:sz w:val="20"/>
          <w:szCs w:val="20"/>
        </w:rPr>
      </w:pPr>
      <w:r w:rsidRPr="000E5635">
        <w:rPr>
          <w:sz w:val="20"/>
          <w:szCs w:val="20"/>
        </w:rPr>
        <w:t xml:space="preserve">2012, </w:t>
      </w:r>
      <w:r w:rsidR="00474B04" w:rsidRPr="000E5635">
        <w:rPr>
          <w:sz w:val="20"/>
          <w:szCs w:val="20"/>
        </w:rPr>
        <w:t>Common European guidelines on the transition from institutional to community-based care. European Expert Group on the transition from institutional to community-based care, 2012</w:t>
      </w:r>
    </w:p>
    <w:p w:rsidR="002C5AA4" w:rsidRDefault="00A447C2" w:rsidP="002C5AA4">
      <w:pPr>
        <w:pStyle w:val="ListParagraph"/>
        <w:tabs>
          <w:tab w:val="left" w:pos="9248"/>
        </w:tabs>
        <w:spacing w:after="0" w:line="240" w:lineRule="auto"/>
        <w:rPr>
          <w:sz w:val="20"/>
          <w:szCs w:val="20"/>
        </w:rPr>
      </w:pPr>
      <w:hyperlink r:id="rId14" w:history="1">
        <w:r w:rsidR="002C5AA4" w:rsidRPr="00B31C1B">
          <w:rPr>
            <w:rStyle w:val="Hyperlink"/>
            <w:sz w:val="20"/>
            <w:szCs w:val="20"/>
          </w:rPr>
          <w:t>http://www.deinstitutionalisationguide.eu/wp-content/uploads/2016/04/GUIDELINES-Final-English.pdf</w:t>
        </w:r>
      </w:hyperlink>
    </w:p>
    <w:p w:rsidR="00474B04" w:rsidRPr="000E5635" w:rsidRDefault="00FA1BB8" w:rsidP="00084D08">
      <w:pPr>
        <w:pStyle w:val="ListParagraph"/>
        <w:numPr>
          <w:ilvl w:val="0"/>
          <w:numId w:val="28"/>
        </w:numPr>
        <w:tabs>
          <w:tab w:val="left" w:pos="9248"/>
        </w:tabs>
        <w:spacing w:after="0" w:line="240" w:lineRule="auto"/>
        <w:rPr>
          <w:sz w:val="20"/>
          <w:szCs w:val="20"/>
        </w:rPr>
      </w:pPr>
      <w:r w:rsidRPr="000E5635">
        <w:rPr>
          <w:sz w:val="20"/>
          <w:szCs w:val="20"/>
        </w:rPr>
        <w:t xml:space="preserve">2011, </w:t>
      </w:r>
      <w:r w:rsidR="00474B04" w:rsidRPr="000E5635">
        <w:rPr>
          <w:sz w:val="20"/>
          <w:szCs w:val="20"/>
        </w:rPr>
        <w:t xml:space="preserve">Deinstitutionalisation of services for people with disabilities in </w:t>
      </w:r>
      <w:r w:rsidRPr="000E5635">
        <w:rPr>
          <w:sz w:val="20"/>
          <w:szCs w:val="20"/>
        </w:rPr>
        <w:t>western European countries</w:t>
      </w:r>
      <w:r w:rsidR="009F1AB5" w:rsidRPr="000E5635">
        <w:rPr>
          <w:sz w:val="20"/>
          <w:szCs w:val="20"/>
        </w:rPr>
        <w:t>, EASPD</w:t>
      </w:r>
      <w:r w:rsidR="00A326F6">
        <w:rPr>
          <w:sz w:val="20"/>
          <w:szCs w:val="20"/>
        </w:rPr>
        <w:t xml:space="preserve"> report</w:t>
      </w:r>
    </w:p>
    <w:p w:rsidR="00FB6FB3" w:rsidRPr="000E5635" w:rsidRDefault="00FB5E8B" w:rsidP="00084D08">
      <w:pPr>
        <w:pStyle w:val="ListParagraph"/>
        <w:numPr>
          <w:ilvl w:val="0"/>
          <w:numId w:val="28"/>
        </w:numPr>
        <w:tabs>
          <w:tab w:val="left" w:pos="9248"/>
        </w:tabs>
        <w:spacing w:after="0" w:line="240" w:lineRule="auto"/>
        <w:rPr>
          <w:sz w:val="20"/>
          <w:szCs w:val="20"/>
        </w:rPr>
      </w:pPr>
      <w:r w:rsidRPr="000E5635">
        <w:rPr>
          <w:sz w:val="20"/>
          <w:szCs w:val="20"/>
        </w:rPr>
        <w:t xml:space="preserve">2009, </w:t>
      </w:r>
      <w:r w:rsidR="00474B04" w:rsidRPr="000E5635">
        <w:rPr>
          <w:sz w:val="20"/>
          <w:szCs w:val="20"/>
        </w:rPr>
        <w:t>Report of the Ad-Hoc Expert Group on the transition from institutional to community-based care. European Commission, Directorate-General for Employment, Social Affai</w:t>
      </w:r>
      <w:r w:rsidRPr="000E5635">
        <w:rPr>
          <w:sz w:val="20"/>
          <w:szCs w:val="20"/>
        </w:rPr>
        <w:t>rs and Equal Opportunities</w:t>
      </w:r>
    </w:p>
    <w:p w:rsidR="00DD1C19" w:rsidRDefault="00DD1C19" w:rsidP="00084D08">
      <w:pPr>
        <w:pStyle w:val="ListParagraph"/>
        <w:tabs>
          <w:tab w:val="left" w:pos="9248"/>
        </w:tabs>
        <w:spacing w:after="0" w:line="240" w:lineRule="auto"/>
        <w:rPr>
          <w:rFonts w:ascii="Roboto Condensed" w:hAnsi="Roboto Condensed"/>
          <w:sz w:val="20"/>
          <w:szCs w:val="20"/>
        </w:rPr>
      </w:pPr>
    </w:p>
    <w:p w:rsidR="00C73DD5" w:rsidRPr="000E5635" w:rsidRDefault="00C73DD5" w:rsidP="00D33D7A">
      <w:pPr>
        <w:pStyle w:val="Heading1"/>
        <w:pBdr>
          <w:bottom w:val="single" w:sz="4" w:space="1" w:color="auto"/>
        </w:pBdr>
        <w:spacing w:before="0" w:after="100" w:afterAutospacing="1" w:line="240" w:lineRule="auto"/>
        <w:contextualSpacing/>
        <w:rPr>
          <w:rFonts w:asciiTheme="minorHAnsi" w:hAnsiTheme="minorHAnsi"/>
          <w:sz w:val="24"/>
        </w:rPr>
      </w:pPr>
      <w:bookmarkStart w:id="20" w:name="_Toc444070722"/>
      <w:bookmarkStart w:id="21" w:name="_Toc444099695"/>
      <w:bookmarkStart w:id="22" w:name="_Toc486226568"/>
      <w:r w:rsidRPr="000E5635">
        <w:rPr>
          <w:rFonts w:asciiTheme="minorHAnsi" w:hAnsiTheme="minorHAnsi"/>
          <w:sz w:val="24"/>
        </w:rPr>
        <w:t>Contacts</w:t>
      </w:r>
      <w:bookmarkEnd w:id="20"/>
      <w:bookmarkEnd w:id="21"/>
      <w:bookmarkEnd w:id="22"/>
    </w:p>
    <w:p w:rsidR="00C73DD5" w:rsidRPr="000E5635" w:rsidRDefault="00C73DD5" w:rsidP="00084D08">
      <w:pPr>
        <w:keepLines/>
        <w:suppressAutoHyphens/>
        <w:spacing w:after="0" w:line="240" w:lineRule="auto"/>
        <w:ind w:right="-567"/>
        <w:contextualSpacing/>
        <w:jc w:val="left"/>
        <w:rPr>
          <w:rFonts w:eastAsia="Times New Roman" w:cs="Arial"/>
          <w:iCs/>
          <w:sz w:val="20"/>
          <w:szCs w:val="20"/>
          <w:lang w:val="en-US"/>
        </w:rPr>
      </w:pPr>
      <w:r w:rsidRPr="000E5635">
        <w:rPr>
          <w:rFonts w:eastAsia="Times New Roman" w:cs="Arial"/>
          <w:b/>
          <w:iCs/>
          <w:sz w:val="20"/>
          <w:szCs w:val="20"/>
          <w:lang w:val="en-US"/>
        </w:rPr>
        <w:t>Luk Zelderloo</w:t>
      </w:r>
      <w:r w:rsidRPr="000E5635">
        <w:rPr>
          <w:rFonts w:eastAsia="Times New Roman" w:cs="Arial"/>
          <w:b/>
          <w:iCs/>
          <w:sz w:val="20"/>
          <w:szCs w:val="20"/>
          <w:lang w:val="en-US"/>
        </w:rPr>
        <w:tab/>
      </w:r>
      <w:r w:rsidRPr="000E5635">
        <w:rPr>
          <w:rFonts w:eastAsia="Times New Roman" w:cs="Arial"/>
          <w:b/>
          <w:iCs/>
          <w:sz w:val="20"/>
          <w:szCs w:val="20"/>
          <w:lang w:val="en-US"/>
        </w:rPr>
        <w:tab/>
      </w:r>
      <w:r w:rsidRPr="000E5635">
        <w:rPr>
          <w:rFonts w:eastAsia="Times New Roman" w:cs="Arial"/>
          <w:b/>
          <w:iCs/>
          <w:sz w:val="20"/>
          <w:szCs w:val="20"/>
          <w:lang w:val="en-US"/>
        </w:rPr>
        <w:tab/>
        <w:t>Sabrina Ferraina</w:t>
      </w:r>
      <w:r w:rsidRPr="000E5635">
        <w:rPr>
          <w:rFonts w:eastAsia="Times New Roman" w:cs="Arial"/>
          <w:iCs/>
          <w:sz w:val="20"/>
          <w:szCs w:val="20"/>
          <w:lang w:val="en-US"/>
        </w:rPr>
        <w:tab/>
      </w:r>
      <w:r w:rsidRPr="000E5635">
        <w:rPr>
          <w:rFonts w:eastAsia="Times New Roman" w:cs="Arial"/>
          <w:iCs/>
          <w:sz w:val="20"/>
          <w:szCs w:val="20"/>
          <w:lang w:val="en-US"/>
        </w:rPr>
        <w:tab/>
      </w:r>
    </w:p>
    <w:p w:rsidR="00C73DD5" w:rsidRPr="000E5635" w:rsidRDefault="00C73DD5" w:rsidP="00084D08">
      <w:pPr>
        <w:keepLines/>
        <w:suppressAutoHyphens/>
        <w:spacing w:after="0" w:line="240" w:lineRule="auto"/>
        <w:ind w:right="-567"/>
        <w:contextualSpacing/>
        <w:jc w:val="left"/>
        <w:rPr>
          <w:rFonts w:eastAsia="Times New Roman" w:cs="Arial"/>
          <w:b/>
          <w:iCs/>
          <w:sz w:val="20"/>
          <w:szCs w:val="20"/>
          <w:lang w:val="en-US"/>
        </w:rPr>
      </w:pPr>
      <w:r w:rsidRPr="000E5635">
        <w:rPr>
          <w:rFonts w:eastAsia="Times New Roman" w:cs="Arial"/>
          <w:iCs/>
          <w:sz w:val="20"/>
          <w:szCs w:val="20"/>
          <w:lang w:val="en-US"/>
        </w:rPr>
        <w:t>Secretary General</w:t>
      </w:r>
      <w:r w:rsidRPr="000E5635">
        <w:rPr>
          <w:rFonts w:eastAsia="Times New Roman" w:cs="Arial"/>
          <w:iCs/>
          <w:sz w:val="20"/>
          <w:szCs w:val="20"/>
          <w:lang w:val="en-US"/>
        </w:rPr>
        <w:tab/>
      </w:r>
      <w:r w:rsidRPr="000E5635">
        <w:rPr>
          <w:rFonts w:eastAsia="Times New Roman" w:cs="Arial"/>
          <w:iCs/>
          <w:sz w:val="20"/>
          <w:szCs w:val="20"/>
          <w:lang w:val="en-US"/>
        </w:rPr>
        <w:tab/>
      </w:r>
      <w:r w:rsidR="000E5635">
        <w:rPr>
          <w:rFonts w:eastAsia="Times New Roman" w:cs="Arial"/>
          <w:iCs/>
          <w:sz w:val="20"/>
          <w:szCs w:val="20"/>
          <w:lang w:val="en-US"/>
        </w:rPr>
        <w:t>P</w:t>
      </w:r>
      <w:r w:rsidRPr="000E5635">
        <w:rPr>
          <w:rFonts w:eastAsia="Times New Roman" w:cs="Arial"/>
          <w:iCs/>
          <w:sz w:val="20"/>
          <w:szCs w:val="20"/>
          <w:lang w:val="en-US"/>
        </w:rPr>
        <w:t>olicy Manager</w:t>
      </w:r>
    </w:p>
    <w:p w:rsidR="00C73DD5" w:rsidRPr="000E5635" w:rsidRDefault="00C73DD5" w:rsidP="00084D08">
      <w:pPr>
        <w:keepLines/>
        <w:suppressAutoHyphens/>
        <w:spacing w:after="0" w:line="240" w:lineRule="auto"/>
        <w:ind w:right="-567"/>
        <w:contextualSpacing/>
        <w:rPr>
          <w:rFonts w:eastAsia="Times New Roman" w:cs="Arial"/>
          <w:iCs/>
          <w:sz w:val="20"/>
          <w:szCs w:val="20"/>
          <w:lang w:val="en-US"/>
        </w:rPr>
      </w:pPr>
      <w:r w:rsidRPr="000E5635">
        <w:rPr>
          <w:rFonts w:eastAsia="Times New Roman" w:cs="Arial"/>
          <w:iCs/>
          <w:sz w:val="20"/>
          <w:szCs w:val="20"/>
          <w:lang w:val="en-US"/>
        </w:rPr>
        <w:t>T. +32 2 2</w:t>
      </w:r>
      <w:r w:rsidR="00A326F6">
        <w:rPr>
          <w:rFonts w:eastAsia="Times New Roman" w:cs="Arial"/>
          <w:iCs/>
          <w:sz w:val="20"/>
          <w:szCs w:val="20"/>
          <w:lang w:val="en-US"/>
        </w:rPr>
        <w:t>33</w:t>
      </w:r>
      <w:r w:rsidRPr="000E5635">
        <w:rPr>
          <w:rFonts w:eastAsia="Times New Roman" w:cs="Arial"/>
          <w:iCs/>
          <w:sz w:val="20"/>
          <w:szCs w:val="20"/>
          <w:lang w:val="en-US"/>
        </w:rPr>
        <w:t xml:space="preserve"> </w:t>
      </w:r>
      <w:r w:rsidR="00A326F6">
        <w:rPr>
          <w:rFonts w:eastAsia="Times New Roman" w:cs="Arial"/>
          <w:iCs/>
          <w:sz w:val="20"/>
          <w:szCs w:val="20"/>
          <w:lang w:val="en-US"/>
        </w:rPr>
        <w:t>77</w:t>
      </w:r>
      <w:r w:rsidRPr="000E5635">
        <w:rPr>
          <w:rFonts w:eastAsia="Times New Roman" w:cs="Arial"/>
          <w:iCs/>
          <w:sz w:val="20"/>
          <w:szCs w:val="20"/>
          <w:lang w:val="en-US"/>
        </w:rPr>
        <w:t xml:space="preserve"> </w:t>
      </w:r>
      <w:r w:rsidR="00A326F6">
        <w:rPr>
          <w:rFonts w:eastAsia="Times New Roman" w:cs="Arial"/>
          <w:iCs/>
          <w:sz w:val="20"/>
          <w:szCs w:val="20"/>
          <w:lang w:val="en-US"/>
        </w:rPr>
        <w:t>2</w:t>
      </w:r>
      <w:r w:rsidRPr="000E5635">
        <w:rPr>
          <w:rFonts w:eastAsia="Times New Roman" w:cs="Arial"/>
          <w:iCs/>
          <w:sz w:val="20"/>
          <w:szCs w:val="20"/>
          <w:lang w:val="en-US"/>
        </w:rPr>
        <w:t>0</w:t>
      </w:r>
      <w:r w:rsidRPr="000E5635">
        <w:rPr>
          <w:rFonts w:eastAsia="Times New Roman" w:cs="Arial"/>
          <w:iCs/>
          <w:sz w:val="20"/>
          <w:szCs w:val="20"/>
          <w:lang w:val="en-US"/>
        </w:rPr>
        <w:tab/>
      </w:r>
      <w:r w:rsidRPr="000E5635">
        <w:rPr>
          <w:rFonts w:eastAsia="Times New Roman" w:cs="Arial"/>
          <w:iCs/>
          <w:sz w:val="20"/>
          <w:szCs w:val="20"/>
          <w:lang w:val="en-US"/>
        </w:rPr>
        <w:tab/>
        <w:t xml:space="preserve">T. +32 2 </w:t>
      </w:r>
      <w:r w:rsidR="00A326F6">
        <w:rPr>
          <w:rFonts w:eastAsia="Times New Roman" w:cs="Arial"/>
          <w:iCs/>
          <w:sz w:val="20"/>
          <w:szCs w:val="20"/>
          <w:lang w:val="en-US"/>
        </w:rPr>
        <w:t>233 77 23</w:t>
      </w:r>
    </w:p>
    <w:p w:rsidR="00C73DD5" w:rsidRPr="000E5635" w:rsidRDefault="00A447C2" w:rsidP="00084D08">
      <w:pPr>
        <w:keepLines/>
        <w:suppressAutoHyphens/>
        <w:spacing w:after="0" w:line="240" w:lineRule="auto"/>
        <w:ind w:right="-567"/>
        <w:contextualSpacing/>
        <w:rPr>
          <w:rFonts w:eastAsia="Times New Roman" w:cs="Arial"/>
          <w:iCs/>
          <w:color w:val="0000FF" w:themeColor="hyperlink"/>
          <w:sz w:val="20"/>
          <w:szCs w:val="20"/>
          <w:u w:val="single"/>
          <w:lang w:val="en-US"/>
        </w:rPr>
      </w:pPr>
      <w:hyperlink r:id="rId15" w:history="1">
        <w:r w:rsidR="00C73DD5" w:rsidRPr="000E5635">
          <w:rPr>
            <w:rStyle w:val="Hyperlink"/>
            <w:rFonts w:eastAsia="Times New Roman" w:cs="Arial"/>
            <w:iCs/>
            <w:sz w:val="20"/>
            <w:szCs w:val="20"/>
            <w:lang w:val="en-US"/>
          </w:rPr>
          <w:t>luk.zelderloo@easpd.eu</w:t>
        </w:r>
      </w:hyperlink>
      <w:r w:rsidR="00C73DD5" w:rsidRPr="000E5635">
        <w:rPr>
          <w:rFonts w:eastAsia="Times New Roman" w:cs="Arial"/>
          <w:iCs/>
          <w:color w:val="0000FF" w:themeColor="hyperlink"/>
          <w:sz w:val="20"/>
          <w:szCs w:val="20"/>
          <w:lang w:val="en-US"/>
        </w:rPr>
        <w:tab/>
      </w:r>
      <w:r w:rsidR="00C73DD5" w:rsidRPr="000E5635">
        <w:rPr>
          <w:rFonts w:eastAsia="Times New Roman" w:cs="Arial"/>
          <w:iCs/>
          <w:color w:val="0000FF" w:themeColor="hyperlink"/>
          <w:sz w:val="20"/>
          <w:szCs w:val="20"/>
          <w:lang w:val="en-US"/>
        </w:rPr>
        <w:tab/>
      </w:r>
      <w:hyperlink r:id="rId16" w:history="1">
        <w:r w:rsidR="00C73DD5" w:rsidRPr="000E5635">
          <w:rPr>
            <w:rFonts w:eastAsia="Times New Roman" w:cs="Arial"/>
            <w:iCs/>
            <w:color w:val="0000FF" w:themeColor="hyperlink"/>
            <w:sz w:val="20"/>
            <w:szCs w:val="20"/>
            <w:u w:val="single"/>
            <w:lang w:val="en-US"/>
          </w:rPr>
          <w:t>sabrina.ferraina@easpd.eu</w:t>
        </w:r>
      </w:hyperlink>
    </w:p>
    <w:p w:rsidR="00C73DD5" w:rsidRPr="001D68D0" w:rsidRDefault="00A447C2" w:rsidP="00084D08">
      <w:pPr>
        <w:spacing w:after="0" w:line="240" w:lineRule="auto"/>
        <w:contextualSpacing/>
        <w:rPr>
          <w:rFonts w:ascii="Roboto Condensed" w:eastAsia="Times New Roman" w:hAnsi="Roboto Condensed" w:cs="Arial"/>
          <w:iCs/>
          <w:color w:val="758085"/>
          <w:sz w:val="20"/>
          <w:szCs w:val="20"/>
          <w:lang w:val="en-US"/>
        </w:rPr>
      </w:pPr>
      <w:hyperlink r:id="rId17" w:history="1">
        <w:r w:rsidR="00C73DD5" w:rsidRPr="000E5635">
          <w:rPr>
            <w:rFonts w:eastAsia="Times New Roman" w:cs="Arial"/>
            <w:iCs/>
            <w:color w:val="0000FF" w:themeColor="hyperlink"/>
            <w:sz w:val="20"/>
            <w:szCs w:val="20"/>
            <w:u w:val="single"/>
            <w:lang w:val="en-US"/>
          </w:rPr>
          <w:t>www.easpd.eu</w:t>
        </w:r>
      </w:hyperlink>
      <w:r w:rsidR="00C73DD5" w:rsidRPr="000E5635">
        <w:rPr>
          <w:rFonts w:eastAsia="Times New Roman" w:cs="Arial"/>
          <w:iCs/>
          <w:color w:val="758085"/>
          <w:sz w:val="20"/>
          <w:szCs w:val="20"/>
          <w:lang w:val="en-US"/>
        </w:rPr>
        <w:t xml:space="preserve">  </w:t>
      </w:r>
      <w:r w:rsidR="00C73DD5" w:rsidRPr="000E5635">
        <w:rPr>
          <w:rFonts w:eastAsia="Times New Roman" w:cs="Arial"/>
          <w:iCs/>
          <w:color w:val="758085"/>
          <w:sz w:val="20"/>
          <w:szCs w:val="20"/>
          <w:lang w:val="en-US"/>
        </w:rPr>
        <w:tab/>
      </w:r>
      <w:r w:rsidR="00C73DD5" w:rsidRPr="000E5635">
        <w:rPr>
          <w:rFonts w:eastAsia="Times New Roman" w:cs="Arial"/>
          <w:iCs/>
          <w:color w:val="758085"/>
          <w:sz w:val="20"/>
          <w:szCs w:val="20"/>
          <w:lang w:val="en-US"/>
        </w:rPr>
        <w:tab/>
      </w:r>
      <w:r w:rsidR="00C73DD5" w:rsidRPr="000E5635">
        <w:rPr>
          <w:rFonts w:eastAsia="Times New Roman" w:cs="Arial"/>
          <w:iCs/>
          <w:color w:val="758085"/>
          <w:sz w:val="20"/>
          <w:szCs w:val="20"/>
          <w:lang w:val="en-US"/>
        </w:rPr>
        <w:tab/>
      </w:r>
      <w:hyperlink r:id="rId18" w:history="1">
        <w:r w:rsidR="00C73DD5" w:rsidRPr="000E5635">
          <w:rPr>
            <w:rFonts w:eastAsia="Times New Roman" w:cs="Arial"/>
            <w:iCs/>
            <w:color w:val="0000FF" w:themeColor="hyperlink"/>
            <w:sz w:val="20"/>
            <w:szCs w:val="20"/>
            <w:u w:val="single"/>
            <w:lang w:val="en-US"/>
          </w:rPr>
          <w:t>www.easpd.eu</w:t>
        </w:r>
      </w:hyperlink>
      <w:r w:rsidR="00C73DD5" w:rsidRPr="000E5635">
        <w:rPr>
          <w:rFonts w:eastAsia="Times New Roman" w:cs="Arial"/>
          <w:iCs/>
          <w:color w:val="0000FF" w:themeColor="hyperlink"/>
          <w:sz w:val="20"/>
          <w:szCs w:val="20"/>
          <w:lang w:val="en-US"/>
        </w:rPr>
        <w:tab/>
      </w:r>
      <w:r w:rsidR="00C73DD5" w:rsidRPr="00DD2A89">
        <w:rPr>
          <w:rFonts w:ascii="Roboto Condensed" w:eastAsia="Times New Roman" w:hAnsi="Roboto Condensed" w:cs="Arial"/>
          <w:iCs/>
          <w:color w:val="0000FF" w:themeColor="hyperlink"/>
          <w:sz w:val="20"/>
          <w:szCs w:val="20"/>
          <w:lang w:val="en-US"/>
        </w:rPr>
        <w:tab/>
      </w:r>
      <w:r w:rsidR="00C73DD5" w:rsidRPr="00DD2A89">
        <w:rPr>
          <w:rFonts w:ascii="Roboto Condensed" w:eastAsia="Times New Roman" w:hAnsi="Roboto Condensed" w:cs="Arial"/>
          <w:iCs/>
          <w:color w:val="0000FF" w:themeColor="hyperlink"/>
          <w:sz w:val="20"/>
          <w:szCs w:val="20"/>
          <w:lang w:val="en-US"/>
        </w:rPr>
        <w:tab/>
      </w:r>
    </w:p>
    <w:p w:rsidR="00141BE5" w:rsidRPr="000E5635" w:rsidRDefault="00C73DD5" w:rsidP="000E5635">
      <w:pPr>
        <w:spacing w:after="0" w:line="240" w:lineRule="auto"/>
        <w:contextualSpacing/>
        <w:rPr>
          <w:noProof/>
          <w:color w:val="1F497D"/>
          <w:lang w:eastAsia="en-GB"/>
        </w:rPr>
      </w:pPr>
      <w:r w:rsidRPr="001D68D0">
        <w:rPr>
          <w:noProof/>
          <w:color w:val="1F497D"/>
          <w:lang w:eastAsia="en-GB"/>
        </w:rPr>
        <w:drawing>
          <wp:inline distT="0" distB="0" distL="0" distR="0" wp14:anchorId="155E9470" wp14:editId="68714315">
            <wp:extent cx="207010" cy="207010"/>
            <wp:effectExtent l="0" t="0" r="2540" b="2540"/>
            <wp:docPr id="4" name="Picture 4" descr="Description: Description: Description: 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scription: Description: Description: facebook">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D68D0">
        <w:rPr>
          <w:noProof/>
          <w:lang w:eastAsia="en-GB"/>
        </w:rPr>
        <w:drawing>
          <wp:inline distT="0" distB="0" distL="0" distR="0" wp14:anchorId="5C2777E2" wp14:editId="712F1195">
            <wp:extent cx="365760" cy="182880"/>
            <wp:effectExtent l="0" t="0" r="0" b="7620"/>
            <wp:docPr id="1" name="Picture 1" descr="cid:image002.jpg@01CD0DC8.2A09D4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id:image002.jpg@01CD0DC8.2A09D48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1D68D0">
        <w:rPr>
          <w:noProof/>
          <w:sz w:val="24"/>
          <w:szCs w:val="24"/>
          <w:lang w:eastAsia="en-GB"/>
        </w:rPr>
        <w:drawing>
          <wp:inline distT="0" distB="0" distL="0" distR="0" wp14:anchorId="35C28454" wp14:editId="025B6675">
            <wp:extent cx="636270" cy="191135"/>
            <wp:effectExtent l="0" t="0" r="0" b="0"/>
            <wp:docPr id="8" name="Picture 8" descr="cid:image004.jpg@01CF225E.C43CE8B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d:image004.jpg@01CF225E.C43CE8B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 cy="191135"/>
                    </a:xfrm>
                    <a:prstGeom prst="rect">
                      <a:avLst/>
                    </a:prstGeom>
                    <a:noFill/>
                    <a:ln>
                      <a:noFill/>
                    </a:ln>
                  </pic:spPr>
                </pic:pic>
              </a:graphicData>
            </a:graphic>
          </wp:inline>
        </w:drawing>
      </w:r>
      <w:r>
        <w:rPr>
          <w:noProof/>
          <w:color w:val="1F497D"/>
          <w:lang w:eastAsia="en-GB"/>
        </w:rPr>
        <w:tab/>
      </w:r>
      <w:r>
        <w:rPr>
          <w:noProof/>
          <w:color w:val="1F497D"/>
          <w:lang w:eastAsia="en-GB"/>
        </w:rPr>
        <w:tab/>
      </w:r>
      <w:r w:rsidRPr="001D68D0">
        <w:rPr>
          <w:noProof/>
          <w:color w:val="1F497D"/>
          <w:lang w:eastAsia="en-GB"/>
        </w:rPr>
        <w:drawing>
          <wp:inline distT="0" distB="0" distL="0" distR="0" wp14:anchorId="0776451D" wp14:editId="5F461C43">
            <wp:extent cx="207010" cy="207010"/>
            <wp:effectExtent l="0" t="0" r="2540" b="2540"/>
            <wp:docPr id="10" name="Picture 10" descr="Description: Description: Description: 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scription: Description: Description: facebook">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1D68D0">
        <w:rPr>
          <w:noProof/>
          <w:lang w:eastAsia="en-GB"/>
        </w:rPr>
        <w:drawing>
          <wp:inline distT="0" distB="0" distL="0" distR="0" wp14:anchorId="1FB7260D" wp14:editId="503B849B">
            <wp:extent cx="365760" cy="182880"/>
            <wp:effectExtent l="0" t="0" r="0" b="7620"/>
            <wp:docPr id="11" name="Picture 11" descr="cid:image002.jpg@01CD0DC8.2A09D4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id:image002.jpg@01CD0DC8.2A09D48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1D68D0">
        <w:rPr>
          <w:noProof/>
          <w:sz w:val="24"/>
          <w:szCs w:val="24"/>
          <w:lang w:eastAsia="en-GB"/>
        </w:rPr>
        <w:drawing>
          <wp:inline distT="0" distB="0" distL="0" distR="0" wp14:anchorId="165B1DE1" wp14:editId="409605F9">
            <wp:extent cx="636270" cy="191135"/>
            <wp:effectExtent l="0" t="0" r="0" b="0"/>
            <wp:docPr id="15" name="Picture 15" descr="cid:image004.jpg@01CF225E.C43CE8B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d:image004.jpg@01CF225E.C43CE8B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270" cy="191135"/>
                    </a:xfrm>
                    <a:prstGeom prst="rect">
                      <a:avLst/>
                    </a:prstGeom>
                    <a:noFill/>
                    <a:ln>
                      <a:noFill/>
                    </a:ln>
                  </pic:spPr>
                </pic:pic>
              </a:graphicData>
            </a:graphic>
          </wp:inline>
        </w:drawing>
      </w:r>
      <w:r w:rsidRPr="001D68D0">
        <w:rPr>
          <w:noProof/>
          <w:color w:val="1F497D"/>
          <w:lang w:eastAsia="en-GB"/>
        </w:rPr>
        <w:t xml:space="preserve">  </w:t>
      </w:r>
    </w:p>
    <w:sectPr w:rsidR="00141BE5" w:rsidRPr="000E5635" w:rsidSect="008A5C85">
      <w:headerReference w:type="default" r:id="rId25"/>
      <w:footerReference w:type="default" r:id="rId26"/>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6C" w:rsidRDefault="006D766C" w:rsidP="00474D7A">
      <w:pPr>
        <w:spacing w:after="0" w:line="240" w:lineRule="auto"/>
      </w:pPr>
      <w:r>
        <w:separator/>
      </w:r>
    </w:p>
  </w:endnote>
  <w:endnote w:type="continuationSeparator" w:id="0">
    <w:p w:rsidR="006D766C" w:rsidRDefault="006D766C" w:rsidP="0047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EA" w:rsidRPr="00B950E6" w:rsidRDefault="00A85697" w:rsidP="001B0E2F">
    <w:pPr>
      <w:pBdr>
        <w:bottom w:val="single" w:sz="4" w:space="1" w:color="4F81BD" w:themeColor="accent1"/>
      </w:pBdr>
      <w:spacing w:before="240" w:after="0" w:line="240" w:lineRule="auto"/>
      <w:ind w:left="993" w:right="141"/>
      <w:jc w:val="center"/>
      <w:rPr>
        <w:rFonts w:ascii="Arial" w:hAnsi="Arial" w:cs="Arial"/>
        <w:b/>
        <w:bCs/>
        <w:color w:val="1F497D" w:themeColor="text2"/>
        <w:sz w:val="16"/>
        <w:szCs w:val="16"/>
      </w:rPr>
    </w:pPr>
    <w:r>
      <w:rPr>
        <w:noProof/>
        <w:lang w:eastAsia="en-GB"/>
      </w:rPr>
      <w:drawing>
        <wp:anchor distT="0" distB="0" distL="114300" distR="114300" simplePos="0" relativeHeight="251662336" behindDoc="0" locked="0" layoutInCell="1" allowOverlap="1" wp14:anchorId="758906DB" wp14:editId="24D8F293">
          <wp:simplePos x="0" y="0"/>
          <wp:positionH relativeFrom="column">
            <wp:posOffset>13335</wp:posOffset>
          </wp:positionH>
          <wp:positionV relativeFrom="paragraph">
            <wp:posOffset>153035</wp:posOffset>
          </wp:positionV>
          <wp:extent cx="475240" cy="314325"/>
          <wp:effectExtent l="0" t="0" r="1270" b="0"/>
          <wp:wrapNone/>
          <wp:docPr id="3" name="Picture 3"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24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E2F">
      <w:rPr>
        <w:rFonts w:ascii="Arial" w:hAnsi="Arial" w:cs="Arial"/>
        <w:b/>
        <w:bCs/>
        <w:color w:val="365F91" w:themeColor="accent1" w:themeShade="BF"/>
        <w:sz w:val="16"/>
        <w:szCs w:val="16"/>
      </w:rPr>
      <w:t>W</w:t>
    </w:r>
    <w:r w:rsidR="00EF0731" w:rsidRPr="00EF0731">
      <w:rPr>
        <w:rFonts w:ascii="Arial" w:hAnsi="Arial" w:cs="Arial"/>
        <w:b/>
        <w:bCs/>
        <w:color w:val="365F91" w:themeColor="accent1" w:themeShade="BF"/>
        <w:sz w:val="16"/>
        <w:szCs w:val="16"/>
      </w:rPr>
      <w:t>ith the financial support of the European Union Programme for Employment and Socia</w:t>
    </w:r>
    <w:r w:rsidR="001B0E2F">
      <w:rPr>
        <w:rFonts w:ascii="Arial" w:hAnsi="Arial" w:cs="Arial"/>
        <w:b/>
        <w:bCs/>
        <w:color w:val="365F91" w:themeColor="accent1" w:themeShade="BF"/>
        <w:sz w:val="16"/>
        <w:szCs w:val="16"/>
      </w:rPr>
      <w:t>l Innovation “EaSI” (2014-2020)</w:t>
    </w:r>
  </w:p>
  <w:p w:rsidR="000A42EA" w:rsidRPr="000A42EA" w:rsidRDefault="000A42EA" w:rsidP="008863EF">
    <w:pPr>
      <w:spacing w:after="0" w:line="240" w:lineRule="auto"/>
      <w:jc w:val="center"/>
      <w:rPr>
        <w:noProof/>
        <w:color w:val="365F91" w:themeColor="accent1" w:themeShade="BF"/>
        <w:lang w:val="en-US"/>
      </w:rPr>
    </w:pPr>
    <w:r w:rsidRPr="001F5DC8">
      <w:rPr>
        <w:rFonts w:ascii="Arial" w:hAnsi="Arial" w:cs="Arial"/>
        <w:b/>
        <w:bCs/>
        <w:color w:val="365F91" w:themeColor="accent1" w:themeShade="BF"/>
        <w:sz w:val="16"/>
        <w:szCs w:val="16"/>
      </w:rPr>
      <w:t>EASPD – E</w:t>
    </w:r>
    <w:r w:rsidR="00693364">
      <w:rPr>
        <w:rFonts w:ascii="Arial" w:hAnsi="Arial" w:cs="Arial"/>
        <w:b/>
        <w:bCs/>
        <w:color w:val="365F91" w:themeColor="accent1" w:themeShade="BF"/>
        <w:sz w:val="16"/>
        <w:szCs w:val="16"/>
      </w:rPr>
      <w:t>uropean Association of Service p</w:t>
    </w:r>
    <w:r w:rsidR="005D2BC6">
      <w:rPr>
        <w:rFonts w:ascii="Arial" w:hAnsi="Arial" w:cs="Arial"/>
        <w:b/>
        <w:bCs/>
        <w:color w:val="365F91" w:themeColor="accent1" w:themeShade="BF"/>
        <w:sz w:val="16"/>
        <w:szCs w:val="16"/>
      </w:rPr>
      <w:t>roviders for</w:t>
    </w:r>
    <w:r w:rsidRPr="001F5DC8">
      <w:rPr>
        <w:rFonts w:ascii="Arial" w:hAnsi="Arial" w:cs="Arial"/>
        <w:b/>
        <w:bCs/>
        <w:color w:val="365F91" w:themeColor="accent1" w:themeShade="BF"/>
        <w:sz w:val="16"/>
        <w:szCs w:val="16"/>
      </w:rPr>
      <w:t xml:space="preserve"> Persons with Disabilities</w:t>
    </w:r>
    <w:r>
      <w:rPr>
        <w:rFonts w:ascii="Arial" w:hAnsi="Arial" w:cs="Arial"/>
        <w:b/>
        <w:bCs/>
        <w:color w:val="1F497D" w:themeColor="text2"/>
        <w:sz w:val="16"/>
        <w:szCs w:val="16"/>
      </w:rPr>
      <w:br/>
    </w:r>
    <w:hyperlink r:id="rId2" w:history="1">
      <w:r w:rsidRPr="002B2778">
        <w:rPr>
          <w:rStyle w:val="Hyperlink"/>
          <w:sz w:val="16"/>
          <w:szCs w:val="16"/>
        </w:rPr>
        <w:t>www.easpd.eu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6C" w:rsidRDefault="006D766C" w:rsidP="00474D7A">
      <w:pPr>
        <w:spacing w:after="0" w:line="240" w:lineRule="auto"/>
      </w:pPr>
      <w:r>
        <w:separator/>
      </w:r>
    </w:p>
  </w:footnote>
  <w:footnote w:type="continuationSeparator" w:id="0">
    <w:p w:rsidR="006D766C" w:rsidRDefault="006D766C" w:rsidP="00474D7A">
      <w:pPr>
        <w:spacing w:after="0" w:line="240" w:lineRule="auto"/>
      </w:pPr>
      <w:r>
        <w:continuationSeparator/>
      </w:r>
    </w:p>
  </w:footnote>
  <w:footnote w:id="1">
    <w:p w:rsidR="00171DF2" w:rsidRPr="00171DF2" w:rsidRDefault="00171DF2" w:rsidP="00171DF2">
      <w:pPr>
        <w:pStyle w:val="FootnoteText"/>
        <w:contextualSpacing/>
        <w:jc w:val="both"/>
        <w:rPr>
          <w:sz w:val="16"/>
        </w:rPr>
      </w:pPr>
      <w:r>
        <w:rPr>
          <w:rStyle w:val="FootnoteReference"/>
        </w:rPr>
        <w:footnoteRef/>
      </w:r>
      <w:r>
        <w:t xml:space="preserve"> </w:t>
      </w:r>
      <w:r w:rsidRPr="00171DF2">
        <w:rPr>
          <w:sz w:val="16"/>
        </w:rPr>
        <w:t>See Common Definition of Co-production between EASPD, EDF, Inclusion Europe, ENIL, MHE and COFACE Families Europe</w:t>
      </w:r>
      <w:r>
        <w:rPr>
          <w:sz w:val="16"/>
        </w:rPr>
        <w:t xml:space="preserve">: </w:t>
      </w:r>
      <w:hyperlink r:id="rId1" w:history="1">
        <w:r w:rsidRPr="00171DF2">
          <w:rPr>
            <w:rStyle w:val="Hyperlink"/>
            <w:sz w:val="16"/>
          </w:rPr>
          <w:t>http://www.easpd.eu/sites/default/files/sites/default/files/joint_declaration_v2_final.pdf</w:t>
        </w:r>
      </w:hyperlink>
    </w:p>
    <w:p w:rsidR="00171DF2" w:rsidRPr="00171DF2" w:rsidRDefault="00171D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38" w:rsidRPr="00041A5C" w:rsidRDefault="00A447C2" w:rsidP="00041A5C">
    <w:pPr>
      <w:pStyle w:val="Header"/>
      <w:tabs>
        <w:tab w:val="clear" w:pos="4536"/>
        <w:tab w:val="center" w:pos="4395"/>
      </w:tabs>
      <w:ind w:firstLine="567"/>
      <w:jc w:val="center"/>
      <w:rPr>
        <w:sz w:val="28"/>
      </w:rPr>
    </w:pPr>
    <w:sdt>
      <w:sdtPr>
        <w:rPr>
          <w:sz w:val="28"/>
        </w:rPr>
        <w:id w:val="1016427698"/>
        <w:docPartObj>
          <w:docPartGallery w:val="Page Numbers (Margins)"/>
          <w:docPartUnique/>
        </w:docPartObj>
      </w:sdtPr>
      <w:sdtEndPr/>
      <w:sdtContent>
        <w:r w:rsidR="0090434B" w:rsidRPr="0090434B">
          <w:rPr>
            <w:noProof/>
            <w:sz w:val="28"/>
            <w:lang w:eastAsia="en-GB"/>
          </w:rPr>
          <mc:AlternateContent>
            <mc:Choice Requires="wps">
              <w:drawing>
                <wp:anchor distT="0" distB="0" distL="114300" distR="114300" simplePos="0" relativeHeight="251666432"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2018665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34B" w:rsidRPr="0090434B" w:rsidRDefault="0090434B">
                              <w:pPr>
                                <w:pBdr>
                                  <w:top w:val="single" w:sz="4" w:space="1" w:color="D8D8D8" w:themeColor="background1" w:themeShade="D8"/>
                                </w:pBdr>
                                <w:rPr>
                                  <w:rFonts w:ascii="Roboto Condensed" w:hAnsi="Roboto Condensed"/>
                                  <w:sz w:val="20"/>
                                  <w:szCs w:val="20"/>
                                </w:rPr>
                              </w:pPr>
                              <w:r w:rsidRPr="0090434B">
                                <w:rPr>
                                  <w:rFonts w:ascii="Roboto Condensed" w:hAnsi="Roboto Condensed"/>
                                  <w:sz w:val="20"/>
                                  <w:szCs w:val="20"/>
                                </w:rPr>
                                <w:t xml:space="preserve">Page | </w:t>
                              </w:r>
                              <w:r w:rsidRPr="0090434B">
                                <w:rPr>
                                  <w:rFonts w:ascii="Roboto Condensed" w:hAnsi="Roboto Condensed"/>
                                  <w:sz w:val="20"/>
                                  <w:szCs w:val="20"/>
                                </w:rPr>
                                <w:fldChar w:fldCharType="begin"/>
                              </w:r>
                              <w:r w:rsidRPr="0090434B">
                                <w:rPr>
                                  <w:rFonts w:ascii="Roboto Condensed" w:hAnsi="Roboto Condensed"/>
                                  <w:sz w:val="20"/>
                                  <w:szCs w:val="20"/>
                                </w:rPr>
                                <w:instrText xml:space="preserve"> PAGE   \* MERGEFORMAT </w:instrText>
                              </w:r>
                              <w:r w:rsidRPr="0090434B">
                                <w:rPr>
                                  <w:rFonts w:ascii="Roboto Condensed" w:hAnsi="Roboto Condensed"/>
                                  <w:sz w:val="20"/>
                                  <w:szCs w:val="20"/>
                                </w:rPr>
                                <w:fldChar w:fldCharType="separate"/>
                              </w:r>
                              <w:r w:rsidR="00A447C2">
                                <w:rPr>
                                  <w:rFonts w:ascii="Roboto Condensed" w:hAnsi="Roboto Condensed"/>
                                  <w:noProof/>
                                  <w:sz w:val="20"/>
                                  <w:szCs w:val="20"/>
                                </w:rPr>
                                <w:t>1</w:t>
                              </w:r>
                              <w:r w:rsidRPr="0090434B">
                                <w:rPr>
                                  <w:rFonts w:ascii="Roboto Condensed" w:hAnsi="Roboto Condensed"/>
                                  <w:noProof/>
                                  <w:sz w:val="20"/>
                                  <w:szCs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8" style="position:absolute;left:0;text-align:left;margin-left:13.6pt;margin-top:0;width:64.8pt;height:34.15pt;z-index:25166643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90434B" w:rsidRPr="0090434B" w:rsidRDefault="0090434B">
                        <w:pPr>
                          <w:pBdr>
                            <w:top w:val="single" w:sz="4" w:space="1" w:color="D8D8D8" w:themeColor="background1" w:themeShade="D8"/>
                          </w:pBdr>
                          <w:rPr>
                            <w:rFonts w:ascii="Roboto Condensed" w:hAnsi="Roboto Condensed"/>
                            <w:sz w:val="20"/>
                            <w:szCs w:val="20"/>
                          </w:rPr>
                        </w:pPr>
                        <w:r w:rsidRPr="0090434B">
                          <w:rPr>
                            <w:rFonts w:ascii="Roboto Condensed" w:hAnsi="Roboto Condensed"/>
                            <w:sz w:val="20"/>
                            <w:szCs w:val="20"/>
                          </w:rPr>
                          <w:t xml:space="preserve">Page | </w:t>
                        </w:r>
                        <w:r w:rsidRPr="0090434B">
                          <w:rPr>
                            <w:rFonts w:ascii="Roboto Condensed" w:hAnsi="Roboto Condensed"/>
                            <w:sz w:val="20"/>
                            <w:szCs w:val="20"/>
                          </w:rPr>
                          <w:fldChar w:fldCharType="begin"/>
                        </w:r>
                        <w:r w:rsidRPr="0090434B">
                          <w:rPr>
                            <w:rFonts w:ascii="Roboto Condensed" w:hAnsi="Roboto Condensed"/>
                            <w:sz w:val="20"/>
                            <w:szCs w:val="20"/>
                          </w:rPr>
                          <w:instrText xml:space="preserve"> PAGE   \* MERGEFORMAT </w:instrText>
                        </w:r>
                        <w:r w:rsidRPr="0090434B">
                          <w:rPr>
                            <w:rFonts w:ascii="Roboto Condensed" w:hAnsi="Roboto Condensed"/>
                            <w:sz w:val="20"/>
                            <w:szCs w:val="20"/>
                          </w:rPr>
                          <w:fldChar w:fldCharType="separate"/>
                        </w:r>
                        <w:r w:rsidR="00A447C2">
                          <w:rPr>
                            <w:rFonts w:ascii="Roboto Condensed" w:hAnsi="Roboto Condensed"/>
                            <w:noProof/>
                            <w:sz w:val="20"/>
                            <w:szCs w:val="20"/>
                          </w:rPr>
                          <w:t>1</w:t>
                        </w:r>
                        <w:r w:rsidRPr="0090434B">
                          <w:rPr>
                            <w:rFonts w:ascii="Roboto Condensed" w:hAnsi="Roboto Condensed"/>
                            <w:noProof/>
                            <w:sz w:val="20"/>
                            <w:szCs w:val="20"/>
                          </w:rPr>
                          <w:fldChar w:fldCharType="end"/>
                        </w:r>
                      </w:p>
                    </w:txbxContent>
                  </v:textbox>
                  <w10:wrap anchorx="margin" anchory="margin"/>
                </v:rect>
              </w:pict>
            </mc:Fallback>
          </mc:AlternateContent>
        </w:r>
      </w:sdtContent>
    </w:sdt>
    <w:r w:rsidR="009F5FDF" w:rsidRPr="006D6D82">
      <w:rPr>
        <w:noProof/>
        <w:lang w:eastAsia="en-GB"/>
      </w:rPr>
      <w:drawing>
        <wp:anchor distT="0" distB="0" distL="114300" distR="114300" simplePos="0" relativeHeight="251664384" behindDoc="1" locked="0" layoutInCell="1" allowOverlap="1" wp14:anchorId="242F5D69" wp14:editId="481F583D">
          <wp:simplePos x="0" y="0"/>
          <wp:positionH relativeFrom="column">
            <wp:posOffset>-1709420</wp:posOffset>
          </wp:positionH>
          <wp:positionV relativeFrom="paragraph">
            <wp:posOffset>-449580</wp:posOffset>
          </wp:positionV>
          <wp:extent cx="8354312" cy="1009650"/>
          <wp:effectExtent l="0" t="0" r="889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A4-policy-paper_front4.jpg"/>
                  <pic:cNvPicPr/>
                </pic:nvPicPr>
                <pic:blipFill rotWithShape="1">
                  <a:blip r:embed="rId1" cstate="print">
                    <a:extLst>
                      <a:ext uri="{28A0092B-C50C-407E-A947-70E740481C1C}">
                        <a14:useLocalDpi xmlns:a14="http://schemas.microsoft.com/office/drawing/2010/main" val="0"/>
                      </a:ext>
                    </a:extLst>
                  </a:blip>
                  <a:srcRect l="-10740" t="-749" b="36440"/>
                  <a:stretch/>
                </pic:blipFill>
                <pic:spPr bwMode="auto">
                  <a:xfrm>
                    <a:off x="0" y="0"/>
                    <a:ext cx="8382000" cy="10129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62"/>
    <w:multiLevelType w:val="hybridMultilevel"/>
    <w:tmpl w:val="33826686"/>
    <w:lvl w:ilvl="0" w:tplc="0EFE7092">
      <w:start w:val="7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52280"/>
    <w:multiLevelType w:val="hybridMultilevel"/>
    <w:tmpl w:val="FA5EAC9E"/>
    <w:lvl w:ilvl="0" w:tplc="C6506CEE">
      <w:start w:val="29"/>
      <w:numFmt w:val="bullet"/>
      <w:lvlText w:val="-"/>
      <w:lvlJc w:val="left"/>
      <w:pPr>
        <w:ind w:left="1572" w:hanging="360"/>
      </w:pPr>
      <w:rPr>
        <w:rFonts w:ascii="Calibri" w:eastAsia="Times New Roman" w:hAnsi="Calibri" w:cs="Arial" w:hint="default"/>
        <w:color w:val="auto"/>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nsid w:val="0A0467BF"/>
    <w:multiLevelType w:val="hybridMultilevel"/>
    <w:tmpl w:val="9042B88C"/>
    <w:lvl w:ilvl="0" w:tplc="3B78E29C">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E1E53"/>
    <w:multiLevelType w:val="hybridMultilevel"/>
    <w:tmpl w:val="C75A7E82"/>
    <w:lvl w:ilvl="0" w:tplc="A45CE320">
      <w:start w:val="89"/>
      <w:numFmt w:val="bullet"/>
      <w:lvlText w:val="-"/>
      <w:lvlJc w:val="left"/>
      <w:pPr>
        <w:ind w:left="720" w:hanging="360"/>
      </w:pPr>
      <w:rPr>
        <w:rFonts w:ascii="Roboto Condensed" w:eastAsiaTheme="minorEastAsia" w:hAnsi="Roboto Condens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7729F"/>
    <w:multiLevelType w:val="hybridMultilevel"/>
    <w:tmpl w:val="B3402A06"/>
    <w:lvl w:ilvl="0" w:tplc="0809000F">
      <w:start w:val="1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0EE63F5D"/>
    <w:multiLevelType w:val="hybridMultilevel"/>
    <w:tmpl w:val="21BCAEBA"/>
    <w:lvl w:ilvl="0" w:tplc="623270EA">
      <w:start w:val="89"/>
      <w:numFmt w:val="bullet"/>
      <w:lvlText w:val="-"/>
      <w:lvlJc w:val="left"/>
      <w:pPr>
        <w:ind w:left="720" w:hanging="360"/>
      </w:pPr>
      <w:rPr>
        <w:rFonts w:ascii="Roboto Condensed" w:eastAsia="Times New Roman" w:hAnsi="Roboto Condensed" w:cs="Times New Roman" w:hint="default"/>
      </w:rPr>
    </w:lvl>
    <w:lvl w:ilvl="1" w:tplc="623270EA">
      <w:start w:val="89"/>
      <w:numFmt w:val="bullet"/>
      <w:lvlText w:val="-"/>
      <w:lvlJc w:val="left"/>
      <w:pPr>
        <w:ind w:left="1440" w:hanging="360"/>
      </w:pPr>
      <w:rPr>
        <w:rFonts w:ascii="Roboto Condensed" w:eastAsia="Times New Roman" w:hAnsi="Roboto Condense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F0083"/>
    <w:multiLevelType w:val="hybridMultilevel"/>
    <w:tmpl w:val="06961E76"/>
    <w:lvl w:ilvl="0" w:tplc="623270EA">
      <w:start w:val="89"/>
      <w:numFmt w:val="bullet"/>
      <w:lvlText w:val="-"/>
      <w:lvlJc w:val="left"/>
      <w:pPr>
        <w:ind w:left="1428" w:hanging="360"/>
      </w:pPr>
      <w:rPr>
        <w:rFonts w:ascii="Roboto Condensed" w:eastAsia="Times New Roman" w:hAnsi="Roboto Condensed"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32065BD"/>
    <w:multiLevelType w:val="hybridMultilevel"/>
    <w:tmpl w:val="2F88CA1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33A2E"/>
    <w:multiLevelType w:val="hybridMultilevel"/>
    <w:tmpl w:val="E52697AE"/>
    <w:lvl w:ilvl="0" w:tplc="0809000F">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702BF2"/>
    <w:multiLevelType w:val="hybridMultilevel"/>
    <w:tmpl w:val="9ADA12EC"/>
    <w:lvl w:ilvl="0" w:tplc="4D3A0014">
      <w:start w:val="5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3804C5"/>
    <w:multiLevelType w:val="hybridMultilevel"/>
    <w:tmpl w:val="2D8496B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D47E27"/>
    <w:multiLevelType w:val="hybridMultilevel"/>
    <w:tmpl w:val="F080FC6C"/>
    <w:lvl w:ilvl="0" w:tplc="5F2EEBB8">
      <w:start w:val="1"/>
      <w:numFmt w:val="decimal"/>
      <w:lvlText w:val="%1-"/>
      <w:lvlJc w:val="left"/>
      <w:pPr>
        <w:ind w:left="360" w:hanging="360"/>
      </w:pPr>
      <w:rPr>
        <w:rFonts w:hint="default"/>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1F25B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581125"/>
    <w:multiLevelType w:val="hybridMultilevel"/>
    <w:tmpl w:val="D8664B2E"/>
    <w:lvl w:ilvl="0" w:tplc="0C542DFE">
      <w:numFmt w:val="bullet"/>
      <w:lvlText w:val="-"/>
      <w:lvlJc w:val="left"/>
      <w:pPr>
        <w:ind w:left="720" w:hanging="360"/>
      </w:pPr>
      <w:rPr>
        <w:rFonts w:ascii="Roboto Condensed" w:eastAsiaTheme="minorEastAsia" w:hAnsi="Roboto Condens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1633E"/>
    <w:multiLevelType w:val="hybridMultilevel"/>
    <w:tmpl w:val="9DB0CF74"/>
    <w:lvl w:ilvl="0" w:tplc="4B7EAC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A7F43"/>
    <w:multiLevelType w:val="hybridMultilevel"/>
    <w:tmpl w:val="B5D68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0846A5"/>
    <w:multiLevelType w:val="hybridMultilevel"/>
    <w:tmpl w:val="DD021694"/>
    <w:lvl w:ilvl="0" w:tplc="6748ADC4">
      <w:start w:val="1"/>
      <w:numFmt w:val="decimal"/>
      <w:lvlText w:val="%1."/>
      <w:lvlJc w:val="left"/>
      <w:pPr>
        <w:ind w:left="3905"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49E4BA8"/>
    <w:multiLevelType w:val="hybridMultilevel"/>
    <w:tmpl w:val="5F5EF14A"/>
    <w:lvl w:ilvl="0" w:tplc="0809000F">
      <w:start w:val="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F3E7E"/>
    <w:multiLevelType w:val="hybridMultilevel"/>
    <w:tmpl w:val="898062DA"/>
    <w:lvl w:ilvl="0" w:tplc="3B78E29C">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B4301"/>
    <w:multiLevelType w:val="hybridMultilevel"/>
    <w:tmpl w:val="3A08B24E"/>
    <w:lvl w:ilvl="0" w:tplc="0EE6E41E">
      <w:start w:val="5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73C2B"/>
    <w:multiLevelType w:val="hybridMultilevel"/>
    <w:tmpl w:val="EE2465B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D33340"/>
    <w:multiLevelType w:val="hybridMultilevel"/>
    <w:tmpl w:val="1D78D380"/>
    <w:lvl w:ilvl="0" w:tplc="0809000F">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C082C"/>
    <w:multiLevelType w:val="hybridMultilevel"/>
    <w:tmpl w:val="2D6268CC"/>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6B3B22"/>
    <w:multiLevelType w:val="hybridMultilevel"/>
    <w:tmpl w:val="9F56494C"/>
    <w:lvl w:ilvl="0" w:tplc="50401840">
      <w:start w:val="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0A7B2C"/>
    <w:multiLevelType w:val="hybridMultilevel"/>
    <w:tmpl w:val="97E84F76"/>
    <w:lvl w:ilvl="0" w:tplc="F52C1AE8">
      <w:start w:val="3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966675"/>
    <w:multiLevelType w:val="hybridMultilevel"/>
    <w:tmpl w:val="56BAB35E"/>
    <w:lvl w:ilvl="0" w:tplc="0809000F">
      <w:start w:val="7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B184B"/>
    <w:multiLevelType w:val="hybridMultilevel"/>
    <w:tmpl w:val="778001BE"/>
    <w:lvl w:ilvl="0" w:tplc="1AB62B32">
      <w:start w:val="1"/>
      <w:numFmt w:val="upperLetter"/>
      <w:lvlText w:val="%1."/>
      <w:lvlJc w:val="left"/>
      <w:pPr>
        <w:ind w:left="705" w:hanging="6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7">
    <w:nsid w:val="5DCB0C77"/>
    <w:multiLevelType w:val="hybridMultilevel"/>
    <w:tmpl w:val="C3BA497E"/>
    <w:lvl w:ilvl="0" w:tplc="E56CEF08">
      <w:start w:val="1"/>
      <w:numFmt w:val="lowerLetter"/>
      <w:lvlText w:val="(%1)"/>
      <w:lvlJc w:val="left"/>
      <w:pPr>
        <w:ind w:left="720" w:hanging="360"/>
      </w:pPr>
      <w:rPr>
        <w:rFonts w:ascii="TimesNewRoman,Italic" w:hAnsi="TimesNewRoman,Italic" w:cs="TimesNewRoman,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216298"/>
    <w:multiLevelType w:val="hybridMultilevel"/>
    <w:tmpl w:val="DB3056B2"/>
    <w:lvl w:ilvl="0" w:tplc="4F26C2BE">
      <w:start w:val="5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ED460D"/>
    <w:multiLevelType w:val="hybridMultilevel"/>
    <w:tmpl w:val="B846CF80"/>
    <w:lvl w:ilvl="0" w:tplc="00AAE6B8">
      <w:start w:val="6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07465E"/>
    <w:multiLevelType w:val="hybridMultilevel"/>
    <w:tmpl w:val="981CF560"/>
    <w:lvl w:ilvl="0" w:tplc="A8E03C9C">
      <w:start w:val="33"/>
      <w:numFmt w:val="bullet"/>
      <w:lvlText w:val="-"/>
      <w:lvlJc w:val="left"/>
      <w:pPr>
        <w:ind w:left="720" w:hanging="360"/>
      </w:pPr>
      <w:rPr>
        <w:rFonts w:ascii="Roboto Condensed" w:eastAsiaTheme="minorEastAsia" w:hAnsi="Roboto Condens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E5739"/>
    <w:multiLevelType w:val="hybridMultilevel"/>
    <w:tmpl w:val="00C4A45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78275E"/>
    <w:multiLevelType w:val="hybridMultilevel"/>
    <w:tmpl w:val="5C4C4A8A"/>
    <w:lvl w:ilvl="0" w:tplc="FA621F36">
      <w:start w:val="6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8B360A"/>
    <w:multiLevelType w:val="hybridMultilevel"/>
    <w:tmpl w:val="560EDFE4"/>
    <w:lvl w:ilvl="0" w:tplc="0809000F">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4D6244"/>
    <w:multiLevelType w:val="hybridMultilevel"/>
    <w:tmpl w:val="BE4A9B38"/>
    <w:lvl w:ilvl="0" w:tplc="7E2608C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6DD3CD5"/>
    <w:multiLevelType w:val="hybridMultilevel"/>
    <w:tmpl w:val="7B10BA8E"/>
    <w:lvl w:ilvl="0" w:tplc="0809000F">
      <w:start w:val="2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530D65"/>
    <w:multiLevelType w:val="hybridMultilevel"/>
    <w:tmpl w:val="ADAE6CD2"/>
    <w:lvl w:ilvl="0" w:tplc="0809000F">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BB3F49"/>
    <w:multiLevelType w:val="hybridMultilevel"/>
    <w:tmpl w:val="CFFEE560"/>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162FF2"/>
    <w:multiLevelType w:val="hybridMultilevel"/>
    <w:tmpl w:val="8A401CFC"/>
    <w:lvl w:ilvl="0" w:tplc="623270EA">
      <w:start w:val="89"/>
      <w:numFmt w:val="bullet"/>
      <w:lvlText w:val="-"/>
      <w:lvlJc w:val="left"/>
      <w:pPr>
        <w:ind w:left="720" w:hanging="360"/>
      </w:pPr>
      <w:rPr>
        <w:rFonts w:ascii="Roboto Condensed" w:eastAsia="Times New Roman" w:hAnsi="Roboto Condense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B0035E"/>
    <w:multiLevelType w:val="hybridMultilevel"/>
    <w:tmpl w:val="855CB032"/>
    <w:lvl w:ilvl="0" w:tplc="CEC03708">
      <w:numFmt w:val="bullet"/>
      <w:lvlText w:val="-"/>
      <w:lvlJc w:val="left"/>
      <w:pPr>
        <w:ind w:left="720" w:hanging="360"/>
      </w:pPr>
      <w:rPr>
        <w:rFonts w:ascii="Roboto Condensed" w:eastAsiaTheme="minorEastAsia" w:hAnsi="Roboto Condens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0"/>
  </w:num>
  <w:num w:numId="4">
    <w:abstractNumId w:val="20"/>
  </w:num>
  <w:num w:numId="5">
    <w:abstractNumId w:val="11"/>
  </w:num>
  <w:num w:numId="6">
    <w:abstractNumId w:val="39"/>
  </w:num>
  <w:num w:numId="7">
    <w:abstractNumId w:val="26"/>
  </w:num>
  <w:num w:numId="8">
    <w:abstractNumId w:val="16"/>
  </w:num>
  <w:num w:numId="9">
    <w:abstractNumId w:val="4"/>
  </w:num>
  <w:num w:numId="10">
    <w:abstractNumId w:val="35"/>
  </w:num>
  <w:num w:numId="11">
    <w:abstractNumId w:val="7"/>
  </w:num>
  <w:num w:numId="12">
    <w:abstractNumId w:val="24"/>
  </w:num>
  <w:num w:numId="13">
    <w:abstractNumId w:val="22"/>
  </w:num>
  <w:num w:numId="14">
    <w:abstractNumId w:val="28"/>
  </w:num>
  <w:num w:numId="15">
    <w:abstractNumId w:val="19"/>
  </w:num>
  <w:num w:numId="16">
    <w:abstractNumId w:val="9"/>
  </w:num>
  <w:num w:numId="17">
    <w:abstractNumId w:val="36"/>
  </w:num>
  <w:num w:numId="18">
    <w:abstractNumId w:val="29"/>
  </w:num>
  <w:num w:numId="19">
    <w:abstractNumId w:val="32"/>
  </w:num>
  <w:num w:numId="20">
    <w:abstractNumId w:val="23"/>
  </w:num>
  <w:num w:numId="21">
    <w:abstractNumId w:val="0"/>
  </w:num>
  <w:num w:numId="22">
    <w:abstractNumId w:val="25"/>
  </w:num>
  <w:num w:numId="23">
    <w:abstractNumId w:val="21"/>
  </w:num>
  <w:num w:numId="24">
    <w:abstractNumId w:val="33"/>
  </w:num>
  <w:num w:numId="25">
    <w:abstractNumId w:val="17"/>
  </w:num>
  <w:num w:numId="26">
    <w:abstractNumId w:val="8"/>
  </w:num>
  <w:num w:numId="27">
    <w:abstractNumId w:val="37"/>
  </w:num>
  <w:num w:numId="28">
    <w:abstractNumId w:val="38"/>
  </w:num>
  <w:num w:numId="29">
    <w:abstractNumId w:val="30"/>
  </w:num>
  <w:num w:numId="30">
    <w:abstractNumId w:val="34"/>
  </w:num>
  <w:num w:numId="31">
    <w:abstractNumId w:val="3"/>
  </w:num>
  <w:num w:numId="32">
    <w:abstractNumId w:val="1"/>
  </w:num>
  <w:num w:numId="33">
    <w:abstractNumId w:val="14"/>
  </w:num>
  <w:num w:numId="34">
    <w:abstractNumId w:val="13"/>
  </w:num>
  <w:num w:numId="35">
    <w:abstractNumId w:val="2"/>
  </w:num>
  <w:num w:numId="36">
    <w:abstractNumId w:val="27"/>
  </w:num>
  <w:num w:numId="37">
    <w:abstractNumId w:val="15"/>
  </w:num>
  <w:num w:numId="38">
    <w:abstractNumId w:val="5"/>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3612F"/>
    <w:rsid w:val="00041A5C"/>
    <w:rsid w:val="00041F2A"/>
    <w:rsid w:val="00042F14"/>
    <w:rsid w:val="00054A6F"/>
    <w:rsid w:val="00065677"/>
    <w:rsid w:val="000821BC"/>
    <w:rsid w:val="00082F28"/>
    <w:rsid w:val="00084D08"/>
    <w:rsid w:val="000915A1"/>
    <w:rsid w:val="000915F4"/>
    <w:rsid w:val="000A42EA"/>
    <w:rsid w:val="000B4751"/>
    <w:rsid w:val="000B4CC1"/>
    <w:rsid w:val="000B4E08"/>
    <w:rsid w:val="000B624C"/>
    <w:rsid w:val="000C0D5A"/>
    <w:rsid w:val="000C1CF3"/>
    <w:rsid w:val="000C60C9"/>
    <w:rsid w:val="000C6C6E"/>
    <w:rsid w:val="000D0D5D"/>
    <w:rsid w:val="000D1A6A"/>
    <w:rsid w:val="000D45E0"/>
    <w:rsid w:val="000D5BD8"/>
    <w:rsid w:val="000E5635"/>
    <w:rsid w:val="000E6F1D"/>
    <w:rsid w:val="00106660"/>
    <w:rsid w:val="0013306C"/>
    <w:rsid w:val="001362A4"/>
    <w:rsid w:val="00141BE5"/>
    <w:rsid w:val="001575EE"/>
    <w:rsid w:val="001707E6"/>
    <w:rsid w:val="001714D0"/>
    <w:rsid w:val="00171DF2"/>
    <w:rsid w:val="00172FBD"/>
    <w:rsid w:val="00176701"/>
    <w:rsid w:val="001868BB"/>
    <w:rsid w:val="001A286A"/>
    <w:rsid w:val="001A4764"/>
    <w:rsid w:val="001B0E2F"/>
    <w:rsid w:val="001B464E"/>
    <w:rsid w:val="001B597B"/>
    <w:rsid w:val="001B6A66"/>
    <w:rsid w:val="001E3540"/>
    <w:rsid w:val="002079A3"/>
    <w:rsid w:val="0021030C"/>
    <w:rsid w:val="0021121A"/>
    <w:rsid w:val="002131D3"/>
    <w:rsid w:val="00241493"/>
    <w:rsid w:val="00241D9D"/>
    <w:rsid w:val="002574AA"/>
    <w:rsid w:val="0027088C"/>
    <w:rsid w:val="0027287C"/>
    <w:rsid w:val="002733F2"/>
    <w:rsid w:val="002771C2"/>
    <w:rsid w:val="002967DB"/>
    <w:rsid w:val="00297674"/>
    <w:rsid w:val="002A2E4D"/>
    <w:rsid w:val="002B0567"/>
    <w:rsid w:val="002B2031"/>
    <w:rsid w:val="002B431E"/>
    <w:rsid w:val="002C5484"/>
    <w:rsid w:val="002C5AA4"/>
    <w:rsid w:val="002D49CC"/>
    <w:rsid w:val="002E0127"/>
    <w:rsid w:val="002E10DE"/>
    <w:rsid w:val="002E3591"/>
    <w:rsid w:val="002E55D1"/>
    <w:rsid w:val="002E6DA4"/>
    <w:rsid w:val="00303724"/>
    <w:rsid w:val="00317EED"/>
    <w:rsid w:val="003239F8"/>
    <w:rsid w:val="003258BE"/>
    <w:rsid w:val="0032709D"/>
    <w:rsid w:val="003369CF"/>
    <w:rsid w:val="0034333D"/>
    <w:rsid w:val="00343C47"/>
    <w:rsid w:val="00347028"/>
    <w:rsid w:val="00371BA1"/>
    <w:rsid w:val="00376971"/>
    <w:rsid w:val="00380307"/>
    <w:rsid w:val="00380324"/>
    <w:rsid w:val="0039710A"/>
    <w:rsid w:val="003976D8"/>
    <w:rsid w:val="003A39C3"/>
    <w:rsid w:val="003B1326"/>
    <w:rsid w:val="003B54E2"/>
    <w:rsid w:val="003C6B1C"/>
    <w:rsid w:val="003D02A1"/>
    <w:rsid w:val="003D119F"/>
    <w:rsid w:val="003D7AF0"/>
    <w:rsid w:val="003E4BD3"/>
    <w:rsid w:val="003E586D"/>
    <w:rsid w:val="003E6C49"/>
    <w:rsid w:val="003F2374"/>
    <w:rsid w:val="00401DF2"/>
    <w:rsid w:val="00404E3B"/>
    <w:rsid w:val="0041485F"/>
    <w:rsid w:val="00414CD9"/>
    <w:rsid w:val="00417E4C"/>
    <w:rsid w:val="004209E7"/>
    <w:rsid w:val="00423E58"/>
    <w:rsid w:val="0042536E"/>
    <w:rsid w:val="004318AD"/>
    <w:rsid w:val="00451B4D"/>
    <w:rsid w:val="004522CA"/>
    <w:rsid w:val="00471D23"/>
    <w:rsid w:val="00474B04"/>
    <w:rsid w:val="00474D7A"/>
    <w:rsid w:val="00475C81"/>
    <w:rsid w:val="004966F8"/>
    <w:rsid w:val="004B063F"/>
    <w:rsid w:val="004D5FA7"/>
    <w:rsid w:val="004D6C22"/>
    <w:rsid w:val="004E5C66"/>
    <w:rsid w:val="004E791D"/>
    <w:rsid w:val="004E7A47"/>
    <w:rsid w:val="00506F3D"/>
    <w:rsid w:val="00525762"/>
    <w:rsid w:val="0053244F"/>
    <w:rsid w:val="005540E7"/>
    <w:rsid w:val="00592E4F"/>
    <w:rsid w:val="005A730F"/>
    <w:rsid w:val="005C081A"/>
    <w:rsid w:val="005D264E"/>
    <w:rsid w:val="005D2BC6"/>
    <w:rsid w:val="005D5BE9"/>
    <w:rsid w:val="005D5D32"/>
    <w:rsid w:val="005D5D75"/>
    <w:rsid w:val="005E1B5F"/>
    <w:rsid w:val="005E3F6B"/>
    <w:rsid w:val="005F59E5"/>
    <w:rsid w:val="0060767D"/>
    <w:rsid w:val="0062280B"/>
    <w:rsid w:val="006251BF"/>
    <w:rsid w:val="006263E0"/>
    <w:rsid w:val="00632261"/>
    <w:rsid w:val="00634C07"/>
    <w:rsid w:val="00635F62"/>
    <w:rsid w:val="00685C8D"/>
    <w:rsid w:val="00685E41"/>
    <w:rsid w:val="00693364"/>
    <w:rsid w:val="006A25EB"/>
    <w:rsid w:val="006A2DF3"/>
    <w:rsid w:val="006B2255"/>
    <w:rsid w:val="006D3D40"/>
    <w:rsid w:val="006D766C"/>
    <w:rsid w:val="006E3B12"/>
    <w:rsid w:val="006E7727"/>
    <w:rsid w:val="006F6B5F"/>
    <w:rsid w:val="00702BC0"/>
    <w:rsid w:val="007171F8"/>
    <w:rsid w:val="00720289"/>
    <w:rsid w:val="00723BD3"/>
    <w:rsid w:val="0072728D"/>
    <w:rsid w:val="00742CE1"/>
    <w:rsid w:val="00745B44"/>
    <w:rsid w:val="007503D5"/>
    <w:rsid w:val="007555F3"/>
    <w:rsid w:val="00770510"/>
    <w:rsid w:val="00774CD4"/>
    <w:rsid w:val="00780D58"/>
    <w:rsid w:val="00784AC7"/>
    <w:rsid w:val="00785C07"/>
    <w:rsid w:val="00787F35"/>
    <w:rsid w:val="007906B0"/>
    <w:rsid w:val="00794272"/>
    <w:rsid w:val="00794552"/>
    <w:rsid w:val="00794B58"/>
    <w:rsid w:val="007A2D33"/>
    <w:rsid w:val="007A7055"/>
    <w:rsid w:val="007B1B3F"/>
    <w:rsid w:val="007B627B"/>
    <w:rsid w:val="007C2F71"/>
    <w:rsid w:val="007C3006"/>
    <w:rsid w:val="007C43DA"/>
    <w:rsid w:val="007D1A6B"/>
    <w:rsid w:val="007E03A0"/>
    <w:rsid w:val="007F2927"/>
    <w:rsid w:val="00806D04"/>
    <w:rsid w:val="008267DE"/>
    <w:rsid w:val="0085251C"/>
    <w:rsid w:val="0085655F"/>
    <w:rsid w:val="0086389A"/>
    <w:rsid w:val="00872A91"/>
    <w:rsid w:val="00876DDB"/>
    <w:rsid w:val="008773B5"/>
    <w:rsid w:val="008863EF"/>
    <w:rsid w:val="00890109"/>
    <w:rsid w:val="00897B52"/>
    <w:rsid w:val="008A1143"/>
    <w:rsid w:val="008A53CC"/>
    <w:rsid w:val="008A5C85"/>
    <w:rsid w:val="008B128F"/>
    <w:rsid w:val="008B31DD"/>
    <w:rsid w:val="008B3C15"/>
    <w:rsid w:val="008B6776"/>
    <w:rsid w:val="008C02D9"/>
    <w:rsid w:val="008C5AA4"/>
    <w:rsid w:val="008D3B09"/>
    <w:rsid w:val="008D7CC3"/>
    <w:rsid w:val="008E5F43"/>
    <w:rsid w:val="008F4C32"/>
    <w:rsid w:val="008F62F2"/>
    <w:rsid w:val="0090434B"/>
    <w:rsid w:val="009051B9"/>
    <w:rsid w:val="00912E79"/>
    <w:rsid w:val="00913746"/>
    <w:rsid w:val="00920D2A"/>
    <w:rsid w:val="009244E1"/>
    <w:rsid w:val="00924E8A"/>
    <w:rsid w:val="00925CA7"/>
    <w:rsid w:val="00941246"/>
    <w:rsid w:val="00941718"/>
    <w:rsid w:val="00943188"/>
    <w:rsid w:val="00950E69"/>
    <w:rsid w:val="00950E90"/>
    <w:rsid w:val="00954EB3"/>
    <w:rsid w:val="0097193B"/>
    <w:rsid w:val="00972634"/>
    <w:rsid w:val="00977A28"/>
    <w:rsid w:val="00990737"/>
    <w:rsid w:val="00990857"/>
    <w:rsid w:val="00993AC2"/>
    <w:rsid w:val="009A40DB"/>
    <w:rsid w:val="009B1808"/>
    <w:rsid w:val="009B332A"/>
    <w:rsid w:val="009C333E"/>
    <w:rsid w:val="009C40BE"/>
    <w:rsid w:val="009F1AB5"/>
    <w:rsid w:val="009F5FDF"/>
    <w:rsid w:val="009F60FF"/>
    <w:rsid w:val="00A07F73"/>
    <w:rsid w:val="00A24B4F"/>
    <w:rsid w:val="00A24D31"/>
    <w:rsid w:val="00A25F38"/>
    <w:rsid w:val="00A27F51"/>
    <w:rsid w:val="00A31A1C"/>
    <w:rsid w:val="00A326F6"/>
    <w:rsid w:val="00A447C2"/>
    <w:rsid w:val="00A44ECF"/>
    <w:rsid w:val="00A6313D"/>
    <w:rsid w:val="00A67F52"/>
    <w:rsid w:val="00A70192"/>
    <w:rsid w:val="00A84AA5"/>
    <w:rsid w:val="00A85697"/>
    <w:rsid w:val="00A863EA"/>
    <w:rsid w:val="00A90C72"/>
    <w:rsid w:val="00AA1231"/>
    <w:rsid w:val="00AB1BBE"/>
    <w:rsid w:val="00AC2B1A"/>
    <w:rsid w:val="00AC5B77"/>
    <w:rsid w:val="00AC6808"/>
    <w:rsid w:val="00AD1B49"/>
    <w:rsid w:val="00AD623D"/>
    <w:rsid w:val="00AD65AC"/>
    <w:rsid w:val="00AD762C"/>
    <w:rsid w:val="00B133F2"/>
    <w:rsid w:val="00B17005"/>
    <w:rsid w:val="00B34394"/>
    <w:rsid w:val="00B35FA9"/>
    <w:rsid w:val="00B35FF5"/>
    <w:rsid w:val="00B56F05"/>
    <w:rsid w:val="00B60EDB"/>
    <w:rsid w:val="00B6775B"/>
    <w:rsid w:val="00B950E6"/>
    <w:rsid w:val="00BC249D"/>
    <w:rsid w:val="00BC5023"/>
    <w:rsid w:val="00BC6E5C"/>
    <w:rsid w:val="00BE5EEF"/>
    <w:rsid w:val="00BF236A"/>
    <w:rsid w:val="00BF3DFF"/>
    <w:rsid w:val="00C0515E"/>
    <w:rsid w:val="00C236BC"/>
    <w:rsid w:val="00C238E9"/>
    <w:rsid w:val="00C24136"/>
    <w:rsid w:val="00C308E4"/>
    <w:rsid w:val="00C36EA2"/>
    <w:rsid w:val="00C4012E"/>
    <w:rsid w:val="00C53C21"/>
    <w:rsid w:val="00C72CA1"/>
    <w:rsid w:val="00C73DD5"/>
    <w:rsid w:val="00C8085F"/>
    <w:rsid w:val="00C870FE"/>
    <w:rsid w:val="00C9222F"/>
    <w:rsid w:val="00C938B4"/>
    <w:rsid w:val="00C96E94"/>
    <w:rsid w:val="00C97952"/>
    <w:rsid w:val="00CA23D7"/>
    <w:rsid w:val="00CA266E"/>
    <w:rsid w:val="00CA5A41"/>
    <w:rsid w:val="00CB0F7B"/>
    <w:rsid w:val="00CC001D"/>
    <w:rsid w:val="00CD1E62"/>
    <w:rsid w:val="00CD4482"/>
    <w:rsid w:val="00CD486E"/>
    <w:rsid w:val="00D00458"/>
    <w:rsid w:val="00D0360F"/>
    <w:rsid w:val="00D101D7"/>
    <w:rsid w:val="00D209E9"/>
    <w:rsid w:val="00D251B3"/>
    <w:rsid w:val="00D33D7A"/>
    <w:rsid w:val="00D435BD"/>
    <w:rsid w:val="00D50F6C"/>
    <w:rsid w:val="00D57777"/>
    <w:rsid w:val="00D57953"/>
    <w:rsid w:val="00D70208"/>
    <w:rsid w:val="00D7371E"/>
    <w:rsid w:val="00D760D3"/>
    <w:rsid w:val="00D77A78"/>
    <w:rsid w:val="00D92418"/>
    <w:rsid w:val="00D92B71"/>
    <w:rsid w:val="00D945C4"/>
    <w:rsid w:val="00D94D67"/>
    <w:rsid w:val="00DA1E83"/>
    <w:rsid w:val="00DA510C"/>
    <w:rsid w:val="00DC3B2E"/>
    <w:rsid w:val="00DC5BBF"/>
    <w:rsid w:val="00DC67EC"/>
    <w:rsid w:val="00DC6DCA"/>
    <w:rsid w:val="00DD1C19"/>
    <w:rsid w:val="00DD4A8F"/>
    <w:rsid w:val="00DF2B1B"/>
    <w:rsid w:val="00DF4100"/>
    <w:rsid w:val="00E07999"/>
    <w:rsid w:val="00E103CD"/>
    <w:rsid w:val="00E1104A"/>
    <w:rsid w:val="00E27154"/>
    <w:rsid w:val="00E3071B"/>
    <w:rsid w:val="00E34380"/>
    <w:rsid w:val="00E361C6"/>
    <w:rsid w:val="00E4117E"/>
    <w:rsid w:val="00E41AF0"/>
    <w:rsid w:val="00E42D7D"/>
    <w:rsid w:val="00E54638"/>
    <w:rsid w:val="00E622EE"/>
    <w:rsid w:val="00E65FE0"/>
    <w:rsid w:val="00E7014C"/>
    <w:rsid w:val="00E830D5"/>
    <w:rsid w:val="00EC136A"/>
    <w:rsid w:val="00EC2830"/>
    <w:rsid w:val="00ED0AAB"/>
    <w:rsid w:val="00ED19D2"/>
    <w:rsid w:val="00EE7C84"/>
    <w:rsid w:val="00EF0731"/>
    <w:rsid w:val="00EF1165"/>
    <w:rsid w:val="00EF3FB3"/>
    <w:rsid w:val="00EF3FEC"/>
    <w:rsid w:val="00EF5245"/>
    <w:rsid w:val="00EF539A"/>
    <w:rsid w:val="00F10D88"/>
    <w:rsid w:val="00F16333"/>
    <w:rsid w:val="00F22550"/>
    <w:rsid w:val="00F271E3"/>
    <w:rsid w:val="00F27A43"/>
    <w:rsid w:val="00F27F5C"/>
    <w:rsid w:val="00F34FC7"/>
    <w:rsid w:val="00F40534"/>
    <w:rsid w:val="00F4523A"/>
    <w:rsid w:val="00F4775A"/>
    <w:rsid w:val="00F531FB"/>
    <w:rsid w:val="00F752C0"/>
    <w:rsid w:val="00F801DD"/>
    <w:rsid w:val="00F85E83"/>
    <w:rsid w:val="00FA1BB8"/>
    <w:rsid w:val="00FB2934"/>
    <w:rsid w:val="00FB5E8B"/>
    <w:rsid w:val="00FB66F2"/>
    <w:rsid w:val="00FB6FB3"/>
    <w:rsid w:val="00FD2214"/>
    <w:rsid w:val="00FD3B87"/>
    <w:rsid w:val="00FD7596"/>
    <w:rsid w:val="00FD7996"/>
    <w:rsid w:val="00FE0870"/>
    <w:rsid w:val="00FE5222"/>
    <w:rsid w:val="00FE6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38"/>
    <w:pPr>
      <w:jc w:val="both"/>
    </w:pPr>
    <w:rPr>
      <w:rFonts w:eastAsiaTheme="minorEastAsia"/>
      <w:lang w:val="en-GB" w:eastAsia="fr-BE"/>
    </w:rPr>
  </w:style>
  <w:style w:type="paragraph" w:styleId="Heading1">
    <w:name w:val="heading 1"/>
    <w:basedOn w:val="Normal"/>
    <w:next w:val="Normal"/>
    <w:link w:val="Heading1Char"/>
    <w:uiPriority w:val="9"/>
    <w:qFormat/>
    <w:rsid w:val="00A25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F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lang w:val="x-none" w:eastAsia="x-none"/>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uiPriority w:val="9"/>
    <w:rsid w:val="00A25F38"/>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A25F38"/>
    <w:rPr>
      <w:rFonts w:asciiTheme="majorHAnsi" w:eastAsiaTheme="majorEastAsia" w:hAnsiTheme="majorHAnsi" w:cstheme="majorBidi"/>
      <w:b/>
      <w:bCs/>
      <w:color w:val="4F81BD" w:themeColor="accent1"/>
      <w:sz w:val="26"/>
      <w:szCs w:val="26"/>
      <w:lang w:val="en-GB" w:eastAsia="fr-BE"/>
    </w:rPr>
  </w:style>
  <w:style w:type="paragraph" w:styleId="ListParagraph">
    <w:name w:val="List Paragraph"/>
    <w:basedOn w:val="Normal"/>
    <w:uiPriority w:val="34"/>
    <w:qFormat/>
    <w:rsid w:val="00A25F38"/>
    <w:pPr>
      <w:ind w:left="720"/>
      <w:contextualSpacing/>
    </w:pPr>
  </w:style>
  <w:style w:type="paragraph" w:customStyle="1" w:styleId="H1G">
    <w:name w:val="_ H_1_G"/>
    <w:basedOn w:val="Normal"/>
    <w:next w:val="Normal"/>
    <w:link w:val="H1GChar"/>
    <w:rsid w:val="008A5C85"/>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 w:val="24"/>
      <w:szCs w:val="20"/>
      <w:lang w:eastAsia="en-US"/>
    </w:rPr>
  </w:style>
  <w:style w:type="character" w:customStyle="1" w:styleId="H1GChar">
    <w:name w:val="_ H_1_G Char"/>
    <w:link w:val="H1G"/>
    <w:rsid w:val="008A5C85"/>
    <w:rPr>
      <w:rFonts w:ascii="Times New Roman" w:eastAsia="Times New Roman" w:hAnsi="Times New Roman" w:cs="Times New Roman"/>
      <w:b/>
      <w:sz w:val="24"/>
      <w:szCs w:val="20"/>
      <w:lang w:val="en-GB"/>
    </w:rPr>
  </w:style>
  <w:style w:type="paragraph" w:styleId="FootnoteText">
    <w:name w:val="footnote text"/>
    <w:aliases w:val="Footnote,Schriftart: 9 pt,Schriftart: 10 pt,Schriftart: 8 pt,o,Footnote text,Podrozdział,Tekst przypisu Znak Znak Znak Znak,Tekst przypisu Znak Znak Znak Znak Znak Char,Tekst przypisu Znak Znak Znak Znak Znak Char Char Char Char,FA Fu,5_G"/>
    <w:basedOn w:val="Normal"/>
    <w:link w:val="FootnoteTextChar"/>
    <w:uiPriority w:val="99"/>
    <w:unhideWhenUsed/>
    <w:qFormat/>
    <w:rsid w:val="008A5C85"/>
    <w:pPr>
      <w:spacing w:after="0" w:line="240" w:lineRule="auto"/>
      <w:jc w:val="left"/>
    </w:pPr>
    <w:rPr>
      <w:rFonts w:eastAsiaTheme="minorHAnsi"/>
      <w:sz w:val="20"/>
      <w:szCs w:val="20"/>
      <w:lang w:eastAsia="en-US"/>
    </w:rPr>
  </w:style>
  <w:style w:type="character" w:customStyle="1" w:styleId="FootnoteTextChar">
    <w:name w:val="Footnote Text Char"/>
    <w:aliases w:val="Footnote Char,Schriftart: 9 pt Char,Schriftart: 10 pt Char,Schriftart: 8 pt Char,o Char,Footnote text Char,Podrozdział Char,Tekst przypisu Znak Znak Znak Znak Char,Tekst przypisu Znak Znak Znak Znak Znak Char Char,FA Fu Char,5_G Char"/>
    <w:basedOn w:val="DefaultParagraphFont"/>
    <w:link w:val="FootnoteText"/>
    <w:uiPriority w:val="99"/>
    <w:rsid w:val="008A5C85"/>
    <w:rPr>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link w:val="Fussnota"/>
    <w:uiPriority w:val="99"/>
    <w:unhideWhenUsed/>
    <w:rsid w:val="008A5C85"/>
    <w:rPr>
      <w:vertAlign w:val="superscript"/>
    </w:rPr>
  </w:style>
  <w:style w:type="paragraph" w:customStyle="1" w:styleId="SingleTxtG">
    <w:name w:val="_ Single Txt_G"/>
    <w:basedOn w:val="Normal"/>
    <w:link w:val="SingleTxtGChar"/>
    <w:rsid w:val="00065677"/>
    <w:pPr>
      <w:suppressAutoHyphens/>
      <w:spacing w:after="120" w:line="240" w:lineRule="atLeast"/>
      <w:ind w:left="1134" w:right="1134"/>
    </w:pPr>
    <w:rPr>
      <w:rFonts w:ascii="Times New Roman" w:eastAsia="Times New Roman" w:hAnsi="Times New Roman" w:cs="Times New Roman"/>
      <w:sz w:val="20"/>
      <w:szCs w:val="20"/>
      <w:lang w:eastAsia="en-US"/>
    </w:rPr>
  </w:style>
  <w:style w:type="character" w:customStyle="1" w:styleId="SingleTxtGChar">
    <w:name w:val="_ Single Txt_G Char"/>
    <w:link w:val="SingleTxtG"/>
    <w:locked/>
    <w:rsid w:val="00065677"/>
    <w:rPr>
      <w:rFonts w:ascii="Times New Roman" w:eastAsia="Times New Roman" w:hAnsi="Times New Roman" w:cs="Times New Roman"/>
      <w:sz w:val="20"/>
      <w:szCs w:val="20"/>
      <w:lang w:val="en-GB"/>
    </w:rPr>
  </w:style>
  <w:style w:type="paragraph" w:customStyle="1" w:styleId="H23G">
    <w:name w:val="_ H_2/3_G"/>
    <w:basedOn w:val="Normal"/>
    <w:next w:val="Normal"/>
    <w:link w:val="H23GChar"/>
    <w:rsid w:val="00E103CD"/>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lang w:eastAsia="en-US"/>
    </w:rPr>
  </w:style>
  <w:style w:type="character" w:customStyle="1" w:styleId="H23GChar">
    <w:name w:val="_ H_2/3_G Char"/>
    <w:link w:val="H23G"/>
    <w:locked/>
    <w:rsid w:val="00E103CD"/>
    <w:rPr>
      <w:rFonts w:ascii="Times New Roman" w:eastAsia="Times New Roman" w:hAnsi="Times New Roman" w:cs="Times New Roman"/>
      <w:b/>
      <w:sz w:val="20"/>
      <w:szCs w:val="20"/>
      <w:lang w:val="en-GB"/>
    </w:rPr>
  </w:style>
  <w:style w:type="paragraph" w:customStyle="1" w:styleId="Fussnota">
    <w:name w:val="Fussnota"/>
    <w:aliases w:val="Footnote reference number,EN Footnote Reference,note TESI,Zchn Zchn,Footnote Reference Num,16 Point"/>
    <w:basedOn w:val="Normal"/>
    <w:link w:val="FootnoteReference"/>
    <w:uiPriority w:val="99"/>
    <w:rsid w:val="00404E3B"/>
    <w:pPr>
      <w:spacing w:after="160" w:line="240" w:lineRule="exact"/>
    </w:pPr>
    <w:rPr>
      <w:rFonts w:eastAsiaTheme="minorHAnsi"/>
      <w:vertAlign w:val="superscript"/>
      <w:lang w:val="fr-BE" w:eastAsia="en-US"/>
    </w:rPr>
  </w:style>
  <w:style w:type="character" w:styleId="FollowedHyperlink">
    <w:name w:val="FollowedHyperlink"/>
    <w:basedOn w:val="DefaultParagraphFont"/>
    <w:uiPriority w:val="99"/>
    <w:semiHidden/>
    <w:unhideWhenUsed/>
    <w:rsid w:val="0003612F"/>
    <w:rPr>
      <w:color w:val="800080" w:themeColor="followedHyperlink"/>
      <w:u w:val="single"/>
    </w:rPr>
  </w:style>
  <w:style w:type="paragraph" w:customStyle="1" w:styleId="Paragraphe">
    <w:name w:val="Paragraphe"/>
    <w:basedOn w:val="Normal"/>
    <w:qFormat/>
    <w:rsid w:val="00E830D5"/>
    <w:pPr>
      <w:spacing w:after="210" w:line="210" w:lineRule="atLeast"/>
    </w:pPr>
    <w:rPr>
      <w:rFonts w:ascii="Roboto Condensed" w:eastAsia="Times New Roman" w:hAnsi="Roboto Condensed" w:cs="Arial"/>
      <w:color w:val="758085"/>
      <w:lang w:val="en-US"/>
    </w:rPr>
  </w:style>
  <w:style w:type="character" w:styleId="Emphasis">
    <w:name w:val="Emphasis"/>
    <w:basedOn w:val="DefaultParagraphFont"/>
    <w:uiPriority w:val="20"/>
    <w:qFormat/>
    <w:rsid w:val="007A2D33"/>
    <w:rPr>
      <w:i/>
      <w:iCs/>
    </w:rPr>
  </w:style>
  <w:style w:type="paragraph" w:styleId="TOCHeading">
    <w:name w:val="TOC Heading"/>
    <w:basedOn w:val="Heading1"/>
    <w:next w:val="Normal"/>
    <w:uiPriority w:val="39"/>
    <w:semiHidden/>
    <w:unhideWhenUsed/>
    <w:qFormat/>
    <w:rsid w:val="00872A91"/>
    <w:pPr>
      <w:jc w:val="left"/>
      <w:outlineLvl w:val="9"/>
    </w:pPr>
    <w:rPr>
      <w:lang w:val="en-US" w:eastAsia="ja-JP"/>
    </w:rPr>
  </w:style>
  <w:style w:type="paragraph" w:styleId="TOC1">
    <w:name w:val="toc 1"/>
    <w:basedOn w:val="Normal"/>
    <w:next w:val="Normal"/>
    <w:autoRedefine/>
    <w:uiPriority w:val="39"/>
    <w:unhideWhenUsed/>
    <w:rsid w:val="000E5635"/>
    <w:pPr>
      <w:tabs>
        <w:tab w:val="right" w:leader="dot" w:pos="9062"/>
      </w:tabs>
      <w:spacing w:after="10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38"/>
    <w:pPr>
      <w:jc w:val="both"/>
    </w:pPr>
    <w:rPr>
      <w:rFonts w:eastAsiaTheme="minorEastAsia"/>
      <w:lang w:val="en-GB" w:eastAsia="fr-BE"/>
    </w:rPr>
  </w:style>
  <w:style w:type="paragraph" w:styleId="Heading1">
    <w:name w:val="heading 1"/>
    <w:basedOn w:val="Normal"/>
    <w:next w:val="Normal"/>
    <w:link w:val="Heading1Char"/>
    <w:uiPriority w:val="9"/>
    <w:qFormat/>
    <w:rsid w:val="00A25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F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lang w:val="x-none" w:eastAsia="x-none"/>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uiPriority w:val="9"/>
    <w:rsid w:val="00A25F38"/>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A25F38"/>
    <w:rPr>
      <w:rFonts w:asciiTheme="majorHAnsi" w:eastAsiaTheme="majorEastAsia" w:hAnsiTheme="majorHAnsi" w:cstheme="majorBidi"/>
      <w:b/>
      <w:bCs/>
      <w:color w:val="4F81BD" w:themeColor="accent1"/>
      <w:sz w:val="26"/>
      <w:szCs w:val="26"/>
      <w:lang w:val="en-GB" w:eastAsia="fr-BE"/>
    </w:rPr>
  </w:style>
  <w:style w:type="paragraph" w:styleId="ListParagraph">
    <w:name w:val="List Paragraph"/>
    <w:basedOn w:val="Normal"/>
    <w:uiPriority w:val="34"/>
    <w:qFormat/>
    <w:rsid w:val="00A25F38"/>
    <w:pPr>
      <w:ind w:left="720"/>
      <w:contextualSpacing/>
    </w:pPr>
  </w:style>
  <w:style w:type="paragraph" w:customStyle="1" w:styleId="H1G">
    <w:name w:val="_ H_1_G"/>
    <w:basedOn w:val="Normal"/>
    <w:next w:val="Normal"/>
    <w:link w:val="H1GChar"/>
    <w:rsid w:val="008A5C85"/>
    <w:pPr>
      <w:keepNext/>
      <w:keepLines/>
      <w:tabs>
        <w:tab w:val="right" w:pos="851"/>
      </w:tabs>
      <w:suppressAutoHyphens/>
      <w:spacing w:before="360" w:after="240" w:line="270" w:lineRule="exact"/>
      <w:ind w:left="1134" w:right="1134" w:hanging="1134"/>
      <w:jc w:val="left"/>
    </w:pPr>
    <w:rPr>
      <w:rFonts w:ascii="Times New Roman" w:eastAsia="Times New Roman" w:hAnsi="Times New Roman" w:cs="Times New Roman"/>
      <w:b/>
      <w:sz w:val="24"/>
      <w:szCs w:val="20"/>
      <w:lang w:eastAsia="en-US"/>
    </w:rPr>
  </w:style>
  <w:style w:type="character" w:customStyle="1" w:styleId="H1GChar">
    <w:name w:val="_ H_1_G Char"/>
    <w:link w:val="H1G"/>
    <w:rsid w:val="008A5C85"/>
    <w:rPr>
      <w:rFonts w:ascii="Times New Roman" w:eastAsia="Times New Roman" w:hAnsi="Times New Roman" w:cs="Times New Roman"/>
      <w:b/>
      <w:sz w:val="24"/>
      <w:szCs w:val="20"/>
      <w:lang w:val="en-GB"/>
    </w:rPr>
  </w:style>
  <w:style w:type="paragraph" w:styleId="FootnoteText">
    <w:name w:val="footnote text"/>
    <w:aliases w:val="Footnote,Schriftart: 9 pt,Schriftart: 10 pt,Schriftart: 8 pt,o,Footnote text,Podrozdział,Tekst przypisu Znak Znak Znak Znak,Tekst przypisu Znak Znak Znak Znak Znak Char,Tekst przypisu Znak Znak Znak Znak Znak Char Char Char Char,FA Fu,5_G"/>
    <w:basedOn w:val="Normal"/>
    <w:link w:val="FootnoteTextChar"/>
    <w:uiPriority w:val="99"/>
    <w:unhideWhenUsed/>
    <w:qFormat/>
    <w:rsid w:val="008A5C85"/>
    <w:pPr>
      <w:spacing w:after="0" w:line="240" w:lineRule="auto"/>
      <w:jc w:val="left"/>
    </w:pPr>
    <w:rPr>
      <w:rFonts w:eastAsiaTheme="minorHAnsi"/>
      <w:sz w:val="20"/>
      <w:szCs w:val="20"/>
      <w:lang w:eastAsia="en-US"/>
    </w:rPr>
  </w:style>
  <w:style w:type="character" w:customStyle="1" w:styleId="FootnoteTextChar">
    <w:name w:val="Footnote Text Char"/>
    <w:aliases w:val="Footnote Char,Schriftart: 9 pt Char,Schriftart: 10 pt Char,Schriftart: 8 pt Char,o Char,Footnote text Char,Podrozdział Char,Tekst przypisu Znak Znak Znak Znak Char,Tekst przypisu Znak Znak Znak Znak Znak Char Char,FA Fu Char,5_G Char"/>
    <w:basedOn w:val="DefaultParagraphFont"/>
    <w:link w:val="FootnoteText"/>
    <w:uiPriority w:val="99"/>
    <w:rsid w:val="008A5C85"/>
    <w:rPr>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link w:val="Fussnota"/>
    <w:uiPriority w:val="99"/>
    <w:unhideWhenUsed/>
    <w:rsid w:val="008A5C85"/>
    <w:rPr>
      <w:vertAlign w:val="superscript"/>
    </w:rPr>
  </w:style>
  <w:style w:type="paragraph" w:customStyle="1" w:styleId="SingleTxtG">
    <w:name w:val="_ Single Txt_G"/>
    <w:basedOn w:val="Normal"/>
    <w:link w:val="SingleTxtGChar"/>
    <w:rsid w:val="00065677"/>
    <w:pPr>
      <w:suppressAutoHyphens/>
      <w:spacing w:after="120" w:line="240" w:lineRule="atLeast"/>
      <w:ind w:left="1134" w:right="1134"/>
    </w:pPr>
    <w:rPr>
      <w:rFonts w:ascii="Times New Roman" w:eastAsia="Times New Roman" w:hAnsi="Times New Roman" w:cs="Times New Roman"/>
      <w:sz w:val="20"/>
      <w:szCs w:val="20"/>
      <w:lang w:eastAsia="en-US"/>
    </w:rPr>
  </w:style>
  <w:style w:type="character" w:customStyle="1" w:styleId="SingleTxtGChar">
    <w:name w:val="_ Single Txt_G Char"/>
    <w:link w:val="SingleTxtG"/>
    <w:locked/>
    <w:rsid w:val="00065677"/>
    <w:rPr>
      <w:rFonts w:ascii="Times New Roman" w:eastAsia="Times New Roman" w:hAnsi="Times New Roman" w:cs="Times New Roman"/>
      <w:sz w:val="20"/>
      <w:szCs w:val="20"/>
      <w:lang w:val="en-GB"/>
    </w:rPr>
  </w:style>
  <w:style w:type="paragraph" w:customStyle="1" w:styleId="H23G">
    <w:name w:val="_ H_2/3_G"/>
    <w:basedOn w:val="Normal"/>
    <w:next w:val="Normal"/>
    <w:link w:val="H23GChar"/>
    <w:rsid w:val="00E103CD"/>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lang w:eastAsia="en-US"/>
    </w:rPr>
  </w:style>
  <w:style w:type="character" w:customStyle="1" w:styleId="H23GChar">
    <w:name w:val="_ H_2/3_G Char"/>
    <w:link w:val="H23G"/>
    <w:locked/>
    <w:rsid w:val="00E103CD"/>
    <w:rPr>
      <w:rFonts w:ascii="Times New Roman" w:eastAsia="Times New Roman" w:hAnsi="Times New Roman" w:cs="Times New Roman"/>
      <w:b/>
      <w:sz w:val="20"/>
      <w:szCs w:val="20"/>
      <w:lang w:val="en-GB"/>
    </w:rPr>
  </w:style>
  <w:style w:type="paragraph" w:customStyle="1" w:styleId="Fussnota">
    <w:name w:val="Fussnota"/>
    <w:aliases w:val="Footnote reference number,EN Footnote Reference,note TESI,Zchn Zchn,Footnote Reference Num,16 Point"/>
    <w:basedOn w:val="Normal"/>
    <w:link w:val="FootnoteReference"/>
    <w:uiPriority w:val="99"/>
    <w:rsid w:val="00404E3B"/>
    <w:pPr>
      <w:spacing w:after="160" w:line="240" w:lineRule="exact"/>
    </w:pPr>
    <w:rPr>
      <w:rFonts w:eastAsiaTheme="minorHAnsi"/>
      <w:vertAlign w:val="superscript"/>
      <w:lang w:val="fr-BE" w:eastAsia="en-US"/>
    </w:rPr>
  </w:style>
  <w:style w:type="character" w:styleId="FollowedHyperlink">
    <w:name w:val="FollowedHyperlink"/>
    <w:basedOn w:val="DefaultParagraphFont"/>
    <w:uiPriority w:val="99"/>
    <w:semiHidden/>
    <w:unhideWhenUsed/>
    <w:rsid w:val="0003612F"/>
    <w:rPr>
      <w:color w:val="800080" w:themeColor="followedHyperlink"/>
      <w:u w:val="single"/>
    </w:rPr>
  </w:style>
  <w:style w:type="paragraph" w:customStyle="1" w:styleId="Paragraphe">
    <w:name w:val="Paragraphe"/>
    <w:basedOn w:val="Normal"/>
    <w:qFormat/>
    <w:rsid w:val="00E830D5"/>
    <w:pPr>
      <w:spacing w:after="210" w:line="210" w:lineRule="atLeast"/>
    </w:pPr>
    <w:rPr>
      <w:rFonts w:ascii="Roboto Condensed" w:eastAsia="Times New Roman" w:hAnsi="Roboto Condensed" w:cs="Arial"/>
      <w:color w:val="758085"/>
      <w:lang w:val="en-US"/>
    </w:rPr>
  </w:style>
  <w:style w:type="character" w:styleId="Emphasis">
    <w:name w:val="Emphasis"/>
    <w:basedOn w:val="DefaultParagraphFont"/>
    <w:uiPriority w:val="20"/>
    <w:qFormat/>
    <w:rsid w:val="007A2D33"/>
    <w:rPr>
      <w:i/>
      <w:iCs/>
    </w:rPr>
  </w:style>
  <w:style w:type="paragraph" w:styleId="TOCHeading">
    <w:name w:val="TOC Heading"/>
    <w:basedOn w:val="Heading1"/>
    <w:next w:val="Normal"/>
    <w:uiPriority w:val="39"/>
    <w:semiHidden/>
    <w:unhideWhenUsed/>
    <w:qFormat/>
    <w:rsid w:val="00872A91"/>
    <w:pPr>
      <w:jc w:val="left"/>
      <w:outlineLvl w:val="9"/>
    </w:pPr>
    <w:rPr>
      <w:lang w:val="en-US" w:eastAsia="ja-JP"/>
    </w:rPr>
  </w:style>
  <w:style w:type="paragraph" w:styleId="TOC1">
    <w:name w:val="toc 1"/>
    <w:basedOn w:val="Normal"/>
    <w:next w:val="Normal"/>
    <w:autoRedefine/>
    <w:uiPriority w:val="39"/>
    <w:unhideWhenUsed/>
    <w:rsid w:val="000E5635"/>
    <w:pPr>
      <w:tabs>
        <w:tab w:val="right" w:leader="dot" w:pos="9062"/>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spd.all2all.org/sites/default/files/sites/default/files/Policy/easpd_di_roadmap_final.pdf" TargetMode="External"/><Relationship Id="rId18" Type="http://schemas.openxmlformats.org/officeDocument/2006/relationships/hyperlink" Target="http://www.easpd.e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user/EASPD?feature=watch" TargetMode="External"/><Relationship Id="rId7" Type="http://schemas.openxmlformats.org/officeDocument/2006/relationships/footnotes" Target="footnotes.xml"/><Relationship Id="rId12" Type="http://schemas.openxmlformats.org/officeDocument/2006/relationships/hyperlink" Target="http://www.easpd.eu/sites/default/files/sites/default/files/PressReleases/position_paper_on_tackling_ltu_-_april_2015.pdf" TargetMode="External"/><Relationship Id="rId17" Type="http://schemas.openxmlformats.org/officeDocument/2006/relationships/hyperlink" Target="http://www.easpd.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brina.ferraina@easpd.eu" TargetMode="External"/><Relationship Id="rId20" Type="http://schemas.openxmlformats.org/officeDocument/2006/relationships/image" Target="media/image1.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pd.eu/sites/default/files/sites/default/files/easpd_alternative_report_en_final_1.pdf"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luk.zelderloo@easpd.eu" TargetMode="External"/><Relationship Id="rId23" Type="http://schemas.openxmlformats.org/officeDocument/2006/relationships/hyperlink" Target="https://twitter.com/EASPD_Brussels" TargetMode="External"/><Relationship Id="rId28" Type="http://schemas.openxmlformats.org/officeDocument/2006/relationships/theme" Target="theme/theme1.xml"/><Relationship Id="rId10" Type="http://schemas.openxmlformats.org/officeDocument/2006/relationships/hyperlink" Target="http://www.easpd.eu/sites/default/files/sites/default/files/joint_declaration_v2_final.pdf" TargetMode="External"/><Relationship Id="rId19" Type="http://schemas.openxmlformats.org/officeDocument/2006/relationships/hyperlink" Target="https://www.facebook.com/easpdbrux"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aspd.eu" TargetMode="External"/><Relationship Id="rId14" Type="http://schemas.openxmlformats.org/officeDocument/2006/relationships/hyperlink" Target="http://www.deinstitutionalisationguide.eu/wp-content/uploads/2016/04/GUIDELINES-Final-English.pdf" TargetMode="External"/><Relationship Id="rId22" Type="http://schemas.openxmlformats.org/officeDocument/2006/relationships/image" Target="media/image2.jpeg"/><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easpd.eu"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easpd.eu/sites/default/files/sites/default/files/joint_declaration_v2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3DE7C-5D6A-4ED5-BC72-05D0F6D3DF38}"/>
</file>

<file path=customXml/itemProps2.xml><?xml version="1.0" encoding="utf-8"?>
<ds:datastoreItem xmlns:ds="http://schemas.openxmlformats.org/officeDocument/2006/customXml" ds:itemID="{49CEEB8D-51F6-4B36-96DE-5A8A6886EA15}"/>
</file>

<file path=customXml/itemProps3.xml><?xml version="1.0" encoding="utf-8"?>
<ds:datastoreItem xmlns:ds="http://schemas.openxmlformats.org/officeDocument/2006/customXml" ds:itemID="{EE958AA2-7536-40AA-92E8-1B0C42416202}"/>
</file>

<file path=customXml/itemProps4.xml><?xml version="1.0" encoding="utf-8"?>
<ds:datastoreItem xmlns:ds="http://schemas.openxmlformats.org/officeDocument/2006/customXml" ds:itemID="{15915FEF-20EA-42F8-8E7B-9167D953E3A3}"/>
</file>

<file path=docProps/app.xml><?xml version="1.0" encoding="utf-8"?>
<Properties xmlns="http://schemas.openxmlformats.org/officeDocument/2006/extended-properties" xmlns:vt="http://schemas.openxmlformats.org/officeDocument/2006/docPropsVTypes">
  <Template>Normal.dotm</Template>
  <TotalTime>0</TotalTime>
  <Pages>6</Pages>
  <Words>3313</Words>
  <Characters>18885</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Event title</vt:lpstr>
      <vt:lpstr/>
    </vt:vector>
  </TitlesOfParts>
  <Company>HP</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Jorge ARAYA</cp:lastModifiedBy>
  <cp:revision>2</cp:revision>
  <cp:lastPrinted>2016-01-07T16:17:00Z</cp:lastPrinted>
  <dcterms:created xsi:type="dcterms:W3CDTF">2017-06-29T20:05:00Z</dcterms:created>
  <dcterms:modified xsi:type="dcterms:W3CDTF">2017-06-29T20:05:00Z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