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0D4C85" w14:textId="77777777" w:rsidR="00162E5B" w:rsidRDefault="00162E5B" w:rsidP="00162E5B"/>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123"/>
      </w:tblGrid>
      <w:tr w:rsidR="00162E5B" w14:paraId="7572A0A4" w14:textId="77777777" w:rsidTr="00A83203">
        <w:tc>
          <w:tcPr>
            <w:tcW w:w="6237" w:type="dxa"/>
          </w:tcPr>
          <w:p w14:paraId="733D5850" w14:textId="77777777" w:rsidR="00162E5B" w:rsidRDefault="00162E5B" w:rsidP="00A83203">
            <w:pPr>
              <w:rPr>
                <w:rFonts w:ascii="Verdana" w:hAnsi="Verdana"/>
              </w:rPr>
            </w:pPr>
            <w:r w:rsidRPr="00453733">
              <w:rPr>
                <w:rFonts w:ascii="Verdana" w:hAnsi="Verdana"/>
              </w:rPr>
              <w:t>To the attention of:</w:t>
            </w:r>
          </w:p>
          <w:p w14:paraId="1371F8A4" w14:textId="77777777" w:rsidR="00162E5B" w:rsidRDefault="00162E5B" w:rsidP="00A83203">
            <w:pPr>
              <w:rPr>
                <w:rFonts w:ascii="Verdana" w:hAnsi="Verdana"/>
              </w:rPr>
            </w:pPr>
          </w:p>
          <w:p w14:paraId="5E33C5E5" w14:textId="2E58942F" w:rsidR="001B0E88" w:rsidRPr="00911566" w:rsidRDefault="001B0E88" w:rsidP="001B0E88">
            <w:pPr>
              <w:rPr>
                <w:rFonts w:ascii="Verdana" w:hAnsi="Verdana"/>
              </w:rPr>
            </w:pPr>
            <w:r w:rsidRPr="00911566">
              <w:rPr>
                <w:rFonts w:ascii="Verdana" w:hAnsi="Verdana"/>
              </w:rPr>
              <w:t>Committee on the Rights of Persons with</w:t>
            </w:r>
            <w:r>
              <w:rPr>
                <w:rFonts w:ascii="Verdana" w:hAnsi="Verdana"/>
              </w:rPr>
              <w:t xml:space="preserve"> </w:t>
            </w:r>
            <w:r w:rsidRPr="00911566">
              <w:rPr>
                <w:rFonts w:ascii="Verdana" w:hAnsi="Verdana"/>
              </w:rPr>
              <w:t>Disabilities</w:t>
            </w:r>
          </w:p>
          <w:p w14:paraId="033BBEE2" w14:textId="77777777" w:rsidR="001B0E88" w:rsidRPr="00911566" w:rsidRDefault="001B0E88" w:rsidP="001B0E88">
            <w:pPr>
              <w:rPr>
                <w:rFonts w:ascii="Verdana" w:hAnsi="Verdana"/>
              </w:rPr>
            </w:pPr>
            <w:r w:rsidRPr="00911566">
              <w:rPr>
                <w:rFonts w:ascii="Verdana" w:hAnsi="Verdana"/>
              </w:rPr>
              <w:t>Human Rights Treaties Division</w:t>
            </w:r>
          </w:p>
          <w:p w14:paraId="2A7A3F0E" w14:textId="77777777" w:rsidR="00162E5B" w:rsidRPr="00911566" w:rsidRDefault="00162E5B" w:rsidP="00A83203">
            <w:pPr>
              <w:rPr>
                <w:rFonts w:ascii="Verdana" w:hAnsi="Verdana"/>
              </w:rPr>
            </w:pPr>
            <w:r w:rsidRPr="00911566">
              <w:rPr>
                <w:rFonts w:ascii="Verdana" w:hAnsi="Verdana"/>
              </w:rPr>
              <w:t xml:space="preserve">Office of the United Nations High Commissioner </w:t>
            </w:r>
            <w:r>
              <w:rPr>
                <w:rFonts w:ascii="Verdana" w:hAnsi="Verdana"/>
              </w:rPr>
              <w:br/>
            </w:r>
            <w:r w:rsidRPr="00911566">
              <w:rPr>
                <w:rFonts w:ascii="Verdana" w:hAnsi="Verdana"/>
              </w:rPr>
              <w:t>for Human Rights</w:t>
            </w:r>
          </w:p>
          <w:p w14:paraId="2ED1C2E5" w14:textId="33D8CF67" w:rsidR="00162E5B" w:rsidRPr="00911566" w:rsidRDefault="00162E5B" w:rsidP="00A83203">
            <w:pPr>
              <w:rPr>
                <w:rFonts w:ascii="Verdana" w:hAnsi="Verdana"/>
              </w:rPr>
            </w:pPr>
            <w:r w:rsidRPr="00911566">
              <w:rPr>
                <w:rFonts w:ascii="Verdana" w:hAnsi="Verdana"/>
              </w:rPr>
              <w:t>United Nations Office at Geneva</w:t>
            </w:r>
            <w:r w:rsidR="00334E9A">
              <w:rPr>
                <w:rFonts w:ascii="Verdana" w:hAnsi="Verdana"/>
              </w:rPr>
              <w:t xml:space="preserve"> </w:t>
            </w:r>
          </w:p>
          <w:p w14:paraId="402E979E" w14:textId="6CB61370" w:rsidR="00162E5B" w:rsidRDefault="00162E5B" w:rsidP="00A83203">
            <w:pPr>
              <w:rPr>
                <w:b/>
                <w:sz w:val="28"/>
              </w:rPr>
            </w:pPr>
            <w:r w:rsidRPr="00911566">
              <w:rPr>
                <w:rFonts w:ascii="Verdana" w:hAnsi="Verdana"/>
              </w:rPr>
              <w:t>CH – 1201 Geneva</w:t>
            </w:r>
            <w:r w:rsidR="009A12BE">
              <w:rPr>
                <w:rFonts w:ascii="Verdana" w:hAnsi="Verdana"/>
              </w:rPr>
              <w:t xml:space="preserve"> 10</w:t>
            </w:r>
          </w:p>
        </w:tc>
        <w:tc>
          <w:tcPr>
            <w:tcW w:w="3123" w:type="dxa"/>
          </w:tcPr>
          <w:p w14:paraId="567B6CBA" w14:textId="77777777" w:rsidR="00162E5B" w:rsidRDefault="00162E5B" w:rsidP="00A83203">
            <w:pPr>
              <w:jc w:val="right"/>
              <w:rPr>
                <w:rFonts w:ascii="Verdana" w:hAnsi="Verdana"/>
              </w:rPr>
            </w:pPr>
          </w:p>
          <w:p w14:paraId="5806FDBA" w14:textId="77777777" w:rsidR="00162E5B" w:rsidRDefault="00162E5B" w:rsidP="00A83203">
            <w:pPr>
              <w:jc w:val="right"/>
              <w:rPr>
                <w:rFonts w:ascii="Verdana" w:hAnsi="Verdana"/>
              </w:rPr>
            </w:pPr>
          </w:p>
          <w:p w14:paraId="1F40A077" w14:textId="77777777" w:rsidR="00162E5B" w:rsidRDefault="00162E5B" w:rsidP="00A83203">
            <w:pPr>
              <w:rPr>
                <w:rFonts w:ascii="Verdana" w:hAnsi="Verdana"/>
              </w:rPr>
            </w:pPr>
          </w:p>
          <w:p w14:paraId="0D58AB2F" w14:textId="77777777" w:rsidR="00162E5B" w:rsidRDefault="00162E5B" w:rsidP="00A83203">
            <w:pPr>
              <w:jc w:val="right"/>
              <w:rPr>
                <w:rFonts w:ascii="Verdana" w:hAnsi="Verdana"/>
              </w:rPr>
            </w:pPr>
          </w:p>
          <w:p w14:paraId="1DABD529" w14:textId="77777777" w:rsidR="00162E5B" w:rsidRDefault="00162E5B" w:rsidP="00A83203">
            <w:pPr>
              <w:jc w:val="right"/>
              <w:rPr>
                <w:rFonts w:ascii="Verdana" w:hAnsi="Verdana"/>
              </w:rPr>
            </w:pPr>
          </w:p>
          <w:p w14:paraId="641D4A61" w14:textId="77777777" w:rsidR="00162E5B" w:rsidRPr="00194BFF" w:rsidRDefault="00162E5B" w:rsidP="00A83203">
            <w:pPr>
              <w:jc w:val="center"/>
              <w:rPr>
                <w:rFonts w:ascii="Verdana" w:hAnsi="Verdana"/>
              </w:rPr>
            </w:pPr>
          </w:p>
          <w:p w14:paraId="52BB45D3" w14:textId="77777777" w:rsidR="00162E5B" w:rsidRDefault="00162E5B" w:rsidP="00A83203">
            <w:pPr>
              <w:jc w:val="right"/>
              <w:rPr>
                <w:b/>
                <w:sz w:val="28"/>
              </w:rPr>
            </w:pPr>
          </w:p>
        </w:tc>
      </w:tr>
    </w:tbl>
    <w:p w14:paraId="4989B07C" w14:textId="3AC3C2EE" w:rsidR="00162E5B" w:rsidRDefault="00FC7800" w:rsidP="00162E5B">
      <w:pPr>
        <w:rPr>
          <w:rFonts w:ascii="Verdana" w:hAnsi="Verdana"/>
        </w:rPr>
      </w:pPr>
      <w:r>
        <w:rPr>
          <w:rFonts w:ascii="Verdana" w:hAnsi="Verdana"/>
        </w:rPr>
        <w:t xml:space="preserve"> </w:t>
      </w:r>
    </w:p>
    <w:p w14:paraId="42445718" w14:textId="2D277C9F" w:rsidR="00162E5B" w:rsidRDefault="00162E5B" w:rsidP="00162E5B">
      <w:pPr>
        <w:jc w:val="right"/>
        <w:rPr>
          <w:rFonts w:ascii="Verdana" w:hAnsi="Verdana"/>
        </w:rPr>
      </w:pPr>
      <w:r w:rsidRPr="00A60B0A">
        <w:rPr>
          <w:rFonts w:ascii="Verdana" w:hAnsi="Verdana"/>
        </w:rPr>
        <w:t xml:space="preserve">Vienna, </w:t>
      </w:r>
      <w:r w:rsidR="00CF39D7">
        <w:rPr>
          <w:rFonts w:ascii="Verdana" w:hAnsi="Verdana"/>
        </w:rPr>
        <w:t>11 July 2011</w:t>
      </w:r>
    </w:p>
    <w:p w14:paraId="52CE0996" w14:textId="7FF0202D" w:rsidR="00162E5B" w:rsidRDefault="00162E5B" w:rsidP="00162E5B">
      <w:pPr>
        <w:jc w:val="right"/>
        <w:rPr>
          <w:rFonts w:ascii="Verdana" w:hAnsi="Verdana"/>
        </w:rPr>
      </w:pPr>
      <w:r>
        <w:rPr>
          <w:rFonts w:ascii="Verdana" w:hAnsi="Verdana"/>
        </w:rPr>
        <w:t xml:space="preserve">Ref: </w:t>
      </w:r>
      <w:r w:rsidRPr="008D246C">
        <w:rPr>
          <w:rFonts w:ascii="Verdana" w:hAnsi="Verdana"/>
        </w:rPr>
        <w:t>201</w:t>
      </w:r>
      <w:r w:rsidR="001B0E88">
        <w:rPr>
          <w:rFonts w:ascii="Verdana" w:hAnsi="Verdana"/>
        </w:rPr>
        <w:t>7</w:t>
      </w:r>
      <w:r w:rsidRPr="008D246C">
        <w:rPr>
          <w:rFonts w:ascii="Verdana" w:hAnsi="Verdana"/>
        </w:rPr>
        <w:t>-outgoing-</w:t>
      </w:r>
      <w:r w:rsidR="00CF39D7">
        <w:rPr>
          <w:rFonts w:ascii="Verdana" w:hAnsi="Verdana"/>
        </w:rPr>
        <w:t>001028</w:t>
      </w:r>
      <w:bookmarkStart w:id="0" w:name="_GoBack"/>
      <w:bookmarkEnd w:id="0"/>
    </w:p>
    <w:p w14:paraId="45529F7A" w14:textId="77777777" w:rsidR="00162E5B" w:rsidRPr="00217229" w:rsidRDefault="00162E5B" w:rsidP="00162E5B">
      <w:pPr>
        <w:jc w:val="right"/>
        <w:rPr>
          <w:rFonts w:ascii="Verdana" w:hAnsi="Verdana"/>
        </w:rPr>
      </w:pPr>
    </w:p>
    <w:p w14:paraId="0DBCD8F3" w14:textId="301B25B9" w:rsidR="00162E5B" w:rsidRPr="00217229" w:rsidRDefault="00162E5B" w:rsidP="00162E5B">
      <w:pPr>
        <w:jc w:val="both"/>
        <w:rPr>
          <w:rFonts w:ascii="Verdana" w:hAnsi="Verdana"/>
          <w:b/>
        </w:rPr>
      </w:pPr>
      <w:r w:rsidRPr="00217229">
        <w:rPr>
          <w:rFonts w:ascii="Verdana" w:hAnsi="Verdana"/>
          <w:b/>
        </w:rPr>
        <w:t xml:space="preserve">Subject: </w:t>
      </w:r>
      <w:r w:rsidR="001B0E88">
        <w:rPr>
          <w:rFonts w:ascii="Verdana" w:hAnsi="Verdana"/>
          <w:b/>
        </w:rPr>
        <w:t>Day of General Discussion on the right of persons with disabilities to equality and non-discrimination</w:t>
      </w:r>
      <w:r w:rsidR="00844EA1">
        <w:rPr>
          <w:rFonts w:ascii="Verdana" w:hAnsi="Verdana"/>
          <w:b/>
        </w:rPr>
        <w:t xml:space="preserve"> </w:t>
      </w:r>
    </w:p>
    <w:p w14:paraId="241552E4" w14:textId="06509E71" w:rsidR="00162E5B" w:rsidRPr="00217229" w:rsidRDefault="00162E5B" w:rsidP="00162E5B">
      <w:pPr>
        <w:jc w:val="both"/>
        <w:rPr>
          <w:rFonts w:ascii="Verdana" w:hAnsi="Verdana"/>
        </w:rPr>
      </w:pPr>
      <w:r w:rsidRPr="00217229">
        <w:rPr>
          <w:rFonts w:ascii="Verdana" w:hAnsi="Verdana"/>
        </w:rPr>
        <w:t xml:space="preserve">Dear </w:t>
      </w:r>
      <w:r w:rsidR="00B263BF">
        <w:rPr>
          <w:rFonts w:ascii="Verdana" w:hAnsi="Verdana"/>
        </w:rPr>
        <w:t xml:space="preserve">Ms </w:t>
      </w:r>
      <w:r w:rsidR="001B0E88">
        <w:rPr>
          <w:rFonts w:ascii="Verdana" w:hAnsi="Verdana"/>
        </w:rPr>
        <w:t>Degener</w:t>
      </w:r>
      <w:r w:rsidRPr="00217229">
        <w:rPr>
          <w:rFonts w:ascii="Verdana" w:hAnsi="Verdana"/>
        </w:rPr>
        <w:t>,</w:t>
      </w:r>
    </w:p>
    <w:p w14:paraId="058F0B9E" w14:textId="279B029E" w:rsidR="00DC4781" w:rsidRDefault="00162E5B" w:rsidP="00162E5B">
      <w:pPr>
        <w:jc w:val="both"/>
        <w:rPr>
          <w:rFonts w:ascii="Verdana" w:hAnsi="Verdana"/>
        </w:rPr>
      </w:pPr>
      <w:r w:rsidRPr="00217229">
        <w:rPr>
          <w:rFonts w:ascii="Verdana" w:hAnsi="Verdana"/>
        </w:rPr>
        <w:t xml:space="preserve">The </w:t>
      </w:r>
      <w:r>
        <w:rPr>
          <w:rFonts w:ascii="Verdana" w:hAnsi="Verdana"/>
        </w:rPr>
        <w:t xml:space="preserve">European Union Agency for </w:t>
      </w:r>
      <w:r w:rsidRPr="00217229">
        <w:rPr>
          <w:rFonts w:ascii="Verdana" w:hAnsi="Verdana"/>
        </w:rPr>
        <w:t xml:space="preserve">Fundamental Rights (FRA) very much welcomes the opportunity to </w:t>
      </w:r>
      <w:r w:rsidR="00C32BDC">
        <w:rPr>
          <w:rFonts w:ascii="Verdana" w:hAnsi="Verdana"/>
        </w:rPr>
        <w:t xml:space="preserve">contribute to the </w:t>
      </w:r>
      <w:r w:rsidR="001B0E88">
        <w:rPr>
          <w:rFonts w:ascii="Verdana" w:hAnsi="Verdana"/>
        </w:rPr>
        <w:t>day of general discussion on the right of persons with disabilities to equality and non-discrimination</w:t>
      </w:r>
      <w:r w:rsidR="00C32BDC">
        <w:rPr>
          <w:rFonts w:ascii="Verdana" w:hAnsi="Verdana"/>
        </w:rPr>
        <w:t xml:space="preserve"> </w:t>
      </w:r>
      <w:r w:rsidR="00533317">
        <w:rPr>
          <w:rFonts w:ascii="Verdana" w:hAnsi="Verdana"/>
        </w:rPr>
        <w:t>by providing</w:t>
      </w:r>
      <w:r w:rsidR="00C32BDC">
        <w:rPr>
          <w:rFonts w:ascii="Verdana" w:hAnsi="Verdana"/>
        </w:rPr>
        <w:t xml:space="preserve"> evidence from its research on the rights of persons with disabilities in the EU.</w:t>
      </w:r>
      <w:r w:rsidR="00005C6A">
        <w:rPr>
          <w:rFonts w:ascii="Verdana" w:hAnsi="Verdana"/>
        </w:rPr>
        <w:t xml:space="preserve"> All the publications mentioned in this submission can be </w:t>
      </w:r>
      <w:hyperlink r:id="rId13" w:history="1">
        <w:r w:rsidR="00005C6A" w:rsidRPr="00005C6A">
          <w:rPr>
            <w:rStyle w:val="Hyperlink"/>
            <w:rFonts w:ascii="Verdana" w:hAnsi="Verdana"/>
          </w:rPr>
          <w:t>downloaded from the FRA website</w:t>
        </w:r>
      </w:hyperlink>
      <w:r w:rsidR="00005C6A">
        <w:rPr>
          <w:rFonts w:ascii="Verdana" w:hAnsi="Verdana"/>
        </w:rPr>
        <w:t>.</w:t>
      </w:r>
    </w:p>
    <w:p w14:paraId="00C040DE" w14:textId="11CD2138" w:rsidR="001B0E88" w:rsidRDefault="001B0E88" w:rsidP="00162E5B">
      <w:pPr>
        <w:jc w:val="both"/>
        <w:rPr>
          <w:rFonts w:ascii="Verdana" w:hAnsi="Verdana"/>
          <w:b/>
        </w:rPr>
      </w:pPr>
      <w:r>
        <w:rPr>
          <w:rFonts w:ascii="Verdana" w:hAnsi="Verdana"/>
          <w:b/>
        </w:rPr>
        <w:t>Background</w:t>
      </w:r>
    </w:p>
    <w:p w14:paraId="01955C56" w14:textId="17D501F7" w:rsidR="00305BDE" w:rsidRDefault="001B0E88" w:rsidP="00305BDE">
      <w:pPr>
        <w:jc w:val="both"/>
        <w:rPr>
          <w:rFonts w:ascii="Verdana" w:hAnsi="Verdana"/>
        </w:rPr>
      </w:pPr>
      <w:r>
        <w:rPr>
          <w:rFonts w:ascii="Verdana" w:hAnsi="Verdana"/>
        </w:rPr>
        <w:t>FRA has focused extensively on the principles of equality and non-discrimination in its work on the rights of persons with disabilities.</w:t>
      </w:r>
      <w:r w:rsidR="002E23D2">
        <w:rPr>
          <w:rFonts w:ascii="Verdana" w:hAnsi="Verdana"/>
        </w:rPr>
        <w:t xml:space="preserve"> In addition to the reports mentioned below, a</w:t>
      </w:r>
      <w:r w:rsidR="00305BDE">
        <w:rPr>
          <w:rFonts w:ascii="Verdana" w:hAnsi="Verdana"/>
        </w:rPr>
        <w:t xml:space="preserve"> great deal of information can be found in:</w:t>
      </w:r>
    </w:p>
    <w:p w14:paraId="5B7D01D9" w14:textId="5A9307BD" w:rsidR="00305BDE" w:rsidRDefault="00305BDE" w:rsidP="00305BDE">
      <w:pPr>
        <w:pStyle w:val="ListParagraph"/>
        <w:numPr>
          <w:ilvl w:val="0"/>
          <w:numId w:val="7"/>
        </w:numPr>
        <w:jc w:val="both"/>
        <w:rPr>
          <w:rFonts w:ascii="Verdana" w:hAnsi="Verdana"/>
        </w:rPr>
      </w:pPr>
      <w:r>
        <w:rPr>
          <w:rFonts w:ascii="Verdana" w:hAnsi="Verdana"/>
        </w:rPr>
        <w:t xml:space="preserve">FRA’s annual </w:t>
      </w:r>
      <w:hyperlink r:id="rId14" w:history="1">
        <w:r w:rsidRPr="00B76738">
          <w:rPr>
            <w:rStyle w:val="Hyperlink"/>
            <w:rFonts w:ascii="Verdana" w:hAnsi="Verdana"/>
          </w:rPr>
          <w:t>Fundamental Rights Report</w:t>
        </w:r>
      </w:hyperlink>
      <w:r>
        <w:rPr>
          <w:rFonts w:ascii="Verdana" w:hAnsi="Verdana"/>
        </w:rPr>
        <w:t xml:space="preserve"> (chapters 1 and 9)</w:t>
      </w:r>
    </w:p>
    <w:p w14:paraId="3871A4A5" w14:textId="71AF1254" w:rsidR="00305BDE" w:rsidRDefault="00305BDE" w:rsidP="00305BDE">
      <w:pPr>
        <w:pStyle w:val="ListParagraph"/>
        <w:numPr>
          <w:ilvl w:val="0"/>
          <w:numId w:val="7"/>
        </w:numPr>
        <w:jc w:val="both"/>
        <w:rPr>
          <w:rFonts w:ascii="Verdana" w:hAnsi="Verdana"/>
        </w:rPr>
      </w:pPr>
      <w:r w:rsidRPr="00305BDE">
        <w:rPr>
          <w:rFonts w:ascii="Verdana" w:hAnsi="Verdana"/>
        </w:rPr>
        <w:t xml:space="preserve">Paper on </w:t>
      </w:r>
      <w:hyperlink r:id="rId15" w:history="1">
        <w:r w:rsidRPr="00305BDE">
          <w:rPr>
            <w:rStyle w:val="Hyperlink"/>
            <w:rFonts w:ascii="Verdana" w:hAnsi="Verdana"/>
          </w:rPr>
          <w:t>Implementing the UN CRPD – An overview of legal reforms in EU Member States</w:t>
        </w:r>
      </w:hyperlink>
    </w:p>
    <w:p w14:paraId="0B9A45BA" w14:textId="2C0FA2EE" w:rsidR="00305BDE" w:rsidRPr="00130E6A" w:rsidRDefault="00CF39D7" w:rsidP="00305BDE">
      <w:pPr>
        <w:pStyle w:val="ListParagraph"/>
        <w:numPr>
          <w:ilvl w:val="0"/>
          <w:numId w:val="7"/>
        </w:numPr>
        <w:jc w:val="both"/>
        <w:rPr>
          <w:rStyle w:val="Hyperlink"/>
          <w:rFonts w:ascii="Verdana" w:hAnsi="Verdana"/>
          <w:color w:val="auto"/>
          <w:u w:val="none"/>
        </w:rPr>
      </w:pPr>
      <w:hyperlink r:id="rId16" w:history="1">
        <w:r w:rsidR="00305BDE" w:rsidRPr="00305BDE">
          <w:rPr>
            <w:rStyle w:val="Hyperlink"/>
            <w:rFonts w:ascii="Verdana" w:hAnsi="Verdana"/>
          </w:rPr>
          <w:t>Opinion on the situation of equality in the European Union 10 years on from initial implementation of the equality directives</w:t>
        </w:r>
      </w:hyperlink>
    </w:p>
    <w:p w14:paraId="100F9DF9" w14:textId="46C5EA5B" w:rsidR="00130E6A" w:rsidRPr="00130E6A" w:rsidRDefault="00130E6A" w:rsidP="00130E6A">
      <w:pPr>
        <w:jc w:val="both"/>
        <w:rPr>
          <w:rFonts w:ascii="Verdana" w:hAnsi="Verdana"/>
        </w:rPr>
      </w:pPr>
      <w:r>
        <w:rPr>
          <w:rFonts w:ascii="Verdana" w:hAnsi="Verdana"/>
        </w:rPr>
        <w:t xml:space="preserve">FRA has been a member of the EU Framework to promote, protect and monitor the implementation of the CRPD, established under Article 33(2), since 2013. The EU framework complements </w:t>
      </w:r>
      <w:hyperlink r:id="rId17" w:history="1">
        <w:r w:rsidRPr="003406A1">
          <w:rPr>
            <w:rStyle w:val="Hyperlink"/>
            <w:rFonts w:ascii="Verdana" w:hAnsi="Verdana"/>
          </w:rPr>
          <w:t>national monitoring frameworks</w:t>
        </w:r>
      </w:hyperlink>
      <w:r>
        <w:rPr>
          <w:rFonts w:ascii="Verdana" w:hAnsi="Verdana"/>
        </w:rPr>
        <w:t xml:space="preserve"> responsible for promoting, protecting and monitoring the CRPD in EU Member States. It consists of the </w:t>
      </w:r>
      <w:hyperlink r:id="rId18" w:history="1">
        <w:r w:rsidRPr="003406A1">
          <w:rPr>
            <w:rStyle w:val="Hyperlink"/>
            <w:rFonts w:ascii="Verdana" w:hAnsi="Verdana"/>
          </w:rPr>
          <w:t>European Parliament</w:t>
        </w:r>
      </w:hyperlink>
      <w:r>
        <w:rPr>
          <w:rFonts w:ascii="Verdana" w:hAnsi="Verdana"/>
        </w:rPr>
        <w:t xml:space="preserve">, the </w:t>
      </w:r>
      <w:hyperlink r:id="rId19" w:history="1">
        <w:r w:rsidRPr="00843038">
          <w:rPr>
            <w:rStyle w:val="Hyperlink"/>
            <w:rFonts w:ascii="Verdana" w:hAnsi="Verdana"/>
          </w:rPr>
          <w:t>European Ombudsman</w:t>
        </w:r>
      </w:hyperlink>
      <w:r>
        <w:rPr>
          <w:rFonts w:ascii="Verdana" w:hAnsi="Verdana"/>
        </w:rPr>
        <w:t xml:space="preserve">, the </w:t>
      </w:r>
      <w:hyperlink r:id="rId20" w:history="1">
        <w:r w:rsidRPr="00843038">
          <w:rPr>
            <w:rStyle w:val="Hyperlink"/>
            <w:rFonts w:ascii="Verdana" w:hAnsi="Verdana"/>
          </w:rPr>
          <w:t>European Agency for Fundamental Rights</w:t>
        </w:r>
      </w:hyperlink>
      <w:r>
        <w:rPr>
          <w:rFonts w:ascii="Verdana" w:hAnsi="Verdana"/>
        </w:rPr>
        <w:t xml:space="preserve"> (FRA) and the </w:t>
      </w:r>
      <w:hyperlink r:id="rId21" w:history="1">
        <w:r w:rsidRPr="00843038">
          <w:rPr>
            <w:rStyle w:val="Hyperlink"/>
            <w:rFonts w:ascii="Verdana" w:hAnsi="Verdana"/>
          </w:rPr>
          <w:t>European Disability Forum</w:t>
        </w:r>
      </w:hyperlink>
      <w:r>
        <w:rPr>
          <w:rFonts w:ascii="Verdana" w:hAnsi="Verdana"/>
        </w:rPr>
        <w:t xml:space="preserve">. More information on the EU framework’s activities can be found on its </w:t>
      </w:r>
      <w:hyperlink r:id="rId22" w:history="1">
        <w:r w:rsidRPr="00843038">
          <w:rPr>
            <w:rStyle w:val="Hyperlink"/>
            <w:rFonts w:ascii="Verdana" w:hAnsi="Verdana"/>
          </w:rPr>
          <w:t>webpage</w:t>
        </w:r>
      </w:hyperlink>
      <w:r>
        <w:rPr>
          <w:rFonts w:ascii="Verdana" w:hAnsi="Verdana"/>
        </w:rPr>
        <w:t>.</w:t>
      </w:r>
    </w:p>
    <w:p w14:paraId="763CB3DD" w14:textId="5D68674C" w:rsidR="001B0E88" w:rsidRDefault="001B0E88" w:rsidP="00162E5B">
      <w:pPr>
        <w:jc w:val="both"/>
        <w:rPr>
          <w:rFonts w:ascii="Verdana" w:hAnsi="Verdana"/>
          <w:b/>
        </w:rPr>
      </w:pPr>
      <w:r>
        <w:rPr>
          <w:rFonts w:ascii="Verdana" w:hAnsi="Verdana"/>
          <w:b/>
        </w:rPr>
        <w:t>Comments on the outline f</w:t>
      </w:r>
      <w:r w:rsidR="008C6A6C">
        <w:rPr>
          <w:rFonts w:ascii="Verdana" w:hAnsi="Verdana"/>
          <w:b/>
        </w:rPr>
        <w:t>or</w:t>
      </w:r>
      <w:r>
        <w:rPr>
          <w:rFonts w:ascii="Verdana" w:hAnsi="Verdana"/>
          <w:b/>
        </w:rPr>
        <w:t xml:space="preserve"> the draft </w:t>
      </w:r>
      <w:r w:rsidR="001C5BB0">
        <w:rPr>
          <w:rFonts w:ascii="Verdana" w:hAnsi="Verdana"/>
          <w:b/>
        </w:rPr>
        <w:t>G</w:t>
      </w:r>
      <w:r>
        <w:rPr>
          <w:rFonts w:ascii="Verdana" w:hAnsi="Verdana"/>
          <w:b/>
        </w:rPr>
        <w:t xml:space="preserve">eneral </w:t>
      </w:r>
      <w:r w:rsidR="001C5BB0">
        <w:rPr>
          <w:rFonts w:ascii="Verdana" w:hAnsi="Verdana"/>
          <w:b/>
        </w:rPr>
        <w:t>C</w:t>
      </w:r>
      <w:r>
        <w:rPr>
          <w:rFonts w:ascii="Verdana" w:hAnsi="Verdana"/>
          <w:b/>
        </w:rPr>
        <w:t>omment</w:t>
      </w:r>
      <w:r w:rsidR="004443A4">
        <w:rPr>
          <w:rFonts w:ascii="Verdana" w:hAnsi="Verdana"/>
          <w:b/>
        </w:rPr>
        <w:t xml:space="preserve"> on Art 5</w:t>
      </w:r>
    </w:p>
    <w:p w14:paraId="556666AE" w14:textId="12C63FCA" w:rsidR="00305BDE" w:rsidRDefault="00305BDE" w:rsidP="00305BDE">
      <w:pPr>
        <w:pStyle w:val="ListParagraph"/>
        <w:numPr>
          <w:ilvl w:val="0"/>
          <w:numId w:val="8"/>
        </w:numPr>
        <w:jc w:val="both"/>
        <w:rPr>
          <w:rFonts w:ascii="Verdana" w:hAnsi="Verdana"/>
          <w:b/>
        </w:rPr>
      </w:pPr>
      <w:r>
        <w:rPr>
          <w:rFonts w:ascii="Verdana" w:hAnsi="Verdana"/>
          <w:b/>
        </w:rPr>
        <w:t>Introduction</w:t>
      </w:r>
    </w:p>
    <w:p w14:paraId="324FDE4A" w14:textId="0D515DED" w:rsidR="00075B7D" w:rsidRDefault="00075B7D" w:rsidP="00305BDE">
      <w:pPr>
        <w:jc w:val="both"/>
        <w:rPr>
          <w:rFonts w:ascii="Verdana" w:hAnsi="Verdana"/>
        </w:rPr>
      </w:pPr>
      <w:r>
        <w:rPr>
          <w:rFonts w:ascii="Verdana" w:hAnsi="Verdana"/>
        </w:rPr>
        <w:t xml:space="preserve">One of the significant changes prompted by the CRPD is that it introduces equality and non-discrimination principles into areas of law and policy where they were not </w:t>
      </w:r>
      <w:r>
        <w:rPr>
          <w:rFonts w:ascii="Verdana" w:hAnsi="Verdana"/>
        </w:rPr>
        <w:lastRenderedPageBreak/>
        <w:t xml:space="preserve">previously considered. </w:t>
      </w:r>
      <w:r w:rsidR="00736C94" w:rsidRPr="00736C94">
        <w:rPr>
          <w:rFonts w:ascii="Verdana" w:hAnsi="Verdana"/>
        </w:rPr>
        <w:t>FRA has consistently highlighted the importance to focus on ensuring that people with disabilities are treated on an equal basis with others</w:t>
      </w:r>
      <w:r>
        <w:rPr>
          <w:rFonts w:ascii="Verdana" w:hAnsi="Verdana"/>
        </w:rPr>
        <w:t xml:space="preserve">, in particular in </w:t>
      </w:r>
      <w:r w:rsidR="004115E1">
        <w:rPr>
          <w:rFonts w:ascii="Verdana" w:hAnsi="Verdana"/>
        </w:rPr>
        <w:t xml:space="preserve">specific processes </w:t>
      </w:r>
      <w:r w:rsidR="00390136">
        <w:rPr>
          <w:rFonts w:ascii="Verdana" w:hAnsi="Verdana"/>
        </w:rPr>
        <w:t>examined</w:t>
      </w:r>
      <w:r w:rsidR="004115E1">
        <w:rPr>
          <w:rFonts w:ascii="Verdana" w:hAnsi="Verdana"/>
        </w:rPr>
        <w:t xml:space="preserve"> in </w:t>
      </w:r>
      <w:r>
        <w:rPr>
          <w:rFonts w:ascii="Verdana" w:hAnsi="Verdana"/>
        </w:rPr>
        <w:t xml:space="preserve">the Agency’s reports on </w:t>
      </w:r>
      <w:hyperlink r:id="rId23" w:history="1">
        <w:r w:rsidRPr="00B94BA6">
          <w:rPr>
            <w:rStyle w:val="Hyperlink"/>
            <w:rFonts w:ascii="Verdana" w:hAnsi="Verdana"/>
          </w:rPr>
          <w:t>legal capacity</w:t>
        </w:r>
      </w:hyperlink>
      <w:r>
        <w:rPr>
          <w:rFonts w:ascii="Verdana" w:hAnsi="Verdana"/>
        </w:rPr>
        <w:t xml:space="preserve"> and </w:t>
      </w:r>
      <w:hyperlink r:id="rId24" w:history="1">
        <w:r w:rsidRPr="00B94BA6">
          <w:rPr>
            <w:rStyle w:val="Hyperlink"/>
            <w:rFonts w:ascii="Verdana" w:hAnsi="Verdana"/>
          </w:rPr>
          <w:t>involuntary placement and treatment</w:t>
        </w:r>
      </w:hyperlink>
      <w:r>
        <w:rPr>
          <w:rFonts w:ascii="Verdana" w:hAnsi="Verdana"/>
        </w:rPr>
        <w:t xml:space="preserve">. </w:t>
      </w:r>
    </w:p>
    <w:p w14:paraId="24900BDC" w14:textId="058CF231" w:rsidR="00305BDE" w:rsidRDefault="00075B7D" w:rsidP="00305BDE">
      <w:pPr>
        <w:jc w:val="both"/>
        <w:rPr>
          <w:rFonts w:ascii="Verdana" w:hAnsi="Verdana"/>
        </w:rPr>
      </w:pPr>
      <w:r>
        <w:rPr>
          <w:rFonts w:ascii="Verdana" w:hAnsi="Verdana"/>
        </w:rPr>
        <w:t xml:space="preserve">The introduction to the draft </w:t>
      </w:r>
      <w:r w:rsidR="00D441D9">
        <w:rPr>
          <w:rFonts w:ascii="Verdana" w:hAnsi="Verdana"/>
        </w:rPr>
        <w:t>General Comment</w:t>
      </w:r>
      <w:r>
        <w:rPr>
          <w:rFonts w:ascii="Verdana" w:hAnsi="Verdana"/>
        </w:rPr>
        <w:t xml:space="preserve"> could therefore highlight that the concept of equality and non-discrimination set out in Articles 3 and 5 of the CRPD </w:t>
      </w:r>
      <w:r w:rsidR="00B76738" w:rsidRPr="00B76738">
        <w:rPr>
          <w:rFonts w:ascii="Verdana" w:hAnsi="Verdana"/>
        </w:rPr>
        <w:t>requires a shift in traditional approaches</w:t>
      </w:r>
      <w:r w:rsidR="00E9735C">
        <w:rPr>
          <w:rFonts w:ascii="Verdana" w:hAnsi="Verdana"/>
        </w:rPr>
        <w:t xml:space="preserve"> in respect</w:t>
      </w:r>
      <w:r w:rsidR="00B76738" w:rsidRPr="00B76738">
        <w:rPr>
          <w:rFonts w:ascii="Verdana" w:hAnsi="Verdana"/>
        </w:rPr>
        <w:t xml:space="preserve"> to many laws addressing persons with disabilities</w:t>
      </w:r>
      <w:r>
        <w:rPr>
          <w:rFonts w:ascii="Verdana" w:hAnsi="Verdana"/>
        </w:rPr>
        <w:t>.</w:t>
      </w:r>
    </w:p>
    <w:p w14:paraId="6A1B6991" w14:textId="62F2A2C3" w:rsidR="00075B7D" w:rsidRDefault="00075B7D" w:rsidP="00305BDE">
      <w:pPr>
        <w:jc w:val="both"/>
        <w:rPr>
          <w:rFonts w:ascii="Verdana" w:hAnsi="Verdana"/>
        </w:rPr>
      </w:pPr>
      <w:r>
        <w:rPr>
          <w:rFonts w:ascii="Verdana" w:hAnsi="Verdana"/>
        </w:rPr>
        <w:t xml:space="preserve">In this vein, FRA suggests that </w:t>
      </w:r>
      <w:r w:rsidR="00CA3418">
        <w:rPr>
          <w:rFonts w:ascii="Verdana" w:hAnsi="Verdana"/>
        </w:rPr>
        <w:t xml:space="preserve">the </w:t>
      </w:r>
      <w:r>
        <w:rPr>
          <w:rFonts w:ascii="Verdana" w:hAnsi="Verdana"/>
        </w:rPr>
        <w:t>introduction could also underline that non-discrimination is a general principle of the CRPD as a whole (Article 3), with relevance to all the rights the convention sets out.</w:t>
      </w:r>
    </w:p>
    <w:p w14:paraId="55C1E57A" w14:textId="62B5D734" w:rsidR="00305BDE" w:rsidRDefault="00305BDE" w:rsidP="00305BDE">
      <w:pPr>
        <w:pStyle w:val="ListParagraph"/>
        <w:numPr>
          <w:ilvl w:val="0"/>
          <w:numId w:val="8"/>
        </w:numPr>
        <w:jc w:val="both"/>
        <w:rPr>
          <w:rFonts w:ascii="Verdana" w:hAnsi="Verdana"/>
          <w:b/>
        </w:rPr>
      </w:pPr>
      <w:r>
        <w:rPr>
          <w:rFonts w:ascii="Verdana" w:hAnsi="Verdana"/>
          <w:b/>
        </w:rPr>
        <w:t>Normative content</w:t>
      </w:r>
    </w:p>
    <w:p w14:paraId="2BD887FC" w14:textId="648D586E" w:rsidR="00B94BA6" w:rsidRDefault="00B94BA6" w:rsidP="004C653B">
      <w:pPr>
        <w:jc w:val="both"/>
        <w:rPr>
          <w:rFonts w:ascii="Verdana" w:hAnsi="Verdana"/>
        </w:rPr>
      </w:pPr>
      <w:r>
        <w:rPr>
          <w:rFonts w:ascii="Verdana" w:hAnsi="Verdana"/>
        </w:rPr>
        <w:t xml:space="preserve">Evidence suggests that mental health problems are not automatically considered as disabilities in some legislation. FRA suggests that the </w:t>
      </w:r>
      <w:r w:rsidR="00D441D9">
        <w:rPr>
          <w:rFonts w:ascii="Verdana" w:hAnsi="Verdana"/>
        </w:rPr>
        <w:t>General Comment</w:t>
      </w:r>
      <w:r>
        <w:rPr>
          <w:rFonts w:ascii="Verdana" w:hAnsi="Verdana"/>
        </w:rPr>
        <w:t xml:space="preserve"> </w:t>
      </w:r>
      <w:r w:rsidR="009A5988">
        <w:rPr>
          <w:rFonts w:ascii="Verdana" w:hAnsi="Verdana"/>
        </w:rPr>
        <w:t xml:space="preserve">includes reference to </w:t>
      </w:r>
      <w:r>
        <w:rPr>
          <w:rFonts w:ascii="Verdana" w:hAnsi="Verdana"/>
        </w:rPr>
        <w:t xml:space="preserve">the issue of the scope of non-discrimination and reasonable accommodation provisions, including whether they apply equally to all persons with disabilities. </w:t>
      </w:r>
    </w:p>
    <w:p w14:paraId="61B912B5" w14:textId="1D866DC2" w:rsidR="002E23D2" w:rsidRDefault="00B94BA6" w:rsidP="004C653B">
      <w:pPr>
        <w:jc w:val="both"/>
        <w:rPr>
          <w:rFonts w:ascii="Verdana" w:hAnsi="Verdana"/>
        </w:rPr>
      </w:pPr>
      <w:r>
        <w:rPr>
          <w:rFonts w:ascii="Verdana" w:hAnsi="Verdana"/>
        </w:rPr>
        <w:t xml:space="preserve">The </w:t>
      </w:r>
      <w:r w:rsidR="00D441D9">
        <w:rPr>
          <w:rFonts w:ascii="Verdana" w:hAnsi="Verdana"/>
        </w:rPr>
        <w:t>Committee</w:t>
      </w:r>
      <w:r>
        <w:rPr>
          <w:rFonts w:ascii="Verdana" w:hAnsi="Verdana"/>
        </w:rPr>
        <w:t xml:space="preserve"> could draw on </w:t>
      </w:r>
      <w:r w:rsidR="002E23D2">
        <w:rPr>
          <w:rFonts w:ascii="Verdana" w:hAnsi="Verdana"/>
        </w:rPr>
        <w:t xml:space="preserve">FRA’s </w:t>
      </w:r>
      <w:hyperlink r:id="rId25" w:history="1">
        <w:r w:rsidR="002E23D2" w:rsidRPr="00B94BA6">
          <w:rPr>
            <w:rStyle w:val="Hyperlink"/>
            <w:rFonts w:ascii="Verdana" w:hAnsi="Verdana"/>
          </w:rPr>
          <w:t xml:space="preserve">report on the legal protection of persons with mental health problems under non-discrimination </w:t>
        </w:r>
        <w:r w:rsidRPr="00B94BA6">
          <w:rPr>
            <w:rStyle w:val="Hyperlink"/>
            <w:rFonts w:ascii="Verdana" w:hAnsi="Verdana"/>
          </w:rPr>
          <w:t>law</w:t>
        </w:r>
      </w:hyperlink>
      <w:r w:rsidR="006B5A5C">
        <w:rPr>
          <w:rFonts w:ascii="Verdana" w:hAnsi="Verdana"/>
        </w:rPr>
        <w:t xml:space="preserve">, which </w:t>
      </w:r>
      <w:r>
        <w:rPr>
          <w:rFonts w:ascii="Verdana" w:hAnsi="Verdana"/>
        </w:rPr>
        <w:t xml:space="preserve">discusses whether persons with mental health problems (psychosocial disabilities) are protected against discrimination on the grounds of disability, specifically in the area of employment. It also highlights that the duty of reasonable accommodation sometimes applies to a different group of persons than the prohibition of discrimination on the grounds of disability, potentially excluding persons with mental health problems. </w:t>
      </w:r>
    </w:p>
    <w:p w14:paraId="1D3FC5EB" w14:textId="0F107071" w:rsidR="00B76738" w:rsidRDefault="00B76738" w:rsidP="004C653B">
      <w:pPr>
        <w:jc w:val="both"/>
        <w:rPr>
          <w:rFonts w:ascii="Verdana" w:hAnsi="Verdana"/>
        </w:rPr>
      </w:pPr>
      <w:r>
        <w:rPr>
          <w:rFonts w:ascii="Verdana" w:hAnsi="Verdana"/>
        </w:rPr>
        <w:t>Reflecting comments on other sections, FRA suggests that this section also highlights the cross-cutting nature of equality and non-discrimination as general principles of the convention.</w:t>
      </w:r>
    </w:p>
    <w:p w14:paraId="3806E7CD" w14:textId="5E72D00C" w:rsidR="00B94BA6" w:rsidRPr="004C653B" w:rsidRDefault="00B94BA6" w:rsidP="004C653B">
      <w:pPr>
        <w:jc w:val="both"/>
        <w:rPr>
          <w:rFonts w:ascii="Verdana" w:hAnsi="Verdana"/>
        </w:rPr>
      </w:pPr>
      <w:r>
        <w:rPr>
          <w:rFonts w:ascii="Verdana" w:hAnsi="Verdana"/>
        </w:rPr>
        <w:t>FRA welcomes the implied focus on multiple and intersectional discrimination.</w:t>
      </w:r>
    </w:p>
    <w:p w14:paraId="2361E120" w14:textId="41FA7D14" w:rsidR="00C52E57" w:rsidRPr="004C653B" w:rsidRDefault="00305BDE" w:rsidP="00305BDE">
      <w:pPr>
        <w:pStyle w:val="ListParagraph"/>
        <w:numPr>
          <w:ilvl w:val="0"/>
          <w:numId w:val="8"/>
        </w:numPr>
        <w:jc w:val="both"/>
        <w:rPr>
          <w:rFonts w:ascii="Verdana" w:hAnsi="Verdana"/>
          <w:b/>
        </w:rPr>
      </w:pPr>
      <w:r>
        <w:rPr>
          <w:rFonts w:ascii="Verdana" w:hAnsi="Verdana"/>
          <w:b/>
        </w:rPr>
        <w:t>Interrelation with specific other articles</w:t>
      </w:r>
    </w:p>
    <w:p w14:paraId="75B8101D" w14:textId="77777777" w:rsidR="00AA7535" w:rsidRDefault="00305BDE" w:rsidP="00305BDE">
      <w:pPr>
        <w:jc w:val="both"/>
        <w:rPr>
          <w:rFonts w:ascii="Verdana" w:hAnsi="Verdana"/>
        </w:rPr>
      </w:pPr>
      <w:r>
        <w:rPr>
          <w:rFonts w:ascii="Verdana" w:hAnsi="Verdana"/>
        </w:rPr>
        <w:t xml:space="preserve">As a general principle of the convention, non-discrimination is relevant to all articles of the CRPD. </w:t>
      </w:r>
      <w:r w:rsidR="00C52E57">
        <w:rPr>
          <w:rFonts w:ascii="Verdana" w:hAnsi="Verdana"/>
        </w:rPr>
        <w:t>Reflecting this focus</w:t>
      </w:r>
      <w:r>
        <w:rPr>
          <w:rFonts w:ascii="Verdana" w:hAnsi="Verdana"/>
        </w:rPr>
        <w:t xml:space="preserve">, specific references to ‘discriminatory denial’ </w:t>
      </w:r>
      <w:r w:rsidR="00C52E57">
        <w:rPr>
          <w:rFonts w:ascii="Verdana" w:hAnsi="Verdana"/>
        </w:rPr>
        <w:t xml:space="preserve">and </w:t>
      </w:r>
      <w:r>
        <w:rPr>
          <w:rFonts w:ascii="Verdana" w:hAnsi="Verdana"/>
        </w:rPr>
        <w:t>‘on an equal basis with others’</w:t>
      </w:r>
      <w:r w:rsidR="00C52E57">
        <w:rPr>
          <w:rFonts w:ascii="Verdana" w:hAnsi="Verdana"/>
        </w:rPr>
        <w:t xml:space="preserve"> are found throughout the convention. </w:t>
      </w:r>
    </w:p>
    <w:p w14:paraId="7384E447" w14:textId="70F8F643" w:rsidR="004C653B" w:rsidRDefault="00305BDE" w:rsidP="00305BDE">
      <w:pPr>
        <w:jc w:val="both"/>
        <w:rPr>
          <w:rFonts w:ascii="Verdana" w:hAnsi="Verdana"/>
        </w:rPr>
      </w:pPr>
      <w:r>
        <w:rPr>
          <w:rFonts w:ascii="Verdana" w:hAnsi="Verdana"/>
        </w:rPr>
        <w:t>It would therefore be useful to</w:t>
      </w:r>
      <w:r w:rsidR="00C52E57">
        <w:rPr>
          <w:rFonts w:ascii="Verdana" w:hAnsi="Verdana"/>
        </w:rPr>
        <w:t xml:space="preserve"> clarify </w:t>
      </w:r>
      <w:r w:rsidR="00AA7535">
        <w:rPr>
          <w:rFonts w:ascii="Verdana" w:hAnsi="Verdana"/>
        </w:rPr>
        <w:t xml:space="preserve">in the draft </w:t>
      </w:r>
      <w:r w:rsidR="00F57ECE">
        <w:rPr>
          <w:rFonts w:ascii="Verdana" w:hAnsi="Verdana"/>
        </w:rPr>
        <w:t>G</w:t>
      </w:r>
      <w:r w:rsidR="00AA7535">
        <w:rPr>
          <w:rFonts w:ascii="Verdana" w:hAnsi="Verdana"/>
        </w:rPr>
        <w:t xml:space="preserve">eneral </w:t>
      </w:r>
      <w:r w:rsidR="00F57ECE">
        <w:rPr>
          <w:rFonts w:ascii="Verdana" w:hAnsi="Verdana"/>
        </w:rPr>
        <w:t>C</w:t>
      </w:r>
      <w:r w:rsidR="00AA7535">
        <w:rPr>
          <w:rFonts w:ascii="Verdana" w:hAnsi="Verdana"/>
        </w:rPr>
        <w:t xml:space="preserve">omment </w:t>
      </w:r>
      <w:r w:rsidR="00C52E57">
        <w:rPr>
          <w:rFonts w:ascii="Verdana" w:hAnsi="Verdana"/>
        </w:rPr>
        <w:t xml:space="preserve">why certain articles are included under this section, while others with a strong non-discrimination element are not. </w:t>
      </w:r>
    </w:p>
    <w:p w14:paraId="60082A6B" w14:textId="00172E51" w:rsidR="004C653B" w:rsidRPr="00C52E57" w:rsidRDefault="004C653B" w:rsidP="004C653B">
      <w:pPr>
        <w:jc w:val="both"/>
        <w:rPr>
          <w:rFonts w:ascii="Verdana" w:hAnsi="Verdana"/>
          <w:u w:val="single"/>
        </w:rPr>
      </w:pPr>
      <w:r>
        <w:rPr>
          <w:rFonts w:ascii="Verdana" w:hAnsi="Verdana"/>
          <w:u w:val="single"/>
        </w:rPr>
        <w:t xml:space="preserve">Proposals for additional articles to </w:t>
      </w:r>
      <w:r w:rsidR="00443230">
        <w:rPr>
          <w:rFonts w:ascii="Verdana" w:hAnsi="Verdana"/>
          <w:u w:val="single"/>
        </w:rPr>
        <w:t xml:space="preserve">be </w:t>
      </w:r>
      <w:r>
        <w:rPr>
          <w:rFonts w:ascii="Verdana" w:hAnsi="Verdana"/>
          <w:u w:val="single"/>
        </w:rPr>
        <w:t>included</w:t>
      </w:r>
      <w:r w:rsidR="00443230">
        <w:rPr>
          <w:rFonts w:ascii="Verdana" w:hAnsi="Verdana"/>
          <w:u w:val="single"/>
        </w:rPr>
        <w:t xml:space="preserve"> in the General Comment</w:t>
      </w:r>
    </w:p>
    <w:p w14:paraId="2BD1B6FC" w14:textId="3DE59996" w:rsidR="00305BDE" w:rsidRDefault="004C653B" w:rsidP="00305BDE">
      <w:pPr>
        <w:jc w:val="both"/>
        <w:rPr>
          <w:rFonts w:ascii="Verdana" w:hAnsi="Verdana"/>
        </w:rPr>
      </w:pPr>
      <w:r>
        <w:rPr>
          <w:rFonts w:ascii="Verdana" w:hAnsi="Verdana"/>
        </w:rPr>
        <w:t>In this context</w:t>
      </w:r>
      <w:r w:rsidR="00C52E57">
        <w:rPr>
          <w:rFonts w:ascii="Verdana" w:hAnsi="Verdana"/>
        </w:rPr>
        <w:t>, FRA would suggest that the following be considered:</w:t>
      </w:r>
    </w:p>
    <w:p w14:paraId="6EDA5A6C" w14:textId="2B0AC12E" w:rsidR="00C52E57" w:rsidRDefault="00C52E57" w:rsidP="00305BDE">
      <w:pPr>
        <w:jc w:val="both"/>
        <w:rPr>
          <w:rFonts w:ascii="Verdana" w:hAnsi="Verdana"/>
          <w:b/>
        </w:rPr>
      </w:pPr>
      <w:r>
        <w:rPr>
          <w:rFonts w:ascii="Verdana" w:hAnsi="Verdana"/>
          <w:b/>
        </w:rPr>
        <w:t>Article 14: liberty and security of person</w:t>
      </w:r>
    </w:p>
    <w:p w14:paraId="0ADB24C3" w14:textId="1048D76C" w:rsidR="00075B7D" w:rsidRPr="00075B7D" w:rsidRDefault="00075B7D" w:rsidP="00305BDE">
      <w:pPr>
        <w:jc w:val="both"/>
        <w:rPr>
          <w:rFonts w:ascii="Verdana" w:hAnsi="Verdana"/>
        </w:rPr>
      </w:pPr>
      <w:r>
        <w:rPr>
          <w:rFonts w:ascii="Verdana" w:hAnsi="Verdana"/>
        </w:rPr>
        <w:t xml:space="preserve">FRA’s </w:t>
      </w:r>
      <w:hyperlink r:id="rId26" w:history="1">
        <w:r w:rsidRPr="00B94BA6">
          <w:rPr>
            <w:rStyle w:val="Hyperlink"/>
            <w:rFonts w:ascii="Verdana" w:hAnsi="Verdana"/>
          </w:rPr>
          <w:t>report on involuntary placement and involuntary treatment of persons with mental health problems</w:t>
        </w:r>
      </w:hyperlink>
      <w:r>
        <w:rPr>
          <w:rFonts w:ascii="Verdana" w:hAnsi="Verdana"/>
        </w:rPr>
        <w:t xml:space="preserve"> highlights </w:t>
      </w:r>
      <w:r w:rsidR="00AA7535">
        <w:rPr>
          <w:rFonts w:ascii="Verdana" w:hAnsi="Verdana"/>
        </w:rPr>
        <w:t>the major shift in approach to legislation in this area prompted by the non-discrimination approach embedded in Article 14.</w:t>
      </w:r>
    </w:p>
    <w:p w14:paraId="66FDA0B2" w14:textId="5DE9CC4E" w:rsidR="00C52E57" w:rsidRDefault="00C52E57" w:rsidP="00305BDE">
      <w:pPr>
        <w:jc w:val="both"/>
        <w:rPr>
          <w:rFonts w:ascii="Verdana" w:hAnsi="Verdana"/>
          <w:b/>
        </w:rPr>
      </w:pPr>
      <w:r>
        <w:rPr>
          <w:rFonts w:ascii="Verdana" w:hAnsi="Verdana"/>
          <w:b/>
        </w:rPr>
        <w:t>Article 25: health</w:t>
      </w:r>
    </w:p>
    <w:p w14:paraId="5751A098" w14:textId="718AD270" w:rsidR="00AA7535" w:rsidRDefault="00CF39D7" w:rsidP="00305BDE">
      <w:pPr>
        <w:jc w:val="both"/>
        <w:rPr>
          <w:rFonts w:ascii="Verdana" w:hAnsi="Verdana"/>
          <w:b/>
        </w:rPr>
      </w:pPr>
      <w:hyperlink r:id="rId27" w:history="1">
        <w:r w:rsidR="00AA7535" w:rsidRPr="00B74681">
          <w:rPr>
            <w:rStyle w:val="Hyperlink"/>
            <w:rFonts w:ascii="Verdana" w:hAnsi="Verdana"/>
          </w:rPr>
          <w:t>FRA’s report on inequalities and multiple discrimination in access to and quality of healthcare</w:t>
        </w:r>
      </w:hyperlink>
      <w:r w:rsidR="00AA7535">
        <w:rPr>
          <w:rFonts w:ascii="Verdana" w:hAnsi="Verdana"/>
        </w:rPr>
        <w:t xml:space="preserve"> looked at specific barriers experienced by young people with intellectual disabilities and a migrant background. The evidence points to communication and language barriers, leading to indirect discrimination of people with disabilities while also affecting health practitioners’ ability to assess effectively and diagnose correctly patients with disabilities.</w:t>
      </w:r>
    </w:p>
    <w:p w14:paraId="419D4746" w14:textId="7721EDB4" w:rsidR="004C653B" w:rsidRPr="004C653B" w:rsidRDefault="004C653B" w:rsidP="00305BDE">
      <w:pPr>
        <w:jc w:val="both"/>
        <w:rPr>
          <w:rFonts w:ascii="Verdana" w:hAnsi="Verdana"/>
          <w:u w:val="single"/>
        </w:rPr>
      </w:pPr>
      <w:r>
        <w:rPr>
          <w:rFonts w:ascii="Verdana" w:hAnsi="Verdana"/>
          <w:u w:val="single"/>
        </w:rPr>
        <w:t>Input on articles currently included</w:t>
      </w:r>
      <w:r w:rsidR="00443230">
        <w:rPr>
          <w:rFonts w:ascii="Verdana" w:hAnsi="Verdana"/>
          <w:u w:val="single"/>
        </w:rPr>
        <w:t xml:space="preserve"> in the General Comment</w:t>
      </w:r>
    </w:p>
    <w:p w14:paraId="6D4FA460" w14:textId="7955607B" w:rsidR="00C52E57" w:rsidRDefault="00AA7535" w:rsidP="00305BDE">
      <w:pPr>
        <w:jc w:val="both"/>
        <w:rPr>
          <w:rFonts w:ascii="Verdana" w:hAnsi="Verdana"/>
          <w:b/>
        </w:rPr>
      </w:pPr>
      <w:r>
        <w:rPr>
          <w:rFonts w:ascii="Verdana" w:hAnsi="Verdana"/>
          <w:b/>
        </w:rPr>
        <w:t>Article 7: children</w:t>
      </w:r>
    </w:p>
    <w:p w14:paraId="15FBD635" w14:textId="652BC3BB" w:rsidR="00AA7535" w:rsidRDefault="00AA7535" w:rsidP="00305BDE">
      <w:pPr>
        <w:jc w:val="both"/>
        <w:rPr>
          <w:rFonts w:ascii="Verdana" w:hAnsi="Verdana"/>
        </w:rPr>
      </w:pPr>
      <w:r>
        <w:rPr>
          <w:rFonts w:ascii="Verdana" w:hAnsi="Verdana"/>
        </w:rPr>
        <w:t xml:space="preserve">FRA’s report on </w:t>
      </w:r>
      <w:hyperlink r:id="rId28" w:history="1">
        <w:r w:rsidRPr="00B14C85">
          <w:rPr>
            <w:rStyle w:val="Hyperlink"/>
            <w:rFonts w:ascii="Verdana" w:hAnsi="Verdana"/>
          </w:rPr>
          <w:t>Violence against children with disabilities</w:t>
        </w:r>
      </w:hyperlink>
      <w:r>
        <w:rPr>
          <w:rFonts w:ascii="Verdana" w:hAnsi="Verdana"/>
        </w:rPr>
        <w:t xml:space="preserve"> highlights the importance of non-discrimination in the context of violence and abuse.</w:t>
      </w:r>
    </w:p>
    <w:p w14:paraId="64534B77" w14:textId="1ECB4B11" w:rsidR="00E410C4" w:rsidRDefault="00E410C4" w:rsidP="00305BDE">
      <w:pPr>
        <w:jc w:val="both"/>
        <w:rPr>
          <w:rFonts w:ascii="Verdana" w:hAnsi="Verdana"/>
          <w:b/>
        </w:rPr>
      </w:pPr>
      <w:r>
        <w:rPr>
          <w:rFonts w:ascii="Verdana" w:hAnsi="Verdana"/>
          <w:b/>
        </w:rPr>
        <w:t>Article 12: equal recognition before the law</w:t>
      </w:r>
    </w:p>
    <w:p w14:paraId="3450E76F" w14:textId="3B93006C" w:rsidR="00E410C4" w:rsidRPr="00E410C4" w:rsidRDefault="00E410C4" w:rsidP="00305BDE">
      <w:pPr>
        <w:jc w:val="both"/>
        <w:rPr>
          <w:rFonts w:ascii="Verdana" w:hAnsi="Verdana"/>
        </w:rPr>
      </w:pPr>
      <w:r>
        <w:rPr>
          <w:rFonts w:ascii="Verdana" w:hAnsi="Verdana"/>
        </w:rPr>
        <w:t xml:space="preserve">FRA’s </w:t>
      </w:r>
      <w:hyperlink r:id="rId29" w:history="1">
        <w:r w:rsidRPr="00B94BA6">
          <w:rPr>
            <w:rStyle w:val="Hyperlink"/>
            <w:rFonts w:ascii="Verdana" w:hAnsi="Verdana"/>
          </w:rPr>
          <w:t>report on legal capacity of persons with intellectual disabilities and persons with mental health problems</w:t>
        </w:r>
      </w:hyperlink>
      <w:r>
        <w:rPr>
          <w:rFonts w:ascii="Verdana" w:hAnsi="Verdana"/>
        </w:rPr>
        <w:t xml:space="preserve"> explores the intrinsic non-discrimination aspect of equal recognition before the law. It highlights that taking a non-discrimination approach has major implications for legal reforms in this area.</w:t>
      </w:r>
    </w:p>
    <w:p w14:paraId="527E5FCD" w14:textId="552E17C9" w:rsidR="00E410C4" w:rsidRDefault="00E410C4" w:rsidP="00305BDE">
      <w:pPr>
        <w:jc w:val="both"/>
        <w:rPr>
          <w:rFonts w:ascii="Verdana" w:hAnsi="Verdana"/>
          <w:b/>
        </w:rPr>
      </w:pPr>
      <w:r>
        <w:rPr>
          <w:rFonts w:ascii="Verdana" w:hAnsi="Verdana"/>
          <w:b/>
        </w:rPr>
        <w:t>Article 13: access to justice</w:t>
      </w:r>
    </w:p>
    <w:p w14:paraId="7AE632A0" w14:textId="73ACE5D4" w:rsidR="00966BC2" w:rsidRDefault="00E410C4" w:rsidP="00305BDE">
      <w:pPr>
        <w:jc w:val="both"/>
        <w:rPr>
          <w:rFonts w:ascii="Verdana" w:hAnsi="Verdana"/>
        </w:rPr>
      </w:pPr>
      <w:r>
        <w:rPr>
          <w:rFonts w:ascii="Verdana" w:hAnsi="Verdana"/>
        </w:rPr>
        <w:t>Evidence collected by FRA consistently highlights the specific barriers that persons with disabilities face in accessing justice</w:t>
      </w:r>
      <w:r w:rsidR="00B94BA6">
        <w:rPr>
          <w:rFonts w:ascii="Verdana" w:hAnsi="Verdana"/>
        </w:rPr>
        <w:t xml:space="preserve">, for example: </w:t>
      </w:r>
      <w:hyperlink r:id="rId30" w:history="1">
        <w:r w:rsidR="00B94BA6" w:rsidRPr="00B94BA6">
          <w:rPr>
            <w:rStyle w:val="Hyperlink"/>
            <w:rFonts w:ascii="Verdana" w:hAnsi="Verdana"/>
          </w:rPr>
          <w:t>in access to translation, interpretation and information</w:t>
        </w:r>
      </w:hyperlink>
      <w:r w:rsidR="00B94BA6">
        <w:rPr>
          <w:rFonts w:ascii="Verdana" w:hAnsi="Verdana"/>
        </w:rPr>
        <w:t>; or related to the</w:t>
      </w:r>
      <w:r w:rsidR="00966BC2">
        <w:rPr>
          <w:rFonts w:ascii="Verdana" w:hAnsi="Verdana"/>
        </w:rPr>
        <w:t xml:space="preserve"> </w:t>
      </w:r>
      <w:hyperlink r:id="rId31" w:history="1">
        <w:r w:rsidR="00B94BA6" w:rsidRPr="00966BC2">
          <w:rPr>
            <w:rStyle w:val="Hyperlink"/>
            <w:rFonts w:ascii="Verdana" w:hAnsi="Verdana"/>
          </w:rPr>
          <w:t>complexity</w:t>
        </w:r>
        <w:r w:rsidR="00966BC2" w:rsidRPr="00966BC2">
          <w:rPr>
            <w:rStyle w:val="Hyperlink"/>
            <w:rFonts w:ascii="Verdana" w:hAnsi="Verdana"/>
          </w:rPr>
          <w:t xml:space="preserve"> of the complaints system</w:t>
        </w:r>
      </w:hyperlink>
      <w:r>
        <w:rPr>
          <w:rFonts w:ascii="Verdana" w:hAnsi="Verdana"/>
        </w:rPr>
        <w:t xml:space="preserve">. </w:t>
      </w:r>
      <w:r w:rsidR="00966BC2">
        <w:rPr>
          <w:rFonts w:ascii="Verdana" w:hAnsi="Verdana"/>
        </w:rPr>
        <w:t>It highlights the importance of support to access justice.</w:t>
      </w:r>
    </w:p>
    <w:p w14:paraId="5CEC4196" w14:textId="17F4371F" w:rsidR="00E410C4" w:rsidRPr="00E410C4" w:rsidRDefault="00E410C4" w:rsidP="00305BDE">
      <w:pPr>
        <w:jc w:val="both"/>
        <w:rPr>
          <w:rFonts w:ascii="Verdana" w:hAnsi="Verdana"/>
        </w:rPr>
      </w:pPr>
      <w:r>
        <w:rPr>
          <w:rFonts w:ascii="Verdana" w:hAnsi="Verdana"/>
        </w:rPr>
        <w:t xml:space="preserve">It also highlights </w:t>
      </w:r>
      <w:r w:rsidR="00966BC2">
        <w:rPr>
          <w:rFonts w:ascii="Verdana" w:hAnsi="Verdana"/>
        </w:rPr>
        <w:t>the impact of</w:t>
      </w:r>
      <w:r>
        <w:rPr>
          <w:rFonts w:ascii="Verdana" w:hAnsi="Verdana"/>
        </w:rPr>
        <w:t xml:space="preserve"> the limited scope of laws prohibiting discrimination on the grounds of disability</w:t>
      </w:r>
      <w:r w:rsidR="00966BC2">
        <w:rPr>
          <w:rFonts w:ascii="Verdana" w:hAnsi="Verdana"/>
        </w:rPr>
        <w:t xml:space="preserve"> on opportunities to access justice</w:t>
      </w:r>
      <w:r>
        <w:rPr>
          <w:rFonts w:ascii="Verdana" w:hAnsi="Verdana"/>
        </w:rPr>
        <w:t>.</w:t>
      </w:r>
    </w:p>
    <w:p w14:paraId="5B00C42F" w14:textId="517F74D5" w:rsidR="00AA7535" w:rsidRDefault="00AA7535" w:rsidP="00305BDE">
      <w:pPr>
        <w:jc w:val="both"/>
        <w:rPr>
          <w:rFonts w:ascii="Verdana" w:hAnsi="Verdana"/>
          <w:b/>
        </w:rPr>
      </w:pPr>
      <w:r>
        <w:rPr>
          <w:rFonts w:ascii="Verdana" w:hAnsi="Verdana"/>
          <w:b/>
        </w:rPr>
        <w:t>Article 16: freedom from violence, exploitation and abuse</w:t>
      </w:r>
    </w:p>
    <w:p w14:paraId="6FC61D3A" w14:textId="1EF4BFA4" w:rsidR="00AA7535" w:rsidRPr="00AA7535" w:rsidRDefault="00AA7535" w:rsidP="00305BDE">
      <w:pPr>
        <w:jc w:val="both"/>
        <w:rPr>
          <w:rFonts w:ascii="Verdana" w:hAnsi="Verdana"/>
        </w:rPr>
      </w:pPr>
      <w:r>
        <w:rPr>
          <w:rFonts w:ascii="Verdana" w:hAnsi="Verdana"/>
        </w:rPr>
        <w:t>FRA’s paper</w:t>
      </w:r>
      <w:r w:rsidR="00B85BA3">
        <w:rPr>
          <w:rFonts w:ascii="Verdana" w:hAnsi="Verdana"/>
        </w:rPr>
        <w:t>,</w:t>
      </w:r>
      <w:r>
        <w:rPr>
          <w:rFonts w:ascii="Verdana" w:hAnsi="Verdana"/>
        </w:rPr>
        <w:t xml:space="preserve"> </w:t>
      </w:r>
      <w:hyperlink r:id="rId32" w:history="1">
        <w:r w:rsidRPr="00FF6C31">
          <w:rPr>
            <w:rStyle w:val="Hyperlink"/>
            <w:rFonts w:ascii="Verdana" w:hAnsi="Verdana"/>
          </w:rPr>
          <w:t>Equal protection for all victims of hate crime: The case of persons with disabilities</w:t>
        </w:r>
      </w:hyperlink>
      <w:r>
        <w:rPr>
          <w:rFonts w:ascii="Verdana" w:hAnsi="Verdana"/>
        </w:rPr>
        <w:t xml:space="preserve">, </w:t>
      </w:r>
      <w:r w:rsidRPr="00AA7535">
        <w:rPr>
          <w:rFonts w:ascii="Verdana" w:hAnsi="Verdana"/>
          <w:lang w:val="en"/>
        </w:rPr>
        <w:t xml:space="preserve">shows that violence, harassment and abuse are common experiences for many people with disabilities, creating a formidable barrier to their </w:t>
      </w:r>
      <w:r w:rsidR="00B85BA3">
        <w:rPr>
          <w:rFonts w:ascii="Verdana" w:hAnsi="Verdana"/>
          <w:lang w:val="en"/>
        </w:rPr>
        <w:t xml:space="preserve">social </w:t>
      </w:r>
      <w:r w:rsidRPr="00AA7535">
        <w:rPr>
          <w:rFonts w:ascii="Verdana" w:hAnsi="Verdana"/>
          <w:lang w:val="en"/>
        </w:rPr>
        <w:t>inclusion and participation in community</w:t>
      </w:r>
      <w:r w:rsidR="003C57DF">
        <w:rPr>
          <w:rFonts w:ascii="Verdana" w:hAnsi="Verdana"/>
          <w:lang w:val="en"/>
        </w:rPr>
        <w:t xml:space="preserve"> life</w:t>
      </w:r>
      <w:r w:rsidRPr="00B65341">
        <w:rPr>
          <w:rFonts w:ascii="Verdana" w:hAnsi="Verdana"/>
          <w:lang w:val="en-IE"/>
        </w:rPr>
        <w:t xml:space="preserve">. </w:t>
      </w:r>
      <w:r w:rsidR="00B2663D">
        <w:rPr>
          <w:rFonts w:ascii="Verdana" w:hAnsi="Verdana"/>
          <w:lang w:val="en-IE"/>
        </w:rPr>
        <w:t xml:space="preserve">The paper </w:t>
      </w:r>
      <w:r>
        <w:rPr>
          <w:rFonts w:ascii="Verdana" w:hAnsi="Verdana"/>
          <w:lang w:val="en-IE"/>
        </w:rPr>
        <w:t xml:space="preserve">lists </w:t>
      </w:r>
      <w:r w:rsidRPr="00AA7535">
        <w:rPr>
          <w:rFonts w:ascii="Verdana" w:hAnsi="Verdana"/>
          <w:lang w:val="en"/>
        </w:rPr>
        <w:t xml:space="preserve">a number of suggestions for improving </w:t>
      </w:r>
      <w:r w:rsidR="0051457D">
        <w:rPr>
          <w:rFonts w:ascii="Verdana" w:hAnsi="Verdana"/>
          <w:lang w:val="en"/>
        </w:rPr>
        <w:t>law and policy in this regard</w:t>
      </w:r>
      <w:r>
        <w:rPr>
          <w:rFonts w:ascii="Verdana" w:hAnsi="Verdana"/>
          <w:lang w:val="en"/>
        </w:rPr>
        <w:t>.</w:t>
      </w:r>
    </w:p>
    <w:p w14:paraId="527EA1D5" w14:textId="5F1340A5" w:rsidR="00E410C4" w:rsidRDefault="00E410C4" w:rsidP="00E410C4">
      <w:pPr>
        <w:pStyle w:val="ListParagraph"/>
        <w:numPr>
          <w:ilvl w:val="0"/>
          <w:numId w:val="8"/>
        </w:numPr>
        <w:jc w:val="both"/>
        <w:rPr>
          <w:rFonts w:ascii="Verdana" w:hAnsi="Verdana"/>
          <w:b/>
        </w:rPr>
      </w:pPr>
      <w:r>
        <w:rPr>
          <w:rFonts w:ascii="Verdana" w:hAnsi="Verdana"/>
          <w:b/>
        </w:rPr>
        <w:t>State Party obligations</w:t>
      </w:r>
    </w:p>
    <w:p w14:paraId="60FE1D71" w14:textId="2E68ADCD" w:rsidR="00E410C4" w:rsidRDefault="00E410C4" w:rsidP="00E410C4">
      <w:pPr>
        <w:jc w:val="both"/>
        <w:rPr>
          <w:rFonts w:ascii="Verdana" w:hAnsi="Verdana"/>
        </w:rPr>
      </w:pPr>
      <w:r>
        <w:rPr>
          <w:rFonts w:ascii="Verdana" w:hAnsi="Verdana"/>
        </w:rPr>
        <w:t xml:space="preserve">FRA welcomes the specific focus on statistics and research. FRA’s large scale surveys </w:t>
      </w:r>
      <w:r w:rsidR="00613586">
        <w:rPr>
          <w:rFonts w:ascii="Verdana" w:hAnsi="Verdana"/>
        </w:rPr>
        <w:t xml:space="preserve">includes aspects related to </w:t>
      </w:r>
      <w:r>
        <w:rPr>
          <w:rFonts w:ascii="Verdana" w:hAnsi="Verdana"/>
        </w:rPr>
        <w:t xml:space="preserve">disability, including the </w:t>
      </w:r>
      <w:hyperlink r:id="rId33" w:history="1">
        <w:r w:rsidRPr="004E48E6">
          <w:rPr>
            <w:rStyle w:val="Hyperlink"/>
            <w:rFonts w:ascii="Verdana" w:hAnsi="Verdana"/>
          </w:rPr>
          <w:t>Violence against Women Survey</w:t>
        </w:r>
      </w:hyperlink>
      <w:r>
        <w:rPr>
          <w:rFonts w:ascii="Verdana" w:hAnsi="Verdana"/>
        </w:rPr>
        <w:t xml:space="preserve"> (particularly p. 186), the </w:t>
      </w:r>
      <w:hyperlink r:id="rId34" w:history="1">
        <w:r w:rsidRPr="004E48E6">
          <w:rPr>
            <w:rStyle w:val="Hyperlink"/>
            <w:rFonts w:ascii="Verdana" w:hAnsi="Verdana"/>
          </w:rPr>
          <w:t>European Union Minorities and Discrimination Survey</w:t>
        </w:r>
      </w:hyperlink>
      <w:r>
        <w:rPr>
          <w:rStyle w:val="Hyperlink"/>
          <w:rFonts w:ascii="Verdana" w:hAnsi="Verdana"/>
          <w:color w:val="auto"/>
          <w:u w:val="none"/>
        </w:rPr>
        <w:t xml:space="preserve">, the </w:t>
      </w:r>
      <w:hyperlink r:id="rId35" w:history="1">
        <w:r w:rsidRPr="00217CB4">
          <w:rPr>
            <w:rStyle w:val="Hyperlink"/>
            <w:rFonts w:ascii="Verdana" w:hAnsi="Verdana"/>
          </w:rPr>
          <w:t>European LGBT Survey</w:t>
        </w:r>
      </w:hyperlink>
      <w:r w:rsidRPr="00217CB4">
        <w:rPr>
          <w:rStyle w:val="Hyperlink"/>
          <w:rFonts w:ascii="Verdana" w:hAnsi="Verdana"/>
          <w:color w:val="auto"/>
          <w:u w:val="none"/>
        </w:rPr>
        <w:t xml:space="preserve"> </w:t>
      </w:r>
      <w:r>
        <w:rPr>
          <w:rFonts w:ascii="Verdana" w:hAnsi="Verdana"/>
        </w:rPr>
        <w:t xml:space="preserve">and the forthcoming </w:t>
      </w:r>
      <w:hyperlink r:id="rId36" w:history="1">
        <w:r w:rsidRPr="004E48E6">
          <w:rPr>
            <w:rStyle w:val="Hyperlink"/>
            <w:rFonts w:ascii="Verdana" w:hAnsi="Verdana"/>
          </w:rPr>
          <w:t>Fundamental Rights Survey</w:t>
        </w:r>
      </w:hyperlink>
      <w:r>
        <w:rPr>
          <w:rFonts w:ascii="Verdana" w:hAnsi="Verdana"/>
        </w:rPr>
        <w:t xml:space="preserve">. The data sets from the violence against women and LGBT surveys are available online using FRA’s </w:t>
      </w:r>
      <w:hyperlink r:id="rId37" w:history="1">
        <w:r w:rsidRPr="00EA69A7">
          <w:rPr>
            <w:rStyle w:val="Hyperlink"/>
            <w:rFonts w:ascii="Verdana" w:hAnsi="Verdana"/>
          </w:rPr>
          <w:t>data visualisation tool</w:t>
        </w:r>
      </w:hyperlink>
      <w:r>
        <w:rPr>
          <w:rFonts w:ascii="Verdana" w:hAnsi="Verdana"/>
        </w:rPr>
        <w:t>.</w:t>
      </w:r>
    </w:p>
    <w:p w14:paraId="038F0E90" w14:textId="3BC11666" w:rsidR="00E410C4" w:rsidRPr="00E410C4" w:rsidRDefault="00E410C4" w:rsidP="00E410C4">
      <w:pPr>
        <w:jc w:val="both"/>
        <w:rPr>
          <w:rFonts w:ascii="Verdana" w:hAnsi="Verdana"/>
        </w:rPr>
      </w:pPr>
      <w:r>
        <w:rPr>
          <w:rFonts w:ascii="Verdana" w:hAnsi="Verdana"/>
        </w:rPr>
        <w:t xml:space="preserve">FRA proposes that, in addition to section V on national monitoring, indicators also be included in this section of the </w:t>
      </w:r>
      <w:r w:rsidR="00BE0D27">
        <w:rPr>
          <w:rFonts w:ascii="Verdana" w:hAnsi="Verdana"/>
        </w:rPr>
        <w:t>G</w:t>
      </w:r>
      <w:r>
        <w:rPr>
          <w:rFonts w:ascii="Verdana" w:hAnsi="Verdana"/>
        </w:rPr>
        <w:t xml:space="preserve">eneral </w:t>
      </w:r>
      <w:r w:rsidR="00BE0D27">
        <w:rPr>
          <w:rFonts w:ascii="Verdana" w:hAnsi="Verdana"/>
        </w:rPr>
        <w:t>C</w:t>
      </w:r>
      <w:r>
        <w:rPr>
          <w:rFonts w:ascii="Verdana" w:hAnsi="Verdana"/>
        </w:rPr>
        <w:t>omment.</w:t>
      </w:r>
    </w:p>
    <w:p w14:paraId="37071317" w14:textId="045CE20C" w:rsidR="00162E5B" w:rsidRPr="007D24C9" w:rsidRDefault="00162E5B" w:rsidP="00162E5B">
      <w:pPr>
        <w:jc w:val="both"/>
        <w:rPr>
          <w:rFonts w:ascii="Verdana" w:hAnsi="Verdana"/>
        </w:rPr>
      </w:pPr>
      <w:r>
        <w:rPr>
          <w:rFonts w:ascii="Verdana" w:hAnsi="Verdana"/>
        </w:rPr>
        <w:t xml:space="preserve">I hope the information provided is useful for the </w:t>
      </w:r>
      <w:r w:rsidR="00FE1F2F">
        <w:rPr>
          <w:rFonts w:ascii="Verdana" w:hAnsi="Verdana"/>
        </w:rPr>
        <w:t xml:space="preserve">preparation of </w:t>
      </w:r>
      <w:r w:rsidR="002E23D2">
        <w:rPr>
          <w:rFonts w:ascii="Verdana" w:hAnsi="Verdana"/>
        </w:rPr>
        <w:t xml:space="preserve">the draft </w:t>
      </w:r>
      <w:r w:rsidR="00F231DE">
        <w:rPr>
          <w:rFonts w:ascii="Verdana" w:hAnsi="Verdana"/>
        </w:rPr>
        <w:t>G</w:t>
      </w:r>
      <w:r w:rsidR="002E23D2">
        <w:rPr>
          <w:rFonts w:ascii="Verdana" w:hAnsi="Verdana"/>
        </w:rPr>
        <w:t xml:space="preserve">eneral </w:t>
      </w:r>
      <w:r w:rsidR="00F231DE">
        <w:rPr>
          <w:rFonts w:ascii="Verdana" w:hAnsi="Verdana"/>
        </w:rPr>
        <w:t>C</w:t>
      </w:r>
      <w:r w:rsidR="002E23D2">
        <w:rPr>
          <w:rFonts w:ascii="Verdana" w:hAnsi="Verdana"/>
        </w:rPr>
        <w:t>omment</w:t>
      </w:r>
      <w:r w:rsidR="00FE1F2F">
        <w:rPr>
          <w:rFonts w:ascii="Verdana" w:hAnsi="Verdana"/>
        </w:rPr>
        <w:t xml:space="preserve"> on Article 5 of the CRPD</w:t>
      </w:r>
      <w:r>
        <w:rPr>
          <w:rFonts w:ascii="Verdana" w:hAnsi="Verdana"/>
        </w:rPr>
        <w:t xml:space="preserve">. </w:t>
      </w:r>
      <w:r w:rsidR="002E11C4">
        <w:rPr>
          <w:rFonts w:ascii="Verdana" w:hAnsi="Verdana"/>
        </w:rPr>
        <w:t>FRA remains at your disposal to provide further information if necessary</w:t>
      </w:r>
      <w:r w:rsidR="00D628D2">
        <w:rPr>
          <w:rFonts w:ascii="Verdana" w:hAnsi="Verdana"/>
        </w:rPr>
        <w:t xml:space="preserve"> under </w:t>
      </w:r>
      <w:hyperlink r:id="rId38" w:history="1">
        <w:r w:rsidR="002E11C4" w:rsidRPr="007F26B2">
          <w:rPr>
            <w:rStyle w:val="Hyperlink"/>
            <w:rFonts w:ascii="Verdana" w:hAnsi="Verdana"/>
          </w:rPr>
          <w:t>disability@fra.europa.eu</w:t>
        </w:r>
      </w:hyperlink>
      <w:r w:rsidR="002E11C4">
        <w:rPr>
          <w:rFonts w:ascii="Verdana" w:hAnsi="Verdana"/>
        </w:rPr>
        <w:t>.</w:t>
      </w:r>
    </w:p>
    <w:p w14:paraId="25741E11" w14:textId="71B9F855" w:rsidR="00162E5B" w:rsidRPr="00217229" w:rsidRDefault="00162E5B" w:rsidP="00162E5B">
      <w:pPr>
        <w:spacing w:after="240"/>
        <w:jc w:val="both"/>
        <w:rPr>
          <w:rFonts w:ascii="Verdana" w:hAnsi="Verdana"/>
        </w:rPr>
      </w:pPr>
      <w:r w:rsidRPr="00217229">
        <w:rPr>
          <w:rFonts w:ascii="Verdana" w:hAnsi="Verdana"/>
        </w:rPr>
        <w:t>Yours</w:t>
      </w:r>
      <w:r w:rsidR="002E11C4">
        <w:rPr>
          <w:rFonts w:ascii="Verdana" w:hAnsi="Verdana"/>
        </w:rPr>
        <w:t xml:space="preserve"> </w:t>
      </w:r>
      <w:r w:rsidR="00B263BF">
        <w:rPr>
          <w:rFonts w:ascii="Verdana" w:hAnsi="Verdana"/>
        </w:rPr>
        <w:t>sincerely</w:t>
      </w:r>
      <w:r w:rsidRPr="00217229">
        <w:rPr>
          <w:rFonts w:ascii="Verdana" w:hAnsi="Verdana"/>
        </w:rPr>
        <w:t>,</w:t>
      </w:r>
    </w:p>
    <w:p w14:paraId="57646856" w14:textId="77777777" w:rsidR="004040CA" w:rsidRPr="00CF39D7" w:rsidRDefault="004040CA" w:rsidP="004040CA">
      <w:pPr>
        <w:spacing w:after="240"/>
        <w:jc w:val="both"/>
        <w:rPr>
          <w:rFonts w:ascii="Verdana" w:hAnsi="Verdana"/>
        </w:rPr>
      </w:pPr>
      <w:r w:rsidRPr="00CF39D7">
        <w:rPr>
          <w:rFonts w:ascii="Verdana" w:hAnsi="Verdana"/>
        </w:rPr>
        <w:t>Ioannis Dimitrakopoulos</w:t>
      </w:r>
    </w:p>
    <w:p w14:paraId="42039B7C" w14:textId="77777777" w:rsidR="004040CA" w:rsidRPr="00217229" w:rsidRDefault="004040CA" w:rsidP="004040CA">
      <w:pPr>
        <w:spacing w:after="240"/>
        <w:jc w:val="both"/>
        <w:rPr>
          <w:rFonts w:ascii="Verdana" w:hAnsi="Verdana"/>
        </w:rPr>
      </w:pPr>
      <w:r w:rsidRPr="00CF39D7">
        <w:rPr>
          <w:rFonts w:ascii="Verdana" w:hAnsi="Verdana"/>
        </w:rPr>
        <w:t>Head of Equality and Citizens’ Rights Department</w:t>
      </w:r>
    </w:p>
    <w:p w14:paraId="1F70C1A2" w14:textId="77777777" w:rsidR="004040CA" w:rsidRDefault="004040CA" w:rsidP="004040CA">
      <w:pPr>
        <w:jc w:val="both"/>
        <w:rPr>
          <w:rFonts w:ascii="Verdana" w:hAnsi="Verdana"/>
        </w:rPr>
      </w:pPr>
      <w:r w:rsidRPr="00DB57CF">
        <w:rPr>
          <w:rFonts w:ascii="Verdana" w:hAnsi="Verdana"/>
        </w:rPr>
        <w:t>cc: OHCHR Regional Office for Europe</w:t>
      </w:r>
    </w:p>
    <w:p w14:paraId="06C84519" w14:textId="77777777" w:rsidR="00CF39D7" w:rsidRDefault="00CF39D7">
      <w:pPr>
        <w:rPr>
          <w:rFonts w:ascii="Verdana" w:eastAsia="Calibri" w:hAnsi="Verdana" w:cs="Calibri"/>
          <w:b/>
          <w:color w:val="003399"/>
          <w:sz w:val="36"/>
          <w:szCs w:val="40"/>
          <w:lang w:val="en-IE"/>
        </w:rPr>
      </w:pPr>
      <w:r>
        <w:rPr>
          <w:rFonts w:ascii="Verdana" w:eastAsia="Calibri" w:hAnsi="Verdana" w:cs="Calibri"/>
          <w:b/>
          <w:color w:val="003399"/>
          <w:sz w:val="36"/>
          <w:szCs w:val="40"/>
          <w:lang w:val="en-IE"/>
        </w:rPr>
        <w:br w:type="page"/>
      </w:r>
    </w:p>
    <w:p w14:paraId="23AEC98A" w14:textId="5EE4B388" w:rsidR="00654A76" w:rsidRPr="00654A76" w:rsidRDefault="00654A76" w:rsidP="00654A76">
      <w:pPr>
        <w:spacing w:after="120" w:line="240" w:lineRule="auto"/>
        <w:jc w:val="center"/>
        <w:rPr>
          <w:rFonts w:ascii="Verdana" w:eastAsia="Calibri" w:hAnsi="Verdana" w:cs="Calibri"/>
          <w:b/>
          <w:color w:val="003399"/>
          <w:sz w:val="36"/>
          <w:szCs w:val="40"/>
          <w:lang w:val="en-IE"/>
        </w:rPr>
      </w:pPr>
      <w:r w:rsidRPr="00654A76">
        <w:rPr>
          <w:rFonts w:ascii="Verdana" w:eastAsia="Calibri" w:hAnsi="Verdana" w:cs="Calibri"/>
          <w:b/>
          <w:color w:val="003399"/>
          <w:sz w:val="36"/>
          <w:szCs w:val="40"/>
          <w:lang w:val="en-IE"/>
        </w:rPr>
        <w:t xml:space="preserve">FRA reports and information material on </w:t>
      </w:r>
    </w:p>
    <w:p w14:paraId="03767D17" w14:textId="77777777" w:rsidR="00654A76" w:rsidRPr="00654A76" w:rsidRDefault="00654A76" w:rsidP="00654A76">
      <w:pPr>
        <w:spacing w:after="120" w:line="240" w:lineRule="auto"/>
        <w:jc w:val="center"/>
        <w:rPr>
          <w:rFonts w:ascii="Verdana" w:eastAsia="Calibri" w:hAnsi="Verdana" w:cs="Calibri"/>
          <w:b/>
          <w:color w:val="003399"/>
          <w:sz w:val="36"/>
          <w:szCs w:val="40"/>
          <w:lang w:val="en-IE"/>
        </w:rPr>
      </w:pPr>
      <w:r w:rsidRPr="00654A76">
        <w:rPr>
          <w:rFonts w:ascii="Verdana" w:eastAsia="Calibri" w:hAnsi="Verdana" w:cs="Calibri"/>
          <w:b/>
          <w:color w:val="003399"/>
          <w:sz w:val="36"/>
          <w:szCs w:val="40"/>
          <w:lang w:val="en-IE"/>
        </w:rPr>
        <w:t>the rights of persons with disabilities</w:t>
      </w:r>
    </w:p>
    <w:tbl>
      <w:tblPr>
        <w:tblW w:w="5000" w:type="pct"/>
        <w:tblLayout w:type="fixed"/>
        <w:tblLook w:val="00A0" w:firstRow="1" w:lastRow="0" w:firstColumn="1" w:lastColumn="0" w:noHBand="0" w:noVBand="0"/>
      </w:tblPr>
      <w:tblGrid>
        <w:gridCol w:w="1654"/>
        <w:gridCol w:w="2090"/>
        <w:gridCol w:w="3962"/>
        <w:gridCol w:w="1320"/>
      </w:tblGrid>
      <w:tr w:rsidR="00CF39D7" w:rsidRPr="00C04876" w14:paraId="5F83F208" w14:textId="77777777" w:rsidTr="005103FB">
        <w:trPr>
          <w:trHeight w:hRule="exact" w:val="809"/>
          <w:tblHeader/>
        </w:trPr>
        <w:tc>
          <w:tcPr>
            <w:tcW w:w="2074" w:type="pct"/>
            <w:gridSpan w:val="2"/>
            <w:shd w:val="clear" w:color="auto" w:fill="003399"/>
            <w:vAlign w:val="center"/>
          </w:tcPr>
          <w:p w14:paraId="47B6D39C" w14:textId="77777777" w:rsidR="00CF39D7" w:rsidRPr="00EE1834" w:rsidRDefault="00CF39D7" w:rsidP="005103FB">
            <w:pPr>
              <w:spacing w:before="60" w:after="60" w:line="240" w:lineRule="auto"/>
              <w:jc w:val="center"/>
              <w:rPr>
                <w:rFonts w:cs="Calibri"/>
                <w:b/>
                <w:bCs/>
                <w:color w:val="F9DD16"/>
                <w:kern w:val="36"/>
                <w:sz w:val="19"/>
                <w:szCs w:val="19"/>
                <w:lang w:eastAsia="en-IE"/>
              </w:rPr>
            </w:pPr>
            <w:r w:rsidRPr="00EE1834">
              <w:rPr>
                <w:rFonts w:cs="Calibri"/>
                <w:b/>
                <w:bCs/>
                <w:color w:val="F9DD16"/>
                <w:kern w:val="36"/>
                <w:sz w:val="19"/>
                <w:szCs w:val="19"/>
                <w:lang w:eastAsia="en-IE"/>
              </w:rPr>
              <w:t>FRA product</w:t>
            </w:r>
          </w:p>
        </w:tc>
        <w:tc>
          <w:tcPr>
            <w:tcW w:w="2195" w:type="pct"/>
            <w:shd w:val="clear" w:color="auto" w:fill="003399"/>
            <w:vAlign w:val="center"/>
          </w:tcPr>
          <w:p w14:paraId="4BE0D23A" w14:textId="77777777" w:rsidR="00CF39D7" w:rsidRPr="00EE1834" w:rsidRDefault="00CF39D7" w:rsidP="005103FB">
            <w:pPr>
              <w:spacing w:before="60" w:after="60" w:line="240" w:lineRule="auto"/>
              <w:jc w:val="center"/>
              <w:rPr>
                <w:rFonts w:cs="Calibri"/>
                <w:b/>
                <w:color w:val="F9DD16"/>
                <w:sz w:val="19"/>
                <w:szCs w:val="19"/>
                <w:lang w:eastAsia="en-IE"/>
              </w:rPr>
            </w:pPr>
            <w:r w:rsidRPr="00EE1834">
              <w:rPr>
                <w:rFonts w:cs="Calibri"/>
                <w:b/>
                <w:color w:val="F9DD16"/>
                <w:sz w:val="19"/>
                <w:szCs w:val="19"/>
                <w:lang w:eastAsia="en-IE"/>
              </w:rPr>
              <w:t>Short description</w:t>
            </w:r>
          </w:p>
        </w:tc>
        <w:tc>
          <w:tcPr>
            <w:tcW w:w="731" w:type="pct"/>
            <w:shd w:val="clear" w:color="auto" w:fill="003399"/>
            <w:vAlign w:val="center"/>
          </w:tcPr>
          <w:p w14:paraId="0AEDCAA6" w14:textId="77777777" w:rsidR="00CF39D7" w:rsidRPr="00EE1834" w:rsidRDefault="00CF39D7" w:rsidP="005103FB">
            <w:pPr>
              <w:spacing w:before="60" w:after="60" w:line="240" w:lineRule="auto"/>
              <w:jc w:val="center"/>
              <w:rPr>
                <w:rFonts w:cs="Calibri"/>
                <w:b/>
                <w:color w:val="F9DD16"/>
                <w:sz w:val="19"/>
                <w:szCs w:val="19"/>
              </w:rPr>
            </w:pPr>
            <w:r w:rsidRPr="00EE1834">
              <w:rPr>
                <w:rFonts w:cs="Calibri"/>
                <w:b/>
                <w:bCs/>
                <w:color w:val="F9DD16"/>
                <w:kern w:val="36"/>
                <w:sz w:val="19"/>
                <w:szCs w:val="19"/>
                <w:lang w:eastAsia="en-IE"/>
              </w:rPr>
              <w:t>Languages</w:t>
            </w:r>
          </w:p>
        </w:tc>
      </w:tr>
      <w:tr w:rsidR="00CF39D7" w:rsidRPr="00C04876" w14:paraId="3224E910" w14:textId="77777777" w:rsidTr="005103FB">
        <w:trPr>
          <w:trHeight w:val="1713"/>
        </w:trPr>
        <w:tc>
          <w:tcPr>
            <w:tcW w:w="916" w:type="pct"/>
            <w:tcBorders>
              <w:top w:val="single" w:sz="4" w:space="0" w:color="auto"/>
              <w:bottom w:val="single" w:sz="4" w:space="0" w:color="auto"/>
            </w:tcBorders>
            <w:shd w:val="clear" w:color="auto" w:fill="D9D9D9" w:themeFill="background1" w:themeFillShade="D9"/>
          </w:tcPr>
          <w:p w14:paraId="63E911CB" w14:textId="77777777" w:rsidR="00CF39D7" w:rsidRPr="00C04876" w:rsidRDefault="00CF39D7" w:rsidP="005103FB">
            <w:pPr>
              <w:spacing w:line="360" w:lineRule="atLeast"/>
              <w:jc w:val="center"/>
              <w:rPr>
                <w:noProof/>
              </w:rPr>
            </w:pPr>
            <w:r w:rsidRPr="00BE3A4A">
              <w:rPr>
                <w:rFonts w:ascii="Times New Roman" w:hAnsi="Times New Roman"/>
                <w:noProof/>
                <w:color w:val="003399"/>
                <w:sz w:val="19"/>
                <w:szCs w:val="19"/>
              </w:rPr>
              <w:drawing>
                <wp:inline distT="0" distB="0" distL="0" distR="0" wp14:anchorId="6CAC17A6" wp14:editId="21142B8D">
                  <wp:extent cx="1009480" cy="1425039"/>
                  <wp:effectExtent l="0" t="0" r="635" b="3810"/>
                  <wp:docPr id="6" name="Picture 6" descr="http://fra.europa.eu/sites/default/files/styles/fra_medium/public/fra_images/frr2017_cover.jpg?itok=B4CC-9Ie">
                    <a:hlinkClick xmlns:a="http://schemas.openxmlformats.org/drawingml/2006/main" r:id="rId3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ra.europa.eu/sites/default/files/styles/fra_medium/public/fra_images/frr2017_cover.jpg?itok=B4CC-9Ie">
                            <a:hlinkClick r:id="rId39" tooltip="&quot;&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8462" cy="1437719"/>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7F5C805E" w14:textId="77777777" w:rsidR="00CF39D7" w:rsidRPr="006D0B04" w:rsidRDefault="00CF39D7" w:rsidP="005103FB">
            <w:pPr>
              <w:spacing w:before="60" w:after="60" w:line="240" w:lineRule="auto"/>
              <w:rPr>
                <w:rStyle w:val="Hyperlink"/>
                <w:rFonts w:cs="Calibri"/>
                <w:b/>
                <w:sz w:val="19"/>
                <w:szCs w:val="19"/>
              </w:rPr>
            </w:pPr>
            <w:r>
              <w:rPr>
                <w:rStyle w:val="Hyperlink"/>
                <w:rFonts w:cs="Calibri"/>
                <w:b/>
                <w:sz w:val="19"/>
                <w:szCs w:val="19"/>
              </w:rPr>
              <w:fldChar w:fldCharType="begin"/>
            </w:r>
            <w:r>
              <w:rPr>
                <w:rStyle w:val="Hyperlink"/>
                <w:rFonts w:cs="Calibri"/>
                <w:b/>
                <w:sz w:val="19"/>
                <w:szCs w:val="19"/>
              </w:rPr>
              <w:instrText xml:space="preserve"> HYPERLINK "http://fra.europa.eu/en/publication/2017/fundamental-rights-report-2017" </w:instrText>
            </w:r>
            <w:r>
              <w:rPr>
                <w:rStyle w:val="Hyperlink"/>
                <w:rFonts w:cs="Calibri"/>
                <w:b/>
                <w:sz w:val="19"/>
                <w:szCs w:val="19"/>
              </w:rPr>
            </w:r>
            <w:r>
              <w:rPr>
                <w:rStyle w:val="Hyperlink"/>
                <w:rFonts w:cs="Calibri"/>
                <w:b/>
                <w:sz w:val="19"/>
                <w:szCs w:val="19"/>
              </w:rPr>
              <w:fldChar w:fldCharType="separate"/>
            </w:r>
            <w:r w:rsidRPr="006D0B04">
              <w:rPr>
                <w:rStyle w:val="Hyperlink"/>
                <w:rFonts w:cs="Calibri"/>
                <w:b/>
                <w:sz w:val="19"/>
                <w:szCs w:val="19"/>
              </w:rPr>
              <w:t>Fundamental Rights Report 2017</w:t>
            </w:r>
          </w:p>
          <w:p w14:paraId="1AB59E5F" w14:textId="77777777" w:rsidR="00CF39D7" w:rsidRDefault="00CF39D7" w:rsidP="005103FB">
            <w:pPr>
              <w:spacing w:before="60" w:after="60" w:line="240" w:lineRule="auto"/>
              <w:rPr>
                <w:rStyle w:val="Hyperlink"/>
                <w:rFonts w:cs="Calibri"/>
                <w:b/>
                <w:sz w:val="19"/>
                <w:szCs w:val="19"/>
              </w:rPr>
            </w:pPr>
            <w:r w:rsidRPr="006D0B04">
              <w:rPr>
                <w:rStyle w:val="Hyperlink"/>
                <w:rFonts w:cs="Calibri"/>
                <w:b/>
                <w:sz w:val="19"/>
                <w:szCs w:val="19"/>
              </w:rPr>
              <w:t>Chapter 9: developments in the implementation of the Convention on the Rights of Persons with Disabilities</w:t>
            </w:r>
            <w:r>
              <w:rPr>
                <w:rStyle w:val="Hyperlink"/>
                <w:rFonts w:cs="Calibri"/>
                <w:b/>
                <w:sz w:val="19"/>
                <w:szCs w:val="19"/>
              </w:rPr>
              <w:fldChar w:fldCharType="end"/>
            </w:r>
          </w:p>
          <w:p w14:paraId="44895EAE" w14:textId="77777777" w:rsidR="00CF39D7" w:rsidRPr="00BE3A4A" w:rsidRDefault="00CF39D7" w:rsidP="005103FB">
            <w:pPr>
              <w:spacing w:before="60" w:after="60" w:line="240" w:lineRule="auto"/>
              <w:rPr>
                <w:rStyle w:val="Hyperlink"/>
                <w:rFonts w:cs="Calibri"/>
                <w:sz w:val="19"/>
                <w:szCs w:val="19"/>
              </w:rPr>
            </w:pPr>
            <w:r>
              <w:rPr>
                <w:rStyle w:val="Hyperlink"/>
                <w:rFonts w:cs="Calibri"/>
                <w:sz w:val="19"/>
                <w:szCs w:val="19"/>
              </w:rPr>
              <w:t>May 2017</w:t>
            </w:r>
          </w:p>
        </w:tc>
        <w:tc>
          <w:tcPr>
            <w:tcW w:w="2195" w:type="pct"/>
            <w:tcBorders>
              <w:top w:val="single" w:sz="4" w:space="0" w:color="auto"/>
              <w:bottom w:val="single" w:sz="4" w:space="0" w:color="auto"/>
            </w:tcBorders>
          </w:tcPr>
          <w:p w14:paraId="65020D94" w14:textId="77777777" w:rsidR="00CF39D7" w:rsidRPr="00C04876" w:rsidRDefault="00CF39D7" w:rsidP="005103FB">
            <w:pPr>
              <w:pStyle w:val="NormalWeb"/>
              <w:spacing w:before="60" w:after="60"/>
              <w:jc w:val="both"/>
              <w:rPr>
                <w:rFonts w:ascii="Verdana" w:hAnsi="Verdana" w:cstheme="minorHAnsi"/>
                <w:sz w:val="19"/>
                <w:szCs w:val="19"/>
                <w:lang w:val="en-GB"/>
              </w:rPr>
            </w:pPr>
            <w:r w:rsidRPr="00BE3A4A">
              <w:rPr>
                <w:rFonts w:ascii="Verdana" w:hAnsi="Verdana" w:cstheme="minorHAnsi"/>
                <w:sz w:val="19"/>
                <w:szCs w:val="19"/>
                <w:lang w:val="en-GB"/>
              </w:rPr>
              <w:t xml:space="preserve">Ten </w:t>
            </w:r>
            <w:r>
              <w:rPr>
                <w:rFonts w:ascii="Verdana" w:hAnsi="Verdana" w:cstheme="minorHAnsi"/>
                <w:sz w:val="19"/>
                <w:szCs w:val="19"/>
                <w:lang w:val="en-GB"/>
              </w:rPr>
              <w:t xml:space="preserve">years after the adoption of </w:t>
            </w:r>
            <w:r w:rsidRPr="00BE3A4A">
              <w:rPr>
                <w:rFonts w:ascii="Verdana" w:hAnsi="Verdana" w:cstheme="minorHAnsi"/>
                <w:sz w:val="19"/>
                <w:szCs w:val="19"/>
                <w:lang w:val="en-GB"/>
              </w:rPr>
              <w:t>the Convention on the Rights of Persons with Disabilities (CRPD), the convention continues to spur significant legal and policy changes in the EU and its Member States.</w:t>
            </w:r>
            <w:r>
              <w:rPr>
                <w:rFonts w:ascii="Verdana" w:hAnsi="Verdana" w:cstheme="minorHAnsi"/>
                <w:sz w:val="19"/>
                <w:szCs w:val="19"/>
                <w:lang w:val="en-GB"/>
              </w:rPr>
              <w:t xml:space="preserve"> </w:t>
            </w:r>
            <w:r w:rsidRPr="00BE3A4A">
              <w:rPr>
                <w:rFonts w:ascii="Verdana" w:hAnsi="Verdana" w:cstheme="minorHAnsi"/>
                <w:sz w:val="19"/>
                <w:szCs w:val="19"/>
                <w:lang w:val="en-GB"/>
              </w:rPr>
              <w:t>As attention gradually shifts from the first wave of CRPD-related reforms to consolidating progress made, the recommendations of review and complaints mechanisms are increasingly important in identifying persisting implementation gaps.</w:t>
            </w:r>
            <w:r>
              <w:rPr>
                <w:rFonts w:ascii="Verdana" w:hAnsi="Verdana" w:cstheme="minorHAnsi"/>
                <w:sz w:val="19"/>
                <w:szCs w:val="19"/>
                <w:lang w:val="en-GB"/>
              </w:rPr>
              <w:t xml:space="preserve"> </w:t>
            </w:r>
            <w:r w:rsidRPr="00BE3A4A">
              <w:rPr>
                <w:rFonts w:ascii="Verdana" w:hAnsi="Verdana" w:cstheme="minorHAnsi"/>
                <w:sz w:val="19"/>
                <w:szCs w:val="19"/>
                <w:lang w:val="en-GB"/>
              </w:rPr>
              <w:t>Monitoring frameworks established under Article 33 (2) of the convention can be essential tools to drive foll</w:t>
            </w:r>
            <w:r>
              <w:rPr>
                <w:rFonts w:ascii="Verdana" w:hAnsi="Verdana" w:cstheme="minorHAnsi"/>
                <w:sz w:val="19"/>
                <w:szCs w:val="19"/>
                <w:lang w:val="en-GB"/>
              </w:rPr>
              <w:t xml:space="preserve">ow-up of these recommendations, </w:t>
            </w:r>
            <w:r w:rsidRPr="00BE3A4A">
              <w:rPr>
                <w:rFonts w:ascii="Verdana" w:hAnsi="Verdana" w:cstheme="minorHAnsi"/>
                <w:sz w:val="19"/>
                <w:szCs w:val="19"/>
                <w:lang w:val="en-GB"/>
              </w:rPr>
              <w:t>but they require independence, resources and solid legal foundations to carry out their tasks effectively.</w:t>
            </w:r>
          </w:p>
        </w:tc>
        <w:tc>
          <w:tcPr>
            <w:tcW w:w="731" w:type="pct"/>
            <w:tcBorders>
              <w:top w:val="single" w:sz="4" w:space="0" w:color="auto"/>
              <w:bottom w:val="single" w:sz="4" w:space="0" w:color="auto"/>
            </w:tcBorders>
            <w:vAlign w:val="center"/>
          </w:tcPr>
          <w:p w14:paraId="1ACFD4D6" w14:textId="77777777" w:rsidR="00CF39D7" w:rsidRPr="00C04876" w:rsidRDefault="00CF39D7" w:rsidP="005103FB">
            <w:pPr>
              <w:spacing w:before="60" w:after="60" w:line="240" w:lineRule="auto"/>
              <w:jc w:val="center"/>
              <w:rPr>
                <w:rFonts w:cs="Calibri"/>
                <w:sz w:val="19"/>
                <w:szCs w:val="19"/>
              </w:rPr>
            </w:pPr>
            <w:r>
              <w:rPr>
                <w:rFonts w:cs="Calibri"/>
                <w:sz w:val="19"/>
                <w:szCs w:val="19"/>
              </w:rPr>
              <w:t>en (FRA opinions in all EU languages)</w:t>
            </w:r>
          </w:p>
        </w:tc>
      </w:tr>
      <w:tr w:rsidR="00CF39D7" w:rsidRPr="00C04876" w14:paraId="03CAD79C" w14:textId="77777777" w:rsidTr="005103FB">
        <w:trPr>
          <w:trHeight w:val="1713"/>
        </w:trPr>
        <w:tc>
          <w:tcPr>
            <w:tcW w:w="916" w:type="pct"/>
            <w:tcBorders>
              <w:top w:val="single" w:sz="4" w:space="0" w:color="auto"/>
              <w:bottom w:val="single" w:sz="4" w:space="0" w:color="auto"/>
            </w:tcBorders>
            <w:shd w:val="clear" w:color="auto" w:fill="D9D9D9" w:themeFill="background1" w:themeFillShade="D9"/>
          </w:tcPr>
          <w:p w14:paraId="4D0DE40D" w14:textId="77777777" w:rsidR="00CF39D7" w:rsidRPr="00C04876" w:rsidRDefault="00CF39D7" w:rsidP="005103FB">
            <w:pPr>
              <w:spacing w:line="360" w:lineRule="atLeast"/>
              <w:jc w:val="center"/>
              <w:rPr>
                <w:rFonts w:ascii="Times New Roman" w:hAnsi="Times New Roman"/>
                <w:noProof/>
                <w:color w:val="003399"/>
                <w:sz w:val="19"/>
                <w:szCs w:val="19"/>
              </w:rPr>
            </w:pPr>
            <w:r w:rsidRPr="00C04876">
              <w:rPr>
                <w:noProof/>
              </w:rPr>
              <w:drawing>
                <wp:anchor distT="0" distB="0" distL="114300" distR="114300" simplePos="0" relativeHeight="251659264" behindDoc="0" locked="0" layoutInCell="1" allowOverlap="1" wp14:anchorId="1DD77799" wp14:editId="6E13E4F9">
                  <wp:simplePos x="0" y="0"/>
                  <wp:positionH relativeFrom="column">
                    <wp:posOffset>-31750</wp:posOffset>
                  </wp:positionH>
                  <wp:positionV relativeFrom="paragraph">
                    <wp:posOffset>15875</wp:posOffset>
                  </wp:positionV>
                  <wp:extent cx="1130935" cy="15621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31859" t="9915" r="30973" b="7932"/>
                          <a:stretch/>
                        </pic:blipFill>
                        <pic:spPr bwMode="auto">
                          <a:xfrm>
                            <a:off x="0" y="0"/>
                            <a:ext cx="1130935" cy="1562100"/>
                          </a:xfrm>
                          <a:prstGeom prst="rect">
                            <a:avLst/>
                          </a:prstGeom>
                          <a:ln>
                            <a:noFill/>
                          </a:ln>
                          <a:extLst>
                            <a:ext uri="{53640926-AAD7-44D8-BBD7-CCE9431645EC}">
                              <a14:shadowObscured xmlns:a14="http://schemas.microsoft.com/office/drawing/2010/main"/>
                            </a:ext>
                          </a:extLst>
                        </pic:spPr>
                      </pic:pic>
                    </a:graphicData>
                  </a:graphic>
                </wp:anchor>
              </w:drawing>
            </w:r>
          </w:p>
        </w:tc>
        <w:tc>
          <w:tcPr>
            <w:tcW w:w="1158" w:type="pct"/>
            <w:tcBorders>
              <w:top w:val="single" w:sz="4" w:space="0" w:color="auto"/>
              <w:bottom w:val="single" w:sz="4" w:space="0" w:color="auto"/>
            </w:tcBorders>
          </w:tcPr>
          <w:p w14:paraId="28F2AD60" w14:textId="77777777" w:rsidR="00CF39D7" w:rsidRPr="00C04876" w:rsidRDefault="00CF39D7" w:rsidP="005103FB">
            <w:pPr>
              <w:spacing w:before="60" w:after="60" w:line="240" w:lineRule="auto"/>
              <w:rPr>
                <w:rStyle w:val="Hyperlink"/>
                <w:rFonts w:cs="Calibri"/>
                <w:b/>
                <w:sz w:val="19"/>
                <w:szCs w:val="19"/>
              </w:rPr>
            </w:pPr>
            <w:r w:rsidRPr="00C04876">
              <w:rPr>
                <w:rStyle w:val="Hyperlink"/>
                <w:rFonts w:cs="Calibri"/>
                <w:b/>
                <w:sz w:val="19"/>
                <w:szCs w:val="19"/>
              </w:rPr>
              <w:fldChar w:fldCharType="begin"/>
            </w:r>
            <w:r w:rsidRPr="00C04876">
              <w:rPr>
                <w:rStyle w:val="Hyperlink"/>
                <w:rFonts w:cs="Calibri"/>
                <w:b/>
                <w:sz w:val="19"/>
                <w:szCs w:val="19"/>
              </w:rPr>
              <w:instrText xml:space="preserve"> HYPERLINK "http://fra.europa.eu/en/theme/asylum-migration-borders/overviews/focus-disability" </w:instrText>
            </w:r>
            <w:r w:rsidRPr="00C04876">
              <w:rPr>
                <w:rStyle w:val="Hyperlink"/>
                <w:rFonts w:cs="Calibri"/>
                <w:b/>
                <w:sz w:val="19"/>
                <w:szCs w:val="19"/>
              </w:rPr>
              <w:fldChar w:fldCharType="separate"/>
            </w:r>
            <w:r w:rsidRPr="00C04876">
              <w:rPr>
                <w:rStyle w:val="Hyperlink"/>
                <w:rFonts w:cs="Calibri"/>
                <w:b/>
                <w:sz w:val="19"/>
                <w:szCs w:val="19"/>
              </w:rPr>
              <w:t xml:space="preserve">Monthly data collection on the current migration situation in the EU </w:t>
            </w:r>
          </w:p>
          <w:p w14:paraId="00F20FE0" w14:textId="77777777" w:rsidR="00CF39D7" w:rsidRPr="00C04876" w:rsidRDefault="00CF39D7" w:rsidP="005103FB">
            <w:pPr>
              <w:spacing w:before="60" w:after="60" w:line="240" w:lineRule="auto"/>
              <w:rPr>
                <w:rStyle w:val="Hyperlink"/>
                <w:rFonts w:cs="Calibri"/>
                <w:b/>
                <w:sz w:val="19"/>
                <w:szCs w:val="19"/>
              </w:rPr>
            </w:pPr>
            <w:r w:rsidRPr="00C04876">
              <w:rPr>
                <w:rStyle w:val="Hyperlink"/>
                <w:rFonts w:cs="Calibri"/>
                <w:b/>
                <w:sz w:val="19"/>
                <w:szCs w:val="19"/>
              </w:rPr>
              <w:t>Thematic focus: Disability</w:t>
            </w:r>
            <w:r w:rsidRPr="00C04876">
              <w:rPr>
                <w:rStyle w:val="Hyperlink"/>
                <w:rFonts w:cs="Calibri"/>
                <w:b/>
                <w:sz w:val="19"/>
                <w:szCs w:val="19"/>
              </w:rPr>
              <w:fldChar w:fldCharType="end"/>
            </w:r>
          </w:p>
          <w:p w14:paraId="6157A93D" w14:textId="77777777" w:rsidR="00CF39D7" w:rsidRPr="00C04876" w:rsidRDefault="00CF39D7" w:rsidP="005103FB">
            <w:pPr>
              <w:spacing w:before="60" w:after="60" w:line="240" w:lineRule="auto"/>
              <w:rPr>
                <w:rStyle w:val="Hyperlink"/>
                <w:rFonts w:cs="Calibri"/>
                <w:sz w:val="19"/>
                <w:szCs w:val="19"/>
              </w:rPr>
            </w:pPr>
            <w:r w:rsidRPr="00C04876">
              <w:rPr>
                <w:rStyle w:val="Hyperlink"/>
                <w:rFonts w:cs="Calibri"/>
                <w:sz w:val="19"/>
                <w:szCs w:val="19"/>
              </w:rPr>
              <w:t>August 2016</w:t>
            </w:r>
          </w:p>
        </w:tc>
        <w:tc>
          <w:tcPr>
            <w:tcW w:w="2195" w:type="pct"/>
            <w:tcBorders>
              <w:top w:val="single" w:sz="4" w:space="0" w:color="auto"/>
              <w:bottom w:val="single" w:sz="4" w:space="0" w:color="auto"/>
            </w:tcBorders>
          </w:tcPr>
          <w:p w14:paraId="7B047115" w14:textId="77777777" w:rsidR="00CF39D7" w:rsidRPr="00C04876" w:rsidRDefault="00CF39D7" w:rsidP="005103FB">
            <w:pPr>
              <w:pStyle w:val="NormalWeb"/>
              <w:spacing w:before="60" w:after="60"/>
              <w:jc w:val="both"/>
              <w:rPr>
                <w:rFonts w:ascii="Verdana" w:hAnsi="Verdana" w:cstheme="minorHAnsi"/>
                <w:sz w:val="19"/>
                <w:szCs w:val="19"/>
                <w:lang w:val="en-GB"/>
              </w:rPr>
            </w:pPr>
            <w:r w:rsidRPr="00C04876">
              <w:rPr>
                <w:rFonts w:ascii="Verdana" w:hAnsi="Verdana" w:cstheme="minorHAnsi"/>
                <w:sz w:val="19"/>
                <w:szCs w:val="19"/>
                <w:lang w:val="en-GB"/>
              </w:rPr>
              <w:t>Persons with disabilities make up around 15% of the global population, and comprise a significant minority of refugees and migrants. In addition to pre-existing physical, sensory, intellectual or psychosocial impairments, people may acquire or develop impairments during the migration process. When identified, these impairments place an obligation on Member States to provide specific support throughout the arrival, registration and asylum process. This thematic focus explores practices in four areas crucial to persons with disabilities and victims of torture in the current migrant situation</w:t>
            </w:r>
          </w:p>
        </w:tc>
        <w:tc>
          <w:tcPr>
            <w:tcW w:w="731" w:type="pct"/>
            <w:tcBorders>
              <w:top w:val="single" w:sz="4" w:space="0" w:color="auto"/>
              <w:bottom w:val="single" w:sz="4" w:space="0" w:color="auto"/>
            </w:tcBorders>
            <w:vAlign w:val="center"/>
          </w:tcPr>
          <w:p w14:paraId="74733BD2" w14:textId="77777777" w:rsidR="00CF39D7" w:rsidRPr="00C04876" w:rsidRDefault="00CF39D7" w:rsidP="005103FB">
            <w:pPr>
              <w:spacing w:before="60" w:after="60" w:line="240" w:lineRule="auto"/>
              <w:jc w:val="center"/>
              <w:rPr>
                <w:rFonts w:cs="Calibri"/>
                <w:sz w:val="19"/>
                <w:szCs w:val="19"/>
              </w:rPr>
            </w:pPr>
            <w:r w:rsidRPr="00C04876">
              <w:rPr>
                <w:rFonts w:cs="Calibri"/>
                <w:sz w:val="19"/>
                <w:szCs w:val="19"/>
              </w:rPr>
              <w:t>en</w:t>
            </w:r>
          </w:p>
        </w:tc>
      </w:tr>
      <w:tr w:rsidR="00CF39D7" w:rsidRPr="00C04876" w14:paraId="4F4C011E" w14:textId="77777777" w:rsidTr="005103FB">
        <w:trPr>
          <w:trHeight w:val="1713"/>
        </w:trPr>
        <w:tc>
          <w:tcPr>
            <w:tcW w:w="916" w:type="pct"/>
            <w:tcBorders>
              <w:top w:val="single" w:sz="4" w:space="0" w:color="auto"/>
              <w:bottom w:val="single" w:sz="4" w:space="0" w:color="auto"/>
            </w:tcBorders>
            <w:shd w:val="clear" w:color="auto" w:fill="D9D9D9" w:themeFill="background1" w:themeFillShade="D9"/>
          </w:tcPr>
          <w:p w14:paraId="17BE39F1" w14:textId="77777777" w:rsidR="00CF39D7" w:rsidRPr="00C04876" w:rsidRDefault="00CF39D7" w:rsidP="005103FB">
            <w:pPr>
              <w:spacing w:line="360" w:lineRule="atLeast"/>
              <w:rPr>
                <w:rFonts w:ascii="Times New Roman" w:hAnsi="Times New Roman"/>
                <w:color w:val="333333"/>
                <w:sz w:val="19"/>
                <w:szCs w:val="19"/>
              </w:rPr>
            </w:pPr>
            <w:r w:rsidRPr="00C04876">
              <w:rPr>
                <w:rFonts w:ascii="Times New Roman" w:hAnsi="Times New Roman"/>
                <w:noProof/>
                <w:color w:val="003399"/>
                <w:sz w:val="19"/>
                <w:szCs w:val="19"/>
              </w:rPr>
              <w:drawing>
                <wp:inline distT="0" distB="0" distL="0" distR="0" wp14:anchorId="0C440DBC" wp14:editId="29CFA0B7">
                  <wp:extent cx="1075765" cy="1524000"/>
                  <wp:effectExtent l="0" t="0" r="0" b="0"/>
                  <wp:docPr id="12" name="Picture 12" descr="http://fra.europa.eu/sites/default/files/styles/fra_medium/public/fra_images/cover-image-frr-2016_en.jpg?itok=uIgeLHx6">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ra.europa.eu/sites/default/files/styles/fra_medium/public/fra_images/cover-image-frr-2016_en.jpg?itok=uIgeLHx6">
                            <a:hlinkClick r:id="rId42" tooltip="&quot;&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9559" cy="1529375"/>
                          </a:xfrm>
                          <a:prstGeom prst="rect">
                            <a:avLst/>
                          </a:prstGeom>
                          <a:noFill/>
                          <a:ln>
                            <a:noFill/>
                          </a:ln>
                        </pic:spPr>
                      </pic:pic>
                    </a:graphicData>
                  </a:graphic>
                </wp:inline>
              </w:drawing>
            </w:r>
          </w:p>
          <w:p w14:paraId="77C183DA" w14:textId="77777777" w:rsidR="00CF39D7" w:rsidRPr="00C04876" w:rsidRDefault="00CF39D7" w:rsidP="005103FB">
            <w:pPr>
              <w:spacing w:line="360" w:lineRule="atLeast"/>
              <w:ind w:firstLine="34"/>
              <w:rPr>
                <w:rFonts w:ascii="Times New Roman" w:hAnsi="Times New Roman"/>
                <w:noProof/>
                <w:color w:val="003399"/>
                <w:sz w:val="19"/>
                <w:szCs w:val="19"/>
              </w:rPr>
            </w:pPr>
          </w:p>
        </w:tc>
        <w:tc>
          <w:tcPr>
            <w:tcW w:w="1158" w:type="pct"/>
            <w:tcBorders>
              <w:top w:val="single" w:sz="4" w:space="0" w:color="auto"/>
              <w:bottom w:val="single" w:sz="4" w:space="0" w:color="auto"/>
            </w:tcBorders>
          </w:tcPr>
          <w:p w14:paraId="55EC2FF7" w14:textId="77777777" w:rsidR="00CF39D7" w:rsidRPr="00C04876" w:rsidRDefault="00CF39D7" w:rsidP="005103FB">
            <w:pPr>
              <w:spacing w:before="60" w:after="60" w:line="240" w:lineRule="auto"/>
              <w:rPr>
                <w:rStyle w:val="Hyperlink"/>
                <w:rFonts w:cs="Calibri"/>
                <w:b/>
                <w:sz w:val="19"/>
                <w:szCs w:val="19"/>
              </w:rPr>
            </w:pPr>
            <w:r w:rsidRPr="00C04876">
              <w:rPr>
                <w:rStyle w:val="Hyperlink"/>
                <w:rFonts w:cs="Calibri"/>
                <w:b/>
                <w:sz w:val="19"/>
                <w:szCs w:val="19"/>
              </w:rPr>
              <w:fldChar w:fldCharType="begin"/>
            </w:r>
            <w:r w:rsidRPr="00C04876">
              <w:rPr>
                <w:rStyle w:val="Hyperlink"/>
                <w:rFonts w:cs="Calibri"/>
                <w:b/>
                <w:sz w:val="19"/>
                <w:szCs w:val="19"/>
              </w:rPr>
              <w:instrText xml:space="preserve"> HYPERLINK "http://fra.europa.eu/en/publications-and-resources/publications/annual-reports/fundamental-rights-2016" </w:instrText>
            </w:r>
            <w:r w:rsidRPr="00C04876">
              <w:rPr>
                <w:rStyle w:val="Hyperlink"/>
                <w:rFonts w:cs="Calibri"/>
                <w:b/>
                <w:sz w:val="19"/>
                <w:szCs w:val="19"/>
              </w:rPr>
              <w:fldChar w:fldCharType="separate"/>
            </w:r>
            <w:r w:rsidRPr="00C04876">
              <w:rPr>
                <w:rStyle w:val="Hyperlink"/>
                <w:rFonts w:cs="Calibri"/>
                <w:b/>
                <w:sz w:val="19"/>
                <w:szCs w:val="19"/>
              </w:rPr>
              <w:t>Fundamental Rights Report 2016</w:t>
            </w:r>
          </w:p>
          <w:p w14:paraId="60F8F49D" w14:textId="77777777" w:rsidR="00CF39D7" w:rsidRPr="00C04876" w:rsidRDefault="00CF39D7" w:rsidP="005103FB">
            <w:pPr>
              <w:spacing w:before="60" w:after="60" w:line="240" w:lineRule="auto"/>
              <w:rPr>
                <w:rStyle w:val="Hyperlink"/>
                <w:rFonts w:cs="Calibri"/>
                <w:b/>
                <w:sz w:val="19"/>
                <w:szCs w:val="19"/>
              </w:rPr>
            </w:pPr>
            <w:r w:rsidRPr="00C04876">
              <w:rPr>
                <w:rStyle w:val="Hyperlink"/>
                <w:rFonts w:cs="Calibri"/>
                <w:b/>
                <w:sz w:val="19"/>
                <w:szCs w:val="19"/>
              </w:rPr>
              <w:t>Chapter 8: developments in the implementation of the Convention on the Rights of Persons with Disabilities</w:t>
            </w:r>
            <w:r w:rsidRPr="00C04876">
              <w:rPr>
                <w:rStyle w:val="Hyperlink"/>
                <w:rFonts w:cs="Calibri"/>
                <w:b/>
                <w:sz w:val="19"/>
                <w:szCs w:val="19"/>
              </w:rPr>
              <w:fldChar w:fldCharType="end"/>
            </w:r>
            <w:r w:rsidRPr="00C04876">
              <w:rPr>
                <w:rStyle w:val="Hyperlink"/>
                <w:rFonts w:cs="Calibri"/>
                <w:b/>
                <w:sz w:val="19"/>
                <w:szCs w:val="19"/>
              </w:rPr>
              <w:t xml:space="preserve"> </w:t>
            </w:r>
          </w:p>
          <w:p w14:paraId="49CD1BBA" w14:textId="77777777" w:rsidR="00CF39D7" w:rsidRPr="00C04876" w:rsidRDefault="00CF39D7" w:rsidP="005103FB">
            <w:pPr>
              <w:spacing w:before="60" w:after="60" w:line="240" w:lineRule="auto"/>
              <w:rPr>
                <w:rStyle w:val="Hyperlink"/>
                <w:rFonts w:cs="Calibri"/>
                <w:sz w:val="19"/>
                <w:szCs w:val="19"/>
              </w:rPr>
            </w:pPr>
            <w:r w:rsidRPr="00C04876">
              <w:rPr>
                <w:rStyle w:val="Hyperlink"/>
                <w:rFonts w:cs="Calibri"/>
                <w:sz w:val="19"/>
                <w:szCs w:val="19"/>
              </w:rPr>
              <w:t>May 2016</w:t>
            </w:r>
          </w:p>
        </w:tc>
        <w:tc>
          <w:tcPr>
            <w:tcW w:w="2195" w:type="pct"/>
            <w:tcBorders>
              <w:top w:val="single" w:sz="4" w:space="0" w:color="auto"/>
              <w:bottom w:val="single" w:sz="4" w:space="0" w:color="auto"/>
            </w:tcBorders>
          </w:tcPr>
          <w:p w14:paraId="5CAD8F9A" w14:textId="77777777" w:rsidR="00CF39D7" w:rsidRPr="00C04876" w:rsidRDefault="00CF39D7" w:rsidP="005103FB">
            <w:pPr>
              <w:pStyle w:val="NormalWeb"/>
              <w:spacing w:before="60" w:beforeAutospacing="0" w:after="60" w:afterAutospacing="0"/>
              <w:jc w:val="both"/>
              <w:rPr>
                <w:rFonts w:ascii="Verdana" w:hAnsi="Verdana" w:cstheme="minorHAnsi"/>
                <w:sz w:val="19"/>
                <w:szCs w:val="19"/>
                <w:lang w:val="en-GB"/>
              </w:rPr>
            </w:pPr>
            <w:r w:rsidRPr="00C04876">
              <w:rPr>
                <w:rFonts w:ascii="Verdana" w:hAnsi="Verdana" w:cstheme="minorHAnsi"/>
                <w:sz w:val="19"/>
                <w:szCs w:val="19"/>
                <w:lang w:val="en-GB"/>
              </w:rPr>
              <w:t xml:space="preserve">Five years on from the EU’s accession to the Convention on the Rights of Persons with Disabilities (CRPD), for the first time in 2015 a United Nations treaty body, the Committee on the Rights of Persons with Disabilities (CRPD Committee), reviewed the EU’s fulfilment of its human rights obligations. In its concluding observations, the CRPD Committee created a blueprint for the additional steps required for the EU to meet its obligations under the convention. At national level, the CRPD is driving wide-ranging change processes as Member States seek to harmonise their legal frameworks with the convention’s standards. </w:t>
            </w:r>
          </w:p>
        </w:tc>
        <w:tc>
          <w:tcPr>
            <w:tcW w:w="731" w:type="pct"/>
            <w:tcBorders>
              <w:top w:val="single" w:sz="4" w:space="0" w:color="auto"/>
              <w:bottom w:val="single" w:sz="4" w:space="0" w:color="auto"/>
            </w:tcBorders>
            <w:vAlign w:val="center"/>
          </w:tcPr>
          <w:p w14:paraId="096AE968" w14:textId="77777777" w:rsidR="00CF39D7" w:rsidRDefault="00CF39D7" w:rsidP="005103FB">
            <w:pPr>
              <w:spacing w:before="60" w:after="60" w:line="240" w:lineRule="auto"/>
              <w:jc w:val="center"/>
              <w:rPr>
                <w:rFonts w:cs="Calibri"/>
                <w:sz w:val="19"/>
                <w:szCs w:val="19"/>
              </w:rPr>
            </w:pPr>
            <w:r>
              <w:rPr>
                <w:rFonts w:cs="Calibri"/>
                <w:sz w:val="19"/>
                <w:szCs w:val="19"/>
              </w:rPr>
              <w:t>e</w:t>
            </w:r>
            <w:r w:rsidRPr="00C04876">
              <w:rPr>
                <w:rFonts w:cs="Calibri"/>
                <w:sz w:val="19"/>
                <w:szCs w:val="19"/>
              </w:rPr>
              <w:t>n</w:t>
            </w:r>
          </w:p>
          <w:p w14:paraId="6588E1D1" w14:textId="77777777" w:rsidR="00CF39D7" w:rsidRPr="00C04876" w:rsidRDefault="00CF39D7" w:rsidP="005103FB">
            <w:pPr>
              <w:spacing w:before="60" w:after="60" w:line="240" w:lineRule="auto"/>
              <w:jc w:val="center"/>
              <w:rPr>
                <w:rFonts w:cs="Calibri"/>
                <w:sz w:val="19"/>
                <w:szCs w:val="19"/>
              </w:rPr>
            </w:pPr>
            <w:r>
              <w:rPr>
                <w:rFonts w:cs="Calibri"/>
                <w:sz w:val="19"/>
                <w:szCs w:val="19"/>
              </w:rPr>
              <w:t>(FRA opinions in all EU languages)</w:t>
            </w:r>
          </w:p>
        </w:tc>
      </w:tr>
      <w:tr w:rsidR="00CF39D7" w:rsidRPr="00C04876" w14:paraId="58E5497E" w14:textId="77777777" w:rsidTr="005103FB">
        <w:trPr>
          <w:trHeight w:val="1713"/>
        </w:trPr>
        <w:tc>
          <w:tcPr>
            <w:tcW w:w="916" w:type="pct"/>
            <w:tcBorders>
              <w:top w:val="single" w:sz="4" w:space="0" w:color="auto"/>
              <w:bottom w:val="single" w:sz="4" w:space="0" w:color="auto"/>
            </w:tcBorders>
            <w:shd w:val="clear" w:color="auto" w:fill="D9D9D9" w:themeFill="background1" w:themeFillShade="D9"/>
          </w:tcPr>
          <w:p w14:paraId="31D3AED8" w14:textId="77777777" w:rsidR="00CF39D7" w:rsidRPr="00C04876" w:rsidRDefault="00CF39D7" w:rsidP="005103FB">
            <w:pPr>
              <w:spacing w:line="360" w:lineRule="atLeast"/>
              <w:rPr>
                <w:rFonts w:ascii="Times New Roman" w:hAnsi="Times New Roman"/>
                <w:noProof/>
                <w:color w:val="003399"/>
                <w:sz w:val="19"/>
                <w:szCs w:val="19"/>
              </w:rPr>
            </w:pPr>
            <w:r>
              <w:object w:dxaOrig="9285" w:dyaOrig="13365" w14:anchorId="17EAA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85.1pt;height:122.5pt" o:ole="">
                  <v:imagedata r:id="rId44" o:title=""/>
                </v:shape>
                <o:OLEObject Type="Embed" ProgID="PBrush" ShapeID="_x0000_i1039" DrawAspect="Content" ObjectID="_1561281075" r:id="rId45"/>
              </w:object>
            </w:r>
          </w:p>
        </w:tc>
        <w:tc>
          <w:tcPr>
            <w:tcW w:w="1158" w:type="pct"/>
            <w:tcBorders>
              <w:top w:val="single" w:sz="4" w:space="0" w:color="auto"/>
              <w:bottom w:val="single" w:sz="4" w:space="0" w:color="auto"/>
            </w:tcBorders>
          </w:tcPr>
          <w:p w14:paraId="20E7713B" w14:textId="77777777" w:rsidR="00CF39D7" w:rsidRPr="00EE1834" w:rsidRDefault="00CF39D7" w:rsidP="005103FB">
            <w:pPr>
              <w:spacing w:before="60" w:after="60" w:line="240" w:lineRule="auto"/>
              <w:rPr>
                <w:rStyle w:val="Hyperlink"/>
                <w:rFonts w:cs="Calibri"/>
                <w:b/>
                <w:sz w:val="19"/>
                <w:szCs w:val="19"/>
              </w:rPr>
            </w:pPr>
            <w:hyperlink r:id="rId46" w:history="1">
              <w:r w:rsidRPr="00EE1834">
                <w:rPr>
                  <w:rStyle w:val="Hyperlink"/>
                  <w:rFonts w:cs="Calibri"/>
                  <w:b/>
                  <w:sz w:val="19"/>
                  <w:szCs w:val="19"/>
                </w:rPr>
                <w:t>FRA Opinion concerning requirements under Article 33 (2) of the UN Convention on the Rights of Persons with Disabilities within the EU context</w:t>
              </w:r>
            </w:hyperlink>
          </w:p>
          <w:p w14:paraId="69EFB953" w14:textId="77777777" w:rsidR="00CF39D7" w:rsidRPr="00EE1834" w:rsidRDefault="00CF39D7" w:rsidP="005103FB">
            <w:pPr>
              <w:spacing w:before="60" w:after="60" w:line="240" w:lineRule="auto"/>
              <w:rPr>
                <w:rStyle w:val="Hyperlink"/>
                <w:rFonts w:cs="Calibri"/>
                <w:sz w:val="19"/>
                <w:szCs w:val="19"/>
              </w:rPr>
            </w:pPr>
            <w:r w:rsidRPr="00EE1834">
              <w:rPr>
                <w:rStyle w:val="Hyperlink"/>
                <w:rFonts w:cs="Calibri"/>
                <w:sz w:val="19"/>
                <w:szCs w:val="19"/>
              </w:rPr>
              <w:t>May 2016</w:t>
            </w:r>
          </w:p>
        </w:tc>
        <w:tc>
          <w:tcPr>
            <w:tcW w:w="2195" w:type="pct"/>
            <w:tcBorders>
              <w:top w:val="single" w:sz="4" w:space="0" w:color="auto"/>
              <w:bottom w:val="single" w:sz="4" w:space="0" w:color="auto"/>
            </w:tcBorders>
          </w:tcPr>
          <w:p w14:paraId="2CA59DA3" w14:textId="77777777" w:rsidR="00CF39D7" w:rsidRDefault="00CF39D7" w:rsidP="005103FB">
            <w:pPr>
              <w:pStyle w:val="NormalWeb"/>
              <w:spacing w:before="60" w:beforeAutospacing="0" w:after="60" w:afterAutospacing="0"/>
              <w:jc w:val="both"/>
              <w:rPr>
                <w:rFonts w:ascii="Verdana" w:hAnsi="Verdana" w:cstheme="minorHAnsi"/>
                <w:sz w:val="19"/>
                <w:szCs w:val="19"/>
                <w:lang w:val="en-GB"/>
              </w:rPr>
            </w:pPr>
            <w:r w:rsidRPr="00EE1834">
              <w:rPr>
                <w:rFonts w:ascii="Verdana" w:hAnsi="Verdana" w:cstheme="minorHAnsi"/>
                <w:sz w:val="19"/>
                <w:szCs w:val="19"/>
                <w:lang w:val="en-GB"/>
              </w:rPr>
              <w:t xml:space="preserve">This opinion addresses the designation and operation of a framework established under Article 33 (2) of the CRPD at EU level. </w:t>
            </w:r>
          </w:p>
          <w:p w14:paraId="689D530D" w14:textId="77777777" w:rsidR="00CF39D7" w:rsidRPr="00C04876" w:rsidRDefault="00CF39D7" w:rsidP="005103FB">
            <w:pPr>
              <w:pStyle w:val="NormalWeb"/>
              <w:spacing w:before="60" w:beforeAutospacing="0" w:after="60" w:afterAutospacing="0"/>
              <w:jc w:val="both"/>
              <w:rPr>
                <w:rFonts w:ascii="Verdana" w:hAnsi="Verdana" w:cstheme="minorHAnsi"/>
                <w:sz w:val="19"/>
                <w:szCs w:val="19"/>
                <w:lang w:val="en-GB"/>
              </w:rPr>
            </w:pPr>
            <w:r w:rsidRPr="00EE1834">
              <w:rPr>
                <w:rFonts w:ascii="Verdana" w:hAnsi="Verdana" w:cstheme="minorHAnsi"/>
                <w:sz w:val="19"/>
                <w:szCs w:val="19"/>
                <w:lang w:val="en-GB"/>
              </w:rPr>
              <w:t>It aims to clarify the requirements of an EU Framework in light of the monitoring practice and jurisprudence of the CRPD Committee and – with regard to the concept of independence –</w:t>
            </w:r>
            <w:r>
              <w:rPr>
                <w:rFonts w:ascii="Verdana" w:hAnsi="Verdana" w:cstheme="minorHAnsi"/>
                <w:sz w:val="19"/>
                <w:szCs w:val="19"/>
                <w:lang w:val="en-GB"/>
              </w:rPr>
              <w:t> </w:t>
            </w:r>
            <w:r w:rsidRPr="00EE1834">
              <w:rPr>
                <w:rFonts w:ascii="Verdana" w:hAnsi="Verdana" w:cstheme="minorHAnsi"/>
                <w:sz w:val="19"/>
                <w:szCs w:val="19"/>
                <w:lang w:val="en-GB"/>
              </w:rPr>
              <w:t>the Committee interpreting the Paris Principles on the establishment of National Human Rights</w:t>
            </w:r>
          </w:p>
        </w:tc>
        <w:tc>
          <w:tcPr>
            <w:tcW w:w="731" w:type="pct"/>
            <w:tcBorders>
              <w:top w:val="single" w:sz="4" w:space="0" w:color="auto"/>
              <w:bottom w:val="single" w:sz="4" w:space="0" w:color="auto"/>
            </w:tcBorders>
            <w:vAlign w:val="center"/>
          </w:tcPr>
          <w:p w14:paraId="7687F595" w14:textId="77777777" w:rsidR="00CF39D7" w:rsidRDefault="00CF39D7" w:rsidP="005103FB">
            <w:pPr>
              <w:spacing w:before="60" w:after="60" w:line="240" w:lineRule="auto"/>
              <w:jc w:val="center"/>
              <w:rPr>
                <w:rFonts w:cs="Calibri"/>
                <w:sz w:val="19"/>
                <w:szCs w:val="19"/>
              </w:rPr>
            </w:pPr>
            <w:r>
              <w:rPr>
                <w:rFonts w:cs="Calibri"/>
                <w:sz w:val="19"/>
                <w:szCs w:val="19"/>
              </w:rPr>
              <w:t>en</w:t>
            </w:r>
          </w:p>
        </w:tc>
      </w:tr>
      <w:tr w:rsidR="00CF39D7" w:rsidRPr="00C04876" w14:paraId="0B763301" w14:textId="77777777" w:rsidTr="005103FB">
        <w:trPr>
          <w:trHeight w:val="1713"/>
        </w:trPr>
        <w:tc>
          <w:tcPr>
            <w:tcW w:w="916" w:type="pct"/>
            <w:tcBorders>
              <w:top w:val="single" w:sz="4" w:space="0" w:color="auto"/>
              <w:bottom w:val="single" w:sz="4" w:space="0" w:color="auto"/>
            </w:tcBorders>
            <w:shd w:val="clear" w:color="auto" w:fill="D9D9D9" w:themeFill="background1" w:themeFillShade="D9"/>
          </w:tcPr>
          <w:p w14:paraId="6F41440E" w14:textId="77777777" w:rsidR="00CF39D7" w:rsidRPr="00C04876" w:rsidRDefault="00CF39D7" w:rsidP="005103FB">
            <w:pPr>
              <w:spacing w:line="360" w:lineRule="atLeast"/>
              <w:ind w:firstLine="34"/>
              <w:rPr>
                <w:rFonts w:ascii="Times New Roman" w:hAnsi="Times New Roman"/>
                <w:color w:val="333333"/>
                <w:sz w:val="19"/>
                <w:szCs w:val="19"/>
              </w:rPr>
            </w:pPr>
            <w:r w:rsidRPr="00C04876">
              <w:rPr>
                <w:rFonts w:ascii="Times New Roman" w:hAnsi="Times New Roman"/>
                <w:noProof/>
                <w:color w:val="003399"/>
                <w:sz w:val="19"/>
                <w:szCs w:val="19"/>
              </w:rPr>
              <w:drawing>
                <wp:inline distT="0" distB="0" distL="0" distR="0" wp14:anchorId="1D5567E5" wp14:editId="707F86BE">
                  <wp:extent cx="1020409" cy="1440612"/>
                  <wp:effectExtent l="0" t="0" r="8890" b="7620"/>
                  <wp:docPr id="8" name="Picture 8" descr="http://fra.europa.eu/sites/default/files/styles/fra_medium/public/fra_images/cover_violence_against_children_with_disabilities_report.jpg?itok=nTb1vk_v">
                    <a:hlinkClick xmlns:a="http://schemas.openxmlformats.org/drawingml/2006/main" r:id="rId4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ra.europa.eu/sites/default/files/styles/fra_medium/public/fra_images/cover_violence_against_children_with_disabilities_report.jpg?itok=nTb1vk_v">
                            <a:hlinkClick r:id="rId47" tooltip="&quot;&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29911" cy="1454026"/>
                          </a:xfrm>
                          <a:prstGeom prst="rect">
                            <a:avLst/>
                          </a:prstGeom>
                          <a:noFill/>
                          <a:ln>
                            <a:noFill/>
                          </a:ln>
                        </pic:spPr>
                      </pic:pic>
                    </a:graphicData>
                  </a:graphic>
                </wp:inline>
              </w:drawing>
            </w:r>
          </w:p>
          <w:p w14:paraId="35DCD2C2" w14:textId="77777777" w:rsidR="00CF39D7" w:rsidRPr="00C04876" w:rsidRDefault="00CF39D7" w:rsidP="005103FB">
            <w:pPr>
              <w:spacing w:before="60" w:after="60" w:line="240" w:lineRule="auto"/>
              <w:jc w:val="center"/>
              <w:rPr>
                <w:noProof/>
                <w:sz w:val="19"/>
                <w:szCs w:val="19"/>
                <w:lang w:eastAsia="en-IE"/>
              </w:rPr>
            </w:pPr>
          </w:p>
        </w:tc>
        <w:tc>
          <w:tcPr>
            <w:tcW w:w="1158" w:type="pct"/>
            <w:tcBorders>
              <w:top w:val="single" w:sz="4" w:space="0" w:color="auto"/>
              <w:bottom w:val="single" w:sz="4" w:space="0" w:color="auto"/>
            </w:tcBorders>
          </w:tcPr>
          <w:p w14:paraId="738E381C" w14:textId="77777777" w:rsidR="00CF39D7" w:rsidRPr="00C04876" w:rsidRDefault="00CF39D7" w:rsidP="005103FB">
            <w:pPr>
              <w:spacing w:before="60" w:after="60" w:line="240" w:lineRule="auto"/>
              <w:rPr>
                <w:rStyle w:val="Hyperlink"/>
                <w:rFonts w:cs="Calibri"/>
                <w:b/>
                <w:sz w:val="19"/>
                <w:szCs w:val="19"/>
              </w:rPr>
            </w:pPr>
            <w:hyperlink r:id="rId49" w:history="1">
              <w:r w:rsidRPr="00C04876">
                <w:rPr>
                  <w:rStyle w:val="Hyperlink"/>
                  <w:rFonts w:cs="Calibri"/>
                  <w:b/>
                  <w:sz w:val="19"/>
                  <w:szCs w:val="19"/>
                </w:rPr>
                <w:t>Violence against children with disabilities: legislation, policies and programmes in the EU</w:t>
              </w:r>
            </w:hyperlink>
          </w:p>
          <w:p w14:paraId="320B8FFF" w14:textId="77777777" w:rsidR="00CF39D7" w:rsidRPr="00C04876" w:rsidRDefault="00CF39D7" w:rsidP="005103FB">
            <w:pPr>
              <w:spacing w:before="60" w:after="60" w:line="240" w:lineRule="auto"/>
              <w:rPr>
                <w:rStyle w:val="Hyperlink"/>
                <w:rFonts w:cs="Calibri"/>
                <w:sz w:val="19"/>
                <w:szCs w:val="19"/>
              </w:rPr>
            </w:pPr>
            <w:r w:rsidRPr="00C04876">
              <w:rPr>
                <w:rStyle w:val="Hyperlink"/>
                <w:rFonts w:cs="Calibri"/>
                <w:sz w:val="19"/>
                <w:szCs w:val="19"/>
              </w:rPr>
              <w:t>December 2015</w:t>
            </w:r>
          </w:p>
        </w:tc>
        <w:tc>
          <w:tcPr>
            <w:tcW w:w="2195" w:type="pct"/>
            <w:tcBorders>
              <w:top w:val="single" w:sz="4" w:space="0" w:color="auto"/>
              <w:bottom w:val="single" w:sz="4" w:space="0" w:color="auto"/>
            </w:tcBorders>
          </w:tcPr>
          <w:p w14:paraId="009FED00" w14:textId="77777777" w:rsidR="00CF39D7" w:rsidRPr="00C04876" w:rsidRDefault="00CF39D7" w:rsidP="005103FB">
            <w:pPr>
              <w:pStyle w:val="NormalWeb"/>
              <w:spacing w:before="60" w:beforeAutospacing="0" w:after="60" w:afterAutospacing="0"/>
              <w:jc w:val="both"/>
              <w:rPr>
                <w:rFonts w:ascii="Verdana" w:hAnsi="Verdana" w:cstheme="minorHAnsi"/>
                <w:sz w:val="19"/>
                <w:szCs w:val="19"/>
                <w:lang w:val="en-GB"/>
              </w:rPr>
            </w:pPr>
            <w:r w:rsidRPr="00C04876">
              <w:rPr>
                <w:rFonts w:ascii="Verdana" w:hAnsi="Verdana" w:cstheme="minorHAnsi"/>
                <w:sz w:val="19"/>
                <w:szCs w:val="19"/>
                <w:lang w:val="en-GB"/>
              </w:rPr>
              <w:t>The report outlines relevant international and European standards and reviews national legislation and policies addressing violence against children with disabilities. The report also explores the extent and different causes, settings and forms of such violence, and presents measures and initiatives to prevent</w:t>
            </w:r>
            <w:r>
              <w:rPr>
                <w:rFonts w:ascii="Verdana" w:hAnsi="Verdana" w:cstheme="minorHAnsi"/>
                <w:sz w:val="19"/>
                <w:szCs w:val="19"/>
                <w:lang w:val="en-GB"/>
              </w:rPr>
              <w:t> </w:t>
            </w:r>
            <w:r w:rsidRPr="00C04876">
              <w:rPr>
                <w:rFonts w:ascii="Verdana" w:hAnsi="Verdana" w:cstheme="minorHAnsi"/>
                <w:sz w:val="19"/>
                <w:szCs w:val="19"/>
                <w:lang w:val="en-GB"/>
              </w:rPr>
              <w:t>it.</w:t>
            </w:r>
          </w:p>
        </w:tc>
        <w:tc>
          <w:tcPr>
            <w:tcW w:w="731" w:type="pct"/>
            <w:tcBorders>
              <w:top w:val="single" w:sz="4" w:space="0" w:color="auto"/>
              <w:bottom w:val="single" w:sz="4" w:space="0" w:color="auto"/>
            </w:tcBorders>
            <w:vAlign w:val="center"/>
          </w:tcPr>
          <w:p w14:paraId="1253D7CB" w14:textId="77777777" w:rsidR="00CF39D7" w:rsidRDefault="00CF39D7" w:rsidP="005103FB">
            <w:pPr>
              <w:spacing w:before="60" w:after="60" w:line="240" w:lineRule="auto"/>
              <w:jc w:val="center"/>
              <w:rPr>
                <w:rFonts w:cs="Calibri"/>
                <w:sz w:val="19"/>
                <w:szCs w:val="19"/>
              </w:rPr>
            </w:pPr>
            <w:r>
              <w:rPr>
                <w:rFonts w:cs="Calibri"/>
                <w:sz w:val="19"/>
                <w:szCs w:val="19"/>
              </w:rPr>
              <w:t>e</w:t>
            </w:r>
            <w:r w:rsidRPr="00C04876">
              <w:rPr>
                <w:rFonts w:cs="Calibri"/>
                <w:sz w:val="19"/>
                <w:szCs w:val="19"/>
              </w:rPr>
              <w:t>n</w:t>
            </w:r>
          </w:p>
          <w:p w14:paraId="358A4277" w14:textId="77777777" w:rsidR="00CF39D7" w:rsidRDefault="00CF39D7" w:rsidP="005103FB">
            <w:pPr>
              <w:spacing w:before="60" w:after="60" w:line="240" w:lineRule="auto"/>
              <w:jc w:val="center"/>
              <w:rPr>
                <w:rFonts w:cs="Calibri"/>
                <w:sz w:val="19"/>
                <w:szCs w:val="19"/>
              </w:rPr>
            </w:pPr>
          </w:p>
          <w:p w14:paraId="1424ABA8" w14:textId="77777777" w:rsidR="00CF39D7" w:rsidRDefault="00CF39D7" w:rsidP="005103FB">
            <w:pPr>
              <w:spacing w:before="60" w:after="60" w:line="240" w:lineRule="auto"/>
              <w:jc w:val="center"/>
              <w:rPr>
                <w:rFonts w:cs="Calibri"/>
                <w:sz w:val="19"/>
                <w:szCs w:val="19"/>
              </w:rPr>
            </w:pPr>
          </w:p>
          <w:p w14:paraId="5DDA14B6" w14:textId="77777777" w:rsidR="00CF39D7" w:rsidRDefault="00CF39D7" w:rsidP="005103FB">
            <w:pPr>
              <w:spacing w:before="60" w:after="60" w:line="240" w:lineRule="auto"/>
              <w:jc w:val="center"/>
              <w:rPr>
                <w:sz w:val="19"/>
                <w:szCs w:val="19"/>
              </w:rPr>
            </w:pPr>
            <w:r w:rsidRPr="00C04876">
              <w:rPr>
                <w:b/>
                <w:sz w:val="19"/>
                <w:szCs w:val="19"/>
              </w:rPr>
              <w:t>Summary report</w:t>
            </w:r>
            <w:r>
              <w:rPr>
                <w:sz w:val="19"/>
                <w:szCs w:val="19"/>
              </w:rPr>
              <w:t xml:space="preserve"> available in all EU languages </w:t>
            </w:r>
          </w:p>
          <w:p w14:paraId="12596B4D" w14:textId="77777777" w:rsidR="00CF39D7" w:rsidRPr="00C04876" w:rsidRDefault="00CF39D7" w:rsidP="005103FB">
            <w:pPr>
              <w:spacing w:before="60" w:after="60" w:line="240" w:lineRule="auto"/>
              <w:jc w:val="center"/>
              <w:rPr>
                <w:rFonts w:cs="Calibri"/>
                <w:sz w:val="19"/>
                <w:szCs w:val="19"/>
              </w:rPr>
            </w:pPr>
          </w:p>
        </w:tc>
      </w:tr>
      <w:tr w:rsidR="00CF39D7" w:rsidRPr="00C04876" w14:paraId="649E2DF7" w14:textId="77777777" w:rsidTr="005103FB">
        <w:trPr>
          <w:trHeight w:val="1713"/>
        </w:trPr>
        <w:tc>
          <w:tcPr>
            <w:tcW w:w="916" w:type="pct"/>
            <w:tcBorders>
              <w:top w:val="single" w:sz="4" w:space="0" w:color="auto"/>
              <w:bottom w:val="single" w:sz="4" w:space="0" w:color="auto"/>
            </w:tcBorders>
            <w:shd w:val="clear" w:color="auto" w:fill="D9D9D9" w:themeFill="background1" w:themeFillShade="D9"/>
          </w:tcPr>
          <w:p w14:paraId="508F7285" w14:textId="77777777" w:rsidR="00CF39D7" w:rsidRPr="00C04876" w:rsidRDefault="00CF39D7" w:rsidP="005103FB">
            <w:pPr>
              <w:spacing w:before="60" w:after="60" w:line="240" w:lineRule="auto"/>
              <w:jc w:val="center"/>
              <w:rPr>
                <w:noProof/>
                <w:color w:val="003399"/>
                <w:sz w:val="19"/>
                <w:szCs w:val="19"/>
              </w:rPr>
            </w:pPr>
            <w:r w:rsidRPr="00C04876">
              <w:rPr>
                <w:noProof/>
                <w:color w:val="003399"/>
                <w:sz w:val="19"/>
                <w:szCs w:val="19"/>
              </w:rPr>
              <w:drawing>
                <wp:inline distT="0" distB="0" distL="0" distR="0" wp14:anchorId="67611CF5" wp14:editId="13A0DF9D">
                  <wp:extent cx="1031491" cy="1449389"/>
                  <wp:effectExtent l="0" t="0" r="0" b="0"/>
                  <wp:docPr id="1" name="Picture 1" descr="http://fra.europa.eu/sites/default/files/styles/fra_small/public/fra_images/fra-2015-crpd-04-focus-cover.jpg?itok=KiaQRK0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ra.europa.eu/sites/default/files/styles/fra_small/public/fra_images/fra-2015-crpd-04-focus-cover.jpg?itok=KiaQRK0R">
                            <a:hlinkClick r:id="rId15"/>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33499" cy="1452211"/>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2A294B42" w14:textId="77777777" w:rsidR="00CF39D7" w:rsidRPr="00C04876" w:rsidRDefault="00CF39D7" w:rsidP="005103FB">
            <w:pPr>
              <w:spacing w:before="60" w:after="60" w:line="240" w:lineRule="auto"/>
              <w:rPr>
                <w:rStyle w:val="Hyperlink"/>
                <w:rFonts w:cs="Calibri"/>
                <w:b/>
                <w:sz w:val="19"/>
                <w:szCs w:val="19"/>
              </w:rPr>
            </w:pPr>
            <w:hyperlink r:id="rId51" w:history="1">
              <w:r w:rsidRPr="00C04876">
                <w:rPr>
                  <w:rStyle w:val="Hyperlink"/>
                  <w:rFonts w:cs="Calibri"/>
                  <w:b/>
                  <w:sz w:val="19"/>
                  <w:szCs w:val="19"/>
                </w:rPr>
                <w:t>Implementing the UN CRPD: An overview of legal reforms in EU Member States</w:t>
              </w:r>
            </w:hyperlink>
          </w:p>
          <w:p w14:paraId="0D38EEE2" w14:textId="77777777" w:rsidR="00CF39D7" w:rsidRPr="00C04876" w:rsidRDefault="00CF39D7" w:rsidP="005103FB">
            <w:pPr>
              <w:spacing w:before="60" w:after="60" w:line="240" w:lineRule="auto"/>
              <w:rPr>
                <w:rStyle w:val="Hyperlink"/>
                <w:rFonts w:cs="Calibri"/>
                <w:sz w:val="19"/>
                <w:szCs w:val="19"/>
              </w:rPr>
            </w:pPr>
            <w:r w:rsidRPr="00C04876">
              <w:rPr>
                <w:rStyle w:val="Hyperlink"/>
                <w:rFonts w:cs="Calibri"/>
                <w:sz w:val="19"/>
                <w:szCs w:val="19"/>
              </w:rPr>
              <w:t>May 2015</w:t>
            </w:r>
          </w:p>
        </w:tc>
        <w:tc>
          <w:tcPr>
            <w:tcW w:w="2195" w:type="pct"/>
            <w:tcBorders>
              <w:top w:val="single" w:sz="4" w:space="0" w:color="auto"/>
              <w:bottom w:val="single" w:sz="4" w:space="0" w:color="auto"/>
            </w:tcBorders>
          </w:tcPr>
          <w:p w14:paraId="5C3107A7" w14:textId="77777777" w:rsidR="00CF39D7" w:rsidRPr="00C04876" w:rsidRDefault="00CF39D7" w:rsidP="005103FB">
            <w:pPr>
              <w:pStyle w:val="NormalWeb"/>
              <w:spacing w:before="60" w:beforeAutospacing="0" w:after="60" w:afterAutospacing="0"/>
              <w:jc w:val="both"/>
              <w:rPr>
                <w:rFonts w:ascii="Verdana" w:hAnsi="Verdana" w:cstheme="minorHAnsi"/>
                <w:sz w:val="19"/>
                <w:szCs w:val="19"/>
                <w:lang w:val="en-GB"/>
              </w:rPr>
            </w:pPr>
            <w:r w:rsidRPr="00C04876">
              <w:rPr>
                <w:rFonts w:ascii="Verdana" w:hAnsi="Verdana" w:cstheme="minorHAnsi"/>
                <w:sz w:val="19"/>
                <w:szCs w:val="19"/>
                <w:lang w:val="en-GB"/>
              </w:rPr>
              <w:t>The Focus paper outlines how Member States across the EU have reformed their laws and policies to meet their obligations under the CRPD. By bringing together examples of such reforms, it also highlights how the adoption of international commitments can drive wide-ranging proc</w:t>
            </w:r>
            <w:r>
              <w:rPr>
                <w:rFonts w:ascii="Verdana" w:hAnsi="Verdana" w:cstheme="minorHAnsi"/>
                <w:sz w:val="19"/>
                <w:szCs w:val="19"/>
                <w:lang w:val="en-GB"/>
              </w:rPr>
              <w:t>esses of change at the national </w:t>
            </w:r>
            <w:r w:rsidRPr="00C04876">
              <w:rPr>
                <w:rFonts w:ascii="Verdana" w:hAnsi="Verdana" w:cstheme="minorHAnsi"/>
                <w:sz w:val="19"/>
                <w:szCs w:val="19"/>
                <w:lang w:val="en-GB"/>
              </w:rPr>
              <w:t>level.</w:t>
            </w:r>
          </w:p>
        </w:tc>
        <w:tc>
          <w:tcPr>
            <w:tcW w:w="731" w:type="pct"/>
            <w:tcBorders>
              <w:top w:val="single" w:sz="4" w:space="0" w:color="auto"/>
              <w:bottom w:val="single" w:sz="4" w:space="0" w:color="auto"/>
            </w:tcBorders>
            <w:vAlign w:val="center"/>
          </w:tcPr>
          <w:p w14:paraId="5FFF6A4E" w14:textId="77777777" w:rsidR="00CF39D7" w:rsidRPr="00C04876" w:rsidRDefault="00CF39D7" w:rsidP="005103FB">
            <w:pPr>
              <w:spacing w:before="60" w:after="60" w:line="240" w:lineRule="auto"/>
              <w:jc w:val="center"/>
              <w:rPr>
                <w:rFonts w:cs="Calibri"/>
                <w:sz w:val="19"/>
                <w:szCs w:val="19"/>
              </w:rPr>
            </w:pPr>
            <w:r w:rsidRPr="00C04876">
              <w:rPr>
                <w:rFonts w:cs="Calibri"/>
                <w:sz w:val="19"/>
                <w:szCs w:val="19"/>
              </w:rPr>
              <w:t>en</w:t>
            </w:r>
          </w:p>
        </w:tc>
      </w:tr>
      <w:tr w:rsidR="00CF39D7" w:rsidRPr="00C04876" w14:paraId="6E164E4C" w14:textId="77777777" w:rsidTr="005103FB">
        <w:trPr>
          <w:trHeight w:val="1713"/>
        </w:trPr>
        <w:tc>
          <w:tcPr>
            <w:tcW w:w="916" w:type="pct"/>
            <w:tcBorders>
              <w:top w:val="single" w:sz="4" w:space="0" w:color="auto"/>
              <w:bottom w:val="single" w:sz="4" w:space="0" w:color="auto"/>
            </w:tcBorders>
            <w:shd w:val="clear" w:color="auto" w:fill="D9D9D9" w:themeFill="background1" w:themeFillShade="D9"/>
          </w:tcPr>
          <w:p w14:paraId="235651B2" w14:textId="77777777" w:rsidR="00CF39D7" w:rsidRPr="00C04876" w:rsidRDefault="00CF39D7" w:rsidP="005103FB">
            <w:pPr>
              <w:spacing w:before="60" w:after="60" w:line="240" w:lineRule="auto"/>
              <w:jc w:val="center"/>
              <w:rPr>
                <w:noProof/>
                <w:sz w:val="19"/>
                <w:szCs w:val="19"/>
                <w:lang w:eastAsia="en-IE"/>
              </w:rPr>
            </w:pPr>
            <w:r w:rsidRPr="00C04876">
              <w:rPr>
                <w:noProof/>
                <w:color w:val="003399"/>
                <w:sz w:val="19"/>
                <w:szCs w:val="19"/>
              </w:rPr>
              <w:drawing>
                <wp:inline distT="0" distB="0" distL="0" distR="0" wp14:anchorId="1DAF4023" wp14:editId="673C37BC">
                  <wp:extent cx="1031491" cy="1449389"/>
                  <wp:effectExtent l="0" t="0" r="0" b="0"/>
                  <wp:docPr id="19" name="Picture 19" descr="http://fra.europa.eu/sites/default/files/styles/fra_small/public/fra_images/fra-2015-focus-03-hate-crime-disability_en_cover.jpg?itok=eQaS507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ra.europa.eu/sites/default/files/styles/fra_small/public/fra_images/fra-2015-focus-03-hate-crime-disability_en_cover.jpg?itok=eQaS507A">
                            <a:hlinkClick r:id="rId32"/>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3306" cy="1465991"/>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4188E1E5" w14:textId="77777777" w:rsidR="00CF39D7" w:rsidRPr="00C04876" w:rsidRDefault="00CF39D7" w:rsidP="005103FB">
            <w:pPr>
              <w:spacing w:before="60" w:after="60" w:line="240" w:lineRule="auto"/>
              <w:rPr>
                <w:rStyle w:val="Hyperlink"/>
                <w:rFonts w:cs="Calibri"/>
                <w:b/>
                <w:sz w:val="19"/>
                <w:szCs w:val="19"/>
              </w:rPr>
            </w:pPr>
            <w:hyperlink r:id="rId53" w:history="1">
              <w:r w:rsidRPr="00C04876">
                <w:rPr>
                  <w:rStyle w:val="Hyperlink"/>
                  <w:rFonts w:cs="Calibri"/>
                  <w:b/>
                  <w:sz w:val="19"/>
                  <w:szCs w:val="19"/>
                </w:rPr>
                <w:t>Equal protection for all victims of hate crime - The case of people with disabilities</w:t>
              </w:r>
            </w:hyperlink>
          </w:p>
          <w:p w14:paraId="3B4EEBED" w14:textId="77777777" w:rsidR="00CF39D7" w:rsidRPr="00C04876" w:rsidRDefault="00CF39D7" w:rsidP="005103FB">
            <w:pPr>
              <w:spacing w:before="60" w:after="60" w:line="240" w:lineRule="auto"/>
              <w:rPr>
                <w:rStyle w:val="Hyperlink"/>
                <w:rFonts w:cs="Calibri"/>
                <w:sz w:val="19"/>
                <w:szCs w:val="19"/>
              </w:rPr>
            </w:pPr>
            <w:r w:rsidRPr="00C04876">
              <w:rPr>
                <w:rStyle w:val="Hyperlink"/>
                <w:rFonts w:cs="Calibri"/>
                <w:sz w:val="19"/>
                <w:szCs w:val="19"/>
              </w:rPr>
              <w:t>March 2015</w:t>
            </w:r>
          </w:p>
        </w:tc>
        <w:tc>
          <w:tcPr>
            <w:tcW w:w="2195" w:type="pct"/>
            <w:tcBorders>
              <w:top w:val="single" w:sz="4" w:space="0" w:color="auto"/>
              <w:bottom w:val="single" w:sz="4" w:space="0" w:color="auto"/>
            </w:tcBorders>
          </w:tcPr>
          <w:p w14:paraId="5DBDC5DA" w14:textId="77777777" w:rsidR="00CF39D7" w:rsidRPr="00C04876" w:rsidRDefault="00CF39D7" w:rsidP="005103FB">
            <w:pPr>
              <w:pStyle w:val="NormalWeb"/>
              <w:spacing w:before="60" w:beforeAutospacing="0" w:after="60" w:afterAutospacing="0"/>
              <w:jc w:val="both"/>
              <w:rPr>
                <w:rFonts w:ascii="Verdana" w:hAnsi="Verdana" w:cstheme="minorHAnsi"/>
                <w:sz w:val="19"/>
                <w:szCs w:val="19"/>
                <w:lang w:val="en-GB"/>
              </w:rPr>
            </w:pPr>
            <w:r w:rsidRPr="00C04876">
              <w:rPr>
                <w:rFonts w:ascii="Verdana" w:hAnsi="Verdana" w:cstheme="minorHAnsi"/>
                <w:sz w:val="19"/>
                <w:szCs w:val="19"/>
                <w:lang w:val="en-GB"/>
              </w:rPr>
              <w:t>The paper discusses the difficulties faced by people with disabilities who become victims of hate crime, and the different legal frameworks in place to protect such victims in the EU’s Member States. It ends by listing a number of suggestions for improving the situation at both the legislative and policy levels.</w:t>
            </w:r>
          </w:p>
        </w:tc>
        <w:tc>
          <w:tcPr>
            <w:tcW w:w="731" w:type="pct"/>
            <w:tcBorders>
              <w:top w:val="single" w:sz="4" w:space="0" w:color="auto"/>
              <w:bottom w:val="single" w:sz="4" w:space="0" w:color="auto"/>
            </w:tcBorders>
            <w:vAlign w:val="center"/>
          </w:tcPr>
          <w:p w14:paraId="545C2578" w14:textId="77777777" w:rsidR="00CF39D7" w:rsidRPr="00C04876" w:rsidRDefault="00CF39D7" w:rsidP="005103FB">
            <w:pPr>
              <w:spacing w:before="60" w:after="60" w:line="240" w:lineRule="auto"/>
              <w:jc w:val="center"/>
              <w:rPr>
                <w:rFonts w:cs="Calibri"/>
                <w:sz w:val="19"/>
                <w:szCs w:val="19"/>
              </w:rPr>
            </w:pPr>
            <w:r w:rsidRPr="00C04876">
              <w:rPr>
                <w:rFonts w:cs="Calibri"/>
                <w:sz w:val="19"/>
                <w:szCs w:val="19"/>
              </w:rPr>
              <w:t>en</w:t>
            </w:r>
          </w:p>
        </w:tc>
      </w:tr>
      <w:tr w:rsidR="00CF39D7" w:rsidRPr="00C04876" w14:paraId="578BBF89" w14:textId="77777777" w:rsidTr="005103FB">
        <w:trPr>
          <w:trHeight w:val="1713"/>
        </w:trPr>
        <w:tc>
          <w:tcPr>
            <w:tcW w:w="916" w:type="pct"/>
            <w:tcBorders>
              <w:top w:val="single" w:sz="4" w:space="0" w:color="auto"/>
              <w:bottom w:val="single" w:sz="4" w:space="0" w:color="auto"/>
            </w:tcBorders>
            <w:shd w:val="clear" w:color="auto" w:fill="D9D9D9" w:themeFill="background1" w:themeFillShade="D9"/>
          </w:tcPr>
          <w:p w14:paraId="68C6B46A" w14:textId="77777777" w:rsidR="00CF39D7" w:rsidRPr="00C04876" w:rsidRDefault="00CF39D7" w:rsidP="005103FB">
            <w:pPr>
              <w:spacing w:before="60" w:after="60" w:line="240" w:lineRule="auto"/>
              <w:jc w:val="center"/>
              <w:rPr>
                <w:noProof/>
                <w:color w:val="003399"/>
                <w:sz w:val="19"/>
                <w:szCs w:val="19"/>
              </w:rPr>
            </w:pPr>
            <w:r w:rsidRPr="00C04876">
              <w:rPr>
                <w:noProof/>
                <w:color w:val="003399"/>
                <w:sz w:val="19"/>
                <w:szCs w:val="19"/>
              </w:rPr>
              <w:drawing>
                <wp:inline distT="0" distB="0" distL="0" distR="0" wp14:anchorId="0C3309E8" wp14:editId="1D0FBE42">
                  <wp:extent cx="1037458" cy="1466850"/>
                  <wp:effectExtent l="0" t="0" r="0" b="0"/>
                  <wp:docPr id="3" name="Picture 3" descr="http://fra.europa.eu/sites/default/files/styles/fra_medium/public/fra_images/fra-2014-right-political-participation-persons-disabilities-cover.jpg">
                    <a:hlinkClick xmlns:a="http://schemas.openxmlformats.org/drawingml/2006/main" r:id="rId54" tooltip="&quot;&lt;br&gt;FRA 20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ra.europa.eu/sites/default/files/styles/fra_medium/public/fra_images/fra-2014-right-political-participation-persons-disabilities-cover.jpg">
                            <a:hlinkClick r:id="rId54" tooltip="&quot;&lt;br&gt;FRA 2014&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1066026" cy="1507242"/>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2A043B9F" w14:textId="77777777" w:rsidR="00CF39D7" w:rsidRPr="00C04876" w:rsidRDefault="00CF39D7" w:rsidP="005103FB">
            <w:pPr>
              <w:spacing w:before="60" w:after="60" w:line="240" w:lineRule="auto"/>
              <w:rPr>
                <w:rStyle w:val="Hyperlink"/>
                <w:rFonts w:cs="Calibri"/>
                <w:b/>
                <w:sz w:val="19"/>
                <w:szCs w:val="19"/>
              </w:rPr>
            </w:pPr>
            <w:hyperlink r:id="rId56" w:history="1">
              <w:r w:rsidRPr="00C04876">
                <w:rPr>
                  <w:rStyle w:val="Hyperlink"/>
                  <w:rFonts w:cs="Calibri"/>
                  <w:b/>
                  <w:sz w:val="19"/>
                  <w:szCs w:val="19"/>
                </w:rPr>
                <w:t>The right to political participation for persons with disabilities: human rights indicators</w:t>
              </w:r>
            </w:hyperlink>
            <w:r w:rsidRPr="00C04876">
              <w:rPr>
                <w:rStyle w:val="Hyperlink"/>
                <w:rFonts w:cs="Calibri"/>
                <w:b/>
                <w:sz w:val="19"/>
                <w:szCs w:val="19"/>
              </w:rPr>
              <w:t xml:space="preserve"> </w:t>
            </w:r>
          </w:p>
          <w:p w14:paraId="7F7018ED" w14:textId="77777777" w:rsidR="00CF39D7" w:rsidRPr="00C04876" w:rsidRDefault="00CF39D7" w:rsidP="005103FB">
            <w:pPr>
              <w:spacing w:before="60" w:after="60" w:line="240" w:lineRule="auto"/>
              <w:rPr>
                <w:rStyle w:val="Hyperlink"/>
                <w:rFonts w:cs="Calibri"/>
                <w:kern w:val="36"/>
                <w:sz w:val="19"/>
                <w:szCs w:val="19"/>
                <w:lang w:eastAsia="en-IE"/>
              </w:rPr>
            </w:pPr>
            <w:r w:rsidRPr="00C04876">
              <w:rPr>
                <w:rStyle w:val="Hyperlink"/>
                <w:rFonts w:cs="Calibri"/>
                <w:kern w:val="36"/>
                <w:sz w:val="19"/>
                <w:szCs w:val="19"/>
                <w:lang w:eastAsia="en-IE"/>
              </w:rPr>
              <w:t>May 2014</w:t>
            </w:r>
          </w:p>
          <w:p w14:paraId="0A7937F5" w14:textId="77777777" w:rsidR="00CF39D7" w:rsidRPr="00C04876" w:rsidRDefault="00CF39D7" w:rsidP="005103FB">
            <w:pPr>
              <w:spacing w:before="60" w:after="60" w:line="240" w:lineRule="auto"/>
              <w:rPr>
                <w:rStyle w:val="Hyperlink"/>
                <w:rFonts w:cs="Calibri"/>
                <w:b/>
                <w:sz w:val="19"/>
                <w:szCs w:val="19"/>
              </w:rPr>
            </w:pPr>
          </w:p>
        </w:tc>
        <w:tc>
          <w:tcPr>
            <w:tcW w:w="2195" w:type="pct"/>
            <w:tcBorders>
              <w:top w:val="single" w:sz="4" w:space="0" w:color="auto"/>
              <w:bottom w:val="single" w:sz="4" w:space="0" w:color="auto"/>
            </w:tcBorders>
          </w:tcPr>
          <w:p w14:paraId="67646F38" w14:textId="77777777" w:rsidR="00CF39D7" w:rsidRPr="00C04876" w:rsidRDefault="00CF39D7" w:rsidP="005103FB">
            <w:pPr>
              <w:pStyle w:val="NormalWeb"/>
              <w:spacing w:before="60" w:beforeAutospacing="0" w:after="60" w:afterAutospacing="0"/>
              <w:jc w:val="both"/>
              <w:rPr>
                <w:rFonts w:ascii="Verdana" w:hAnsi="Verdana" w:cstheme="minorHAnsi"/>
                <w:sz w:val="19"/>
                <w:szCs w:val="19"/>
                <w:lang w:val="en-GB"/>
              </w:rPr>
            </w:pPr>
            <w:r w:rsidRPr="00C04876">
              <w:rPr>
                <w:rFonts w:ascii="Verdana" w:hAnsi="Verdana" w:cstheme="minorHAnsi"/>
                <w:sz w:val="19"/>
                <w:szCs w:val="19"/>
                <w:lang w:val="en-GB"/>
              </w:rPr>
              <w:t>The opportunity to be involved in political life, whether by standing for elected office, joining a political party, or following political news stories in the media, is at the heart of what it means to live in a democratic society. The report analyses data from across the 28 EU Member States by the FRA and the European Commission-funded Academic Network of European Disability Experts (ANED).</w:t>
            </w:r>
          </w:p>
          <w:p w14:paraId="130BA08C" w14:textId="77777777" w:rsidR="00CF39D7" w:rsidRPr="00C04876" w:rsidRDefault="00CF39D7" w:rsidP="005103FB">
            <w:pPr>
              <w:pStyle w:val="NormalWeb"/>
              <w:spacing w:before="60" w:beforeAutospacing="0" w:after="60" w:afterAutospacing="0"/>
              <w:jc w:val="both"/>
              <w:rPr>
                <w:rFonts w:ascii="Verdana" w:hAnsi="Verdana" w:cstheme="minorHAnsi"/>
                <w:sz w:val="19"/>
                <w:szCs w:val="19"/>
                <w:lang w:val="en-GB"/>
              </w:rPr>
            </w:pPr>
            <w:r w:rsidRPr="00C04876">
              <w:rPr>
                <w:rFonts w:ascii="Verdana" w:hAnsi="Verdana" w:cstheme="minorHAnsi"/>
                <w:sz w:val="19"/>
                <w:szCs w:val="19"/>
                <w:lang w:val="en-GB"/>
              </w:rPr>
              <w:t>Data visualisation of the 28 human rights indicators is also available online.</w:t>
            </w:r>
          </w:p>
        </w:tc>
        <w:tc>
          <w:tcPr>
            <w:tcW w:w="731" w:type="pct"/>
            <w:tcBorders>
              <w:top w:val="single" w:sz="4" w:space="0" w:color="auto"/>
              <w:bottom w:val="single" w:sz="4" w:space="0" w:color="auto"/>
            </w:tcBorders>
            <w:vAlign w:val="center"/>
          </w:tcPr>
          <w:p w14:paraId="401ACF3C" w14:textId="77777777" w:rsidR="00CF39D7" w:rsidRDefault="00CF39D7" w:rsidP="005103FB">
            <w:pPr>
              <w:spacing w:before="60" w:after="60" w:line="240" w:lineRule="auto"/>
              <w:jc w:val="center"/>
              <w:rPr>
                <w:rFonts w:cs="Calibri"/>
                <w:sz w:val="19"/>
                <w:szCs w:val="19"/>
              </w:rPr>
            </w:pPr>
          </w:p>
          <w:p w14:paraId="5F8D095C" w14:textId="77777777" w:rsidR="00CF39D7" w:rsidRDefault="00CF39D7" w:rsidP="005103FB">
            <w:pPr>
              <w:spacing w:before="60" w:after="60" w:line="240" w:lineRule="auto"/>
              <w:jc w:val="center"/>
              <w:rPr>
                <w:rFonts w:cs="Calibri"/>
                <w:sz w:val="19"/>
                <w:szCs w:val="19"/>
              </w:rPr>
            </w:pPr>
            <w:r>
              <w:rPr>
                <w:rFonts w:cs="Calibri"/>
                <w:sz w:val="19"/>
                <w:szCs w:val="19"/>
              </w:rPr>
              <w:t>e</w:t>
            </w:r>
            <w:r w:rsidRPr="00C04876">
              <w:rPr>
                <w:rFonts w:cs="Calibri"/>
                <w:sz w:val="19"/>
                <w:szCs w:val="19"/>
              </w:rPr>
              <w:t>n</w:t>
            </w:r>
          </w:p>
          <w:p w14:paraId="40AD0316" w14:textId="77777777" w:rsidR="00CF39D7" w:rsidRDefault="00CF39D7" w:rsidP="005103FB">
            <w:pPr>
              <w:spacing w:before="60" w:after="60" w:line="240" w:lineRule="auto"/>
              <w:jc w:val="center"/>
              <w:rPr>
                <w:rFonts w:cs="Calibri"/>
                <w:sz w:val="19"/>
                <w:szCs w:val="19"/>
              </w:rPr>
            </w:pPr>
          </w:p>
          <w:p w14:paraId="485C35B6" w14:textId="77777777" w:rsidR="00CF39D7" w:rsidRDefault="00CF39D7" w:rsidP="005103FB">
            <w:pPr>
              <w:spacing w:before="60" w:after="60" w:line="240" w:lineRule="auto"/>
              <w:jc w:val="center"/>
              <w:rPr>
                <w:b/>
                <w:sz w:val="19"/>
                <w:szCs w:val="19"/>
              </w:rPr>
            </w:pPr>
          </w:p>
          <w:p w14:paraId="14857557" w14:textId="77777777" w:rsidR="00CF39D7" w:rsidRDefault="00CF39D7" w:rsidP="005103FB">
            <w:pPr>
              <w:spacing w:before="60" w:after="60" w:line="240" w:lineRule="auto"/>
              <w:jc w:val="center"/>
              <w:rPr>
                <w:b/>
                <w:sz w:val="19"/>
                <w:szCs w:val="19"/>
              </w:rPr>
            </w:pPr>
          </w:p>
          <w:p w14:paraId="5EF3457F" w14:textId="77777777" w:rsidR="00CF39D7" w:rsidRDefault="00CF39D7" w:rsidP="005103FB">
            <w:pPr>
              <w:spacing w:before="60" w:after="60" w:line="240" w:lineRule="auto"/>
              <w:jc w:val="center"/>
              <w:rPr>
                <w:sz w:val="19"/>
                <w:szCs w:val="19"/>
              </w:rPr>
            </w:pPr>
            <w:r w:rsidRPr="00C04876">
              <w:rPr>
                <w:b/>
                <w:sz w:val="19"/>
                <w:szCs w:val="19"/>
              </w:rPr>
              <w:t>Summary report</w:t>
            </w:r>
            <w:r>
              <w:rPr>
                <w:sz w:val="19"/>
                <w:szCs w:val="19"/>
              </w:rPr>
              <w:t xml:space="preserve"> available in all EU languages </w:t>
            </w:r>
          </w:p>
          <w:p w14:paraId="35BE1080" w14:textId="77777777" w:rsidR="00CF39D7" w:rsidRPr="00C04876" w:rsidRDefault="00CF39D7" w:rsidP="005103FB">
            <w:pPr>
              <w:spacing w:before="60" w:after="60" w:line="240" w:lineRule="auto"/>
              <w:jc w:val="center"/>
              <w:rPr>
                <w:rFonts w:cs="Calibri"/>
                <w:sz w:val="19"/>
                <w:szCs w:val="19"/>
              </w:rPr>
            </w:pPr>
          </w:p>
        </w:tc>
      </w:tr>
      <w:tr w:rsidR="00CF39D7" w:rsidRPr="00C04876" w14:paraId="6DA0659D" w14:textId="77777777" w:rsidTr="005103FB">
        <w:trPr>
          <w:trHeight w:val="1713"/>
        </w:trPr>
        <w:tc>
          <w:tcPr>
            <w:tcW w:w="916" w:type="pct"/>
            <w:tcBorders>
              <w:top w:val="single" w:sz="4" w:space="0" w:color="auto"/>
              <w:bottom w:val="single" w:sz="4" w:space="0" w:color="auto"/>
            </w:tcBorders>
            <w:shd w:val="clear" w:color="auto" w:fill="D9D9D9" w:themeFill="background1" w:themeFillShade="D9"/>
          </w:tcPr>
          <w:p w14:paraId="273FDE16" w14:textId="77777777" w:rsidR="00CF39D7" w:rsidRPr="00C04876" w:rsidRDefault="00CF39D7" w:rsidP="005103FB">
            <w:pPr>
              <w:spacing w:before="60" w:after="60" w:line="240" w:lineRule="auto"/>
              <w:jc w:val="center"/>
              <w:rPr>
                <w:noProof/>
                <w:sz w:val="19"/>
                <w:szCs w:val="19"/>
                <w:lang w:eastAsia="en-IE"/>
              </w:rPr>
            </w:pPr>
            <w:r w:rsidRPr="00C04876">
              <w:rPr>
                <w:noProof/>
                <w:color w:val="003399"/>
                <w:sz w:val="19"/>
                <w:szCs w:val="19"/>
              </w:rPr>
              <w:drawing>
                <wp:inline distT="0" distB="0" distL="0" distR="0" wp14:anchorId="0002AD91" wp14:editId="01C94103">
                  <wp:extent cx="1123220" cy="802300"/>
                  <wp:effectExtent l="0" t="0" r="1270" b="0"/>
                  <wp:docPr id="2" name="Picture 2" descr="FRA's range of right to vote infographics for people with disabilities">
                    <a:hlinkClick xmlns:a="http://schemas.openxmlformats.org/drawingml/2006/main" r:id="rId57" tooltip="&quot;FRA's range of right to vote infographics for people with disabilit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A's range of right to vote infographics for people with disabilities">
                            <a:hlinkClick r:id="rId57" tooltip="&quot;FRA's range of right to vote infographics for people with disabilities&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59796" cy="828425"/>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5837BA5F" w14:textId="77777777" w:rsidR="00CF39D7" w:rsidRPr="00C04876" w:rsidRDefault="00CF39D7" w:rsidP="005103FB">
            <w:pPr>
              <w:spacing w:before="60" w:after="60" w:line="240" w:lineRule="auto"/>
              <w:rPr>
                <w:rStyle w:val="Hyperlink"/>
                <w:rFonts w:cs="Calibri"/>
                <w:b/>
                <w:sz w:val="19"/>
                <w:szCs w:val="19"/>
              </w:rPr>
            </w:pPr>
            <w:hyperlink r:id="rId59" w:history="1">
              <w:r w:rsidRPr="00C04876">
                <w:rPr>
                  <w:rStyle w:val="Hyperlink"/>
                  <w:rFonts w:cs="Calibri"/>
                  <w:b/>
                  <w:sz w:val="19"/>
                  <w:szCs w:val="19"/>
                </w:rPr>
                <w:t>Infographics on voting rights of people with disabilities</w:t>
              </w:r>
            </w:hyperlink>
          </w:p>
          <w:p w14:paraId="6CF5BA2E" w14:textId="77777777" w:rsidR="00CF39D7" w:rsidRPr="00C04876" w:rsidRDefault="00CF39D7" w:rsidP="005103FB">
            <w:pPr>
              <w:spacing w:before="60" w:after="60" w:line="240" w:lineRule="auto"/>
              <w:rPr>
                <w:rStyle w:val="Hyperlink"/>
                <w:rFonts w:cs="Calibri"/>
                <w:sz w:val="19"/>
                <w:szCs w:val="19"/>
              </w:rPr>
            </w:pPr>
            <w:r w:rsidRPr="00C04876">
              <w:rPr>
                <w:rStyle w:val="Hyperlink"/>
                <w:rFonts w:cs="Calibri"/>
                <w:kern w:val="36"/>
                <w:sz w:val="19"/>
                <w:szCs w:val="19"/>
                <w:lang w:eastAsia="en-IE"/>
              </w:rPr>
              <w:t>September 2014</w:t>
            </w:r>
          </w:p>
        </w:tc>
        <w:tc>
          <w:tcPr>
            <w:tcW w:w="2195" w:type="pct"/>
            <w:tcBorders>
              <w:top w:val="single" w:sz="4" w:space="0" w:color="auto"/>
              <w:bottom w:val="single" w:sz="4" w:space="0" w:color="auto"/>
            </w:tcBorders>
          </w:tcPr>
          <w:p w14:paraId="29F47797" w14:textId="77777777" w:rsidR="00CF39D7" w:rsidRPr="00C04876" w:rsidRDefault="00CF39D7" w:rsidP="005103FB">
            <w:pPr>
              <w:pStyle w:val="NormalWeb"/>
              <w:spacing w:before="60" w:beforeAutospacing="0" w:after="60" w:afterAutospacing="0"/>
              <w:jc w:val="both"/>
              <w:rPr>
                <w:rFonts w:ascii="Verdana" w:hAnsi="Verdana" w:cstheme="minorHAnsi"/>
                <w:sz w:val="19"/>
                <w:szCs w:val="19"/>
                <w:lang w:val="en-GB"/>
              </w:rPr>
            </w:pPr>
            <w:r w:rsidRPr="006D0B04">
              <w:rPr>
                <w:rFonts w:ascii="Verdana" w:hAnsi="Verdana" w:cstheme="minorHAnsi"/>
                <w:sz w:val="19"/>
                <w:szCs w:val="19"/>
                <w:lang w:val="en-GB"/>
              </w:rPr>
              <w:t>FRA has developed a family of five infographics to help raise awareness of the voting rights of people with disabilities. Each infographic targets a different audience and draws on FRA research into the right to political participation of people with disabilities.</w:t>
            </w:r>
          </w:p>
        </w:tc>
        <w:tc>
          <w:tcPr>
            <w:tcW w:w="731" w:type="pct"/>
            <w:tcBorders>
              <w:top w:val="single" w:sz="4" w:space="0" w:color="auto"/>
              <w:bottom w:val="single" w:sz="4" w:space="0" w:color="auto"/>
            </w:tcBorders>
            <w:vAlign w:val="center"/>
          </w:tcPr>
          <w:p w14:paraId="229C9F85" w14:textId="77777777" w:rsidR="00CF39D7" w:rsidRPr="00C04876" w:rsidRDefault="00CF39D7" w:rsidP="005103FB">
            <w:pPr>
              <w:spacing w:before="60" w:after="60" w:line="240" w:lineRule="auto"/>
              <w:jc w:val="center"/>
              <w:rPr>
                <w:rFonts w:cs="Calibri"/>
                <w:sz w:val="19"/>
                <w:szCs w:val="19"/>
              </w:rPr>
            </w:pPr>
            <w:r>
              <w:rPr>
                <w:rFonts w:cs="Calibri"/>
                <w:sz w:val="19"/>
                <w:szCs w:val="19"/>
              </w:rPr>
              <w:t>all EU languages</w:t>
            </w:r>
          </w:p>
        </w:tc>
      </w:tr>
      <w:tr w:rsidR="00CF39D7" w:rsidRPr="00C04876" w14:paraId="66C289F3" w14:textId="77777777" w:rsidTr="005103FB">
        <w:trPr>
          <w:trHeight w:val="595"/>
        </w:trPr>
        <w:tc>
          <w:tcPr>
            <w:tcW w:w="916" w:type="pct"/>
            <w:tcBorders>
              <w:top w:val="single" w:sz="4" w:space="0" w:color="auto"/>
              <w:bottom w:val="single" w:sz="4" w:space="0" w:color="auto"/>
            </w:tcBorders>
            <w:shd w:val="clear" w:color="auto" w:fill="D9D9D9" w:themeFill="background1" w:themeFillShade="D9"/>
          </w:tcPr>
          <w:p w14:paraId="3D672FFF" w14:textId="77777777" w:rsidR="00CF39D7" w:rsidRPr="00C04876" w:rsidRDefault="00CF39D7" w:rsidP="005103FB">
            <w:pPr>
              <w:spacing w:before="60" w:after="60" w:line="240" w:lineRule="auto"/>
              <w:jc w:val="center"/>
            </w:pPr>
            <w:r w:rsidRPr="00C04876">
              <w:object w:dxaOrig="9345" w:dyaOrig="13215" w14:anchorId="201A8A16">
                <v:shape id="_x0000_i1040" type="#_x0000_t75" style="width:80.4pt;height:115pt" o:ole="">
                  <v:imagedata r:id="rId60" o:title=""/>
                </v:shape>
                <o:OLEObject Type="Embed" ProgID="PBrush" ShapeID="_x0000_i1040" DrawAspect="Content" ObjectID="_1561281076" r:id="rId61"/>
              </w:object>
            </w:r>
          </w:p>
        </w:tc>
        <w:tc>
          <w:tcPr>
            <w:tcW w:w="1158" w:type="pct"/>
            <w:tcBorders>
              <w:top w:val="single" w:sz="4" w:space="0" w:color="auto"/>
              <w:bottom w:val="single" w:sz="4" w:space="0" w:color="auto"/>
            </w:tcBorders>
          </w:tcPr>
          <w:p w14:paraId="3AA91C22" w14:textId="77777777" w:rsidR="00CF39D7" w:rsidRPr="00C04876" w:rsidRDefault="00CF39D7" w:rsidP="005103FB">
            <w:pPr>
              <w:spacing w:before="60" w:after="60" w:line="240" w:lineRule="auto"/>
              <w:rPr>
                <w:rFonts w:cs="Calibri"/>
                <w:b/>
                <w:sz w:val="19"/>
                <w:szCs w:val="19"/>
              </w:rPr>
            </w:pPr>
            <w:hyperlink r:id="rId62" w:history="1">
              <w:r w:rsidRPr="00C04876">
                <w:rPr>
                  <w:rStyle w:val="Hyperlink"/>
                  <w:rFonts w:cs="Calibri"/>
                  <w:b/>
                  <w:sz w:val="19"/>
                  <w:szCs w:val="19"/>
                </w:rPr>
                <w:t>Legal capacity of persons with intellectual disabilities and persons with mental health problems</w:t>
              </w:r>
            </w:hyperlink>
          </w:p>
          <w:p w14:paraId="04A91DAC" w14:textId="77777777" w:rsidR="00CF39D7" w:rsidRPr="00C04876" w:rsidRDefault="00CF39D7" w:rsidP="005103FB">
            <w:pPr>
              <w:spacing w:before="60" w:after="60" w:line="240" w:lineRule="auto"/>
              <w:rPr>
                <w:rStyle w:val="Hyperlink"/>
                <w:rFonts w:cs="Calibri"/>
                <w:sz w:val="19"/>
                <w:szCs w:val="19"/>
              </w:rPr>
            </w:pPr>
            <w:r w:rsidRPr="00C04876">
              <w:rPr>
                <w:rStyle w:val="Hyperlink"/>
                <w:rFonts w:cs="Calibri"/>
                <w:kern w:val="36"/>
                <w:sz w:val="19"/>
                <w:szCs w:val="19"/>
                <w:lang w:eastAsia="en-IE"/>
              </w:rPr>
              <w:t>July 2013</w:t>
            </w:r>
          </w:p>
        </w:tc>
        <w:tc>
          <w:tcPr>
            <w:tcW w:w="2195" w:type="pct"/>
            <w:tcBorders>
              <w:top w:val="single" w:sz="4" w:space="0" w:color="auto"/>
              <w:bottom w:val="single" w:sz="4" w:space="0" w:color="auto"/>
            </w:tcBorders>
          </w:tcPr>
          <w:p w14:paraId="66E3F060" w14:textId="77777777" w:rsidR="00CF39D7" w:rsidRPr="00C04876" w:rsidRDefault="00CF39D7" w:rsidP="005103FB">
            <w:pPr>
              <w:pStyle w:val="NormalWeb"/>
              <w:spacing w:before="60" w:beforeAutospacing="0" w:after="60" w:afterAutospacing="0"/>
              <w:jc w:val="both"/>
              <w:rPr>
                <w:rFonts w:ascii="Verdana" w:hAnsi="Verdana" w:cstheme="minorHAnsi"/>
                <w:sz w:val="19"/>
                <w:szCs w:val="19"/>
                <w:lang w:val="en-GB"/>
              </w:rPr>
            </w:pPr>
            <w:r w:rsidRPr="00C04876">
              <w:rPr>
                <w:rFonts w:ascii="Verdana" w:hAnsi="Verdana" w:cstheme="minorHAnsi"/>
                <w:sz w:val="19"/>
                <w:szCs w:val="19"/>
                <w:lang w:val="en-GB"/>
              </w:rPr>
              <w:t xml:space="preserve">Equal recognition of persons before the law is a long-established human rights principle. Nevertheless, legal frameworks in many European Union (EU) Member States allow for the legal capacity of persons with intellectual disabilities and persons with mental health problems to be restricted or removed under certain conditions. </w:t>
            </w:r>
          </w:p>
          <w:p w14:paraId="5189891C" w14:textId="77777777" w:rsidR="00CF39D7" w:rsidRPr="00C04876" w:rsidRDefault="00CF39D7" w:rsidP="005103FB">
            <w:pPr>
              <w:pStyle w:val="NormalWeb"/>
              <w:spacing w:before="60" w:beforeAutospacing="0" w:after="60" w:afterAutospacing="0"/>
              <w:jc w:val="both"/>
              <w:rPr>
                <w:rFonts w:ascii="Verdana" w:hAnsi="Verdana" w:cstheme="minorHAnsi"/>
                <w:sz w:val="19"/>
                <w:szCs w:val="19"/>
                <w:lang w:val="en-GB"/>
              </w:rPr>
            </w:pPr>
            <w:r w:rsidRPr="00C04876">
              <w:rPr>
                <w:rFonts w:ascii="Verdana" w:hAnsi="Verdana" w:cstheme="minorHAnsi"/>
                <w:sz w:val="19"/>
                <w:szCs w:val="19"/>
                <w:lang w:val="en-GB"/>
              </w:rPr>
              <w:t>This report analyses the current legal standards on legal capacity across the EU, set against the backdrop of the experiences of interviewees who have had their legal capacity removed or restricted. The FRA report reveals the gap between the promise of the CRPD and the reality those with disabilities face in the EU every day, and, by so doing, hopes to contribute to closing it.</w:t>
            </w:r>
          </w:p>
        </w:tc>
        <w:tc>
          <w:tcPr>
            <w:tcW w:w="731" w:type="pct"/>
            <w:tcBorders>
              <w:top w:val="single" w:sz="4" w:space="0" w:color="auto"/>
              <w:bottom w:val="single" w:sz="4" w:space="0" w:color="auto"/>
            </w:tcBorders>
            <w:vAlign w:val="center"/>
          </w:tcPr>
          <w:p w14:paraId="245DE924" w14:textId="77777777" w:rsidR="00CF39D7" w:rsidRPr="00C04876" w:rsidRDefault="00CF39D7" w:rsidP="005103FB">
            <w:pPr>
              <w:spacing w:before="60" w:after="60" w:line="240" w:lineRule="auto"/>
              <w:jc w:val="center"/>
              <w:rPr>
                <w:rFonts w:cs="Calibri"/>
                <w:sz w:val="19"/>
                <w:szCs w:val="19"/>
              </w:rPr>
            </w:pPr>
            <w:r w:rsidRPr="00C04876">
              <w:rPr>
                <w:rFonts w:cs="Calibri"/>
                <w:sz w:val="19"/>
                <w:szCs w:val="19"/>
              </w:rPr>
              <w:t xml:space="preserve">en </w:t>
            </w:r>
            <w:r w:rsidRPr="00C04876">
              <w:rPr>
                <w:rFonts w:cs="Calibri"/>
                <w:sz w:val="19"/>
                <w:szCs w:val="19"/>
              </w:rPr>
              <w:softHyphen/>
              <w:t>- de - fr</w:t>
            </w:r>
          </w:p>
          <w:p w14:paraId="41C5C81E" w14:textId="77777777" w:rsidR="00CF39D7" w:rsidRPr="00C04876" w:rsidRDefault="00CF39D7" w:rsidP="005103FB">
            <w:pPr>
              <w:spacing w:before="60" w:after="60" w:line="240" w:lineRule="auto"/>
              <w:jc w:val="center"/>
              <w:rPr>
                <w:rFonts w:cs="Calibri"/>
                <w:sz w:val="19"/>
                <w:szCs w:val="19"/>
              </w:rPr>
            </w:pPr>
          </w:p>
          <w:p w14:paraId="5B9B1005" w14:textId="77777777" w:rsidR="00CF39D7" w:rsidRPr="00C04876" w:rsidRDefault="00CF39D7" w:rsidP="005103FB">
            <w:pPr>
              <w:spacing w:before="60" w:after="60" w:line="240" w:lineRule="auto"/>
              <w:jc w:val="center"/>
              <w:rPr>
                <w:rFonts w:cs="Calibri"/>
                <w:sz w:val="19"/>
                <w:szCs w:val="19"/>
              </w:rPr>
            </w:pPr>
            <w:r w:rsidRPr="00C04876">
              <w:rPr>
                <w:rFonts w:cs="Calibri"/>
                <w:b/>
                <w:sz w:val="19"/>
                <w:szCs w:val="19"/>
              </w:rPr>
              <w:t>Factsheet</w:t>
            </w:r>
            <w:r w:rsidRPr="00C04876">
              <w:rPr>
                <w:rFonts w:cs="Calibri"/>
                <w:sz w:val="19"/>
                <w:szCs w:val="19"/>
              </w:rPr>
              <w:t xml:space="preserve"> available in all EU languages  </w:t>
            </w:r>
          </w:p>
        </w:tc>
      </w:tr>
      <w:tr w:rsidR="00CF39D7" w:rsidRPr="00C04876" w14:paraId="2F43D9F2" w14:textId="77777777" w:rsidTr="005103FB">
        <w:trPr>
          <w:trHeight w:val="1713"/>
        </w:trPr>
        <w:tc>
          <w:tcPr>
            <w:tcW w:w="916" w:type="pct"/>
            <w:tcBorders>
              <w:top w:val="single" w:sz="4" w:space="0" w:color="auto"/>
              <w:bottom w:val="single" w:sz="4" w:space="0" w:color="auto"/>
            </w:tcBorders>
            <w:shd w:val="clear" w:color="auto" w:fill="D9D9D9" w:themeFill="background1" w:themeFillShade="D9"/>
          </w:tcPr>
          <w:p w14:paraId="50330BF7" w14:textId="77777777" w:rsidR="00CF39D7" w:rsidRPr="00C04876" w:rsidRDefault="00CF39D7" w:rsidP="005103FB">
            <w:pPr>
              <w:spacing w:before="60" w:after="60" w:line="240" w:lineRule="auto"/>
              <w:jc w:val="center"/>
              <w:rPr>
                <w:noProof/>
                <w:sz w:val="19"/>
                <w:szCs w:val="19"/>
              </w:rPr>
            </w:pPr>
            <w:r w:rsidRPr="00C04876">
              <w:rPr>
                <w:noProof/>
                <w:sz w:val="19"/>
                <w:szCs w:val="19"/>
              </w:rPr>
              <w:drawing>
                <wp:inline distT="0" distB="0" distL="0" distR="0" wp14:anchorId="20CFBF73" wp14:editId="5CF0584C">
                  <wp:extent cx="1045854" cy="1496057"/>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a:ext>
                            </a:extLst>
                          </a:blip>
                          <a:srcRect/>
                          <a:stretch/>
                        </pic:blipFill>
                        <pic:spPr bwMode="auto">
                          <a:xfrm>
                            <a:off x="0" y="0"/>
                            <a:ext cx="1046446" cy="1496903"/>
                          </a:xfrm>
                          <a:prstGeom prst="rect">
                            <a:avLst/>
                          </a:prstGeom>
                          <a:ln>
                            <a:noFill/>
                          </a:ln>
                          <a:extLst>
                            <a:ext uri="{53640926-AAD7-44D8-BBD7-CCE9431645EC}">
                              <a14:shadowObscured xmlns:a14="http://schemas.microsoft.com/office/drawing/2010/main"/>
                            </a:ext>
                          </a:extLst>
                        </pic:spPr>
                      </pic:pic>
                    </a:graphicData>
                  </a:graphic>
                </wp:inline>
              </w:drawing>
            </w:r>
          </w:p>
        </w:tc>
        <w:tc>
          <w:tcPr>
            <w:tcW w:w="1158" w:type="pct"/>
            <w:tcBorders>
              <w:top w:val="single" w:sz="4" w:space="0" w:color="auto"/>
              <w:bottom w:val="single" w:sz="4" w:space="0" w:color="auto"/>
            </w:tcBorders>
          </w:tcPr>
          <w:p w14:paraId="515ED0A8" w14:textId="77777777" w:rsidR="00CF39D7" w:rsidRPr="00EE1834" w:rsidRDefault="00CF39D7" w:rsidP="005103FB">
            <w:pPr>
              <w:spacing w:before="60" w:after="60" w:line="240" w:lineRule="auto"/>
              <w:rPr>
                <w:rStyle w:val="Hyperlink"/>
                <w:rFonts w:cs="Calibri"/>
                <w:b/>
                <w:kern w:val="36"/>
                <w:sz w:val="19"/>
                <w:szCs w:val="19"/>
                <w:lang w:eastAsia="en-IE"/>
              </w:rPr>
            </w:pPr>
            <w:hyperlink r:id="rId64" w:history="1">
              <w:r w:rsidRPr="00EE1834">
                <w:rPr>
                  <w:rStyle w:val="Hyperlink"/>
                  <w:rFonts w:cs="Calibri"/>
                  <w:b/>
                  <w:kern w:val="36"/>
                  <w:sz w:val="19"/>
                  <w:szCs w:val="19"/>
                  <w:lang w:eastAsia="en-IE"/>
                </w:rPr>
                <w:t>Involuntary placement and involuntary treatment of persons with mental health problems</w:t>
              </w:r>
            </w:hyperlink>
          </w:p>
          <w:p w14:paraId="3D779346" w14:textId="77777777" w:rsidR="00CF39D7" w:rsidRPr="000426EF" w:rsidRDefault="00CF39D7" w:rsidP="005103FB">
            <w:pPr>
              <w:spacing w:before="60" w:after="60" w:line="240" w:lineRule="auto"/>
              <w:rPr>
                <w:rStyle w:val="Hyperlink"/>
                <w:rFonts w:cs="Calibri"/>
                <w:sz w:val="19"/>
                <w:szCs w:val="19"/>
              </w:rPr>
            </w:pPr>
            <w:r w:rsidRPr="000426EF">
              <w:rPr>
                <w:rStyle w:val="Hyperlink"/>
                <w:rFonts w:cs="Calibri"/>
                <w:kern w:val="36"/>
                <w:sz w:val="19"/>
                <w:szCs w:val="19"/>
                <w:lang w:eastAsia="en-IE"/>
              </w:rPr>
              <w:t>June 2012</w:t>
            </w:r>
          </w:p>
        </w:tc>
        <w:tc>
          <w:tcPr>
            <w:tcW w:w="2195" w:type="pct"/>
            <w:tcBorders>
              <w:top w:val="single" w:sz="4" w:space="0" w:color="auto"/>
              <w:bottom w:val="single" w:sz="4" w:space="0" w:color="auto"/>
            </w:tcBorders>
          </w:tcPr>
          <w:p w14:paraId="2F59C0E4" w14:textId="77777777" w:rsidR="00CF39D7" w:rsidRPr="00C04876" w:rsidRDefault="00CF39D7" w:rsidP="005103FB">
            <w:pPr>
              <w:pStyle w:val="NormalWeb"/>
              <w:spacing w:before="60" w:beforeAutospacing="0" w:after="60" w:afterAutospacing="0"/>
              <w:jc w:val="both"/>
              <w:rPr>
                <w:rFonts w:ascii="Verdana" w:hAnsi="Verdana" w:cstheme="minorHAnsi"/>
                <w:sz w:val="19"/>
                <w:szCs w:val="19"/>
                <w:lang w:val="en-GB"/>
              </w:rPr>
            </w:pPr>
            <w:r w:rsidRPr="00C04876">
              <w:rPr>
                <w:rFonts w:ascii="Verdana" w:hAnsi="Verdana" w:cstheme="minorHAnsi"/>
                <w:sz w:val="19"/>
                <w:szCs w:val="19"/>
                <w:lang w:val="en-GB"/>
              </w:rPr>
              <w:t xml:space="preserve">Involuntary placement and involuntary treatment of persons with mental health problems affects the most fundamental of rights, including the right to liberty and the right to freedom from torture. Strict safeguards at </w:t>
            </w:r>
            <w:r>
              <w:rPr>
                <w:rFonts w:ascii="Verdana" w:hAnsi="Verdana" w:cstheme="minorHAnsi"/>
                <w:sz w:val="19"/>
                <w:szCs w:val="19"/>
                <w:lang w:val="en-GB"/>
              </w:rPr>
              <w:t>UN</w:t>
            </w:r>
            <w:r w:rsidRPr="00C04876">
              <w:rPr>
                <w:rFonts w:ascii="Verdana" w:hAnsi="Verdana" w:cstheme="minorHAnsi"/>
                <w:sz w:val="19"/>
                <w:szCs w:val="19"/>
                <w:lang w:val="en-GB"/>
              </w:rPr>
              <w:t xml:space="preserve"> and European level attempt to limit undue interference with such rights. This report analyses the shifting legal panorama and, informed by fieldwork on the experiences of those involuntarily placed and treated and other stakeholders, points to the need for a renewed discussion of compulsory placement and treatment in the EU.</w:t>
            </w:r>
          </w:p>
        </w:tc>
        <w:tc>
          <w:tcPr>
            <w:tcW w:w="731" w:type="pct"/>
            <w:tcBorders>
              <w:top w:val="single" w:sz="4" w:space="0" w:color="auto"/>
              <w:bottom w:val="single" w:sz="4" w:space="0" w:color="auto"/>
            </w:tcBorders>
            <w:vAlign w:val="center"/>
          </w:tcPr>
          <w:p w14:paraId="2149CA37" w14:textId="77777777" w:rsidR="00CF39D7" w:rsidRDefault="00CF39D7" w:rsidP="005103FB">
            <w:pPr>
              <w:spacing w:before="60" w:after="60" w:line="240" w:lineRule="auto"/>
              <w:jc w:val="center"/>
              <w:rPr>
                <w:rFonts w:cs="Calibri"/>
                <w:sz w:val="19"/>
                <w:szCs w:val="19"/>
              </w:rPr>
            </w:pPr>
            <w:r w:rsidRPr="00C04876">
              <w:rPr>
                <w:rFonts w:cs="Calibri"/>
                <w:sz w:val="19"/>
                <w:szCs w:val="19"/>
              </w:rPr>
              <w:t>en - de - fr</w:t>
            </w:r>
          </w:p>
          <w:p w14:paraId="26DF5C3A" w14:textId="77777777" w:rsidR="00CF39D7" w:rsidRDefault="00CF39D7" w:rsidP="005103FB">
            <w:pPr>
              <w:spacing w:before="60" w:after="60" w:line="240" w:lineRule="auto"/>
              <w:jc w:val="center"/>
              <w:rPr>
                <w:rFonts w:cs="Calibri"/>
                <w:sz w:val="19"/>
                <w:szCs w:val="19"/>
              </w:rPr>
            </w:pPr>
          </w:p>
          <w:p w14:paraId="61E1D20B" w14:textId="77777777" w:rsidR="00CF39D7" w:rsidRPr="00C04876" w:rsidRDefault="00CF39D7" w:rsidP="005103FB">
            <w:pPr>
              <w:spacing w:before="60" w:after="60" w:line="240" w:lineRule="auto"/>
              <w:jc w:val="center"/>
              <w:rPr>
                <w:rFonts w:cs="Calibri"/>
                <w:sz w:val="19"/>
                <w:szCs w:val="19"/>
              </w:rPr>
            </w:pPr>
            <w:r w:rsidRPr="00C04876">
              <w:rPr>
                <w:rFonts w:cs="Calibri"/>
                <w:b/>
                <w:sz w:val="19"/>
                <w:szCs w:val="19"/>
              </w:rPr>
              <w:t>Factsheet</w:t>
            </w:r>
            <w:r w:rsidRPr="00C04876">
              <w:rPr>
                <w:rFonts w:cs="Calibri"/>
                <w:sz w:val="19"/>
                <w:szCs w:val="19"/>
              </w:rPr>
              <w:t xml:space="preserve"> available in all EU languages  </w:t>
            </w:r>
          </w:p>
        </w:tc>
      </w:tr>
      <w:tr w:rsidR="00CF39D7" w:rsidRPr="006D0B04" w14:paraId="5259AC61" w14:textId="77777777" w:rsidTr="005103FB">
        <w:trPr>
          <w:trHeight w:val="2500"/>
        </w:trPr>
        <w:tc>
          <w:tcPr>
            <w:tcW w:w="916" w:type="pct"/>
            <w:tcBorders>
              <w:top w:val="single" w:sz="4" w:space="0" w:color="auto"/>
              <w:bottom w:val="single" w:sz="4" w:space="0" w:color="auto"/>
            </w:tcBorders>
            <w:shd w:val="clear" w:color="auto" w:fill="D9D9D9" w:themeFill="background1" w:themeFillShade="D9"/>
          </w:tcPr>
          <w:p w14:paraId="590CEC9C" w14:textId="77777777" w:rsidR="00CF39D7" w:rsidRPr="00C04876" w:rsidRDefault="00CF39D7" w:rsidP="005103FB">
            <w:pPr>
              <w:spacing w:before="60" w:after="60" w:line="240" w:lineRule="auto"/>
              <w:jc w:val="center"/>
              <w:rPr>
                <w:sz w:val="19"/>
                <w:szCs w:val="19"/>
              </w:rPr>
            </w:pPr>
            <w:r w:rsidRPr="00C04876">
              <w:rPr>
                <w:noProof/>
                <w:sz w:val="19"/>
                <w:szCs w:val="19"/>
              </w:rPr>
              <w:drawing>
                <wp:inline distT="0" distB="0" distL="0" distR="0" wp14:anchorId="0B7831DB" wp14:editId="1D1D54A9">
                  <wp:extent cx="1014467" cy="14400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extLst>
                              <a:ext uri="{28A0092B-C50C-407E-A947-70E740481C1C}">
                                <a14:useLocalDpi xmlns:a14="http://schemas.microsoft.com/office/drawing/2010/main"/>
                              </a:ext>
                            </a:extLst>
                          </a:blip>
                          <a:srcRect/>
                          <a:stretch/>
                        </pic:blipFill>
                        <pic:spPr bwMode="auto">
                          <a:xfrm>
                            <a:off x="0" y="0"/>
                            <a:ext cx="1014467"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158" w:type="pct"/>
            <w:tcBorders>
              <w:top w:val="single" w:sz="4" w:space="0" w:color="auto"/>
              <w:bottom w:val="single" w:sz="4" w:space="0" w:color="auto"/>
            </w:tcBorders>
          </w:tcPr>
          <w:p w14:paraId="5FDDF263" w14:textId="77777777" w:rsidR="00CF39D7" w:rsidRPr="00C04876" w:rsidRDefault="00CF39D7" w:rsidP="005103FB">
            <w:pPr>
              <w:spacing w:before="60" w:after="60" w:line="240" w:lineRule="auto"/>
              <w:rPr>
                <w:rStyle w:val="Hyperlink"/>
                <w:rFonts w:cs="Calibri"/>
                <w:b/>
                <w:kern w:val="36"/>
                <w:sz w:val="19"/>
                <w:szCs w:val="19"/>
                <w:lang w:eastAsia="en-IE"/>
              </w:rPr>
            </w:pPr>
            <w:hyperlink r:id="rId66" w:history="1">
              <w:r w:rsidRPr="00C04876">
                <w:rPr>
                  <w:rStyle w:val="Hyperlink"/>
                  <w:rFonts w:cs="Calibri"/>
                  <w:b/>
                  <w:kern w:val="36"/>
                  <w:sz w:val="19"/>
                  <w:szCs w:val="19"/>
                  <w:lang w:eastAsia="en-IE"/>
                </w:rPr>
                <w:t>Choice and control: the right to independent living</w:t>
              </w:r>
            </w:hyperlink>
          </w:p>
          <w:p w14:paraId="60A8B85F" w14:textId="77777777" w:rsidR="00CF39D7" w:rsidRPr="00C04876" w:rsidRDefault="00CF39D7" w:rsidP="005103FB">
            <w:pPr>
              <w:spacing w:before="60" w:after="60" w:line="240" w:lineRule="auto"/>
              <w:rPr>
                <w:rStyle w:val="Hyperlink"/>
                <w:rFonts w:cs="Calibri"/>
                <w:kern w:val="36"/>
                <w:sz w:val="19"/>
                <w:szCs w:val="19"/>
                <w:lang w:eastAsia="en-IE"/>
              </w:rPr>
            </w:pPr>
            <w:r w:rsidRPr="00C04876">
              <w:rPr>
                <w:rStyle w:val="Hyperlink"/>
                <w:rFonts w:cs="Calibri"/>
                <w:kern w:val="36"/>
                <w:sz w:val="19"/>
                <w:szCs w:val="19"/>
                <w:lang w:eastAsia="en-IE"/>
              </w:rPr>
              <w:t>June 2012</w:t>
            </w:r>
          </w:p>
        </w:tc>
        <w:tc>
          <w:tcPr>
            <w:tcW w:w="2195" w:type="pct"/>
            <w:tcBorders>
              <w:top w:val="single" w:sz="4" w:space="0" w:color="auto"/>
              <w:bottom w:val="single" w:sz="4" w:space="0" w:color="auto"/>
            </w:tcBorders>
          </w:tcPr>
          <w:p w14:paraId="43B610BE" w14:textId="77777777" w:rsidR="00CF39D7" w:rsidRPr="00C04876" w:rsidRDefault="00CF39D7" w:rsidP="005103FB">
            <w:pPr>
              <w:pStyle w:val="NormalWeb"/>
              <w:spacing w:before="60" w:beforeAutospacing="0" w:after="60" w:afterAutospacing="0"/>
              <w:jc w:val="both"/>
              <w:rPr>
                <w:rFonts w:ascii="Verdana" w:hAnsi="Verdana" w:cstheme="minorHAnsi"/>
                <w:sz w:val="19"/>
                <w:szCs w:val="19"/>
                <w:lang w:val="en-GB"/>
              </w:rPr>
            </w:pPr>
            <w:r w:rsidRPr="00C04876">
              <w:rPr>
                <w:rFonts w:ascii="Verdana" w:hAnsi="Verdana" w:cstheme="minorHAnsi"/>
                <w:sz w:val="19"/>
                <w:szCs w:val="19"/>
                <w:lang w:val="en-GB"/>
              </w:rPr>
              <w:t>Article 19 of the United Nations Convention on the Rights of Persons with Disabilities establishes the right to live independently and be included in the community. Drawing on the findings of interview-based research with persons with mental health problems and persons with intellectual disabilities, this report examines how they experience the principles of autonomy, inclusion and participation in their day-to-day lives.</w:t>
            </w:r>
          </w:p>
        </w:tc>
        <w:tc>
          <w:tcPr>
            <w:tcW w:w="731" w:type="pct"/>
            <w:tcBorders>
              <w:top w:val="single" w:sz="4" w:space="0" w:color="auto"/>
              <w:bottom w:val="single" w:sz="4" w:space="0" w:color="auto"/>
            </w:tcBorders>
            <w:vAlign w:val="center"/>
          </w:tcPr>
          <w:p w14:paraId="3AAD2902" w14:textId="77777777" w:rsidR="00CF39D7" w:rsidRPr="00BE3A4A" w:rsidRDefault="00CF39D7" w:rsidP="005103FB">
            <w:pPr>
              <w:spacing w:before="60" w:after="60" w:line="240" w:lineRule="auto"/>
              <w:jc w:val="center"/>
              <w:rPr>
                <w:sz w:val="19"/>
                <w:szCs w:val="19"/>
                <w:lang w:val="de-AT"/>
              </w:rPr>
            </w:pPr>
            <w:r w:rsidRPr="00BE3A4A">
              <w:rPr>
                <w:sz w:val="19"/>
                <w:szCs w:val="19"/>
                <w:lang w:val="de-AT"/>
              </w:rPr>
              <w:t>en - fr – de</w:t>
            </w:r>
          </w:p>
          <w:p w14:paraId="200AFF5B" w14:textId="77777777" w:rsidR="00CF39D7" w:rsidRPr="00BE3A4A" w:rsidRDefault="00CF39D7" w:rsidP="005103FB">
            <w:pPr>
              <w:spacing w:before="60" w:after="60" w:line="240" w:lineRule="auto"/>
              <w:jc w:val="center"/>
              <w:rPr>
                <w:b/>
                <w:sz w:val="19"/>
                <w:szCs w:val="19"/>
                <w:lang w:val="de-AT"/>
              </w:rPr>
            </w:pPr>
          </w:p>
          <w:p w14:paraId="60F3006D" w14:textId="77777777" w:rsidR="00CF39D7" w:rsidRPr="00BE3A4A" w:rsidRDefault="00CF39D7" w:rsidP="005103FB">
            <w:pPr>
              <w:spacing w:before="60" w:after="60" w:line="240" w:lineRule="auto"/>
              <w:jc w:val="center"/>
              <w:rPr>
                <w:sz w:val="19"/>
                <w:szCs w:val="19"/>
                <w:lang w:val="de-AT"/>
              </w:rPr>
            </w:pPr>
            <w:r w:rsidRPr="00BE3A4A">
              <w:rPr>
                <w:b/>
                <w:sz w:val="19"/>
                <w:szCs w:val="19"/>
                <w:lang w:val="de-AT"/>
              </w:rPr>
              <w:t>Summary report</w:t>
            </w:r>
            <w:r w:rsidRPr="00BE3A4A">
              <w:rPr>
                <w:sz w:val="19"/>
                <w:szCs w:val="19"/>
                <w:lang w:val="de-AT"/>
              </w:rPr>
              <w:t xml:space="preserve"> in: </w:t>
            </w:r>
          </w:p>
          <w:p w14:paraId="6564428B" w14:textId="77777777" w:rsidR="00CF39D7" w:rsidRPr="00BE3A4A" w:rsidRDefault="00CF39D7" w:rsidP="005103FB">
            <w:pPr>
              <w:spacing w:before="60" w:after="60" w:line="240" w:lineRule="auto"/>
              <w:jc w:val="center"/>
              <w:rPr>
                <w:sz w:val="19"/>
                <w:szCs w:val="19"/>
                <w:lang w:val="de-AT"/>
              </w:rPr>
            </w:pPr>
            <w:r w:rsidRPr="00BE3A4A">
              <w:rPr>
                <w:sz w:val="19"/>
                <w:szCs w:val="19"/>
                <w:lang w:val="de-AT"/>
              </w:rPr>
              <w:t>en - fr - de - da - el</w:t>
            </w:r>
          </w:p>
        </w:tc>
      </w:tr>
      <w:tr w:rsidR="00CF39D7" w:rsidRPr="00C04876" w14:paraId="7AD26A32" w14:textId="77777777" w:rsidTr="005103FB">
        <w:trPr>
          <w:trHeight w:val="2500"/>
        </w:trPr>
        <w:tc>
          <w:tcPr>
            <w:tcW w:w="916" w:type="pct"/>
            <w:tcBorders>
              <w:top w:val="single" w:sz="4" w:space="0" w:color="auto"/>
              <w:bottom w:val="single" w:sz="4" w:space="0" w:color="auto"/>
            </w:tcBorders>
            <w:shd w:val="clear" w:color="auto" w:fill="D9D9D9" w:themeFill="background1" w:themeFillShade="D9"/>
          </w:tcPr>
          <w:p w14:paraId="5536F5EE" w14:textId="77777777" w:rsidR="00CF39D7" w:rsidRPr="00C04876" w:rsidRDefault="00CF39D7" w:rsidP="005103FB">
            <w:pPr>
              <w:spacing w:before="60" w:after="60" w:line="240" w:lineRule="auto"/>
              <w:jc w:val="center"/>
            </w:pPr>
            <w:r w:rsidRPr="00C04876">
              <w:rPr>
                <w:noProof/>
              </w:rPr>
              <w:drawing>
                <wp:inline distT="0" distB="0" distL="0" distR="0" wp14:anchorId="0945906B" wp14:editId="4CC2151D">
                  <wp:extent cx="1062092" cy="1518699"/>
                  <wp:effectExtent l="0" t="0" r="5080" b="5715"/>
                  <wp:docPr id="16" name="Picture 16" descr="http://fra.europa.eu/sites/default/files/styles/fra_large/public/fra_images/legal_protection_of_p_with_mental_health_problems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ra.europa.eu/sites/default/files/styles/fra_large/public/fra_images/legal_protection_of_p_with_mental_health_problems_cover.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60961" cy="1517082"/>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38858C7E" w14:textId="77777777" w:rsidR="00CF39D7" w:rsidRPr="00C04876" w:rsidRDefault="00CF39D7" w:rsidP="005103FB">
            <w:pPr>
              <w:pStyle w:val="Heading1"/>
              <w:spacing w:before="60" w:after="60"/>
              <w:jc w:val="left"/>
              <w:rPr>
                <w:rFonts w:cs="Calibri"/>
                <w:sz w:val="19"/>
                <w:szCs w:val="19"/>
                <w:lang w:val="en-GB"/>
              </w:rPr>
            </w:pPr>
            <w:hyperlink r:id="rId68" w:tooltip="Read more" w:history="1">
              <w:r w:rsidRPr="00C04876">
                <w:rPr>
                  <w:rFonts w:cs="Calibri"/>
                  <w:sz w:val="19"/>
                  <w:szCs w:val="19"/>
                  <w:lang w:val="en-GB"/>
                </w:rPr>
                <w:t>The legal protection of persons with mental health problems under non-discrimination law</w:t>
              </w:r>
            </w:hyperlink>
          </w:p>
          <w:p w14:paraId="766BA03A" w14:textId="77777777" w:rsidR="00CF39D7" w:rsidRPr="00C04876" w:rsidRDefault="00CF39D7" w:rsidP="005103FB">
            <w:pPr>
              <w:pStyle w:val="Heading1"/>
              <w:spacing w:before="60" w:after="60"/>
              <w:rPr>
                <w:rFonts w:cs="Calibri"/>
                <w:b w:val="0"/>
                <w:sz w:val="19"/>
                <w:szCs w:val="19"/>
                <w:lang w:val="en-GB"/>
              </w:rPr>
            </w:pPr>
            <w:r w:rsidRPr="00C04876">
              <w:rPr>
                <w:rFonts w:cs="Calibri"/>
                <w:b w:val="0"/>
                <w:sz w:val="19"/>
                <w:szCs w:val="19"/>
                <w:lang w:val="en-GB"/>
              </w:rPr>
              <w:t>October 2011</w:t>
            </w:r>
          </w:p>
          <w:p w14:paraId="19EEC4D6" w14:textId="77777777" w:rsidR="00CF39D7" w:rsidRPr="00C04876" w:rsidRDefault="00CF39D7" w:rsidP="005103FB">
            <w:pPr>
              <w:spacing w:before="60" w:after="60" w:line="240" w:lineRule="auto"/>
              <w:rPr>
                <w:rFonts w:cs="Calibri"/>
                <w:b/>
                <w:bCs/>
                <w:kern w:val="36"/>
                <w:sz w:val="19"/>
                <w:szCs w:val="19"/>
                <w:lang w:eastAsia="en-IE"/>
              </w:rPr>
            </w:pPr>
          </w:p>
        </w:tc>
        <w:tc>
          <w:tcPr>
            <w:tcW w:w="2195" w:type="pct"/>
            <w:tcBorders>
              <w:top w:val="single" w:sz="4" w:space="0" w:color="auto"/>
              <w:bottom w:val="single" w:sz="4" w:space="0" w:color="auto"/>
            </w:tcBorders>
          </w:tcPr>
          <w:p w14:paraId="780211A4" w14:textId="77777777" w:rsidR="00CF39D7" w:rsidRPr="00C04876" w:rsidRDefault="00CF39D7" w:rsidP="005103FB">
            <w:pPr>
              <w:pStyle w:val="NormalWeb"/>
              <w:spacing w:before="60" w:beforeAutospacing="0" w:after="60" w:afterAutospacing="0"/>
              <w:jc w:val="both"/>
              <w:rPr>
                <w:rFonts w:ascii="Verdana" w:hAnsi="Verdana" w:cs="Calibri"/>
                <w:sz w:val="19"/>
                <w:szCs w:val="19"/>
                <w:lang w:val="en-GB"/>
              </w:rPr>
            </w:pPr>
            <w:r w:rsidRPr="00C04876">
              <w:rPr>
                <w:rFonts w:ascii="Verdana" w:hAnsi="Verdana" w:cs="Calibri"/>
                <w:sz w:val="19"/>
                <w:szCs w:val="19"/>
                <w:lang w:val="en-GB"/>
              </w:rPr>
              <w:t xml:space="preserve">The report examines how disability is defined in international and European law and then explores the obligation to provide reasonable accommodation as contained in international and European standards. The report's findings show that in almost all EU Member States non-discrimination legislation does indeed protect persons with mental health problems. In most cases persons with mental health problems also benefit from reasonable accommodation measures, or other protection measures, in the employment context. </w:t>
            </w:r>
          </w:p>
        </w:tc>
        <w:tc>
          <w:tcPr>
            <w:tcW w:w="731" w:type="pct"/>
            <w:tcBorders>
              <w:top w:val="single" w:sz="4" w:space="0" w:color="auto"/>
              <w:bottom w:val="single" w:sz="4" w:space="0" w:color="auto"/>
            </w:tcBorders>
            <w:vAlign w:val="center"/>
          </w:tcPr>
          <w:p w14:paraId="026BC0DC" w14:textId="77777777" w:rsidR="00CF39D7" w:rsidRPr="00C04876" w:rsidRDefault="00CF39D7" w:rsidP="005103FB">
            <w:pPr>
              <w:spacing w:before="60" w:after="60" w:line="240" w:lineRule="auto"/>
              <w:jc w:val="center"/>
              <w:rPr>
                <w:rFonts w:cs="Calibri"/>
                <w:sz w:val="19"/>
                <w:szCs w:val="19"/>
              </w:rPr>
            </w:pPr>
            <w:r w:rsidRPr="00C04876">
              <w:rPr>
                <w:rFonts w:cs="Calibri"/>
                <w:sz w:val="19"/>
                <w:szCs w:val="19"/>
              </w:rPr>
              <w:t>en - de - fr - da</w:t>
            </w:r>
          </w:p>
        </w:tc>
      </w:tr>
      <w:tr w:rsidR="00CF39D7" w:rsidRPr="00C04876" w14:paraId="5606158F" w14:textId="77777777" w:rsidTr="005103FB">
        <w:trPr>
          <w:trHeight w:val="304"/>
        </w:trPr>
        <w:tc>
          <w:tcPr>
            <w:tcW w:w="916" w:type="pct"/>
            <w:tcBorders>
              <w:top w:val="single" w:sz="4" w:space="0" w:color="auto"/>
              <w:bottom w:val="single" w:sz="4" w:space="0" w:color="auto"/>
            </w:tcBorders>
            <w:shd w:val="clear" w:color="auto" w:fill="D9D9D9" w:themeFill="background1" w:themeFillShade="D9"/>
          </w:tcPr>
          <w:p w14:paraId="7540FBCC" w14:textId="77777777" w:rsidR="00CF39D7" w:rsidRPr="00C04876" w:rsidRDefault="00CF39D7" w:rsidP="005103FB">
            <w:pPr>
              <w:spacing w:before="60" w:after="60" w:line="240" w:lineRule="auto"/>
              <w:jc w:val="center"/>
              <w:rPr>
                <w:noProof/>
                <w:lang w:eastAsia="en-IE"/>
              </w:rPr>
            </w:pPr>
            <w:r w:rsidRPr="00C04876">
              <w:object w:dxaOrig="9225" w:dyaOrig="12975" w14:anchorId="35303374">
                <v:shape id="_x0000_i1041" type="#_x0000_t75" style="width:81.35pt;height:113.15pt" o:ole="">
                  <v:imagedata r:id="rId69" o:title=""/>
                </v:shape>
                <o:OLEObject Type="Embed" ProgID="PBrush" ShapeID="_x0000_i1041" DrawAspect="Content" ObjectID="_1561281077" r:id="rId70"/>
              </w:object>
            </w:r>
          </w:p>
        </w:tc>
        <w:tc>
          <w:tcPr>
            <w:tcW w:w="1158" w:type="pct"/>
            <w:tcBorders>
              <w:top w:val="single" w:sz="4" w:space="0" w:color="auto"/>
              <w:bottom w:val="single" w:sz="4" w:space="0" w:color="auto"/>
            </w:tcBorders>
          </w:tcPr>
          <w:p w14:paraId="5908A6C9" w14:textId="77777777" w:rsidR="00CF39D7" w:rsidRPr="00C04876" w:rsidRDefault="00CF39D7" w:rsidP="005103FB">
            <w:pPr>
              <w:pStyle w:val="Heading1"/>
              <w:spacing w:before="60" w:after="60"/>
              <w:jc w:val="left"/>
              <w:rPr>
                <w:rFonts w:cs="Calibri"/>
                <w:sz w:val="19"/>
                <w:szCs w:val="19"/>
                <w:lang w:val="en-GB"/>
              </w:rPr>
            </w:pPr>
            <w:r w:rsidRPr="00C04876">
              <w:rPr>
                <w:rFonts w:cs="Calibri"/>
                <w:sz w:val="19"/>
                <w:szCs w:val="19"/>
                <w:lang w:val="en-GB"/>
              </w:rPr>
              <w:t>The right to political participation of persons with mental health problems and persons with intellectual disabilities</w:t>
            </w:r>
          </w:p>
          <w:p w14:paraId="3BF35997" w14:textId="77777777" w:rsidR="00CF39D7" w:rsidRPr="00C04876" w:rsidRDefault="00CF39D7" w:rsidP="005103FB">
            <w:pPr>
              <w:spacing w:before="60" w:after="60" w:line="240" w:lineRule="auto"/>
              <w:rPr>
                <w:rFonts w:cs="Calibri"/>
                <w:bCs/>
                <w:kern w:val="36"/>
                <w:sz w:val="19"/>
                <w:szCs w:val="19"/>
                <w:lang w:eastAsia="en-IE"/>
              </w:rPr>
            </w:pPr>
            <w:r w:rsidRPr="00C04876">
              <w:rPr>
                <w:rFonts w:cs="Calibri"/>
                <w:bCs/>
                <w:kern w:val="36"/>
                <w:sz w:val="19"/>
                <w:szCs w:val="19"/>
                <w:lang w:eastAsia="en-IE"/>
              </w:rPr>
              <w:t>November 2010</w:t>
            </w:r>
          </w:p>
          <w:p w14:paraId="01C0D744" w14:textId="77777777" w:rsidR="00CF39D7" w:rsidRPr="00C04876" w:rsidRDefault="00CF39D7" w:rsidP="005103FB">
            <w:pPr>
              <w:spacing w:before="60" w:after="60" w:line="240" w:lineRule="auto"/>
              <w:rPr>
                <w:rFonts w:cs="Calibri"/>
                <w:b/>
                <w:bCs/>
                <w:kern w:val="36"/>
                <w:sz w:val="19"/>
                <w:szCs w:val="19"/>
                <w:lang w:eastAsia="en-IE"/>
              </w:rPr>
            </w:pPr>
          </w:p>
        </w:tc>
        <w:tc>
          <w:tcPr>
            <w:tcW w:w="2195" w:type="pct"/>
            <w:tcBorders>
              <w:top w:val="single" w:sz="4" w:space="0" w:color="auto"/>
              <w:bottom w:val="single" w:sz="4" w:space="0" w:color="auto"/>
            </w:tcBorders>
          </w:tcPr>
          <w:p w14:paraId="5E0F0446" w14:textId="77777777" w:rsidR="00CF39D7" w:rsidRPr="00C04876" w:rsidRDefault="00CF39D7" w:rsidP="005103FB">
            <w:pPr>
              <w:spacing w:before="60" w:after="60" w:line="240" w:lineRule="auto"/>
              <w:rPr>
                <w:rFonts w:cs="Calibri"/>
                <w:sz w:val="19"/>
                <w:szCs w:val="19"/>
                <w:lang w:eastAsia="en-IE"/>
              </w:rPr>
            </w:pPr>
            <w:r w:rsidRPr="006D0B04">
              <w:rPr>
                <w:rFonts w:ascii="Verdana" w:eastAsia="Times New Roman" w:hAnsi="Verdana" w:cs="Calibri"/>
                <w:sz w:val="19"/>
                <w:szCs w:val="19"/>
                <w:lang w:eastAsia="en-IE"/>
              </w:rPr>
              <w:t>This report first recalls the international and European standards favouring the full participation of persons with intellectual disabilities and persons with mental health problems in the electoral process. The comparative law analysis then highlights the diverse approaches adopted in the EU Member States. In a majority of these, persons who have lost their legal capacity are automatically deprived of their right to political participation</w:t>
            </w:r>
            <w:r w:rsidRPr="00C04876">
              <w:rPr>
                <w:rFonts w:cs="Calibri"/>
                <w:sz w:val="19"/>
                <w:szCs w:val="19"/>
                <w:lang w:eastAsia="en-IE"/>
              </w:rPr>
              <w:t xml:space="preserve">. </w:t>
            </w:r>
          </w:p>
        </w:tc>
        <w:tc>
          <w:tcPr>
            <w:tcW w:w="731" w:type="pct"/>
            <w:tcBorders>
              <w:top w:val="single" w:sz="4" w:space="0" w:color="auto"/>
              <w:bottom w:val="single" w:sz="4" w:space="0" w:color="auto"/>
            </w:tcBorders>
            <w:vAlign w:val="center"/>
          </w:tcPr>
          <w:p w14:paraId="0123D098" w14:textId="77777777" w:rsidR="00CF39D7" w:rsidRPr="00C04876" w:rsidRDefault="00CF39D7" w:rsidP="005103FB">
            <w:pPr>
              <w:spacing w:before="60" w:after="60" w:line="240" w:lineRule="auto"/>
              <w:jc w:val="center"/>
              <w:rPr>
                <w:rFonts w:cs="Calibri"/>
                <w:sz w:val="19"/>
                <w:szCs w:val="19"/>
              </w:rPr>
            </w:pPr>
            <w:r>
              <w:rPr>
                <w:rFonts w:cs="Calibri"/>
                <w:sz w:val="19"/>
                <w:szCs w:val="19"/>
              </w:rPr>
              <w:t>all EU languages</w:t>
            </w:r>
          </w:p>
        </w:tc>
      </w:tr>
      <w:tr w:rsidR="00CF39D7" w:rsidRPr="00C04876" w14:paraId="69BAEA8A" w14:textId="77777777" w:rsidTr="005103FB">
        <w:trPr>
          <w:trHeight w:val="2154"/>
        </w:trPr>
        <w:tc>
          <w:tcPr>
            <w:tcW w:w="916" w:type="pct"/>
            <w:tcBorders>
              <w:top w:val="single" w:sz="4" w:space="0" w:color="auto"/>
              <w:bottom w:val="single" w:sz="4" w:space="0" w:color="auto"/>
            </w:tcBorders>
            <w:shd w:val="clear" w:color="auto" w:fill="D9D9D9" w:themeFill="background1" w:themeFillShade="D9"/>
          </w:tcPr>
          <w:p w14:paraId="4275ED96" w14:textId="77777777" w:rsidR="00CF39D7" w:rsidRPr="00C04876" w:rsidRDefault="00CF39D7" w:rsidP="005103FB">
            <w:pPr>
              <w:spacing w:before="60" w:after="60" w:line="240" w:lineRule="auto"/>
              <w:jc w:val="center"/>
            </w:pPr>
            <w:r w:rsidRPr="00C04876">
              <w:object w:dxaOrig="9465" w:dyaOrig="13335" w14:anchorId="1532AB3B">
                <v:shape id="_x0000_i1042" type="#_x0000_t75" style="width:71.05pt;height:99.1pt" o:ole="">
                  <v:imagedata r:id="rId71" o:title=""/>
                </v:shape>
                <o:OLEObject Type="Embed" ProgID="PBrush" ShapeID="_x0000_i1042" DrawAspect="Content" ObjectID="_1561281078" r:id="rId72"/>
              </w:object>
            </w:r>
          </w:p>
        </w:tc>
        <w:tc>
          <w:tcPr>
            <w:tcW w:w="1158" w:type="pct"/>
            <w:tcBorders>
              <w:top w:val="single" w:sz="4" w:space="0" w:color="auto"/>
              <w:bottom w:val="single" w:sz="4" w:space="0" w:color="auto"/>
            </w:tcBorders>
          </w:tcPr>
          <w:p w14:paraId="4128623E" w14:textId="77777777" w:rsidR="00CF39D7" w:rsidRPr="00C04876" w:rsidRDefault="00CF39D7" w:rsidP="005103FB">
            <w:pPr>
              <w:pStyle w:val="Heading1"/>
              <w:spacing w:before="60" w:after="60"/>
              <w:jc w:val="left"/>
              <w:rPr>
                <w:rFonts w:cs="Calibri"/>
                <w:sz w:val="19"/>
                <w:szCs w:val="19"/>
                <w:lang w:val="en-GB"/>
              </w:rPr>
            </w:pPr>
            <w:r w:rsidRPr="00C04876">
              <w:rPr>
                <w:rFonts w:cs="Calibri"/>
                <w:sz w:val="19"/>
                <w:szCs w:val="19"/>
                <w:lang w:val="en-GB"/>
              </w:rPr>
              <w:t>EASY READ</w:t>
            </w:r>
          </w:p>
          <w:p w14:paraId="454DBAB1" w14:textId="77777777" w:rsidR="00CF39D7" w:rsidRPr="00C04876" w:rsidRDefault="00CF39D7" w:rsidP="005103FB">
            <w:pPr>
              <w:pStyle w:val="Heading1"/>
              <w:spacing w:before="60" w:after="60"/>
              <w:jc w:val="left"/>
              <w:rPr>
                <w:rFonts w:cs="Calibri"/>
                <w:sz w:val="19"/>
                <w:szCs w:val="19"/>
                <w:lang w:val="en-GB"/>
              </w:rPr>
            </w:pPr>
            <w:r w:rsidRPr="00C04876">
              <w:rPr>
                <w:rFonts w:cs="Calibri"/>
                <w:sz w:val="19"/>
                <w:szCs w:val="19"/>
                <w:lang w:val="en-GB"/>
              </w:rPr>
              <w:t xml:space="preserve">Violence against children with disabilities </w:t>
            </w:r>
          </w:p>
          <w:p w14:paraId="51FFEDCB" w14:textId="77777777" w:rsidR="00CF39D7" w:rsidRPr="00C04876" w:rsidRDefault="00CF39D7" w:rsidP="005103FB">
            <w:pPr>
              <w:pStyle w:val="Heading1"/>
              <w:spacing w:before="60" w:after="60"/>
              <w:jc w:val="left"/>
              <w:rPr>
                <w:rFonts w:cs="Calibri"/>
                <w:b w:val="0"/>
                <w:sz w:val="19"/>
                <w:szCs w:val="19"/>
                <w:lang w:val="en-GB"/>
              </w:rPr>
            </w:pPr>
            <w:r w:rsidRPr="00C04876">
              <w:rPr>
                <w:rFonts w:cs="Calibri"/>
                <w:b w:val="0"/>
                <w:sz w:val="19"/>
                <w:szCs w:val="19"/>
                <w:lang w:val="en-GB"/>
              </w:rPr>
              <w:t>December 2015</w:t>
            </w:r>
          </w:p>
        </w:tc>
        <w:tc>
          <w:tcPr>
            <w:tcW w:w="2195" w:type="pct"/>
            <w:tcBorders>
              <w:top w:val="single" w:sz="4" w:space="0" w:color="auto"/>
              <w:bottom w:val="single" w:sz="4" w:space="0" w:color="auto"/>
            </w:tcBorders>
          </w:tcPr>
          <w:p w14:paraId="62526840" w14:textId="77777777" w:rsidR="00CF39D7" w:rsidRPr="00C04876" w:rsidRDefault="00CF39D7" w:rsidP="005103FB">
            <w:pPr>
              <w:spacing w:before="60" w:after="60" w:line="240" w:lineRule="auto"/>
              <w:rPr>
                <w:color w:val="333333"/>
                <w:sz w:val="19"/>
                <w:szCs w:val="19"/>
                <w:lang w:eastAsia="en-IE"/>
              </w:rPr>
            </w:pPr>
            <w:r w:rsidRPr="006D0B04">
              <w:rPr>
                <w:rFonts w:ascii="Verdana" w:eastAsia="Times New Roman" w:hAnsi="Verdana" w:cs="Calibri"/>
                <w:sz w:val="19"/>
                <w:szCs w:val="19"/>
                <w:lang w:eastAsia="en-IE"/>
              </w:rPr>
              <w:t>This summary in easy read format looks at violence, where it happens, and why people are violent. It also looks at laws to protect children with disabilities from violence and what countries are doing to prevent this violence.</w:t>
            </w:r>
          </w:p>
        </w:tc>
        <w:tc>
          <w:tcPr>
            <w:tcW w:w="731" w:type="pct"/>
            <w:tcBorders>
              <w:top w:val="single" w:sz="4" w:space="0" w:color="auto"/>
              <w:bottom w:val="single" w:sz="4" w:space="0" w:color="auto"/>
            </w:tcBorders>
            <w:vAlign w:val="center"/>
          </w:tcPr>
          <w:p w14:paraId="0E76417C" w14:textId="77777777" w:rsidR="00CF39D7" w:rsidRPr="00C04876" w:rsidRDefault="00CF39D7" w:rsidP="005103FB">
            <w:pPr>
              <w:spacing w:before="60" w:after="60" w:line="240" w:lineRule="auto"/>
              <w:jc w:val="center"/>
              <w:rPr>
                <w:rFonts w:cs="Calibri"/>
                <w:sz w:val="19"/>
                <w:szCs w:val="19"/>
              </w:rPr>
            </w:pPr>
            <w:r w:rsidRPr="00C04876">
              <w:rPr>
                <w:rFonts w:cs="Calibri"/>
                <w:sz w:val="19"/>
                <w:szCs w:val="19"/>
              </w:rPr>
              <w:t>en</w:t>
            </w:r>
          </w:p>
        </w:tc>
      </w:tr>
      <w:tr w:rsidR="00CF39D7" w:rsidRPr="00C04876" w14:paraId="11339D40" w14:textId="77777777" w:rsidTr="005103FB">
        <w:trPr>
          <w:trHeight w:val="2154"/>
        </w:trPr>
        <w:tc>
          <w:tcPr>
            <w:tcW w:w="916" w:type="pct"/>
            <w:tcBorders>
              <w:top w:val="single" w:sz="4" w:space="0" w:color="auto"/>
              <w:bottom w:val="single" w:sz="4" w:space="0" w:color="auto"/>
            </w:tcBorders>
            <w:shd w:val="clear" w:color="auto" w:fill="D9D9D9" w:themeFill="background1" w:themeFillShade="D9"/>
          </w:tcPr>
          <w:p w14:paraId="42C4AEB0" w14:textId="77777777" w:rsidR="00CF39D7" w:rsidRPr="00C04876" w:rsidRDefault="00CF39D7" w:rsidP="005103FB">
            <w:pPr>
              <w:spacing w:before="60" w:after="60" w:line="240" w:lineRule="auto"/>
              <w:jc w:val="center"/>
            </w:pPr>
            <w:r w:rsidRPr="00C04876">
              <w:object w:dxaOrig="9105" w:dyaOrig="13005" w14:anchorId="53DFB1DA">
                <v:shape id="_x0000_i1043" type="#_x0000_t75" style="width:71.05pt;height:101pt" o:ole="">
                  <v:imagedata r:id="rId73" o:title=""/>
                </v:shape>
                <o:OLEObject Type="Embed" ProgID="PBrush" ShapeID="_x0000_i1043" DrawAspect="Content" ObjectID="_1561281079" r:id="rId74"/>
              </w:object>
            </w:r>
          </w:p>
        </w:tc>
        <w:tc>
          <w:tcPr>
            <w:tcW w:w="1158" w:type="pct"/>
            <w:tcBorders>
              <w:top w:val="single" w:sz="4" w:space="0" w:color="auto"/>
              <w:bottom w:val="single" w:sz="4" w:space="0" w:color="auto"/>
            </w:tcBorders>
          </w:tcPr>
          <w:p w14:paraId="0E6E67C3" w14:textId="77777777" w:rsidR="00CF39D7" w:rsidRPr="00C04876" w:rsidRDefault="00CF39D7" w:rsidP="005103FB">
            <w:pPr>
              <w:pStyle w:val="Heading1"/>
              <w:spacing w:before="60" w:after="60"/>
              <w:jc w:val="left"/>
              <w:rPr>
                <w:rFonts w:cs="Calibri"/>
                <w:sz w:val="19"/>
                <w:szCs w:val="19"/>
                <w:lang w:val="en-GB"/>
              </w:rPr>
            </w:pPr>
            <w:r w:rsidRPr="00C04876">
              <w:rPr>
                <w:rFonts w:cs="Calibri"/>
                <w:sz w:val="19"/>
                <w:szCs w:val="19"/>
                <w:lang w:val="en-GB"/>
              </w:rPr>
              <w:t>EASY READ</w:t>
            </w:r>
          </w:p>
          <w:p w14:paraId="3C8F64CE" w14:textId="77777777" w:rsidR="00CF39D7" w:rsidRPr="00C04876" w:rsidRDefault="00CF39D7" w:rsidP="005103FB">
            <w:pPr>
              <w:pStyle w:val="Heading1"/>
              <w:spacing w:before="60" w:after="60"/>
              <w:jc w:val="left"/>
              <w:rPr>
                <w:rFonts w:cs="Calibri"/>
                <w:sz w:val="19"/>
                <w:szCs w:val="19"/>
                <w:lang w:val="en-GB"/>
              </w:rPr>
            </w:pPr>
            <w:r w:rsidRPr="00C04876">
              <w:rPr>
                <w:rFonts w:cs="Calibri"/>
                <w:sz w:val="19"/>
                <w:szCs w:val="19"/>
                <w:lang w:val="en-GB"/>
              </w:rPr>
              <w:t xml:space="preserve">Laws about being able to make important decisions for yourself </w:t>
            </w:r>
          </w:p>
          <w:p w14:paraId="641AF8D1" w14:textId="77777777" w:rsidR="00CF39D7" w:rsidRPr="00C04876" w:rsidRDefault="00CF39D7" w:rsidP="005103FB">
            <w:pPr>
              <w:pStyle w:val="Heading1"/>
              <w:spacing w:before="60" w:after="60"/>
              <w:jc w:val="left"/>
              <w:rPr>
                <w:rFonts w:cs="Calibri"/>
                <w:b w:val="0"/>
                <w:sz w:val="19"/>
                <w:szCs w:val="19"/>
                <w:lang w:val="en-GB"/>
              </w:rPr>
            </w:pPr>
            <w:r w:rsidRPr="00C04876">
              <w:rPr>
                <w:rFonts w:cs="Calibri"/>
                <w:b w:val="0"/>
                <w:sz w:val="19"/>
                <w:szCs w:val="19"/>
                <w:lang w:val="en-GB"/>
              </w:rPr>
              <w:t>October 2013</w:t>
            </w:r>
          </w:p>
        </w:tc>
        <w:tc>
          <w:tcPr>
            <w:tcW w:w="2195" w:type="pct"/>
            <w:tcBorders>
              <w:top w:val="single" w:sz="4" w:space="0" w:color="auto"/>
              <w:bottom w:val="single" w:sz="4" w:space="0" w:color="auto"/>
            </w:tcBorders>
          </w:tcPr>
          <w:p w14:paraId="79C85CCA" w14:textId="77777777" w:rsidR="00CF39D7" w:rsidRPr="00C04876" w:rsidRDefault="00CF39D7" w:rsidP="005103FB">
            <w:pPr>
              <w:spacing w:before="60" w:after="60" w:line="240" w:lineRule="auto"/>
              <w:rPr>
                <w:color w:val="333333"/>
                <w:sz w:val="19"/>
                <w:szCs w:val="19"/>
              </w:rPr>
            </w:pPr>
            <w:r w:rsidRPr="006D0B04">
              <w:rPr>
                <w:rFonts w:ascii="Verdana" w:eastAsia="Times New Roman" w:hAnsi="Verdana" w:cs="Calibri"/>
                <w:sz w:val="19"/>
                <w:szCs w:val="19"/>
                <w:lang w:eastAsia="en-IE"/>
              </w:rPr>
              <w:t>This summary in easy read format provides information about FRA’s work on the right to equal recognition before the law.</w:t>
            </w:r>
          </w:p>
        </w:tc>
        <w:tc>
          <w:tcPr>
            <w:tcW w:w="731" w:type="pct"/>
            <w:tcBorders>
              <w:top w:val="single" w:sz="4" w:space="0" w:color="auto"/>
              <w:bottom w:val="single" w:sz="4" w:space="0" w:color="auto"/>
            </w:tcBorders>
            <w:vAlign w:val="center"/>
          </w:tcPr>
          <w:p w14:paraId="169C9CAF" w14:textId="77777777" w:rsidR="00CF39D7" w:rsidRPr="00C04876" w:rsidRDefault="00CF39D7" w:rsidP="005103FB">
            <w:pPr>
              <w:spacing w:before="60" w:after="60" w:line="240" w:lineRule="auto"/>
              <w:jc w:val="center"/>
              <w:rPr>
                <w:rFonts w:cs="Calibri"/>
                <w:sz w:val="19"/>
                <w:szCs w:val="19"/>
              </w:rPr>
            </w:pPr>
            <w:r w:rsidRPr="00C04876">
              <w:rPr>
                <w:rFonts w:cs="Calibri"/>
                <w:sz w:val="19"/>
                <w:szCs w:val="19"/>
              </w:rPr>
              <w:t>en - de - fr</w:t>
            </w:r>
          </w:p>
        </w:tc>
      </w:tr>
      <w:tr w:rsidR="00CF39D7" w:rsidRPr="00C04876" w14:paraId="7AF6AF37" w14:textId="77777777" w:rsidTr="005103FB">
        <w:trPr>
          <w:trHeight w:val="1986"/>
        </w:trPr>
        <w:tc>
          <w:tcPr>
            <w:tcW w:w="916" w:type="pct"/>
            <w:tcBorders>
              <w:top w:val="single" w:sz="4" w:space="0" w:color="auto"/>
              <w:bottom w:val="single" w:sz="4" w:space="0" w:color="auto"/>
            </w:tcBorders>
            <w:shd w:val="clear" w:color="auto" w:fill="D9D9D9" w:themeFill="background1" w:themeFillShade="D9"/>
          </w:tcPr>
          <w:p w14:paraId="04245228" w14:textId="77777777" w:rsidR="00CF39D7" w:rsidRPr="00C04876" w:rsidRDefault="00CF39D7" w:rsidP="005103FB">
            <w:pPr>
              <w:spacing w:before="60" w:after="60" w:line="240" w:lineRule="auto"/>
              <w:jc w:val="center"/>
            </w:pPr>
            <w:r w:rsidRPr="00C04876">
              <w:rPr>
                <w:noProof/>
                <w:color w:val="003399"/>
                <w:sz w:val="19"/>
                <w:szCs w:val="19"/>
              </w:rPr>
              <w:drawing>
                <wp:inline distT="0" distB="0" distL="0" distR="0" wp14:anchorId="4CB0D4DF" wp14:editId="36E358F6">
                  <wp:extent cx="871869" cy="1235643"/>
                  <wp:effectExtent l="0" t="0" r="4445" b="3175"/>
                  <wp:docPr id="9" name="Picture 9" descr="http://fra.europa.eu/sites/default/files/styles/fra_small/public/fra_images/easy-read-cover-image_0.jpg?itok=0-FXbSuV">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fra.europa.eu/sites/default/files/styles/fra_small/public/fra_images/easy-read-cover-image_0.jpg?itok=0-FXbSuV">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8016" cy="1258528"/>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00707AF6" w14:textId="77777777" w:rsidR="00CF39D7" w:rsidRPr="00C04876" w:rsidRDefault="00CF39D7" w:rsidP="005103FB">
            <w:pPr>
              <w:pStyle w:val="Heading1"/>
              <w:spacing w:before="60" w:after="60"/>
              <w:jc w:val="left"/>
              <w:rPr>
                <w:rFonts w:cs="Calibri"/>
                <w:sz w:val="19"/>
                <w:szCs w:val="19"/>
                <w:lang w:val="en-GB"/>
              </w:rPr>
            </w:pPr>
            <w:r w:rsidRPr="00C04876">
              <w:rPr>
                <w:rFonts w:cs="Calibri"/>
                <w:sz w:val="19"/>
                <w:szCs w:val="19"/>
                <w:lang w:val="en-GB"/>
              </w:rPr>
              <w:t xml:space="preserve">EASY READ </w:t>
            </w:r>
          </w:p>
          <w:p w14:paraId="7629EC35" w14:textId="77777777" w:rsidR="00CF39D7" w:rsidRPr="00C04876" w:rsidRDefault="00CF39D7" w:rsidP="005103FB">
            <w:pPr>
              <w:pStyle w:val="Heading1"/>
              <w:spacing w:before="60" w:after="60"/>
              <w:jc w:val="left"/>
              <w:rPr>
                <w:rFonts w:cs="Calibri"/>
                <w:sz w:val="19"/>
                <w:szCs w:val="19"/>
                <w:lang w:val="en-GB"/>
              </w:rPr>
            </w:pPr>
            <w:r w:rsidRPr="00C04876">
              <w:rPr>
                <w:rFonts w:cs="Calibri"/>
                <w:sz w:val="19"/>
                <w:szCs w:val="19"/>
                <w:lang w:val="en-GB"/>
              </w:rPr>
              <w:t>How people are treated differently in healthcare</w:t>
            </w:r>
          </w:p>
          <w:p w14:paraId="415799FA" w14:textId="77777777" w:rsidR="00CF39D7" w:rsidRPr="00C04876" w:rsidRDefault="00CF39D7" w:rsidP="005103FB">
            <w:pPr>
              <w:pStyle w:val="Heading1"/>
              <w:spacing w:before="60" w:after="60"/>
              <w:jc w:val="left"/>
              <w:rPr>
                <w:rFonts w:cs="Calibri"/>
                <w:b w:val="0"/>
                <w:sz w:val="19"/>
                <w:szCs w:val="19"/>
                <w:lang w:val="en-GB"/>
              </w:rPr>
            </w:pPr>
            <w:r w:rsidRPr="00C04876">
              <w:rPr>
                <w:rFonts w:cs="Calibri"/>
                <w:b w:val="0"/>
                <w:sz w:val="19"/>
                <w:szCs w:val="19"/>
                <w:lang w:val="en-GB"/>
              </w:rPr>
              <w:t xml:space="preserve">March 2013 </w:t>
            </w:r>
          </w:p>
        </w:tc>
        <w:tc>
          <w:tcPr>
            <w:tcW w:w="2195" w:type="pct"/>
            <w:tcBorders>
              <w:top w:val="single" w:sz="4" w:space="0" w:color="auto"/>
              <w:bottom w:val="single" w:sz="4" w:space="0" w:color="auto"/>
            </w:tcBorders>
          </w:tcPr>
          <w:p w14:paraId="58BAE06A" w14:textId="77777777" w:rsidR="00CF39D7" w:rsidRPr="00C04876" w:rsidRDefault="00CF39D7" w:rsidP="005103FB">
            <w:pPr>
              <w:spacing w:before="60" w:after="60" w:line="240" w:lineRule="auto"/>
              <w:rPr>
                <w:color w:val="333333"/>
                <w:sz w:val="19"/>
                <w:szCs w:val="19"/>
              </w:rPr>
            </w:pPr>
            <w:r w:rsidRPr="006D0B04">
              <w:rPr>
                <w:rFonts w:ascii="Verdana" w:eastAsia="Times New Roman" w:hAnsi="Verdana" w:cs="Calibri"/>
                <w:sz w:val="19"/>
                <w:szCs w:val="19"/>
                <w:lang w:eastAsia="en-IE"/>
              </w:rPr>
              <w:t>This summary in east read format provides information about FRA’s work on how people might be treated differently in healthcare and on multiple discrimination in healthcare.</w:t>
            </w:r>
          </w:p>
        </w:tc>
        <w:tc>
          <w:tcPr>
            <w:tcW w:w="731" w:type="pct"/>
            <w:tcBorders>
              <w:top w:val="single" w:sz="4" w:space="0" w:color="auto"/>
              <w:bottom w:val="single" w:sz="4" w:space="0" w:color="auto"/>
            </w:tcBorders>
            <w:vAlign w:val="center"/>
          </w:tcPr>
          <w:p w14:paraId="14401F1F" w14:textId="77777777" w:rsidR="00CF39D7" w:rsidRPr="00C04876" w:rsidRDefault="00CF39D7" w:rsidP="005103FB">
            <w:pPr>
              <w:spacing w:before="60" w:after="60" w:line="240" w:lineRule="auto"/>
              <w:jc w:val="center"/>
              <w:rPr>
                <w:rFonts w:cs="Calibri"/>
                <w:sz w:val="19"/>
                <w:szCs w:val="19"/>
              </w:rPr>
            </w:pPr>
            <w:r w:rsidRPr="00C04876">
              <w:rPr>
                <w:rFonts w:cs="Calibri"/>
                <w:sz w:val="19"/>
                <w:szCs w:val="19"/>
              </w:rPr>
              <w:t>en</w:t>
            </w:r>
          </w:p>
        </w:tc>
      </w:tr>
      <w:tr w:rsidR="00CF39D7" w:rsidRPr="00C04876" w14:paraId="68B8D69E" w14:textId="77777777" w:rsidTr="005103FB">
        <w:trPr>
          <w:trHeight w:val="2030"/>
        </w:trPr>
        <w:tc>
          <w:tcPr>
            <w:tcW w:w="916" w:type="pct"/>
            <w:tcBorders>
              <w:top w:val="single" w:sz="4" w:space="0" w:color="auto"/>
              <w:bottom w:val="single" w:sz="4" w:space="0" w:color="auto"/>
            </w:tcBorders>
            <w:shd w:val="clear" w:color="auto" w:fill="D9D9D9" w:themeFill="background1" w:themeFillShade="D9"/>
          </w:tcPr>
          <w:p w14:paraId="64ACD1B5" w14:textId="77777777" w:rsidR="00CF39D7" w:rsidRPr="00C04876" w:rsidRDefault="00CF39D7" w:rsidP="005103FB">
            <w:pPr>
              <w:spacing w:before="60" w:after="60" w:line="240" w:lineRule="auto"/>
              <w:jc w:val="center"/>
              <w:rPr>
                <w:noProof/>
                <w:lang w:eastAsia="en-IE"/>
              </w:rPr>
            </w:pPr>
            <w:r w:rsidRPr="00C04876">
              <w:rPr>
                <w:noProof/>
              </w:rPr>
              <w:drawing>
                <wp:inline distT="0" distB="0" distL="0" distR="0" wp14:anchorId="4AD8A910" wp14:editId="74DAA087">
                  <wp:extent cx="871869" cy="1243183"/>
                  <wp:effectExtent l="0" t="0" r="4445" b="0"/>
                  <wp:docPr id="17" name="Picture 17" descr="http://fra.europa.eu/sites/default/files/styles/fra_large/public/fra_images/easy-read-choice-and-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fra.europa.eu/sites/default/files/styles/fra_large/public/fra_images/easy-read-choice-and-control.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78912" cy="1253226"/>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54F5E8FD" w14:textId="77777777" w:rsidR="00CF39D7" w:rsidRPr="00C04876" w:rsidRDefault="00CF39D7" w:rsidP="005103FB">
            <w:pPr>
              <w:pStyle w:val="Heading1"/>
              <w:spacing w:before="60" w:after="60"/>
              <w:jc w:val="left"/>
              <w:rPr>
                <w:rFonts w:cs="Calibri"/>
                <w:sz w:val="19"/>
                <w:szCs w:val="19"/>
                <w:lang w:val="en-GB"/>
              </w:rPr>
            </w:pPr>
            <w:r w:rsidRPr="00C04876">
              <w:rPr>
                <w:rFonts w:cs="Calibri"/>
                <w:sz w:val="19"/>
                <w:szCs w:val="19"/>
                <w:lang w:val="en-GB"/>
              </w:rPr>
              <w:t>EASY READ</w:t>
            </w:r>
          </w:p>
          <w:p w14:paraId="78F822C0" w14:textId="77777777" w:rsidR="00CF39D7" w:rsidRPr="00C04876" w:rsidRDefault="00CF39D7" w:rsidP="005103FB">
            <w:pPr>
              <w:pStyle w:val="Heading1"/>
              <w:spacing w:before="60" w:after="60"/>
              <w:jc w:val="left"/>
              <w:rPr>
                <w:rFonts w:cs="Calibri"/>
                <w:sz w:val="19"/>
                <w:szCs w:val="19"/>
                <w:lang w:val="en-GB"/>
              </w:rPr>
            </w:pPr>
            <w:r w:rsidRPr="00C04876">
              <w:rPr>
                <w:rFonts w:cs="Calibri"/>
                <w:sz w:val="19"/>
                <w:szCs w:val="19"/>
                <w:lang w:val="en-GB"/>
              </w:rPr>
              <w:t>Choice and control: the right to live independently - Experiences of people with intellectual disabilities</w:t>
            </w:r>
          </w:p>
          <w:p w14:paraId="625A0EB8" w14:textId="77777777" w:rsidR="00CF39D7" w:rsidRPr="00C04876" w:rsidRDefault="00CF39D7" w:rsidP="005103FB">
            <w:pPr>
              <w:pStyle w:val="Heading1"/>
              <w:spacing w:before="60" w:after="60"/>
              <w:jc w:val="left"/>
              <w:rPr>
                <w:rFonts w:cs="Calibri"/>
                <w:b w:val="0"/>
                <w:sz w:val="19"/>
                <w:szCs w:val="19"/>
                <w:lang w:val="en-GB"/>
              </w:rPr>
            </w:pPr>
            <w:r w:rsidRPr="00C04876">
              <w:rPr>
                <w:rFonts w:cs="Calibri"/>
                <w:b w:val="0"/>
                <w:sz w:val="19"/>
                <w:szCs w:val="19"/>
                <w:lang w:val="en-GB"/>
              </w:rPr>
              <w:t>June 2012</w:t>
            </w:r>
          </w:p>
        </w:tc>
        <w:tc>
          <w:tcPr>
            <w:tcW w:w="2195" w:type="pct"/>
            <w:tcBorders>
              <w:top w:val="single" w:sz="4" w:space="0" w:color="auto"/>
              <w:bottom w:val="single" w:sz="4" w:space="0" w:color="auto"/>
            </w:tcBorders>
          </w:tcPr>
          <w:p w14:paraId="33F38322" w14:textId="77777777" w:rsidR="00CF39D7" w:rsidRPr="00C04876" w:rsidRDefault="00CF39D7" w:rsidP="005103FB">
            <w:pPr>
              <w:spacing w:before="60" w:after="60" w:line="240" w:lineRule="auto"/>
              <w:rPr>
                <w:rFonts w:cs="Calibri"/>
                <w:sz w:val="19"/>
                <w:szCs w:val="19"/>
                <w:lang w:eastAsia="en-IE"/>
              </w:rPr>
            </w:pPr>
            <w:r w:rsidRPr="006D0B04">
              <w:rPr>
                <w:rFonts w:ascii="Verdana" w:eastAsia="Times New Roman" w:hAnsi="Verdana" w:cs="Calibri"/>
                <w:sz w:val="19"/>
                <w:szCs w:val="19"/>
                <w:lang w:eastAsia="en-IE"/>
              </w:rPr>
              <w:t>This summary in easy read format provides information about FRA’s work on the right to live independently.</w:t>
            </w:r>
          </w:p>
        </w:tc>
        <w:tc>
          <w:tcPr>
            <w:tcW w:w="731" w:type="pct"/>
            <w:tcBorders>
              <w:top w:val="single" w:sz="4" w:space="0" w:color="auto"/>
              <w:bottom w:val="single" w:sz="4" w:space="0" w:color="auto"/>
            </w:tcBorders>
            <w:vAlign w:val="center"/>
          </w:tcPr>
          <w:p w14:paraId="1FFA8479" w14:textId="77777777" w:rsidR="00CF39D7" w:rsidRPr="00C04876" w:rsidRDefault="00CF39D7" w:rsidP="005103FB">
            <w:pPr>
              <w:spacing w:before="60" w:after="60" w:line="240" w:lineRule="auto"/>
              <w:jc w:val="center"/>
              <w:rPr>
                <w:rFonts w:cs="Calibri"/>
                <w:sz w:val="19"/>
                <w:szCs w:val="19"/>
              </w:rPr>
            </w:pPr>
            <w:r w:rsidRPr="00C04876">
              <w:rPr>
                <w:rFonts w:cs="Calibri"/>
                <w:sz w:val="19"/>
                <w:szCs w:val="19"/>
              </w:rPr>
              <w:t>en</w:t>
            </w:r>
          </w:p>
        </w:tc>
      </w:tr>
      <w:tr w:rsidR="00CF39D7" w:rsidRPr="00C04876" w14:paraId="1088D6FB" w14:textId="77777777" w:rsidTr="005103FB">
        <w:trPr>
          <w:trHeight w:val="2106"/>
        </w:trPr>
        <w:tc>
          <w:tcPr>
            <w:tcW w:w="916" w:type="pct"/>
            <w:tcBorders>
              <w:top w:val="single" w:sz="4" w:space="0" w:color="auto"/>
              <w:bottom w:val="single" w:sz="4" w:space="0" w:color="auto"/>
            </w:tcBorders>
            <w:shd w:val="clear" w:color="auto" w:fill="D9D9D9" w:themeFill="background1" w:themeFillShade="D9"/>
          </w:tcPr>
          <w:p w14:paraId="160E623D" w14:textId="77777777" w:rsidR="00CF39D7" w:rsidRPr="00C04876" w:rsidRDefault="00CF39D7" w:rsidP="005103FB">
            <w:pPr>
              <w:spacing w:before="60" w:after="60" w:line="240" w:lineRule="auto"/>
              <w:jc w:val="center"/>
              <w:rPr>
                <w:noProof/>
                <w:lang w:eastAsia="en-IE"/>
              </w:rPr>
            </w:pPr>
            <w:r w:rsidRPr="00C04876">
              <w:rPr>
                <w:noProof/>
              </w:rPr>
              <w:drawing>
                <wp:inline distT="0" distB="0" distL="0" distR="0" wp14:anchorId="024D5375" wp14:editId="6B875F15">
                  <wp:extent cx="871870" cy="1236224"/>
                  <wp:effectExtent l="0" t="0" r="4445" b="2540"/>
                  <wp:docPr id="20" name="Picture 20" descr="http://fra.europa.eu/sites/default/files/styles/fra_large/public/fra_images/easy-read-rights-intellectual-disabilities-mental-health-poli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fra.europa.eu/sites/default/files/styles/fra_large/public/fra_images/easy-read-rights-intellectual-disabilities-mental-health-politics.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80570" cy="1248560"/>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40DB74C8" w14:textId="77777777" w:rsidR="00CF39D7" w:rsidRPr="00C04876" w:rsidRDefault="00CF39D7" w:rsidP="005103FB">
            <w:pPr>
              <w:pStyle w:val="Heading1"/>
              <w:spacing w:before="60" w:after="60"/>
              <w:jc w:val="left"/>
              <w:rPr>
                <w:rFonts w:cs="Calibri"/>
                <w:sz w:val="19"/>
                <w:szCs w:val="19"/>
                <w:lang w:val="en-GB"/>
              </w:rPr>
            </w:pPr>
            <w:r w:rsidRPr="00C04876">
              <w:rPr>
                <w:rFonts w:cs="Calibri"/>
                <w:sz w:val="19"/>
                <w:szCs w:val="19"/>
                <w:lang w:val="en-GB"/>
              </w:rPr>
              <w:t>EASY READ</w:t>
            </w:r>
          </w:p>
          <w:p w14:paraId="3E1C0675" w14:textId="77777777" w:rsidR="00CF39D7" w:rsidRPr="00C04876" w:rsidRDefault="00CF39D7" w:rsidP="005103FB">
            <w:pPr>
              <w:pStyle w:val="Heading1"/>
              <w:spacing w:before="60" w:after="60"/>
              <w:jc w:val="left"/>
              <w:rPr>
                <w:sz w:val="19"/>
                <w:szCs w:val="19"/>
                <w:lang w:val="en-GB"/>
              </w:rPr>
            </w:pPr>
            <w:r w:rsidRPr="00C04876">
              <w:rPr>
                <w:sz w:val="19"/>
                <w:szCs w:val="19"/>
                <w:lang w:val="en-GB"/>
              </w:rPr>
              <w:t>The rights of people with mental health problems and intellectual disabilities to take part in politics</w:t>
            </w:r>
          </w:p>
          <w:p w14:paraId="54307C43" w14:textId="77777777" w:rsidR="00CF39D7" w:rsidRPr="00C04876" w:rsidRDefault="00CF39D7" w:rsidP="005103FB">
            <w:pPr>
              <w:pStyle w:val="Heading1"/>
              <w:spacing w:before="60" w:after="60"/>
              <w:jc w:val="left"/>
              <w:rPr>
                <w:rFonts w:cs="Calibri"/>
                <w:b w:val="0"/>
                <w:sz w:val="19"/>
                <w:szCs w:val="19"/>
                <w:lang w:val="en-GB"/>
              </w:rPr>
            </w:pPr>
            <w:r w:rsidRPr="00C04876">
              <w:rPr>
                <w:b w:val="0"/>
                <w:sz w:val="19"/>
                <w:szCs w:val="19"/>
                <w:lang w:val="en-GB"/>
              </w:rPr>
              <w:t>November 2010</w:t>
            </w:r>
          </w:p>
        </w:tc>
        <w:tc>
          <w:tcPr>
            <w:tcW w:w="2195" w:type="pct"/>
            <w:tcBorders>
              <w:top w:val="single" w:sz="4" w:space="0" w:color="auto"/>
              <w:bottom w:val="single" w:sz="4" w:space="0" w:color="auto"/>
            </w:tcBorders>
          </w:tcPr>
          <w:p w14:paraId="631BF44C" w14:textId="77777777" w:rsidR="00CF39D7" w:rsidRPr="00C04876" w:rsidRDefault="00CF39D7" w:rsidP="005103FB">
            <w:pPr>
              <w:spacing w:before="60" w:after="60" w:line="240" w:lineRule="auto"/>
              <w:rPr>
                <w:color w:val="333333"/>
                <w:sz w:val="19"/>
                <w:szCs w:val="19"/>
              </w:rPr>
            </w:pPr>
            <w:r w:rsidRPr="006D0B04">
              <w:rPr>
                <w:rFonts w:ascii="Verdana" w:eastAsia="Times New Roman" w:hAnsi="Verdana" w:cs="Calibri"/>
                <w:sz w:val="19"/>
                <w:szCs w:val="19"/>
                <w:lang w:eastAsia="en-IE"/>
              </w:rPr>
              <w:t>This summary in easy read format provides information about FRA’s work on the right to vote of persons with intellectual disabilities.</w:t>
            </w:r>
            <w:r w:rsidRPr="00C04876">
              <w:rPr>
                <w:color w:val="333333"/>
                <w:sz w:val="19"/>
                <w:szCs w:val="19"/>
              </w:rPr>
              <w:t xml:space="preserve"> </w:t>
            </w:r>
          </w:p>
        </w:tc>
        <w:tc>
          <w:tcPr>
            <w:tcW w:w="731" w:type="pct"/>
            <w:tcBorders>
              <w:top w:val="single" w:sz="4" w:space="0" w:color="auto"/>
              <w:bottom w:val="single" w:sz="4" w:space="0" w:color="auto"/>
            </w:tcBorders>
            <w:vAlign w:val="center"/>
          </w:tcPr>
          <w:p w14:paraId="4277FF45" w14:textId="77777777" w:rsidR="00CF39D7" w:rsidRPr="00C04876" w:rsidRDefault="00CF39D7" w:rsidP="005103FB">
            <w:pPr>
              <w:spacing w:before="60" w:after="60" w:line="240" w:lineRule="auto"/>
              <w:jc w:val="center"/>
              <w:rPr>
                <w:rFonts w:cs="Calibri"/>
                <w:sz w:val="19"/>
                <w:szCs w:val="19"/>
              </w:rPr>
            </w:pPr>
            <w:r w:rsidRPr="00C04876">
              <w:rPr>
                <w:rFonts w:cs="Calibri"/>
                <w:sz w:val="19"/>
                <w:szCs w:val="19"/>
              </w:rPr>
              <w:t>en</w:t>
            </w:r>
          </w:p>
        </w:tc>
      </w:tr>
    </w:tbl>
    <w:p w14:paraId="0AEC5D8F" w14:textId="77777777" w:rsidR="00654A76" w:rsidRPr="00654A76" w:rsidRDefault="00654A76" w:rsidP="00654A76">
      <w:pPr>
        <w:spacing w:after="0" w:line="336" w:lineRule="atLeast"/>
        <w:rPr>
          <w:rFonts w:ascii="Verdana" w:eastAsia="Times New Roman" w:hAnsi="Verdana" w:cs="Times New Roman"/>
          <w:color w:val="333333"/>
          <w:sz w:val="24"/>
          <w:szCs w:val="24"/>
          <w:lang w:val="en" w:eastAsia="en-IE"/>
        </w:rPr>
      </w:pPr>
    </w:p>
    <w:p w14:paraId="28CDDDB0" w14:textId="77777777" w:rsidR="00654A76" w:rsidRPr="00654A76" w:rsidRDefault="00654A76" w:rsidP="00654A76">
      <w:pPr>
        <w:spacing w:after="0" w:line="336" w:lineRule="atLeast"/>
        <w:rPr>
          <w:rFonts w:ascii="Verdana" w:eastAsia="Times New Roman" w:hAnsi="Verdana" w:cs="Times New Roman"/>
          <w:color w:val="333333"/>
          <w:sz w:val="24"/>
          <w:szCs w:val="24"/>
          <w:lang w:val="en" w:eastAsia="en-IE"/>
        </w:rPr>
      </w:pPr>
    </w:p>
    <w:p w14:paraId="7CBE7F40" w14:textId="77777777" w:rsidR="00654A76" w:rsidRPr="00654A76" w:rsidRDefault="00654A76" w:rsidP="00654A76">
      <w:pPr>
        <w:pBdr>
          <w:top w:val="single" w:sz="4" w:space="1" w:color="auto"/>
          <w:left w:val="single" w:sz="4" w:space="4" w:color="auto"/>
          <w:bottom w:val="single" w:sz="4" w:space="1" w:color="auto"/>
          <w:right w:val="single" w:sz="4" w:space="4" w:color="auto"/>
        </w:pBdr>
        <w:spacing w:after="0" w:line="336" w:lineRule="atLeast"/>
        <w:rPr>
          <w:rFonts w:ascii="Verdana" w:eastAsia="Times New Roman" w:hAnsi="Verdana" w:cs="Times New Roman"/>
          <w:color w:val="333333"/>
          <w:sz w:val="32"/>
          <w:szCs w:val="32"/>
          <w:lang w:val="en" w:eastAsia="en-IE"/>
        </w:rPr>
      </w:pPr>
    </w:p>
    <w:p w14:paraId="3324C40B" w14:textId="77777777" w:rsidR="00654A76" w:rsidRPr="00654A76" w:rsidRDefault="00654A76" w:rsidP="00654A76">
      <w:pPr>
        <w:pBdr>
          <w:top w:val="single" w:sz="4" w:space="1" w:color="auto"/>
          <w:left w:val="single" w:sz="4" w:space="4" w:color="auto"/>
          <w:bottom w:val="single" w:sz="4" w:space="1" w:color="auto"/>
          <w:right w:val="single" w:sz="4" w:space="4" w:color="auto"/>
        </w:pBdr>
        <w:spacing w:after="0" w:line="336" w:lineRule="atLeast"/>
        <w:jc w:val="center"/>
        <w:rPr>
          <w:rFonts w:ascii="Verdana" w:eastAsia="Times New Roman" w:hAnsi="Verdana" w:cs="Times New Roman"/>
          <w:b/>
          <w:color w:val="333333"/>
          <w:sz w:val="32"/>
          <w:szCs w:val="32"/>
          <w:lang w:val="en" w:eastAsia="en-IE"/>
        </w:rPr>
      </w:pPr>
      <w:r w:rsidRPr="00654A76">
        <w:rPr>
          <w:rFonts w:ascii="Verdana" w:eastAsia="Times New Roman" w:hAnsi="Verdana" w:cs="Times New Roman"/>
          <w:b/>
          <w:color w:val="333333"/>
          <w:sz w:val="32"/>
          <w:szCs w:val="32"/>
          <w:lang w:val="en" w:eastAsia="en-IE"/>
        </w:rPr>
        <w:t>To order any of these publications visit:</w:t>
      </w:r>
    </w:p>
    <w:p w14:paraId="2481B556" w14:textId="77777777" w:rsidR="00654A76" w:rsidRPr="00654A76" w:rsidRDefault="00654A76" w:rsidP="00654A76">
      <w:pPr>
        <w:pBdr>
          <w:top w:val="single" w:sz="4" w:space="1" w:color="auto"/>
          <w:left w:val="single" w:sz="4" w:space="4" w:color="auto"/>
          <w:bottom w:val="single" w:sz="4" w:space="1" w:color="auto"/>
          <w:right w:val="single" w:sz="4" w:space="4" w:color="auto"/>
        </w:pBdr>
        <w:spacing w:after="0" w:line="336" w:lineRule="atLeast"/>
        <w:jc w:val="center"/>
        <w:rPr>
          <w:rFonts w:ascii="Verdana" w:eastAsia="Times New Roman" w:hAnsi="Verdana" w:cs="Times New Roman"/>
          <w:b/>
          <w:color w:val="333333"/>
          <w:sz w:val="32"/>
          <w:szCs w:val="32"/>
          <w:lang w:val="en" w:eastAsia="en-IE"/>
        </w:rPr>
      </w:pPr>
    </w:p>
    <w:p w14:paraId="1F1667D4" w14:textId="77777777" w:rsidR="00654A76" w:rsidRPr="00654A76" w:rsidRDefault="00CF39D7" w:rsidP="00654A76">
      <w:pPr>
        <w:pBdr>
          <w:top w:val="single" w:sz="4" w:space="1" w:color="auto"/>
          <w:left w:val="single" w:sz="4" w:space="4" w:color="auto"/>
          <w:bottom w:val="single" w:sz="4" w:space="1" w:color="auto"/>
          <w:right w:val="single" w:sz="4" w:space="4" w:color="auto"/>
        </w:pBdr>
        <w:spacing w:after="0" w:line="336" w:lineRule="atLeast"/>
        <w:jc w:val="center"/>
        <w:rPr>
          <w:rFonts w:ascii="Verdana" w:eastAsia="Calibri" w:hAnsi="Verdana" w:cs="Times New Roman"/>
          <w:b/>
          <w:sz w:val="36"/>
          <w:lang w:val="en-IE"/>
        </w:rPr>
      </w:pPr>
      <w:hyperlink r:id="rId79" w:history="1">
        <w:r w:rsidR="00654A76" w:rsidRPr="00654A76">
          <w:rPr>
            <w:rFonts w:ascii="Verdana" w:eastAsia="Calibri" w:hAnsi="Verdana" w:cs="Times New Roman"/>
            <w:b/>
            <w:color w:val="0000FF"/>
            <w:sz w:val="36"/>
            <w:u w:val="single"/>
            <w:lang w:val="en-IE"/>
          </w:rPr>
          <w:t>https://bookshop.europa.eu/</w:t>
        </w:r>
      </w:hyperlink>
    </w:p>
    <w:p w14:paraId="399A03B6" w14:textId="77777777" w:rsidR="00654A76" w:rsidRPr="00654A76" w:rsidRDefault="00654A76" w:rsidP="00654A76">
      <w:pPr>
        <w:spacing w:after="200" w:line="276" w:lineRule="auto"/>
        <w:rPr>
          <w:rFonts w:ascii="Verdana" w:eastAsia="Calibri" w:hAnsi="Verdana" w:cs="Calibri"/>
          <w:sz w:val="19"/>
          <w:szCs w:val="19"/>
          <w:lang w:val="en-IE"/>
        </w:rPr>
      </w:pPr>
    </w:p>
    <w:p w14:paraId="60F71505" w14:textId="77777777" w:rsidR="00162E5B" w:rsidRDefault="00162E5B" w:rsidP="00162E5B"/>
    <w:sectPr w:rsidR="00162E5B" w:rsidSect="008079BB">
      <w:headerReference w:type="default" r:id="rId80"/>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3791CF" w14:textId="77777777" w:rsidR="009A67D8" w:rsidRDefault="009A67D8" w:rsidP="00162E5B">
      <w:pPr>
        <w:spacing w:after="0" w:line="240" w:lineRule="auto"/>
      </w:pPr>
      <w:r>
        <w:separator/>
      </w:r>
    </w:p>
  </w:endnote>
  <w:endnote w:type="continuationSeparator" w:id="0">
    <w:p w14:paraId="55124605" w14:textId="77777777" w:rsidR="009A67D8" w:rsidRDefault="009A67D8" w:rsidP="00162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1F56A" w14:textId="77777777" w:rsidR="009A67D8" w:rsidRDefault="009A67D8" w:rsidP="00162E5B">
      <w:pPr>
        <w:spacing w:after="0" w:line="240" w:lineRule="auto"/>
      </w:pPr>
      <w:r>
        <w:separator/>
      </w:r>
    </w:p>
  </w:footnote>
  <w:footnote w:type="continuationSeparator" w:id="0">
    <w:p w14:paraId="53213CB7" w14:textId="77777777" w:rsidR="009A67D8" w:rsidRDefault="009A67D8" w:rsidP="00162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45E58" w14:textId="45D857BF" w:rsidR="009A67D8" w:rsidRDefault="009A67D8">
    <w:pPr>
      <w:pStyle w:val="Header"/>
    </w:pPr>
    <w:r>
      <w:rPr>
        <w:noProof/>
        <w:lang w:eastAsia="en-GB"/>
      </w:rPr>
      <w:drawing>
        <wp:inline distT="0" distB="0" distL="0" distR="0" wp14:anchorId="17AB0BD6" wp14:editId="7604EEB8">
          <wp:extent cx="5731510" cy="260985"/>
          <wp:effectExtent l="0" t="0" r="2540" b="5715"/>
          <wp:docPr id="18" name="Picture 18" descr="FRA-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09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C12F3A"/>
    <w:multiLevelType w:val="hybridMultilevel"/>
    <w:tmpl w:val="A31E3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176D61"/>
    <w:multiLevelType w:val="hybridMultilevel"/>
    <w:tmpl w:val="D9C630E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40B81F51"/>
    <w:multiLevelType w:val="hybridMultilevel"/>
    <w:tmpl w:val="98768DA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1B65389"/>
    <w:multiLevelType w:val="hybridMultilevel"/>
    <w:tmpl w:val="D1F689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65331E75"/>
    <w:multiLevelType w:val="hybridMultilevel"/>
    <w:tmpl w:val="48E04C8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5" w15:restartNumberingAfterBreak="0">
    <w:nsid w:val="6BBF3B8B"/>
    <w:multiLevelType w:val="hybridMultilevel"/>
    <w:tmpl w:val="43707DB8"/>
    <w:lvl w:ilvl="0" w:tplc="A600D9E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F0D072A"/>
    <w:multiLevelType w:val="hybridMultilevel"/>
    <w:tmpl w:val="19E4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5C13BD"/>
    <w:multiLevelType w:val="hybridMultilevel"/>
    <w:tmpl w:val="C5D2BFF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6"/>
  </w:num>
  <w:num w:numId="3">
    <w:abstractNumId w:val="7"/>
  </w:num>
  <w:num w:numId="4">
    <w:abstractNumId w:val="0"/>
  </w:num>
  <w:num w:numId="5">
    <w:abstractNumId w:val="3"/>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67C"/>
    <w:rsid w:val="00005C6A"/>
    <w:rsid w:val="0002399F"/>
    <w:rsid w:val="00035813"/>
    <w:rsid w:val="00037629"/>
    <w:rsid w:val="00065612"/>
    <w:rsid w:val="00065E18"/>
    <w:rsid w:val="00066875"/>
    <w:rsid w:val="00075B7D"/>
    <w:rsid w:val="000F32F9"/>
    <w:rsid w:val="00105EB0"/>
    <w:rsid w:val="00130E6A"/>
    <w:rsid w:val="0013302D"/>
    <w:rsid w:val="00145946"/>
    <w:rsid w:val="00160481"/>
    <w:rsid w:val="00162E5B"/>
    <w:rsid w:val="00163BA8"/>
    <w:rsid w:val="00173FAF"/>
    <w:rsid w:val="00184552"/>
    <w:rsid w:val="00197B97"/>
    <w:rsid w:val="001A7E34"/>
    <w:rsid w:val="001B0E88"/>
    <w:rsid w:val="001B79F5"/>
    <w:rsid w:val="001C5BB0"/>
    <w:rsid w:val="001D5C87"/>
    <w:rsid w:val="001D705E"/>
    <w:rsid w:val="001E1C0D"/>
    <w:rsid w:val="001F690F"/>
    <w:rsid w:val="00217CB4"/>
    <w:rsid w:val="002434F5"/>
    <w:rsid w:val="0026320B"/>
    <w:rsid w:val="0027487C"/>
    <w:rsid w:val="002B214A"/>
    <w:rsid w:val="002C6A6F"/>
    <w:rsid w:val="002E11C4"/>
    <w:rsid w:val="002E23D2"/>
    <w:rsid w:val="00305BDE"/>
    <w:rsid w:val="003129EB"/>
    <w:rsid w:val="0032578D"/>
    <w:rsid w:val="00334E9A"/>
    <w:rsid w:val="00390136"/>
    <w:rsid w:val="003C57DF"/>
    <w:rsid w:val="003F63B1"/>
    <w:rsid w:val="004040CA"/>
    <w:rsid w:val="004115E1"/>
    <w:rsid w:val="004203E5"/>
    <w:rsid w:val="004208F0"/>
    <w:rsid w:val="00443230"/>
    <w:rsid w:val="004443A4"/>
    <w:rsid w:val="00485D95"/>
    <w:rsid w:val="004C653B"/>
    <w:rsid w:val="004D09A0"/>
    <w:rsid w:val="004E1C42"/>
    <w:rsid w:val="004E48E6"/>
    <w:rsid w:val="0051457D"/>
    <w:rsid w:val="00514B8C"/>
    <w:rsid w:val="00533317"/>
    <w:rsid w:val="00565BD3"/>
    <w:rsid w:val="0059003D"/>
    <w:rsid w:val="005950FD"/>
    <w:rsid w:val="005D5343"/>
    <w:rsid w:val="00613586"/>
    <w:rsid w:val="00622A81"/>
    <w:rsid w:val="006353EE"/>
    <w:rsid w:val="00636B1E"/>
    <w:rsid w:val="00636F70"/>
    <w:rsid w:val="00654A76"/>
    <w:rsid w:val="00677B65"/>
    <w:rsid w:val="006B5A5C"/>
    <w:rsid w:val="006E1E70"/>
    <w:rsid w:val="00700A98"/>
    <w:rsid w:val="00716D19"/>
    <w:rsid w:val="00731017"/>
    <w:rsid w:val="00736C94"/>
    <w:rsid w:val="0077096A"/>
    <w:rsid w:val="007862CD"/>
    <w:rsid w:val="007878FA"/>
    <w:rsid w:val="007D0713"/>
    <w:rsid w:val="007F0B89"/>
    <w:rsid w:val="008079BB"/>
    <w:rsid w:val="008145A3"/>
    <w:rsid w:val="00844EA1"/>
    <w:rsid w:val="008511C9"/>
    <w:rsid w:val="008979C5"/>
    <w:rsid w:val="008B1B23"/>
    <w:rsid w:val="008C0D87"/>
    <w:rsid w:val="008C6A6C"/>
    <w:rsid w:val="008C7E42"/>
    <w:rsid w:val="008D5C6C"/>
    <w:rsid w:val="008F1D82"/>
    <w:rsid w:val="00914E94"/>
    <w:rsid w:val="00966BC2"/>
    <w:rsid w:val="009A12BE"/>
    <w:rsid w:val="009A2611"/>
    <w:rsid w:val="009A5988"/>
    <w:rsid w:val="009A67D8"/>
    <w:rsid w:val="009B6971"/>
    <w:rsid w:val="009C0556"/>
    <w:rsid w:val="009C548C"/>
    <w:rsid w:val="009D64C9"/>
    <w:rsid w:val="009E1A8E"/>
    <w:rsid w:val="00A02B7C"/>
    <w:rsid w:val="00A209CC"/>
    <w:rsid w:val="00A7440A"/>
    <w:rsid w:val="00A83203"/>
    <w:rsid w:val="00A84084"/>
    <w:rsid w:val="00A9123A"/>
    <w:rsid w:val="00AA7535"/>
    <w:rsid w:val="00AF5071"/>
    <w:rsid w:val="00B14C85"/>
    <w:rsid w:val="00B158DC"/>
    <w:rsid w:val="00B263BF"/>
    <w:rsid w:val="00B2663D"/>
    <w:rsid w:val="00B27022"/>
    <w:rsid w:val="00B3612E"/>
    <w:rsid w:val="00B65341"/>
    <w:rsid w:val="00B76738"/>
    <w:rsid w:val="00B85BA3"/>
    <w:rsid w:val="00B87519"/>
    <w:rsid w:val="00B94BA6"/>
    <w:rsid w:val="00B963BE"/>
    <w:rsid w:val="00BA5D7C"/>
    <w:rsid w:val="00BB19C8"/>
    <w:rsid w:val="00BB7336"/>
    <w:rsid w:val="00BE0D27"/>
    <w:rsid w:val="00BF54DF"/>
    <w:rsid w:val="00C176A0"/>
    <w:rsid w:val="00C32BDC"/>
    <w:rsid w:val="00C451B9"/>
    <w:rsid w:val="00C52E57"/>
    <w:rsid w:val="00C916A6"/>
    <w:rsid w:val="00CA3418"/>
    <w:rsid w:val="00CA6DD0"/>
    <w:rsid w:val="00CC69BA"/>
    <w:rsid w:val="00CF39D7"/>
    <w:rsid w:val="00D30D10"/>
    <w:rsid w:val="00D32161"/>
    <w:rsid w:val="00D439BC"/>
    <w:rsid w:val="00D441D9"/>
    <w:rsid w:val="00D578F5"/>
    <w:rsid w:val="00D628D2"/>
    <w:rsid w:val="00D70FE3"/>
    <w:rsid w:val="00DB10AE"/>
    <w:rsid w:val="00DC4781"/>
    <w:rsid w:val="00DF6F43"/>
    <w:rsid w:val="00E1792E"/>
    <w:rsid w:val="00E20755"/>
    <w:rsid w:val="00E362E1"/>
    <w:rsid w:val="00E410C4"/>
    <w:rsid w:val="00E52E45"/>
    <w:rsid w:val="00E538CE"/>
    <w:rsid w:val="00E9735C"/>
    <w:rsid w:val="00EA13D0"/>
    <w:rsid w:val="00EA69A7"/>
    <w:rsid w:val="00EC37EC"/>
    <w:rsid w:val="00EC6154"/>
    <w:rsid w:val="00ED767C"/>
    <w:rsid w:val="00F0172F"/>
    <w:rsid w:val="00F13C2A"/>
    <w:rsid w:val="00F231DE"/>
    <w:rsid w:val="00F43F46"/>
    <w:rsid w:val="00F57ECE"/>
    <w:rsid w:val="00F8239F"/>
    <w:rsid w:val="00FA3932"/>
    <w:rsid w:val="00FC7800"/>
    <w:rsid w:val="00FE1F2F"/>
    <w:rsid w:val="00FF6C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EC0FD40"/>
  <w15:chartTrackingRefBased/>
  <w15:docId w15:val="{795D0337-3AE3-4FC0-8255-A8F95B509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CF39D7"/>
    <w:pPr>
      <w:keepNext/>
      <w:keepLines/>
      <w:tabs>
        <w:tab w:val="left" w:pos="851"/>
      </w:tabs>
      <w:autoSpaceDE w:val="0"/>
      <w:autoSpaceDN w:val="0"/>
      <w:adjustRightInd w:val="0"/>
      <w:spacing w:before="360" w:after="240" w:line="240" w:lineRule="auto"/>
      <w:jc w:val="both"/>
      <w:outlineLvl w:val="0"/>
    </w:pPr>
    <w:rPr>
      <w:rFonts w:ascii="Verdana" w:eastAsia="Times New Roman" w:hAnsi="Verdana" w:cs="Times New Roman"/>
      <w:b/>
      <w:bCs/>
      <w:sz w:val="32"/>
      <w:szCs w:val="32"/>
      <w:lang w:val="en-I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767C"/>
    <w:pPr>
      <w:ind w:left="720"/>
      <w:contextualSpacing/>
    </w:pPr>
  </w:style>
  <w:style w:type="table" w:styleId="TableGrid">
    <w:name w:val="Table Grid"/>
    <w:basedOn w:val="TableNormal"/>
    <w:uiPriority w:val="39"/>
    <w:rsid w:val="00162E5B"/>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2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E5B"/>
  </w:style>
  <w:style w:type="paragraph" w:styleId="Footer">
    <w:name w:val="footer"/>
    <w:basedOn w:val="Normal"/>
    <w:link w:val="FooterChar"/>
    <w:uiPriority w:val="99"/>
    <w:unhideWhenUsed/>
    <w:rsid w:val="00162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E5B"/>
  </w:style>
  <w:style w:type="character" w:styleId="Hyperlink">
    <w:name w:val="Hyperlink"/>
    <w:basedOn w:val="DefaultParagraphFont"/>
    <w:uiPriority w:val="99"/>
    <w:unhideWhenUsed/>
    <w:rsid w:val="00160481"/>
    <w:rPr>
      <w:color w:val="0563C1" w:themeColor="hyperlink"/>
      <w:u w:val="single"/>
    </w:rPr>
  </w:style>
  <w:style w:type="paragraph" w:styleId="FootnoteText">
    <w:name w:val="footnote text"/>
    <w:basedOn w:val="Normal"/>
    <w:link w:val="FootnoteTextChar"/>
    <w:uiPriority w:val="99"/>
    <w:semiHidden/>
    <w:unhideWhenUsed/>
    <w:rsid w:val="00F43F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3F46"/>
    <w:rPr>
      <w:sz w:val="20"/>
      <w:szCs w:val="20"/>
    </w:rPr>
  </w:style>
  <w:style w:type="character" w:styleId="FootnoteReference">
    <w:name w:val="footnote reference"/>
    <w:basedOn w:val="DefaultParagraphFont"/>
    <w:uiPriority w:val="99"/>
    <w:semiHidden/>
    <w:unhideWhenUsed/>
    <w:rsid w:val="00F43F46"/>
    <w:rPr>
      <w:vertAlign w:val="superscript"/>
    </w:rPr>
  </w:style>
  <w:style w:type="character" w:styleId="FollowedHyperlink">
    <w:name w:val="FollowedHyperlink"/>
    <w:basedOn w:val="DefaultParagraphFont"/>
    <w:uiPriority w:val="99"/>
    <w:semiHidden/>
    <w:unhideWhenUsed/>
    <w:rsid w:val="00622A81"/>
    <w:rPr>
      <w:color w:val="954F72" w:themeColor="followedHyperlink"/>
      <w:u w:val="single"/>
    </w:rPr>
  </w:style>
  <w:style w:type="character" w:styleId="CommentReference">
    <w:name w:val="annotation reference"/>
    <w:basedOn w:val="DefaultParagraphFont"/>
    <w:uiPriority w:val="99"/>
    <w:semiHidden/>
    <w:unhideWhenUsed/>
    <w:rsid w:val="008B1B23"/>
    <w:rPr>
      <w:sz w:val="16"/>
      <w:szCs w:val="16"/>
    </w:rPr>
  </w:style>
  <w:style w:type="paragraph" w:styleId="CommentText">
    <w:name w:val="annotation text"/>
    <w:basedOn w:val="Normal"/>
    <w:link w:val="CommentTextChar"/>
    <w:uiPriority w:val="99"/>
    <w:semiHidden/>
    <w:unhideWhenUsed/>
    <w:rsid w:val="008B1B23"/>
    <w:pPr>
      <w:spacing w:line="240" w:lineRule="auto"/>
    </w:pPr>
    <w:rPr>
      <w:sz w:val="20"/>
      <w:szCs w:val="20"/>
    </w:rPr>
  </w:style>
  <w:style w:type="character" w:customStyle="1" w:styleId="CommentTextChar">
    <w:name w:val="Comment Text Char"/>
    <w:basedOn w:val="DefaultParagraphFont"/>
    <w:link w:val="CommentText"/>
    <w:uiPriority w:val="99"/>
    <w:semiHidden/>
    <w:rsid w:val="008B1B23"/>
    <w:rPr>
      <w:sz w:val="20"/>
      <w:szCs w:val="20"/>
    </w:rPr>
  </w:style>
  <w:style w:type="paragraph" w:styleId="CommentSubject">
    <w:name w:val="annotation subject"/>
    <w:basedOn w:val="CommentText"/>
    <w:next w:val="CommentText"/>
    <w:link w:val="CommentSubjectChar"/>
    <w:uiPriority w:val="99"/>
    <w:semiHidden/>
    <w:unhideWhenUsed/>
    <w:rsid w:val="008B1B23"/>
    <w:rPr>
      <w:b/>
      <w:bCs/>
    </w:rPr>
  </w:style>
  <w:style w:type="character" w:customStyle="1" w:styleId="CommentSubjectChar">
    <w:name w:val="Comment Subject Char"/>
    <w:basedOn w:val="CommentTextChar"/>
    <w:link w:val="CommentSubject"/>
    <w:uiPriority w:val="99"/>
    <w:semiHidden/>
    <w:rsid w:val="008B1B23"/>
    <w:rPr>
      <w:b/>
      <w:bCs/>
      <w:sz w:val="20"/>
      <w:szCs w:val="20"/>
    </w:rPr>
  </w:style>
  <w:style w:type="paragraph" w:styleId="BalloonText">
    <w:name w:val="Balloon Text"/>
    <w:basedOn w:val="Normal"/>
    <w:link w:val="BalloonTextChar"/>
    <w:uiPriority w:val="99"/>
    <w:semiHidden/>
    <w:unhideWhenUsed/>
    <w:rsid w:val="008B1B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B23"/>
    <w:rPr>
      <w:rFonts w:ascii="Segoe UI" w:hAnsi="Segoe UI" w:cs="Segoe UI"/>
      <w:sz w:val="18"/>
      <w:szCs w:val="18"/>
    </w:rPr>
  </w:style>
  <w:style w:type="character" w:customStyle="1" w:styleId="Heading1Char">
    <w:name w:val="Heading 1 Char"/>
    <w:basedOn w:val="DefaultParagraphFont"/>
    <w:link w:val="Heading1"/>
    <w:uiPriority w:val="99"/>
    <w:rsid w:val="00CF39D7"/>
    <w:rPr>
      <w:rFonts w:ascii="Verdana" w:eastAsia="Times New Roman" w:hAnsi="Verdana" w:cs="Times New Roman"/>
      <w:b/>
      <w:bCs/>
      <w:sz w:val="32"/>
      <w:szCs w:val="32"/>
      <w:lang w:val="en-IE" w:eastAsia="en-GB"/>
    </w:rPr>
  </w:style>
  <w:style w:type="paragraph" w:styleId="NormalWeb">
    <w:name w:val="Normal (Web)"/>
    <w:basedOn w:val="Normal"/>
    <w:uiPriority w:val="99"/>
    <w:rsid w:val="00CF39D7"/>
    <w:pPr>
      <w:spacing w:before="100" w:beforeAutospacing="1" w:after="100" w:afterAutospacing="1" w:line="240" w:lineRule="auto"/>
    </w:pPr>
    <w:rPr>
      <w:rFonts w:ascii="Times New Roman" w:eastAsia="Times New Roman" w:hAnsi="Times New Roman" w:cs="Times New Roman"/>
      <w:sz w:val="24"/>
      <w:szCs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ra.europa.eu/en/publication/2012/involuntary-placement-and-involuntary-treatment-persons-mental-health-problems" TargetMode="External"/><Relationship Id="rId21" Type="http://schemas.openxmlformats.org/officeDocument/2006/relationships/hyperlink" Target="http://www.edf-feph.org/" TargetMode="External"/><Relationship Id="rId42" Type="http://schemas.openxmlformats.org/officeDocument/2006/relationships/hyperlink" Target="http://fra.europa.eu/sites/default/files/styles/fra_large/public/fra_images/cover-image-frr-2016_en.jpg?itok=WhMJFWph" TargetMode="External"/><Relationship Id="rId47" Type="http://schemas.openxmlformats.org/officeDocument/2006/relationships/hyperlink" Target="http://fra.europa.eu/sites/default/files/styles/fra_large/public/fra_images/cover_violence_against_children_with_disabilities_report.jpg?itok=fmJl-0V7" TargetMode="External"/><Relationship Id="rId63" Type="http://schemas.openxmlformats.org/officeDocument/2006/relationships/image" Target="media/image11.png"/><Relationship Id="rId68" Type="http://schemas.openxmlformats.org/officeDocument/2006/relationships/hyperlink" Target="http://fra.europa.eu/fraWebsite/research/publications/publications_per_year/2011/pub-legal-protection-persons-mental-health-problems_en.htm" TargetMode="External"/><Relationship Id="rId16" Type="http://schemas.openxmlformats.org/officeDocument/2006/relationships/hyperlink" Target="http://fra.europa.eu/sites/default/files/fra-2013-opinion-eu-equality-directives_en.pdf" TargetMode="External"/><Relationship Id="rId11" Type="http://schemas.openxmlformats.org/officeDocument/2006/relationships/footnotes" Target="footnotes.xml"/><Relationship Id="rId32" Type="http://schemas.openxmlformats.org/officeDocument/2006/relationships/hyperlink" Target="http://fra.europa.eu/en/publication/2015/equal-protection-all-victims-hate-crime-case-people-disabilities" TargetMode="External"/><Relationship Id="rId37" Type="http://schemas.openxmlformats.org/officeDocument/2006/relationships/hyperlink" Target="http://fra.europa.eu/en/publications-and-resources/data-and-maps" TargetMode="External"/><Relationship Id="rId53" Type="http://schemas.openxmlformats.org/officeDocument/2006/relationships/hyperlink" Target="http://fra.europa.eu/en/publication/2015/equal-protection-all-victims-hate-crime-case-people-disabilities" TargetMode="External"/><Relationship Id="rId58" Type="http://schemas.openxmlformats.org/officeDocument/2006/relationships/image" Target="media/image9.jpeg"/><Relationship Id="rId74" Type="http://schemas.openxmlformats.org/officeDocument/2006/relationships/oleObject" Target="embeddings/oleObject5.bin"/><Relationship Id="rId79" Type="http://schemas.openxmlformats.org/officeDocument/2006/relationships/hyperlink" Target="https://bookshop.europa.eu/" TargetMode="External"/><Relationship Id="rId24" Type="http://schemas.openxmlformats.org/officeDocument/2006/relationships/hyperlink" Target="http://fra.europa.eu/en/publication/2012/involuntary-placement-and-involuntary-treatment-persons-mental-health-problems" TargetMode="External"/><Relationship Id="rId40" Type="http://schemas.openxmlformats.org/officeDocument/2006/relationships/image" Target="media/image1.jpeg"/><Relationship Id="rId45" Type="http://schemas.openxmlformats.org/officeDocument/2006/relationships/oleObject" Target="embeddings/oleObject1.bin"/><Relationship Id="rId66" Type="http://schemas.openxmlformats.org/officeDocument/2006/relationships/hyperlink" Target="http://fra.europa.eu/en/publication/2012/choice-and-control-right-independent-living" TargetMode="External"/><Relationship Id="rId5" Type="http://schemas.openxmlformats.org/officeDocument/2006/relationships/customXml" Target="../customXml/item5.xml"/><Relationship Id="rId61" Type="http://schemas.openxmlformats.org/officeDocument/2006/relationships/oleObject" Target="embeddings/oleObject2.bin"/><Relationship Id="rId82" Type="http://schemas.openxmlformats.org/officeDocument/2006/relationships/theme" Target="theme/theme1.xml"/><Relationship Id="rId19" Type="http://schemas.openxmlformats.org/officeDocument/2006/relationships/hyperlink" Target="http://www.ombudsman.europa.eu/home.faces" TargetMode="External"/><Relationship Id="rId14" Type="http://schemas.openxmlformats.org/officeDocument/2006/relationships/hyperlink" Target="http://fra.europa.eu/en/publications-and-resources/publications?title=&amp;year%5Bmin%5D%5Byear%5D=&amp;year%5Bmax%5D%5Byear%5D=&amp;related_content=&amp;field_fra_publication_type_tid_i18n%5B%5D=82&amp;language=All&amp;countries_eu=All&amp;publisher=81&amp;=Apply" TargetMode="External"/><Relationship Id="rId22" Type="http://schemas.openxmlformats.org/officeDocument/2006/relationships/hyperlink" Target="http://fra.europa.eu/en/theme/people-disabilities/eu-crpd-framework" TargetMode="External"/><Relationship Id="rId27" Type="http://schemas.openxmlformats.org/officeDocument/2006/relationships/hyperlink" Target="http://fra.europa.eu/en/publication/2012/choice-and-control-right-independent-living" TargetMode="External"/><Relationship Id="rId30" Type="http://schemas.openxmlformats.org/officeDocument/2006/relationships/hyperlink" Target="http://fra.europa.eu/en/publication/2016/rights-suspected-and-accused-persons-across-eu-translation-interpretation-and" TargetMode="External"/><Relationship Id="rId35" Type="http://schemas.openxmlformats.org/officeDocument/2006/relationships/hyperlink" Target="http://fra.europa.eu/en/survey/2012/eu-lgbt-survey" TargetMode="External"/><Relationship Id="rId43" Type="http://schemas.openxmlformats.org/officeDocument/2006/relationships/image" Target="media/image3.jpeg"/><Relationship Id="rId48" Type="http://schemas.openxmlformats.org/officeDocument/2006/relationships/image" Target="media/image5.jpeg"/><Relationship Id="rId56" Type="http://schemas.openxmlformats.org/officeDocument/2006/relationships/hyperlink" Target="http://fra.europa.eu/en/publication/2014/right-political-participation-persons-disabilities-human-rights-indicators" TargetMode="External"/><Relationship Id="rId64" Type="http://schemas.openxmlformats.org/officeDocument/2006/relationships/hyperlink" Target="http://fra.europa.eu/en/publication/2012/involuntary-placement-and-involuntary-treatment-persons-mental-health-problems" TargetMode="External"/><Relationship Id="rId69" Type="http://schemas.openxmlformats.org/officeDocument/2006/relationships/image" Target="media/image14.png"/><Relationship Id="rId77" Type="http://schemas.openxmlformats.org/officeDocument/2006/relationships/image" Target="media/image18.jpeg"/><Relationship Id="rId8" Type="http://schemas.openxmlformats.org/officeDocument/2006/relationships/styles" Target="styles.xml"/><Relationship Id="rId51" Type="http://schemas.openxmlformats.org/officeDocument/2006/relationships/hyperlink" Target="http://fra.europa.eu/en/publication/2015/implementing-un-crpd-overview-legal-reforms-eu-member-states" TargetMode="External"/><Relationship Id="rId72" Type="http://schemas.openxmlformats.org/officeDocument/2006/relationships/oleObject" Target="embeddings/oleObject4.bin"/><Relationship Id="rId80" Type="http://schemas.openxmlformats.org/officeDocument/2006/relationships/header" Target="header1.xml"/><Relationship Id="rId12" Type="http://schemas.openxmlformats.org/officeDocument/2006/relationships/endnotes" Target="endnotes.xml"/><Relationship Id="rId17" Type="http://schemas.openxmlformats.org/officeDocument/2006/relationships/hyperlink" Target="http://fra.europa.eu/en/publications-and-resources/data-and-maps/int-obligations/crpd" TargetMode="External"/><Relationship Id="rId25" Type="http://schemas.openxmlformats.org/officeDocument/2006/relationships/hyperlink" Target="http://fra.europa.eu/sites/default/files/fra_uploads/1797-FRA-2011-Legal-protection-persons-mental-health-problems-report_EN.pdfhttp:/fra.europa.eu/sites/default/files/fra_uploads/1797-FRA-2011-Legal-protection-persons-mental-health-problems-report_EN.pdf" TargetMode="External"/><Relationship Id="rId33" Type="http://schemas.openxmlformats.org/officeDocument/2006/relationships/hyperlink" Target="http://fra.europa.eu/en/publication/2014/violence-against-women-eu-wide-survey-main-results-report" TargetMode="External"/><Relationship Id="rId38" Type="http://schemas.openxmlformats.org/officeDocument/2006/relationships/hyperlink" Target="mailto:disability@fra.europa.eu" TargetMode="External"/><Relationship Id="rId46" Type="http://schemas.openxmlformats.org/officeDocument/2006/relationships/hyperlink" Target="http://fra.europa.eu/en/opinion/2016/fra-opinion-concerning-requirements-under-article-33-2-un-convention-rights-persons" TargetMode="External"/><Relationship Id="rId59" Type="http://schemas.openxmlformats.org/officeDocument/2006/relationships/hyperlink" Target="http://fra.europa.eu/en/project/2013/political-participation-persons-disabilities/infographics" TargetMode="External"/><Relationship Id="rId67" Type="http://schemas.openxmlformats.org/officeDocument/2006/relationships/image" Target="media/image13.jpeg"/><Relationship Id="rId20" Type="http://schemas.openxmlformats.org/officeDocument/2006/relationships/hyperlink" Target="http://fra.europa.eu/en/theme/people-disabilities" TargetMode="External"/><Relationship Id="rId41" Type="http://schemas.openxmlformats.org/officeDocument/2006/relationships/image" Target="media/image2.png"/><Relationship Id="rId54" Type="http://schemas.openxmlformats.org/officeDocument/2006/relationships/hyperlink" Target="http://fra.europa.eu/sites/default/files/styles/fra_large/public/fra_images/fra-2014-right-political-participation-persons-disabilities-cover.jpg" TargetMode="External"/><Relationship Id="rId62" Type="http://schemas.openxmlformats.org/officeDocument/2006/relationships/hyperlink" Target="http://fra.europa.eu/en/publication/2013/legal-capacity-persons-intellectual-disabilities-and-persons-mental-health-problems" TargetMode="External"/><Relationship Id="rId70" Type="http://schemas.openxmlformats.org/officeDocument/2006/relationships/oleObject" Target="embeddings/oleObject3.bin"/><Relationship Id="rId75" Type="http://schemas.openxmlformats.org/officeDocument/2006/relationships/hyperlink" Target="http://fra.europa.eu/en/publication/2013/how-people-are-treated-differently-healthcare" TargetMode="External"/><Relationship Id="rId83" Type="http://schemas.openxmlformats.org/officeDocument/2006/relationships/customXml" Target="../customXml/item7.xml"/><Relationship Id="rId6" Type="http://schemas.openxmlformats.org/officeDocument/2006/relationships/customXml" Target="../customXml/item6.xml"/><Relationship Id="rId15" Type="http://schemas.openxmlformats.org/officeDocument/2006/relationships/hyperlink" Target="http://fra.europa.eu/en/publication/2015/implementing-un-crpd-overview-legal-reforms-eu-member-states" TargetMode="External"/><Relationship Id="rId23" Type="http://schemas.openxmlformats.org/officeDocument/2006/relationships/hyperlink" Target="http://fra.europa.eu/en/publication/2013/legal-capacity-persons-intellectual-disabilities-and-persons-mental-health-problems" TargetMode="External"/><Relationship Id="rId28" Type="http://schemas.openxmlformats.org/officeDocument/2006/relationships/hyperlink" Target="http://fra.europa.eu/sites/default/files/fra_uploads/fra-2015-violence-against-children-with-disabilities_en.pdf" TargetMode="External"/><Relationship Id="rId36" Type="http://schemas.openxmlformats.org/officeDocument/2006/relationships/hyperlink" Target="http://fra.europa.eu/en/project/2015/fundamental-rights-survey" TargetMode="External"/><Relationship Id="rId49" Type="http://schemas.openxmlformats.org/officeDocument/2006/relationships/hyperlink" Target="http://fra.europa.eu/en/publication/2015/children-disabilities-violence" TargetMode="External"/><Relationship Id="rId57" Type="http://schemas.openxmlformats.org/officeDocument/2006/relationships/hyperlink" Target="http://fra.europa.eu/sites/default/files/styles/fra_large/public/fra_images/polpar_infographics.jpg" TargetMode="External"/><Relationship Id="rId10" Type="http://schemas.openxmlformats.org/officeDocument/2006/relationships/webSettings" Target="webSettings.xml"/><Relationship Id="rId31" Type="http://schemas.openxmlformats.org/officeDocument/2006/relationships/hyperlink" Target="http://fra.europa.eu/en/publication/2012/access-justice-cases-discrimination-eu-steps-further-equality" TargetMode="External"/><Relationship Id="rId44" Type="http://schemas.openxmlformats.org/officeDocument/2006/relationships/image" Target="media/image4.png"/><Relationship Id="rId52" Type="http://schemas.openxmlformats.org/officeDocument/2006/relationships/image" Target="media/image7.jpeg"/><Relationship Id="rId60" Type="http://schemas.openxmlformats.org/officeDocument/2006/relationships/image" Target="media/image10.png"/><Relationship Id="rId65" Type="http://schemas.openxmlformats.org/officeDocument/2006/relationships/image" Target="media/image12.png"/><Relationship Id="rId73" Type="http://schemas.openxmlformats.org/officeDocument/2006/relationships/image" Target="media/image16.png"/><Relationship Id="rId78" Type="http://schemas.openxmlformats.org/officeDocument/2006/relationships/image" Target="media/image19.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fra.europa.eu/en/theme/people-disabilities/publications" TargetMode="External"/><Relationship Id="rId18" Type="http://schemas.openxmlformats.org/officeDocument/2006/relationships/hyperlink" Target="http://www.europarl.europa.eu/portal/en" TargetMode="External"/><Relationship Id="rId39" Type="http://schemas.openxmlformats.org/officeDocument/2006/relationships/hyperlink" Target="http://fra.europa.eu/sites/default/files/styles/fra_large/public/fra_images/frr2017_cover.jpg?itok=yOSemuO7" TargetMode="External"/><Relationship Id="rId34" Type="http://schemas.openxmlformats.org/officeDocument/2006/relationships/hyperlink" Target="http://fra.europa.eu/en/project/2011/eu-midis-european-union-minorities-and-discrimination-survey" TargetMode="External"/><Relationship Id="rId50" Type="http://schemas.openxmlformats.org/officeDocument/2006/relationships/image" Target="media/image6.jpeg"/><Relationship Id="rId55" Type="http://schemas.openxmlformats.org/officeDocument/2006/relationships/image" Target="media/image8.jpeg"/><Relationship Id="rId76" Type="http://schemas.openxmlformats.org/officeDocument/2006/relationships/image" Target="media/image17.jpeg"/><Relationship Id="rId7" Type="http://schemas.openxmlformats.org/officeDocument/2006/relationships/numbering" Target="numbering.xml"/><Relationship Id="rId71" Type="http://schemas.openxmlformats.org/officeDocument/2006/relationships/image" Target="media/image15.png"/><Relationship Id="rId29" Type="http://schemas.openxmlformats.org/officeDocument/2006/relationships/hyperlink" Target="http://fra.europa.eu/en/publication/2013/legal-capacity-persons-intellectual-disabilities-and-persons-mental-health-proble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FRA_BASE_DOC" ma:contentTypeID="0x01010067AD7CD5C461412DBD5AECDF4DD01DD000C0CD4D2585974D42B5CE8F2431434F4000E522BBD1893A6C4696D4247365C92F2E" ma:contentTypeVersion="20" ma:contentTypeDescription="" ma:contentTypeScope="" ma:versionID="d414b16ecfd26ff9e2381fb29392ec15">
  <xsd:schema xmlns:xsd="http://www.w3.org/2001/XMLSchema" xmlns:xs="http://www.w3.org/2001/XMLSchema" xmlns:p="http://schemas.microsoft.com/office/2006/metadata/properties" xmlns:ns2="200fed6a-fac6-4054-bdd4-71a44c395734" xmlns:ns3="16097700-bd0a-4b4b-83d5-90842b5175e0" targetNamespace="http://schemas.microsoft.com/office/2006/metadata/properties" ma:root="true" ma:fieldsID="db7045072e926cb2bddf62641a0f8f12" ns2:_="" ns3:_="">
    <xsd:import namespace="200fed6a-fac6-4054-bdd4-71a44c395734"/>
    <xsd:import namespace="16097700-bd0a-4b4b-83d5-90842b5175e0"/>
    <xsd:element name="properties">
      <xsd:complexType>
        <xsd:sequence>
          <xsd:element name="documentManagement">
            <xsd:complexType>
              <xsd:all>
                <xsd:element ref="ns2:RelatedItem" minOccurs="0"/>
                <xsd:element ref="ns2:fraNotifyUsers" minOccurs="0"/>
                <xsd:element ref="ns3:fraClassification" minOccurs="0"/>
                <xsd:element ref="ns2:TaxCatchAll" minOccurs="0"/>
                <xsd:element ref="ns2:TaxCatchAllLabel" minOccurs="0"/>
                <xsd:element ref="ns2:fraPermissions"/>
                <xsd:element ref="ns3:fraRemovalBan" minOccurs="0"/>
                <xsd:element ref="ns3:OriginalUrl" minOccurs="0"/>
                <xsd:element ref="ns3:_dlc_DocId" minOccurs="0"/>
                <xsd:element ref="ns3:_dlc_DocIdUrl" minOccurs="0"/>
                <xsd:element ref="ns3:_dlc_DocIdPersistId" minOccurs="0"/>
                <xsd:element ref="ns3:OriginalUrl" minOccurs="0"/>
                <xsd:element ref="ns3:fraRemovalB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0fed6a-fac6-4054-bdd4-71a44c395734" elementFormDefault="qualified">
    <xsd:import namespace="http://schemas.microsoft.com/office/2006/documentManagement/types"/>
    <xsd:import namespace="http://schemas.microsoft.com/office/infopath/2007/PartnerControls"/>
    <xsd:element name="RelatedItem" ma:index="10" nillable="true" ma:displayName="Related Item" ma:description="" ma:internalName="RelatedItem">
      <xsd:simpleType>
        <xsd:restriction base="dms:Unknown"/>
      </xsd:simpleType>
    </xsd:element>
    <xsd:element name="fraNotifyUsers" ma:index="12" nillable="true" ma:displayName="Notify Users" ma:description="" ma:SearchPeopleOnly="false" ma:SharePointGroup="0" ma:internalName="fraNotify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16" nillable="true" ma:displayName="Taxonomy Catch All Column" ma:hidden="true" ma:list="{c66506aa-e50b-4570-8211-41edbd73317f}" ma:internalName="TaxCatchAll" ma:showField="CatchAllData" ma:web="16097700-bd0a-4b4b-83d5-90842b5175e0">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c66506aa-e50b-4570-8211-41edbd73317f}" ma:internalName="TaxCatchAllLabel" ma:readOnly="true" ma:showField="CatchAllDataLabel" ma:web="16097700-bd0a-4b4b-83d5-90842b5175e0">
      <xsd:complexType>
        <xsd:complexContent>
          <xsd:extension base="dms:MultiChoiceLookup">
            <xsd:sequence>
              <xsd:element name="Value" type="dms:Lookup" maxOccurs="unbounded" minOccurs="0" nillable="true"/>
            </xsd:sequence>
          </xsd:extension>
        </xsd:complexContent>
      </xsd:complexType>
    </xsd:element>
    <xsd:element name="fraPermissions" ma:index="18" ma:displayName="Permissions" ma:default="All: Read and write for all" ma:description="" ma:format="Dropdown" ma:internalName="fraPermissions" ma:readOnly="false">
      <xsd:simpleType>
        <xsd:restriction base="dms:Choice">
          <xsd:enumeration value="All: Read and write for all"/>
          <xsd:enumeration value="Public: Read for all, write dept."/>
          <xsd:enumeration value="Department: Read and write for dept."/>
          <xsd:enumeration value="Team: Read and write team and office"/>
        </xsd:restriction>
      </xsd:simpleType>
    </xsd:element>
  </xsd:schema>
  <xsd:schema xmlns:xsd="http://www.w3.org/2001/XMLSchema" xmlns:xs="http://www.w3.org/2001/XMLSchema" xmlns:dms="http://schemas.microsoft.com/office/2006/documentManagement/types" xmlns:pc="http://schemas.microsoft.com/office/infopath/2007/PartnerControls" targetNamespace="16097700-bd0a-4b4b-83d5-90842b5175e0" elementFormDefault="qualified">
    <xsd:import namespace="http://schemas.microsoft.com/office/2006/documentManagement/types"/>
    <xsd:import namespace="http://schemas.microsoft.com/office/infopath/2007/PartnerControls"/>
    <xsd:element name="fraClassification" ma:index="15" nillable="true" ma:displayName="Classification" ma:default="Public" ma:description="Classification" ma:format="Dropdown" ma:internalName="fraClassification" ma:readOnly="true">
      <xsd:simpleType>
        <xsd:restriction base="dms:Choice">
          <xsd:enumeration value="Confidential"/>
          <xsd:enumeration value="Limited"/>
          <xsd:enumeration value="Internal"/>
          <xsd:enumeration value="Public"/>
        </xsd:restriction>
      </xsd:simpleType>
    </xsd:element>
    <xsd:element name="fraRemovalBan" ma:index="21" nillable="true" ma:displayName="Removal Ban" ma:hidden="true" ma:internalName="fraRemovalBan">
      <xsd:simpleType>
        <xsd:restriction base="dms:Text"/>
      </xsd:simpleType>
    </xsd:element>
    <xsd:element name="OriginalUrl" ma:index="22" nillable="true" ma:displayName="Original Url" ma:internalName="OriginalUrl" ma:readOnly="true">
      <xsd:simpleType>
        <xsd:restriction base="dms:Note">
          <xsd:maxLength value="255"/>
        </xsd:restriction>
      </xsd:simple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OriginalUrl" ma:index="26" nillable="true" ma:displayName="Original Url" ma:internalName="OriginalUrl" ma:readOnly="true">
      <xsd:simpleType>
        <xsd:restriction base="dms:Note">
          <xsd:maxLength value="255"/>
        </xsd:restriction>
      </xsd:simpleType>
    </xsd:element>
    <xsd:element name="fraRemovalBan" ma:index="27" nillable="true" ma:displayName="Removal Ban" ma:hidden="true" ma:internalName="fraRemovalBa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ontentTypeConfiguration xmlns:i="http://www.w3.org/2001/XMLSchema-instance" xmlns="http://schemas.com/sharepoint/v4/contenttype/eworx">
  <VirtualGroup>Basic Documents</VirtualGroup>
</ContentType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9FACB06-53DB-4EC6-BD4E-E2B127B7274C}">
  <ds:schemaRefs>
    <ds:schemaRef ds:uri="http://schemas.microsoft.com/sharepoint/events"/>
  </ds:schemaRefs>
</ds:datastoreItem>
</file>

<file path=customXml/itemProps2.xml><?xml version="1.0" encoding="utf-8"?>
<ds:datastoreItem xmlns:ds="http://schemas.openxmlformats.org/officeDocument/2006/customXml" ds:itemID="{C694C3CF-0C64-4533-A1DA-6FBA984B1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0fed6a-fac6-4054-bdd4-71a44c395734"/>
    <ds:schemaRef ds:uri="16097700-bd0a-4b4b-83d5-90842b5175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A5CD99-22B4-4E7A-9986-7DB05FE3575F}">
  <ds:schemaRefs>
    <ds:schemaRef ds:uri="http://schemas.com/sharepoint/v4/contenttype/eworx"/>
  </ds:schemaRefs>
</ds:datastoreItem>
</file>

<file path=customXml/itemProps4.xml><?xml version="1.0" encoding="utf-8"?>
<ds:datastoreItem xmlns:ds="http://schemas.openxmlformats.org/officeDocument/2006/customXml" ds:itemID="{78D11A67-FADC-4040-B06F-52417ECE5819}">
  <ds:schemaRefs>
    <ds:schemaRef ds:uri="http://schemas.microsoft.com/sharepoint/v3/contenttype/forms"/>
  </ds:schemaRefs>
</ds:datastoreItem>
</file>

<file path=customXml/itemProps5.xml><?xml version="1.0" encoding="utf-8"?>
<ds:datastoreItem xmlns:ds="http://schemas.openxmlformats.org/officeDocument/2006/customXml" ds:itemID="{33EDEF0C-11BE-4132-B79A-FBAFCF0AD63A}"/>
</file>

<file path=customXml/itemProps6.xml><?xml version="1.0" encoding="utf-8"?>
<ds:datastoreItem xmlns:ds="http://schemas.openxmlformats.org/officeDocument/2006/customXml" ds:itemID="{EC770061-0CBF-4AE6-A73C-C686EBF1CBAE}">
  <ds:schemaRefs>
    <ds:schemaRef ds:uri="http://schemas.openxmlformats.org/officeDocument/2006/bibliography"/>
  </ds:schemaRefs>
</ds:datastoreItem>
</file>

<file path=customXml/itemProps7.xml><?xml version="1.0" encoding="utf-8"?>
<ds:datastoreItem xmlns:ds="http://schemas.openxmlformats.org/officeDocument/2006/customXml" ds:itemID="{3BBE3FE5-892F-4D56-8C12-FBFD4C061AC3}"/>
</file>

<file path=docProps/app.xml><?xml version="1.0" encoding="utf-8"?>
<Properties xmlns="http://schemas.openxmlformats.org/officeDocument/2006/extended-properties" xmlns:vt="http://schemas.openxmlformats.org/officeDocument/2006/docPropsVTypes">
  <Template>Normal</Template>
  <TotalTime>119</TotalTime>
  <Pages>9</Pages>
  <Words>3369</Words>
  <Characters>19204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EU Fundamental Rights Agency</Company>
  <LinksUpToDate>false</LinksUpToDate>
  <CharactersWithSpaces>22528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STICKINGS Martha (FRA)</dc:creator>
  <cp:keywords/>
  <dc:description/>
  <cp:lastModifiedBy>STICKINGS Martha (FRA)</cp:lastModifiedBy>
  <cp:revision>33</cp:revision>
  <dcterms:created xsi:type="dcterms:W3CDTF">2017-07-07T08:05:00Z</dcterms:created>
  <dcterms:modified xsi:type="dcterms:W3CDTF">2017-07-11T10:24:00Z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