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BA" w:rsidRDefault="00AF4FBA" w:rsidP="00D005D3">
      <w:pPr>
        <w:ind w:left="2832" w:firstLine="708"/>
        <w:jc w:val="both"/>
        <w:rPr>
          <w:rFonts w:ascii="Times New Roman" w:hAnsi="Times New Roman"/>
          <w:b/>
          <w:sz w:val="24"/>
          <w:szCs w:val="24"/>
        </w:rPr>
      </w:pPr>
      <w:bookmarkStart w:id="0" w:name="_GoBack"/>
      <w:bookmarkEnd w:id="0"/>
      <w:r w:rsidRPr="00E54704">
        <w:rPr>
          <w:rFonts w:ascii="Times New Roman" w:hAnsi="Times New Roman"/>
          <w:b/>
          <w:sz w:val="24"/>
          <w:szCs w:val="24"/>
        </w:rPr>
        <w:t>QUESTIONNAIRE</w:t>
      </w:r>
    </w:p>
    <w:p w:rsidR="00D005D3" w:rsidRPr="00E54704" w:rsidRDefault="00D005D3" w:rsidP="00D005D3">
      <w:pPr>
        <w:ind w:left="2832" w:firstLine="708"/>
        <w:jc w:val="both"/>
        <w:rPr>
          <w:rFonts w:ascii="Times New Roman" w:hAnsi="Times New Roman"/>
          <w:b/>
          <w:sz w:val="24"/>
          <w:szCs w:val="24"/>
        </w:rPr>
      </w:pPr>
    </w:p>
    <w:p w:rsidR="00AF4FBA" w:rsidRPr="00E54704" w:rsidRDefault="00AF4FBA" w:rsidP="00AF4FBA">
      <w:pPr>
        <w:pStyle w:val="ListParagraph"/>
        <w:numPr>
          <w:ilvl w:val="0"/>
          <w:numId w:val="1"/>
        </w:numPr>
        <w:spacing w:after="100" w:afterAutospacing="1" w:line="240" w:lineRule="auto"/>
        <w:jc w:val="both"/>
        <w:rPr>
          <w:rFonts w:ascii="Times New Roman" w:hAnsi="Times New Roman"/>
          <w:b/>
          <w:sz w:val="24"/>
          <w:szCs w:val="24"/>
        </w:rPr>
      </w:pPr>
      <w:r w:rsidRPr="00E54704">
        <w:rPr>
          <w:rFonts w:ascii="Times New Roman" w:hAnsi="Times New Roman"/>
          <w:b/>
          <w:sz w:val="24"/>
          <w:szCs w:val="24"/>
        </w:rPr>
        <w:t>How is local government organised in your country? Please describe the existing legal framework for the organisation, functioning, competences and financial resources of local government in your country.</w:t>
      </w:r>
    </w:p>
    <w:p w:rsidR="008D73B8" w:rsidRPr="00E54704" w:rsidRDefault="008D73B8" w:rsidP="008D73B8">
      <w:pPr>
        <w:pStyle w:val="ListParagraph"/>
        <w:spacing w:after="100" w:afterAutospacing="1" w:line="240" w:lineRule="auto"/>
        <w:jc w:val="both"/>
        <w:rPr>
          <w:rFonts w:ascii="Times New Roman" w:hAnsi="Times New Roman"/>
          <w:sz w:val="24"/>
          <w:szCs w:val="24"/>
        </w:rPr>
      </w:pPr>
    </w:p>
    <w:p w:rsidR="008D73B8" w:rsidRPr="00E54704" w:rsidRDefault="008D73B8" w:rsidP="008D73B8">
      <w:pPr>
        <w:pStyle w:val="ListParagraph"/>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In Malaysia, there are three levels of government, which is the Federal government, State government and the local government, which represents the lowest level of governance. Due to the fact that geographically, Malaysia is made up of Peninsular Malaysia and Eastern Malaysia, i.e. Sabah and Sarawak, the main legislations that provide for the legal framework of the local government varies accordingly:</w:t>
      </w:r>
    </w:p>
    <w:p w:rsidR="008D73B8" w:rsidRPr="00E54704" w:rsidRDefault="008D73B8" w:rsidP="008D73B8">
      <w:pPr>
        <w:pStyle w:val="ListParagraph"/>
        <w:spacing w:after="100" w:afterAutospacing="1"/>
        <w:jc w:val="both"/>
        <w:rPr>
          <w:rFonts w:ascii="Times New Roman" w:hAnsi="Times New Roman"/>
          <w:sz w:val="24"/>
          <w:szCs w:val="24"/>
          <w:lang w:val="en-US"/>
        </w:rPr>
      </w:pPr>
    </w:p>
    <w:p w:rsidR="008D73B8" w:rsidRPr="00E54704" w:rsidRDefault="008D73B8" w:rsidP="008D73B8">
      <w:pPr>
        <w:pStyle w:val="ListParagraph"/>
        <w:spacing w:after="100" w:afterAutospacing="1"/>
        <w:jc w:val="both"/>
        <w:rPr>
          <w:rFonts w:ascii="Times New Roman" w:hAnsi="Times New Roman"/>
          <w:b/>
          <w:sz w:val="24"/>
          <w:szCs w:val="24"/>
          <w:lang w:val="en-US"/>
        </w:rPr>
      </w:pPr>
      <w:r w:rsidRPr="00E54704">
        <w:rPr>
          <w:rFonts w:ascii="Times New Roman" w:hAnsi="Times New Roman"/>
          <w:b/>
          <w:sz w:val="24"/>
          <w:szCs w:val="24"/>
          <w:lang w:val="en-US"/>
        </w:rPr>
        <w:t>Peninsular Malaysia</w:t>
      </w:r>
    </w:p>
    <w:p w:rsidR="008D73B8" w:rsidRPr="00E54704" w:rsidRDefault="008D73B8" w:rsidP="008D73B8">
      <w:pPr>
        <w:pStyle w:val="ListParagraph"/>
        <w:numPr>
          <w:ilvl w:val="0"/>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Local Government Act 1976 (Act 171)</w:t>
      </w:r>
    </w:p>
    <w:p w:rsidR="008D73B8" w:rsidRPr="00E54704" w:rsidRDefault="008D73B8" w:rsidP="008D73B8">
      <w:pPr>
        <w:pStyle w:val="ListParagraph"/>
        <w:numPr>
          <w:ilvl w:val="0"/>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Town and Country Planning Act 1976 (Act 172)</w:t>
      </w:r>
    </w:p>
    <w:p w:rsidR="008D73B8" w:rsidRPr="00E54704" w:rsidRDefault="008D73B8" w:rsidP="008D73B8">
      <w:pPr>
        <w:pStyle w:val="ListParagraph"/>
        <w:numPr>
          <w:ilvl w:val="0"/>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Street, Drainage and Building Act 1974 (Act 133)</w:t>
      </w:r>
    </w:p>
    <w:p w:rsidR="008D73B8" w:rsidRPr="00E54704" w:rsidRDefault="008D73B8" w:rsidP="008D73B8">
      <w:pPr>
        <w:pStyle w:val="ListParagraph"/>
        <w:spacing w:after="100" w:afterAutospacing="1"/>
        <w:ind w:left="1080"/>
        <w:jc w:val="both"/>
        <w:rPr>
          <w:rFonts w:ascii="Times New Roman" w:hAnsi="Times New Roman"/>
          <w:sz w:val="24"/>
          <w:szCs w:val="24"/>
          <w:lang w:val="en-US"/>
        </w:rPr>
      </w:pPr>
    </w:p>
    <w:p w:rsidR="008D73B8" w:rsidRPr="00E54704" w:rsidRDefault="008D73B8" w:rsidP="008D73B8">
      <w:pPr>
        <w:pStyle w:val="ListParagraph"/>
        <w:spacing w:after="100" w:afterAutospacing="1"/>
        <w:jc w:val="both"/>
        <w:rPr>
          <w:rFonts w:ascii="Times New Roman" w:hAnsi="Times New Roman"/>
          <w:b/>
          <w:sz w:val="24"/>
          <w:szCs w:val="24"/>
          <w:lang w:val="en-US"/>
        </w:rPr>
      </w:pPr>
      <w:r w:rsidRPr="00E54704">
        <w:rPr>
          <w:rFonts w:ascii="Times New Roman" w:hAnsi="Times New Roman"/>
          <w:b/>
          <w:sz w:val="24"/>
          <w:szCs w:val="24"/>
          <w:lang w:val="en-US"/>
        </w:rPr>
        <w:t>Eastern Malaysia</w:t>
      </w:r>
    </w:p>
    <w:p w:rsidR="008D73B8" w:rsidRPr="00E54704" w:rsidRDefault="008D73B8" w:rsidP="008D73B8">
      <w:pPr>
        <w:pStyle w:val="ListParagraph"/>
        <w:spacing w:after="100" w:afterAutospacing="1"/>
        <w:jc w:val="both"/>
        <w:rPr>
          <w:rFonts w:ascii="Times New Roman" w:hAnsi="Times New Roman"/>
          <w:i/>
          <w:sz w:val="24"/>
          <w:szCs w:val="24"/>
          <w:lang w:val="en-US"/>
        </w:rPr>
      </w:pPr>
      <w:r w:rsidRPr="00E54704">
        <w:rPr>
          <w:rFonts w:ascii="Times New Roman" w:hAnsi="Times New Roman"/>
          <w:i/>
          <w:sz w:val="24"/>
          <w:szCs w:val="24"/>
          <w:lang w:val="en-US"/>
        </w:rPr>
        <w:t>Sabah</w:t>
      </w:r>
    </w:p>
    <w:p w:rsidR="008D73B8" w:rsidRPr="00E54704" w:rsidRDefault="008D73B8" w:rsidP="008D73B8">
      <w:pPr>
        <w:pStyle w:val="ListParagraph"/>
        <w:numPr>
          <w:ilvl w:val="0"/>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Local Government Ordinance 1961</w:t>
      </w:r>
    </w:p>
    <w:p w:rsidR="008D73B8" w:rsidRPr="00E54704" w:rsidRDefault="008D73B8" w:rsidP="008D73B8">
      <w:pPr>
        <w:pStyle w:val="ListParagraph"/>
        <w:spacing w:after="100" w:afterAutospacing="1"/>
        <w:ind w:left="1080"/>
        <w:jc w:val="both"/>
        <w:rPr>
          <w:rFonts w:ascii="Times New Roman" w:hAnsi="Times New Roman"/>
          <w:sz w:val="24"/>
          <w:szCs w:val="24"/>
          <w:lang w:val="en-US"/>
        </w:rPr>
      </w:pPr>
    </w:p>
    <w:p w:rsidR="008D73B8" w:rsidRPr="00E54704" w:rsidRDefault="008D73B8" w:rsidP="008D73B8">
      <w:pPr>
        <w:pStyle w:val="ListParagraph"/>
        <w:spacing w:after="100" w:afterAutospacing="1"/>
        <w:jc w:val="both"/>
        <w:rPr>
          <w:rFonts w:ascii="Times New Roman" w:hAnsi="Times New Roman"/>
          <w:i/>
          <w:sz w:val="24"/>
          <w:szCs w:val="24"/>
          <w:lang w:val="en-US"/>
        </w:rPr>
      </w:pPr>
      <w:r w:rsidRPr="00E54704">
        <w:rPr>
          <w:rFonts w:ascii="Times New Roman" w:hAnsi="Times New Roman"/>
          <w:i/>
          <w:sz w:val="24"/>
          <w:szCs w:val="24"/>
          <w:lang w:val="en-US"/>
        </w:rPr>
        <w:t>Sarawak</w:t>
      </w:r>
    </w:p>
    <w:p w:rsidR="008D73B8" w:rsidRPr="00E54704" w:rsidRDefault="00336083" w:rsidP="008D73B8">
      <w:pPr>
        <w:pStyle w:val="ListParagraph"/>
        <w:numPr>
          <w:ilvl w:val="0"/>
          <w:numId w:val="9"/>
        </w:numPr>
        <w:spacing w:after="100" w:afterAutospacing="1"/>
        <w:jc w:val="both"/>
        <w:rPr>
          <w:rFonts w:ascii="Times New Roman" w:hAnsi="Times New Roman"/>
          <w:sz w:val="24"/>
          <w:szCs w:val="24"/>
          <w:lang w:val="en-US"/>
        </w:rPr>
      </w:pPr>
      <w:r>
        <w:rPr>
          <w:rFonts w:ascii="Times New Roman" w:hAnsi="Times New Roman"/>
          <w:sz w:val="24"/>
          <w:szCs w:val="24"/>
          <w:lang w:val="en-US"/>
        </w:rPr>
        <w:t>Local Authorities Ordinance 1996 (Chapter 20).</w:t>
      </w:r>
    </w:p>
    <w:p w:rsidR="008D73B8" w:rsidRPr="00E54704" w:rsidRDefault="008D73B8" w:rsidP="008D73B8">
      <w:pPr>
        <w:pStyle w:val="ListParagraph"/>
        <w:spacing w:after="100" w:afterAutospacing="1"/>
        <w:ind w:left="1080"/>
        <w:jc w:val="both"/>
        <w:rPr>
          <w:rFonts w:ascii="Times New Roman" w:hAnsi="Times New Roman"/>
          <w:sz w:val="24"/>
          <w:szCs w:val="24"/>
          <w:lang w:val="en-US"/>
        </w:rPr>
      </w:pPr>
    </w:p>
    <w:p w:rsidR="008D73B8" w:rsidRPr="00E54704" w:rsidRDefault="008D73B8" w:rsidP="008D73B8">
      <w:pPr>
        <w:pStyle w:val="ListParagraph"/>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In addition to the above, Article 95 A(1) of the Federal Constitution has also provided for a National Council for Local Government, which consists of a Minister as the Chairman, a representative from each of the States who are appointed by the Ruler or Yang di-</w:t>
      </w:r>
      <w:proofErr w:type="spellStart"/>
      <w:r w:rsidRPr="00E54704">
        <w:rPr>
          <w:rFonts w:ascii="Times New Roman" w:hAnsi="Times New Roman"/>
          <w:sz w:val="24"/>
          <w:szCs w:val="24"/>
          <w:lang w:val="en-US"/>
        </w:rPr>
        <w:t>PertuaNegeri</w:t>
      </w:r>
      <w:proofErr w:type="spellEnd"/>
      <w:r w:rsidR="00D005D3">
        <w:rPr>
          <w:rStyle w:val="FootnoteReference"/>
          <w:rFonts w:ascii="Times New Roman" w:hAnsi="Times New Roman"/>
          <w:sz w:val="24"/>
          <w:szCs w:val="24"/>
          <w:lang w:val="en-US"/>
        </w:rPr>
        <w:footnoteReference w:id="1"/>
      </w:r>
      <w:r w:rsidRPr="00E54704">
        <w:rPr>
          <w:rFonts w:ascii="Times New Roman" w:hAnsi="Times New Roman"/>
          <w:sz w:val="24"/>
          <w:szCs w:val="24"/>
          <w:lang w:val="en-US"/>
        </w:rPr>
        <w:t xml:space="preserve">, and representatives of the Federal Government, which should not exceed ten. </w:t>
      </w:r>
    </w:p>
    <w:p w:rsidR="009A422A" w:rsidRPr="00E54704" w:rsidRDefault="009A422A" w:rsidP="008D73B8">
      <w:pPr>
        <w:pStyle w:val="ListParagraph"/>
        <w:spacing w:after="100" w:afterAutospacing="1"/>
        <w:jc w:val="both"/>
        <w:rPr>
          <w:rFonts w:ascii="Times New Roman" w:hAnsi="Times New Roman"/>
          <w:sz w:val="24"/>
          <w:szCs w:val="24"/>
          <w:lang w:val="en-US"/>
        </w:rPr>
      </w:pPr>
    </w:p>
    <w:p w:rsidR="009A422A" w:rsidRPr="00E54704" w:rsidRDefault="009A422A" w:rsidP="009A422A">
      <w:pPr>
        <w:spacing w:after="100" w:afterAutospacing="1" w:line="240" w:lineRule="auto"/>
        <w:ind w:left="708"/>
        <w:jc w:val="both"/>
        <w:rPr>
          <w:rFonts w:ascii="Times New Roman" w:hAnsi="Times New Roman"/>
          <w:sz w:val="24"/>
          <w:szCs w:val="24"/>
        </w:rPr>
      </w:pPr>
      <w:r w:rsidRPr="00E54704">
        <w:rPr>
          <w:rFonts w:ascii="Times New Roman" w:hAnsi="Times New Roman"/>
          <w:sz w:val="24"/>
          <w:szCs w:val="24"/>
        </w:rPr>
        <w:t>As for the purpose of the National Council for Local Government, it is explicitly stated in Article 95 that:</w:t>
      </w:r>
    </w:p>
    <w:p w:rsidR="009A422A" w:rsidRPr="00E54704" w:rsidRDefault="009A422A" w:rsidP="008F126E">
      <w:pPr>
        <w:spacing w:after="100" w:afterAutospacing="1" w:line="240" w:lineRule="auto"/>
        <w:ind w:left="1021" w:right="1021"/>
        <w:jc w:val="both"/>
        <w:rPr>
          <w:rFonts w:ascii="Times New Roman" w:hAnsi="Times New Roman"/>
          <w:i/>
          <w:sz w:val="24"/>
          <w:szCs w:val="24"/>
        </w:rPr>
      </w:pPr>
      <w:r w:rsidRPr="00E54704">
        <w:rPr>
          <w:rFonts w:ascii="Times New Roman" w:hAnsi="Times New Roman"/>
          <w:i/>
          <w:sz w:val="24"/>
          <w:szCs w:val="24"/>
        </w:rPr>
        <w:t>“It shall be the duty of the National Council for Local Government to formulate from time to time in consultation with the Federal Government and the State Governments a National policy for the promotion, development and control of local government throughout the Federation and for the administration of any laws relating thereto; and the Federal and State Governments shall follow the policy so formulated.”</w:t>
      </w:r>
    </w:p>
    <w:p w:rsidR="009A422A" w:rsidRPr="00E54704" w:rsidRDefault="009A422A" w:rsidP="009A422A">
      <w:pPr>
        <w:spacing w:after="100" w:afterAutospacing="1" w:line="240" w:lineRule="auto"/>
        <w:ind w:left="708"/>
        <w:jc w:val="both"/>
        <w:rPr>
          <w:rFonts w:ascii="Times New Roman" w:hAnsi="Times New Roman"/>
          <w:sz w:val="24"/>
          <w:szCs w:val="24"/>
        </w:rPr>
      </w:pPr>
      <w:r w:rsidRPr="00E54704">
        <w:rPr>
          <w:rFonts w:ascii="Times New Roman" w:hAnsi="Times New Roman"/>
          <w:sz w:val="24"/>
          <w:szCs w:val="24"/>
        </w:rPr>
        <w:lastRenderedPageBreak/>
        <w:t xml:space="preserve">In this case, it appears that any matter relating to local government would require the Federal Government and the Government of any State to consult the Council; it would also be the duty of the Council to advise those Governments on any local government matters. </w:t>
      </w:r>
    </w:p>
    <w:p w:rsidR="009A422A" w:rsidRPr="00E54704" w:rsidRDefault="009A422A" w:rsidP="009A422A">
      <w:pPr>
        <w:spacing w:after="100" w:afterAutospacing="1" w:line="240" w:lineRule="auto"/>
        <w:ind w:left="708"/>
        <w:jc w:val="both"/>
        <w:rPr>
          <w:rFonts w:ascii="Times New Roman" w:hAnsi="Times New Roman"/>
          <w:sz w:val="24"/>
          <w:szCs w:val="24"/>
        </w:rPr>
      </w:pPr>
      <w:r w:rsidRPr="00E54704">
        <w:rPr>
          <w:rFonts w:ascii="Times New Roman" w:hAnsi="Times New Roman"/>
          <w:sz w:val="24"/>
          <w:szCs w:val="24"/>
        </w:rPr>
        <w:t xml:space="preserve">However, it should also be noted that there are exceptions to Sabah and Sarawak. Article 95D of the Federal Constitution states that the Parliament is banned from creating laws pertaining to land and local government for the two states. Furthermore, Article 95E excludes the states from following laws formulated by the National Council for Local Government. However, it is still common practice for both Sabah and Sarawak to send representatives to the consultative meetings of the committee as Observers without any voting rights. </w:t>
      </w:r>
    </w:p>
    <w:p w:rsidR="008D73B8" w:rsidRPr="00E54704" w:rsidRDefault="008D73B8" w:rsidP="009A422A">
      <w:pPr>
        <w:spacing w:after="100" w:afterAutospacing="1"/>
        <w:ind w:firstLine="708"/>
        <w:jc w:val="both"/>
        <w:rPr>
          <w:rFonts w:ascii="Times New Roman" w:hAnsi="Times New Roman"/>
          <w:sz w:val="24"/>
          <w:szCs w:val="24"/>
          <w:lang w:val="en-US"/>
        </w:rPr>
      </w:pPr>
      <w:r w:rsidRPr="00E54704">
        <w:rPr>
          <w:rFonts w:ascii="Times New Roman" w:hAnsi="Times New Roman"/>
          <w:sz w:val="24"/>
          <w:szCs w:val="24"/>
          <w:lang w:val="en-US"/>
        </w:rPr>
        <w:t>There are currently four types of local governments in Malaysia:</w:t>
      </w:r>
    </w:p>
    <w:p w:rsidR="008D73B8" w:rsidRPr="00E54704" w:rsidRDefault="008D73B8" w:rsidP="008D73B8">
      <w:pPr>
        <w:pStyle w:val="ListParagraph"/>
        <w:spacing w:after="100" w:afterAutospacing="1"/>
        <w:jc w:val="both"/>
        <w:rPr>
          <w:rFonts w:ascii="Times New Roman" w:hAnsi="Times New Roman"/>
          <w:sz w:val="24"/>
          <w:szCs w:val="24"/>
          <w:lang w:val="en-US"/>
        </w:rPr>
      </w:pPr>
    </w:p>
    <w:p w:rsidR="008D73B8" w:rsidRPr="00E54704" w:rsidRDefault="008D73B8" w:rsidP="009A422A">
      <w:pPr>
        <w:pStyle w:val="ListParagraph"/>
        <w:numPr>
          <w:ilvl w:val="0"/>
          <w:numId w:val="14"/>
        </w:numPr>
        <w:tabs>
          <w:tab w:val="left" w:pos="709"/>
        </w:tabs>
        <w:spacing w:after="100" w:afterAutospacing="1"/>
        <w:ind w:left="1428"/>
        <w:jc w:val="both"/>
        <w:rPr>
          <w:rFonts w:ascii="Times New Roman" w:hAnsi="Times New Roman"/>
          <w:sz w:val="24"/>
          <w:szCs w:val="24"/>
          <w:lang w:val="en-US"/>
        </w:rPr>
      </w:pPr>
      <w:r w:rsidRPr="00E54704">
        <w:rPr>
          <w:rFonts w:ascii="Times New Roman" w:hAnsi="Times New Roman"/>
          <w:sz w:val="24"/>
          <w:szCs w:val="24"/>
          <w:lang w:val="en-US"/>
        </w:rPr>
        <w:t>City - City Hall (</w:t>
      </w:r>
      <w:proofErr w:type="spellStart"/>
      <w:r w:rsidRPr="00E54704">
        <w:rPr>
          <w:rFonts w:ascii="Times New Roman" w:hAnsi="Times New Roman"/>
          <w:i/>
          <w:iCs/>
          <w:sz w:val="24"/>
          <w:szCs w:val="24"/>
          <w:lang w:val="en-US"/>
        </w:rPr>
        <w:t>DewanBandaraya</w:t>
      </w:r>
      <w:proofErr w:type="spellEnd"/>
      <w:r w:rsidRPr="00E54704">
        <w:rPr>
          <w:rFonts w:ascii="Times New Roman" w:hAnsi="Times New Roman"/>
          <w:sz w:val="24"/>
          <w:szCs w:val="24"/>
          <w:lang w:val="en-US"/>
        </w:rPr>
        <w:t>) or City Council (</w:t>
      </w:r>
      <w:proofErr w:type="spellStart"/>
      <w:r w:rsidRPr="00E54704">
        <w:rPr>
          <w:rFonts w:ascii="Times New Roman" w:hAnsi="Times New Roman"/>
          <w:i/>
          <w:iCs/>
          <w:sz w:val="24"/>
          <w:szCs w:val="24"/>
          <w:lang w:val="en-US"/>
        </w:rPr>
        <w:t>MajlisBandaraya</w:t>
      </w:r>
      <w:proofErr w:type="spellEnd"/>
      <w:r w:rsidRPr="00E54704">
        <w:rPr>
          <w:rFonts w:ascii="Times New Roman" w:hAnsi="Times New Roman"/>
          <w:sz w:val="24"/>
          <w:szCs w:val="24"/>
          <w:lang w:val="en-US"/>
        </w:rPr>
        <w:t>), e.g. Kuala Lumpur City Hall</w:t>
      </w:r>
    </w:p>
    <w:p w:rsidR="008D73B8" w:rsidRPr="00E54704" w:rsidRDefault="008D73B8" w:rsidP="009A422A">
      <w:pPr>
        <w:pStyle w:val="ListParagraph"/>
        <w:tabs>
          <w:tab w:val="left" w:pos="709"/>
        </w:tabs>
        <w:spacing w:after="100" w:afterAutospacing="1"/>
        <w:ind w:left="1428"/>
        <w:jc w:val="both"/>
        <w:rPr>
          <w:rFonts w:ascii="Times New Roman" w:hAnsi="Times New Roman"/>
          <w:sz w:val="24"/>
          <w:szCs w:val="24"/>
          <w:lang w:val="en-US"/>
        </w:rPr>
      </w:pPr>
    </w:p>
    <w:p w:rsidR="008D73B8" w:rsidRPr="00E54704" w:rsidRDefault="008D73B8" w:rsidP="009A422A">
      <w:pPr>
        <w:pStyle w:val="ListParagraph"/>
        <w:numPr>
          <w:ilvl w:val="0"/>
          <w:numId w:val="14"/>
        </w:numPr>
        <w:tabs>
          <w:tab w:val="left" w:pos="709"/>
        </w:tabs>
        <w:spacing w:after="100" w:afterAutospacing="1"/>
        <w:ind w:left="1428"/>
        <w:jc w:val="both"/>
        <w:rPr>
          <w:rFonts w:ascii="Times New Roman" w:hAnsi="Times New Roman"/>
          <w:sz w:val="24"/>
          <w:szCs w:val="24"/>
          <w:lang w:val="en-US"/>
        </w:rPr>
      </w:pPr>
      <w:r w:rsidRPr="00E54704">
        <w:rPr>
          <w:rFonts w:ascii="Times New Roman" w:hAnsi="Times New Roman"/>
          <w:sz w:val="24"/>
          <w:szCs w:val="24"/>
          <w:lang w:val="en-US"/>
        </w:rPr>
        <w:t>Municipality - Municipal Council (</w:t>
      </w:r>
      <w:proofErr w:type="spellStart"/>
      <w:r w:rsidRPr="00E54704">
        <w:rPr>
          <w:rFonts w:ascii="Times New Roman" w:hAnsi="Times New Roman"/>
          <w:i/>
          <w:iCs/>
          <w:sz w:val="24"/>
          <w:szCs w:val="24"/>
          <w:lang w:val="en-US"/>
        </w:rPr>
        <w:t>MajlisPerbandaran</w:t>
      </w:r>
      <w:proofErr w:type="spellEnd"/>
      <w:r w:rsidRPr="00E54704">
        <w:rPr>
          <w:rFonts w:ascii="Times New Roman" w:hAnsi="Times New Roman"/>
          <w:sz w:val="24"/>
          <w:szCs w:val="24"/>
          <w:lang w:val="en-US"/>
        </w:rPr>
        <w:t xml:space="preserve">), e.g. </w:t>
      </w:r>
      <w:proofErr w:type="spellStart"/>
      <w:r w:rsidRPr="00E54704">
        <w:rPr>
          <w:rFonts w:ascii="Times New Roman" w:hAnsi="Times New Roman"/>
          <w:sz w:val="24"/>
          <w:szCs w:val="24"/>
          <w:lang w:val="en-US"/>
        </w:rPr>
        <w:t>Ampang</w:t>
      </w:r>
      <w:proofErr w:type="spellEnd"/>
      <w:r w:rsidRPr="00E54704">
        <w:rPr>
          <w:rFonts w:ascii="Times New Roman" w:hAnsi="Times New Roman"/>
          <w:sz w:val="24"/>
          <w:szCs w:val="24"/>
          <w:lang w:val="en-US"/>
        </w:rPr>
        <w:t xml:space="preserve"> Jaya Municipal Council</w:t>
      </w:r>
    </w:p>
    <w:p w:rsidR="008D73B8" w:rsidRPr="00E54704" w:rsidRDefault="008D73B8" w:rsidP="009A422A">
      <w:pPr>
        <w:pStyle w:val="ListParagraph"/>
        <w:tabs>
          <w:tab w:val="left" w:pos="709"/>
        </w:tabs>
        <w:spacing w:after="100" w:afterAutospacing="1"/>
        <w:ind w:left="1428"/>
        <w:jc w:val="both"/>
        <w:rPr>
          <w:rFonts w:ascii="Times New Roman" w:hAnsi="Times New Roman"/>
          <w:sz w:val="24"/>
          <w:szCs w:val="24"/>
          <w:lang w:val="en-US"/>
        </w:rPr>
      </w:pPr>
    </w:p>
    <w:p w:rsidR="008D73B8" w:rsidRPr="00E54704" w:rsidRDefault="008D73B8" w:rsidP="009A422A">
      <w:pPr>
        <w:pStyle w:val="ListParagraph"/>
        <w:numPr>
          <w:ilvl w:val="0"/>
          <w:numId w:val="14"/>
        </w:numPr>
        <w:tabs>
          <w:tab w:val="left" w:pos="709"/>
        </w:tabs>
        <w:spacing w:after="100" w:afterAutospacing="1"/>
        <w:ind w:left="1428"/>
        <w:jc w:val="both"/>
        <w:rPr>
          <w:rFonts w:ascii="Times New Roman" w:hAnsi="Times New Roman"/>
          <w:sz w:val="24"/>
          <w:szCs w:val="24"/>
          <w:lang w:val="en-US"/>
        </w:rPr>
      </w:pPr>
      <w:r w:rsidRPr="00E54704">
        <w:rPr>
          <w:rFonts w:ascii="Times New Roman" w:hAnsi="Times New Roman"/>
          <w:sz w:val="24"/>
          <w:szCs w:val="24"/>
          <w:lang w:val="en-US"/>
        </w:rPr>
        <w:t>Rural area - District Council (</w:t>
      </w:r>
      <w:proofErr w:type="spellStart"/>
      <w:r w:rsidRPr="00E54704">
        <w:rPr>
          <w:rFonts w:ascii="Times New Roman" w:hAnsi="Times New Roman"/>
          <w:i/>
          <w:iCs/>
          <w:sz w:val="24"/>
          <w:szCs w:val="24"/>
          <w:lang w:val="en-US"/>
        </w:rPr>
        <w:t>Majlis</w:t>
      </w:r>
      <w:proofErr w:type="spellEnd"/>
      <w:r w:rsidRPr="00E54704">
        <w:rPr>
          <w:rFonts w:ascii="Times New Roman" w:hAnsi="Times New Roman"/>
          <w:i/>
          <w:iCs/>
          <w:sz w:val="24"/>
          <w:szCs w:val="24"/>
          <w:lang w:val="en-US"/>
        </w:rPr>
        <w:t xml:space="preserve"> Daerah</w:t>
      </w:r>
      <w:r w:rsidRPr="00E54704">
        <w:rPr>
          <w:rFonts w:ascii="Times New Roman" w:hAnsi="Times New Roman"/>
          <w:sz w:val="24"/>
          <w:szCs w:val="24"/>
          <w:lang w:val="en-US"/>
        </w:rPr>
        <w:t>), e.g. Hulu Selangor District Council</w:t>
      </w:r>
    </w:p>
    <w:p w:rsidR="008D73B8" w:rsidRPr="00E54704" w:rsidRDefault="008D73B8" w:rsidP="009A422A">
      <w:pPr>
        <w:pStyle w:val="ListParagraph"/>
        <w:tabs>
          <w:tab w:val="left" w:pos="709"/>
        </w:tabs>
        <w:spacing w:after="100" w:afterAutospacing="1"/>
        <w:ind w:left="1428"/>
        <w:jc w:val="both"/>
        <w:rPr>
          <w:rFonts w:ascii="Times New Roman" w:hAnsi="Times New Roman"/>
          <w:sz w:val="24"/>
          <w:szCs w:val="24"/>
          <w:lang w:val="en-US"/>
        </w:rPr>
      </w:pPr>
    </w:p>
    <w:p w:rsidR="008D73B8" w:rsidRPr="00E54704" w:rsidRDefault="008D73B8" w:rsidP="009A422A">
      <w:pPr>
        <w:pStyle w:val="ListParagraph"/>
        <w:numPr>
          <w:ilvl w:val="0"/>
          <w:numId w:val="14"/>
        </w:numPr>
        <w:tabs>
          <w:tab w:val="left" w:pos="709"/>
        </w:tabs>
        <w:spacing w:after="100" w:afterAutospacing="1"/>
        <w:ind w:left="1428"/>
        <w:jc w:val="both"/>
        <w:rPr>
          <w:rFonts w:ascii="Times New Roman" w:hAnsi="Times New Roman"/>
          <w:sz w:val="24"/>
          <w:szCs w:val="24"/>
          <w:lang w:val="en-US"/>
        </w:rPr>
      </w:pPr>
      <w:r w:rsidRPr="00E54704">
        <w:rPr>
          <w:rFonts w:ascii="Times New Roman" w:hAnsi="Times New Roman"/>
          <w:sz w:val="24"/>
          <w:szCs w:val="24"/>
          <w:lang w:val="en-US"/>
        </w:rPr>
        <w:t xml:space="preserve">Special and modified local authority - Corporation, Development Board, Development Authority or simply </w:t>
      </w:r>
      <w:proofErr w:type="spellStart"/>
      <w:r w:rsidRPr="00E54704">
        <w:rPr>
          <w:rFonts w:ascii="Times New Roman" w:hAnsi="Times New Roman"/>
          <w:i/>
          <w:iCs/>
          <w:sz w:val="24"/>
          <w:szCs w:val="24"/>
          <w:lang w:val="en-US"/>
        </w:rPr>
        <w:t>PihakBerkuasaTempatan</w:t>
      </w:r>
      <w:proofErr w:type="spellEnd"/>
      <w:r w:rsidRPr="00E54704">
        <w:rPr>
          <w:rFonts w:ascii="Times New Roman" w:hAnsi="Times New Roman"/>
          <w:sz w:val="24"/>
          <w:szCs w:val="24"/>
          <w:lang w:val="en-US"/>
        </w:rPr>
        <w:t xml:space="preserve"> (e.g. </w:t>
      </w:r>
      <w:proofErr w:type="spellStart"/>
      <w:r w:rsidRPr="00E54704">
        <w:rPr>
          <w:rFonts w:ascii="Times New Roman" w:hAnsi="Times New Roman"/>
          <w:sz w:val="24"/>
          <w:szCs w:val="24"/>
          <w:lang w:val="en-US"/>
        </w:rPr>
        <w:t>Putrajaya</w:t>
      </w:r>
      <w:proofErr w:type="spellEnd"/>
      <w:r w:rsidRPr="00E54704">
        <w:rPr>
          <w:rFonts w:ascii="Times New Roman" w:hAnsi="Times New Roman"/>
          <w:sz w:val="24"/>
          <w:szCs w:val="24"/>
          <w:lang w:val="en-US"/>
        </w:rPr>
        <w:t xml:space="preserve"> Corporation)</w:t>
      </w:r>
    </w:p>
    <w:p w:rsidR="008D73B8" w:rsidRPr="00E54704" w:rsidRDefault="008D73B8" w:rsidP="008D73B8">
      <w:pPr>
        <w:pStyle w:val="ListParagraph"/>
        <w:spacing w:after="100" w:afterAutospacing="1"/>
        <w:jc w:val="both"/>
        <w:rPr>
          <w:rFonts w:ascii="Times New Roman" w:hAnsi="Times New Roman"/>
          <w:sz w:val="24"/>
          <w:szCs w:val="24"/>
          <w:lang w:val="en-US"/>
        </w:rPr>
      </w:pPr>
    </w:p>
    <w:p w:rsidR="008D73B8" w:rsidRPr="00E54704" w:rsidRDefault="008D73B8" w:rsidP="008D73B8">
      <w:pPr>
        <w:pStyle w:val="ListParagraph"/>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Among the basic criteria for granting City status on a local government is that it has a minimum population of 500,000 and an annual income of not less than RM 100 million. For a municipal status, the minimum population is 150,000 with an annual income of not less than RM 20 million. These are the latest criteria approved during the State Council Meeting for Local Government in June 2008.</w:t>
      </w:r>
      <w:r w:rsidRPr="00E54704">
        <w:rPr>
          <w:rFonts w:ascii="Times New Roman" w:hAnsi="Times New Roman"/>
          <w:sz w:val="24"/>
          <w:szCs w:val="24"/>
          <w:vertAlign w:val="superscript"/>
          <w:lang w:val="en-US"/>
        </w:rPr>
        <w:footnoteReference w:id="2"/>
      </w:r>
    </w:p>
    <w:p w:rsidR="008D73B8" w:rsidRPr="00E54704" w:rsidRDefault="008D73B8" w:rsidP="008D73B8">
      <w:pPr>
        <w:pStyle w:val="ListParagraph"/>
        <w:spacing w:after="100" w:afterAutospacing="1"/>
        <w:jc w:val="both"/>
        <w:rPr>
          <w:rFonts w:ascii="Times New Roman" w:hAnsi="Times New Roman"/>
          <w:sz w:val="24"/>
          <w:szCs w:val="24"/>
          <w:lang w:val="en-US"/>
        </w:rPr>
      </w:pPr>
    </w:p>
    <w:p w:rsidR="008D73B8" w:rsidRPr="00E54704" w:rsidRDefault="008D73B8" w:rsidP="008D73B8">
      <w:pPr>
        <w:pStyle w:val="ListParagraph"/>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With regard to the functions of the local government, they are responsible for:</w:t>
      </w:r>
    </w:p>
    <w:p w:rsidR="008D73B8" w:rsidRPr="00E54704" w:rsidRDefault="008D73B8" w:rsidP="008D73B8">
      <w:pPr>
        <w:pStyle w:val="ListParagraph"/>
        <w:spacing w:after="100" w:afterAutospacing="1"/>
        <w:jc w:val="both"/>
        <w:rPr>
          <w:rFonts w:ascii="Times New Roman" w:hAnsi="Times New Roman"/>
          <w:sz w:val="24"/>
          <w:szCs w:val="24"/>
          <w:lang w:val="en-US"/>
        </w:rPr>
      </w:pPr>
    </w:p>
    <w:p w:rsidR="008D73B8" w:rsidRPr="00E54704" w:rsidRDefault="008D73B8" w:rsidP="00121194">
      <w:pPr>
        <w:pStyle w:val="ListParagraph"/>
        <w:numPr>
          <w:ilvl w:val="1"/>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Maintenance of township, roads, street lights and drains</w:t>
      </w:r>
    </w:p>
    <w:p w:rsidR="008D73B8" w:rsidRPr="00E54704" w:rsidRDefault="008D73B8" w:rsidP="00121194">
      <w:pPr>
        <w:pStyle w:val="ListParagraph"/>
        <w:numPr>
          <w:ilvl w:val="1"/>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Collection and disposal of solid waste (including sewerage)</w:t>
      </w:r>
    </w:p>
    <w:p w:rsidR="008D73B8" w:rsidRPr="00E54704" w:rsidRDefault="008D73B8" w:rsidP="00121194">
      <w:pPr>
        <w:pStyle w:val="ListParagraph"/>
        <w:numPr>
          <w:ilvl w:val="1"/>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 xml:space="preserve">Trimming of trees and </w:t>
      </w:r>
      <w:r w:rsidR="00121194" w:rsidRPr="00E54704">
        <w:rPr>
          <w:rFonts w:ascii="Times New Roman" w:hAnsi="Times New Roman"/>
          <w:sz w:val="24"/>
          <w:szCs w:val="24"/>
          <w:lang w:val="en-US"/>
        </w:rPr>
        <w:t>grass cutting</w:t>
      </w:r>
    </w:p>
    <w:p w:rsidR="008D73B8" w:rsidRPr="00E54704" w:rsidRDefault="008D73B8" w:rsidP="00121194">
      <w:pPr>
        <w:pStyle w:val="ListParagraph"/>
        <w:numPr>
          <w:ilvl w:val="1"/>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Landscaping and beautification</w:t>
      </w:r>
    </w:p>
    <w:p w:rsidR="008D73B8" w:rsidRPr="00E54704" w:rsidRDefault="008D73B8" w:rsidP="00121194">
      <w:pPr>
        <w:pStyle w:val="ListParagraph"/>
        <w:numPr>
          <w:ilvl w:val="1"/>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Licensing of hawkers and businesses</w:t>
      </w:r>
    </w:p>
    <w:p w:rsidR="008D73B8" w:rsidRPr="00E54704" w:rsidRDefault="008D73B8" w:rsidP="00121194">
      <w:pPr>
        <w:pStyle w:val="ListParagraph"/>
        <w:numPr>
          <w:ilvl w:val="1"/>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Control of building plans and advertis</w:t>
      </w:r>
      <w:r w:rsidR="00121194" w:rsidRPr="00E54704">
        <w:rPr>
          <w:rFonts w:ascii="Times New Roman" w:hAnsi="Times New Roman"/>
          <w:sz w:val="24"/>
          <w:szCs w:val="24"/>
          <w:lang w:val="en-US"/>
        </w:rPr>
        <w:t>e</w:t>
      </w:r>
      <w:r w:rsidRPr="00E54704">
        <w:rPr>
          <w:rFonts w:ascii="Times New Roman" w:hAnsi="Times New Roman"/>
          <w:sz w:val="24"/>
          <w:szCs w:val="24"/>
          <w:lang w:val="en-US"/>
        </w:rPr>
        <w:t>ments</w:t>
      </w:r>
    </w:p>
    <w:p w:rsidR="008D73B8" w:rsidRPr="00E54704" w:rsidRDefault="008D73B8" w:rsidP="00121194">
      <w:pPr>
        <w:pStyle w:val="ListParagraph"/>
        <w:numPr>
          <w:ilvl w:val="1"/>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lastRenderedPageBreak/>
        <w:t>Vector control</w:t>
      </w:r>
    </w:p>
    <w:p w:rsidR="008D73B8" w:rsidRPr="00E54704" w:rsidRDefault="008D73B8" w:rsidP="00121194">
      <w:pPr>
        <w:pStyle w:val="ListParagraph"/>
        <w:numPr>
          <w:ilvl w:val="1"/>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Public recreation facilities (fields, swimming pools)</w:t>
      </w:r>
    </w:p>
    <w:p w:rsidR="008D73B8" w:rsidRPr="00E54704" w:rsidRDefault="008D73B8" w:rsidP="00121194">
      <w:pPr>
        <w:pStyle w:val="ListParagraph"/>
        <w:numPr>
          <w:ilvl w:val="1"/>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Public housing (only in some places)</w:t>
      </w:r>
    </w:p>
    <w:p w:rsidR="008D73B8" w:rsidRPr="00E54704" w:rsidRDefault="008D73B8" w:rsidP="00121194">
      <w:pPr>
        <w:pStyle w:val="ListParagraph"/>
        <w:numPr>
          <w:ilvl w:val="1"/>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Pets licensing</w:t>
      </w:r>
    </w:p>
    <w:p w:rsidR="008D73B8" w:rsidRPr="00E54704" w:rsidRDefault="008D73B8" w:rsidP="00121194">
      <w:pPr>
        <w:pStyle w:val="ListParagraph"/>
        <w:numPr>
          <w:ilvl w:val="1"/>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Public toilets</w:t>
      </w:r>
    </w:p>
    <w:p w:rsidR="008D73B8" w:rsidRPr="00E54704" w:rsidRDefault="008D73B8" w:rsidP="00121194">
      <w:pPr>
        <w:pStyle w:val="ListParagraph"/>
        <w:numPr>
          <w:ilvl w:val="1"/>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Crematorium</w:t>
      </w:r>
    </w:p>
    <w:p w:rsidR="008D73B8" w:rsidRPr="00E54704" w:rsidRDefault="008D73B8" w:rsidP="00121194">
      <w:pPr>
        <w:pStyle w:val="ListParagraph"/>
        <w:numPr>
          <w:ilvl w:val="1"/>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Rest houses</w:t>
      </w:r>
    </w:p>
    <w:p w:rsidR="008D73B8" w:rsidRPr="00E54704" w:rsidRDefault="008D73B8" w:rsidP="00121194">
      <w:pPr>
        <w:pStyle w:val="ListParagraph"/>
        <w:numPr>
          <w:ilvl w:val="1"/>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Car parks</w:t>
      </w:r>
    </w:p>
    <w:p w:rsidR="008D73B8" w:rsidRPr="00E54704" w:rsidRDefault="008D73B8" w:rsidP="00121194">
      <w:pPr>
        <w:pStyle w:val="ListParagraph"/>
        <w:numPr>
          <w:ilvl w:val="1"/>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Market</w:t>
      </w:r>
    </w:p>
    <w:p w:rsidR="008D73B8" w:rsidRPr="00E54704" w:rsidRDefault="008D73B8" w:rsidP="00121194">
      <w:pPr>
        <w:pStyle w:val="ListParagraph"/>
        <w:numPr>
          <w:ilvl w:val="1"/>
          <w:numId w:val="9"/>
        </w:numPr>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Enforcement</w:t>
      </w:r>
    </w:p>
    <w:p w:rsidR="008D73B8" w:rsidRPr="00E54704" w:rsidRDefault="008D73B8" w:rsidP="008D73B8">
      <w:pPr>
        <w:pStyle w:val="ListParagraph"/>
        <w:spacing w:after="100" w:afterAutospacing="1"/>
        <w:ind w:left="1080"/>
        <w:jc w:val="both"/>
        <w:rPr>
          <w:rFonts w:ascii="Times New Roman" w:hAnsi="Times New Roman"/>
          <w:sz w:val="24"/>
          <w:szCs w:val="24"/>
          <w:lang w:val="en-US"/>
        </w:rPr>
      </w:pPr>
    </w:p>
    <w:p w:rsidR="008D73B8" w:rsidRPr="00E54704" w:rsidRDefault="008D73B8" w:rsidP="008D73B8">
      <w:pPr>
        <w:pStyle w:val="ListParagraph"/>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However, it should be noted that the local government previously had control over a number of other services, which have now been shifted from under their jurisdiction to the federal and state government’s. An example of this would be the fire and rescue services. Through the Federation of Malaya's agreement, the fire and rescue service was handed over to the state governments.</w:t>
      </w:r>
      <w:r w:rsidRPr="00E54704">
        <w:rPr>
          <w:rFonts w:ascii="Times New Roman" w:hAnsi="Times New Roman"/>
          <w:sz w:val="24"/>
          <w:szCs w:val="24"/>
          <w:vertAlign w:val="superscript"/>
          <w:lang w:val="en-US"/>
        </w:rPr>
        <w:footnoteReference w:id="3"/>
      </w:r>
      <w:r w:rsidRPr="00E54704">
        <w:rPr>
          <w:rFonts w:ascii="Times New Roman" w:hAnsi="Times New Roman"/>
          <w:sz w:val="24"/>
          <w:szCs w:val="24"/>
          <w:lang w:val="en-US"/>
        </w:rPr>
        <w:t xml:space="preserve"> The service was then integrated as a federal-level department on 1 January 1976, reporting to the Ministry of Hou</w:t>
      </w:r>
      <w:r w:rsidR="00121194" w:rsidRPr="00E54704">
        <w:rPr>
          <w:rFonts w:ascii="Times New Roman" w:hAnsi="Times New Roman"/>
          <w:sz w:val="24"/>
          <w:szCs w:val="24"/>
          <w:lang w:val="en-US"/>
        </w:rPr>
        <w:t>sing and Local Government, which can be witnessed in Article 3</w:t>
      </w:r>
      <w:r w:rsidR="008F126E" w:rsidRPr="00E54704">
        <w:rPr>
          <w:rFonts w:ascii="Times New Roman" w:hAnsi="Times New Roman"/>
          <w:sz w:val="24"/>
          <w:szCs w:val="24"/>
          <w:lang w:val="en-US"/>
        </w:rPr>
        <w:t xml:space="preserve"> of the Fire Services Act 1988 (Act 341).</w:t>
      </w:r>
    </w:p>
    <w:p w:rsidR="008D73B8" w:rsidRPr="00E54704" w:rsidRDefault="008D73B8" w:rsidP="008D73B8">
      <w:pPr>
        <w:pStyle w:val="ListParagraph"/>
        <w:spacing w:after="100" w:afterAutospacing="1"/>
        <w:jc w:val="both"/>
        <w:rPr>
          <w:rFonts w:ascii="Times New Roman" w:hAnsi="Times New Roman"/>
          <w:sz w:val="24"/>
          <w:szCs w:val="24"/>
          <w:lang w:val="en-US"/>
        </w:rPr>
      </w:pPr>
    </w:p>
    <w:p w:rsidR="008D73B8" w:rsidRPr="00E54704" w:rsidRDefault="00121194" w:rsidP="008D73B8">
      <w:pPr>
        <w:pStyle w:val="ListParagraph"/>
        <w:spacing w:after="100" w:afterAutospacing="1"/>
        <w:jc w:val="both"/>
        <w:rPr>
          <w:rFonts w:ascii="Times New Roman" w:hAnsi="Times New Roman"/>
          <w:sz w:val="24"/>
          <w:szCs w:val="24"/>
          <w:lang w:val="ms-MY"/>
        </w:rPr>
      </w:pPr>
      <w:r w:rsidRPr="00E54704">
        <w:rPr>
          <w:rFonts w:ascii="Times New Roman" w:hAnsi="Times New Roman"/>
          <w:sz w:val="24"/>
          <w:szCs w:val="24"/>
          <w:lang w:val="ms-MY"/>
        </w:rPr>
        <w:t>With regard to the financial resources of the local government, there are t</w:t>
      </w:r>
      <w:r w:rsidR="008D73B8" w:rsidRPr="00E54704">
        <w:rPr>
          <w:rFonts w:ascii="Times New Roman" w:hAnsi="Times New Roman"/>
          <w:sz w:val="24"/>
          <w:szCs w:val="24"/>
          <w:lang w:val="ms-MY"/>
        </w:rPr>
        <w:t>hree main income sources</w:t>
      </w:r>
      <w:r w:rsidRPr="00E54704">
        <w:rPr>
          <w:rFonts w:ascii="Times New Roman" w:hAnsi="Times New Roman"/>
          <w:sz w:val="24"/>
          <w:szCs w:val="24"/>
          <w:lang w:val="ms-MY"/>
        </w:rPr>
        <w:t xml:space="preserve">, which are </w:t>
      </w:r>
      <w:r w:rsidR="008D73B8" w:rsidRPr="00E54704">
        <w:rPr>
          <w:rFonts w:ascii="Times New Roman" w:hAnsi="Times New Roman"/>
          <w:sz w:val="24"/>
          <w:szCs w:val="24"/>
          <w:lang w:val="ms-MY"/>
        </w:rPr>
        <w:t>rents and fees for services, grants and subsidies from central or state government</w:t>
      </w:r>
      <w:r w:rsidRPr="00E54704">
        <w:rPr>
          <w:rFonts w:ascii="Times New Roman" w:hAnsi="Times New Roman"/>
          <w:sz w:val="24"/>
          <w:szCs w:val="24"/>
          <w:lang w:val="ms-MY"/>
        </w:rPr>
        <w:t xml:space="preserve">, and local taxation such as the property assessment tax. </w:t>
      </w:r>
    </w:p>
    <w:p w:rsidR="008D73B8" w:rsidRPr="00E54704" w:rsidRDefault="008D73B8" w:rsidP="008D73B8">
      <w:pPr>
        <w:pStyle w:val="ListParagraph"/>
        <w:spacing w:after="100" w:afterAutospacing="1"/>
        <w:jc w:val="both"/>
        <w:rPr>
          <w:rFonts w:ascii="Times New Roman" w:hAnsi="Times New Roman"/>
          <w:sz w:val="24"/>
          <w:szCs w:val="24"/>
          <w:lang w:val="en-US"/>
        </w:rPr>
      </w:pPr>
    </w:p>
    <w:p w:rsidR="00AF4FBA" w:rsidRPr="00E54704" w:rsidRDefault="009A422A" w:rsidP="008F126E">
      <w:pPr>
        <w:pStyle w:val="ListParagraph"/>
        <w:spacing w:after="100" w:afterAutospacing="1"/>
        <w:jc w:val="both"/>
        <w:rPr>
          <w:rFonts w:ascii="Times New Roman" w:hAnsi="Times New Roman"/>
          <w:sz w:val="24"/>
          <w:szCs w:val="24"/>
          <w:lang w:val="en-US"/>
        </w:rPr>
      </w:pPr>
      <w:r w:rsidRPr="00E54704">
        <w:rPr>
          <w:rFonts w:ascii="Times New Roman" w:hAnsi="Times New Roman"/>
          <w:sz w:val="24"/>
          <w:szCs w:val="24"/>
          <w:lang w:val="en-US"/>
        </w:rPr>
        <w:t xml:space="preserve">Over the years, </w:t>
      </w:r>
      <w:r w:rsidR="008D73B8" w:rsidRPr="00E54704">
        <w:rPr>
          <w:rFonts w:ascii="Times New Roman" w:hAnsi="Times New Roman"/>
          <w:sz w:val="24"/>
          <w:szCs w:val="24"/>
          <w:lang w:val="en-US"/>
        </w:rPr>
        <w:t>it appears that the</w:t>
      </w:r>
      <w:r w:rsidRPr="00E54704">
        <w:rPr>
          <w:rFonts w:ascii="Times New Roman" w:hAnsi="Times New Roman"/>
          <w:sz w:val="24"/>
          <w:szCs w:val="24"/>
          <w:lang w:val="en-US"/>
        </w:rPr>
        <w:t xml:space="preserve">re has been an increase in the centralization process whereby not only has the role and responsibilities of the local government decreased and shifted to the control of the state or federal government, but their ability to make decisions has also been weakened, due to the fact that they are directly answerable to the state government. In Malaysia, there are no local government elections held; State governments appoint them without needing consultation with the Federal government. Hence, this implies that </w:t>
      </w:r>
      <w:r w:rsidR="008D73B8" w:rsidRPr="00E54704">
        <w:rPr>
          <w:rFonts w:ascii="Times New Roman" w:hAnsi="Times New Roman"/>
          <w:sz w:val="24"/>
          <w:szCs w:val="24"/>
          <w:lang w:val="en-US"/>
        </w:rPr>
        <w:t>accountability</w:t>
      </w:r>
      <w:r w:rsidRPr="00E54704">
        <w:rPr>
          <w:rFonts w:ascii="Times New Roman" w:hAnsi="Times New Roman"/>
          <w:sz w:val="24"/>
          <w:szCs w:val="24"/>
          <w:lang w:val="en-US"/>
        </w:rPr>
        <w:t>, if any,</w:t>
      </w:r>
      <w:r w:rsidR="008D73B8" w:rsidRPr="00E54704">
        <w:rPr>
          <w:rFonts w:ascii="Times New Roman" w:hAnsi="Times New Roman"/>
          <w:sz w:val="24"/>
          <w:szCs w:val="24"/>
          <w:lang w:val="en-US"/>
        </w:rPr>
        <w:t xml:space="preserve"> lies more with the state government and their ability</w:t>
      </w:r>
      <w:r w:rsidRPr="00E54704">
        <w:rPr>
          <w:rFonts w:ascii="Times New Roman" w:hAnsi="Times New Roman"/>
          <w:sz w:val="24"/>
          <w:szCs w:val="24"/>
          <w:lang w:val="en-US"/>
        </w:rPr>
        <w:t xml:space="preserve"> to manage the local government rather than the local authorities themselves.</w:t>
      </w:r>
    </w:p>
    <w:p w:rsidR="008F126E" w:rsidRPr="00E54704" w:rsidRDefault="008F126E" w:rsidP="008F126E">
      <w:pPr>
        <w:pStyle w:val="ListParagraph"/>
        <w:spacing w:after="100" w:afterAutospacing="1"/>
        <w:jc w:val="both"/>
        <w:rPr>
          <w:rFonts w:ascii="Times New Roman" w:hAnsi="Times New Roman"/>
          <w:sz w:val="24"/>
          <w:szCs w:val="24"/>
          <w:lang w:val="en-US"/>
        </w:rPr>
      </w:pPr>
    </w:p>
    <w:p w:rsidR="00AF4FBA" w:rsidRDefault="00AF4FBA" w:rsidP="0095568E">
      <w:pPr>
        <w:spacing w:after="100" w:afterAutospacing="1" w:line="240" w:lineRule="auto"/>
        <w:jc w:val="both"/>
        <w:rPr>
          <w:rFonts w:ascii="Times New Roman" w:hAnsi="Times New Roman"/>
          <w:color w:val="FF0000"/>
          <w:sz w:val="24"/>
          <w:szCs w:val="24"/>
        </w:rPr>
      </w:pPr>
    </w:p>
    <w:p w:rsidR="0095568E" w:rsidRPr="0095568E" w:rsidRDefault="0095568E" w:rsidP="0095568E">
      <w:pPr>
        <w:spacing w:after="100" w:afterAutospacing="1" w:line="240" w:lineRule="auto"/>
        <w:jc w:val="both"/>
        <w:rPr>
          <w:rFonts w:ascii="Times New Roman" w:hAnsi="Times New Roman"/>
          <w:color w:val="FF0000"/>
          <w:sz w:val="24"/>
          <w:szCs w:val="24"/>
        </w:rPr>
      </w:pPr>
    </w:p>
    <w:p w:rsidR="00AF4FBA" w:rsidRPr="00E54704" w:rsidRDefault="00AF4FBA" w:rsidP="00AF4FBA">
      <w:pPr>
        <w:pStyle w:val="ListParagraph"/>
        <w:numPr>
          <w:ilvl w:val="0"/>
          <w:numId w:val="1"/>
        </w:numPr>
        <w:spacing w:after="100" w:afterAutospacing="1" w:line="240" w:lineRule="auto"/>
        <w:jc w:val="both"/>
        <w:rPr>
          <w:rFonts w:ascii="Times New Roman" w:hAnsi="Times New Roman"/>
          <w:b/>
          <w:sz w:val="24"/>
          <w:szCs w:val="24"/>
        </w:rPr>
      </w:pPr>
      <w:r w:rsidRPr="00E54704">
        <w:rPr>
          <w:rFonts w:ascii="Times New Roman" w:hAnsi="Times New Roman"/>
          <w:b/>
          <w:sz w:val="24"/>
          <w:szCs w:val="24"/>
        </w:rPr>
        <w:lastRenderedPageBreak/>
        <w:t>Is local government in your country required by legislation to promote and protect human rights? Please describe how local government in your country is involved in the implementation of human rights obligations.</w:t>
      </w:r>
    </w:p>
    <w:p w:rsidR="00A40499" w:rsidRPr="00E54704" w:rsidRDefault="00A40499" w:rsidP="00A40499">
      <w:pPr>
        <w:pStyle w:val="ListParagraph"/>
        <w:spacing w:after="100" w:afterAutospacing="1" w:line="240" w:lineRule="auto"/>
        <w:jc w:val="both"/>
        <w:rPr>
          <w:rFonts w:ascii="Times New Roman" w:hAnsi="Times New Roman"/>
          <w:sz w:val="24"/>
          <w:szCs w:val="24"/>
        </w:rPr>
      </w:pPr>
    </w:p>
    <w:p w:rsidR="00A40499" w:rsidRPr="00E54704" w:rsidRDefault="00A40499" w:rsidP="00A40499">
      <w:pPr>
        <w:pStyle w:val="ListParagraph"/>
        <w:rPr>
          <w:rFonts w:ascii="Times New Roman" w:hAnsi="Times New Roman"/>
          <w:sz w:val="24"/>
          <w:szCs w:val="24"/>
        </w:rPr>
      </w:pPr>
      <w:r w:rsidRPr="00E54704">
        <w:rPr>
          <w:rFonts w:ascii="Times New Roman" w:hAnsi="Times New Roman"/>
          <w:sz w:val="24"/>
          <w:szCs w:val="24"/>
        </w:rPr>
        <w:t xml:space="preserve">With regard to Malaysian local legislation, there is no explicit reference in the above-mentioned Acts to the role of the local government in the promotion and protection of human rights. In theory, it can be argued that it is not necessary due to the fact that the Federal Constitution of Malaysia guarantees the protection of human rights at all levels. In this sense, it can be assumed that local government is only indirectly required by national legislation to protect human rights. </w:t>
      </w:r>
    </w:p>
    <w:p w:rsidR="00A40499" w:rsidRPr="00E54704" w:rsidRDefault="00A40499" w:rsidP="00A40499">
      <w:pPr>
        <w:pStyle w:val="ListParagraph"/>
        <w:rPr>
          <w:rFonts w:ascii="Times New Roman" w:hAnsi="Times New Roman"/>
          <w:sz w:val="24"/>
          <w:szCs w:val="24"/>
        </w:rPr>
      </w:pPr>
    </w:p>
    <w:p w:rsidR="00901ABE" w:rsidRDefault="00ED4142" w:rsidP="00901ABE">
      <w:pPr>
        <w:pStyle w:val="NormalWeb"/>
        <w:spacing w:before="0" w:beforeAutospacing="0" w:after="200" w:afterAutospacing="0" w:line="276" w:lineRule="auto"/>
        <w:ind w:left="720"/>
        <w:textAlignment w:val="baseline"/>
      </w:pPr>
      <w:r>
        <w:t>T</w:t>
      </w:r>
      <w:r w:rsidR="00A40499" w:rsidRPr="00E54704">
        <w:t xml:space="preserve">he role of local government in the preservation of human rights is usually only vaguely highlighted </w:t>
      </w:r>
      <w:r w:rsidR="00901ABE">
        <w:t>in specific areas. For example,</w:t>
      </w:r>
      <w:r w:rsidR="00901ABE">
        <w:rPr>
          <w:lang w:val="en-GB"/>
        </w:rPr>
        <w:t xml:space="preserve"> local authorities play</w:t>
      </w:r>
      <w:r w:rsidR="00901ABE" w:rsidRPr="00901ABE">
        <w:rPr>
          <w:lang w:val="en-GB"/>
        </w:rPr>
        <w:t xml:space="preserve"> an important role in providing public facilities for use of persons with disabilities</w:t>
      </w:r>
      <w:r w:rsidR="00901ABE">
        <w:rPr>
          <w:lang w:val="en-GB"/>
        </w:rPr>
        <w:t xml:space="preserve"> (PWDs)</w:t>
      </w:r>
      <w:r w:rsidR="00901ABE" w:rsidRPr="00901ABE">
        <w:rPr>
          <w:lang w:val="en-GB"/>
        </w:rPr>
        <w:t>, such as accessible public toilets, public parking spaces, apart from ensuring that buildings to which the public has access (building plans of which require approval of local authorities concerned) must</w:t>
      </w:r>
      <w:r w:rsidR="00901ABE">
        <w:rPr>
          <w:lang w:val="en-GB"/>
        </w:rPr>
        <w:t xml:space="preserve"> also be accessible by PWDs</w:t>
      </w:r>
      <w:r w:rsidR="00901ABE" w:rsidRPr="00901ABE">
        <w:rPr>
          <w:lang w:val="en-GB"/>
        </w:rPr>
        <w:t xml:space="preserve"> as required in the relevant Buildings By-laws.</w:t>
      </w:r>
    </w:p>
    <w:p w:rsidR="00901ABE" w:rsidRDefault="00901ABE" w:rsidP="00A40499">
      <w:pPr>
        <w:pStyle w:val="ListParagraph"/>
        <w:rPr>
          <w:rFonts w:ascii="Times New Roman" w:hAnsi="Times New Roman"/>
          <w:sz w:val="24"/>
          <w:szCs w:val="24"/>
        </w:rPr>
      </w:pPr>
    </w:p>
    <w:p w:rsidR="00A40499" w:rsidRPr="00901ABE" w:rsidRDefault="00901ABE" w:rsidP="00901ABE">
      <w:pPr>
        <w:pStyle w:val="ListParagraph"/>
        <w:rPr>
          <w:rFonts w:ascii="Times New Roman" w:hAnsi="Times New Roman"/>
          <w:sz w:val="24"/>
          <w:szCs w:val="24"/>
        </w:rPr>
      </w:pPr>
      <w:r>
        <w:rPr>
          <w:rFonts w:ascii="Times New Roman" w:hAnsi="Times New Roman"/>
          <w:sz w:val="24"/>
          <w:szCs w:val="24"/>
        </w:rPr>
        <w:t xml:space="preserve">Not only that, </w:t>
      </w:r>
      <w:r w:rsidR="00A40499" w:rsidRPr="00901ABE">
        <w:rPr>
          <w:rFonts w:ascii="Times New Roman" w:hAnsi="Times New Roman"/>
          <w:sz w:val="24"/>
          <w:szCs w:val="24"/>
        </w:rPr>
        <w:t xml:space="preserve">in 2008, the Malaysian Parliament passed the Persons with Disabilities Act 2008 (Act 685), which inherently provided legal requirements for the registration, protection, rehabilitation, development and wellbeing of persons with disabilities, the establishment of the National Council for Persons with Disabilities, and for other matters concerning the rights and welfare of disabled peoples. </w:t>
      </w:r>
    </w:p>
    <w:p w:rsidR="00A40499" w:rsidRPr="00E54704" w:rsidRDefault="00A40499" w:rsidP="00A40499">
      <w:pPr>
        <w:pStyle w:val="ListParagraph"/>
        <w:rPr>
          <w:rFonts w:ascii="Times New Roman" w:hAnsi="Times New Roman"/>
          <w:sz w:val="24"/>
          <w:szCs w:val="24"/>
        </w:rPr>
      </w:pPr>
    </w:p>
    <w:p w:rsidR="00A40499" w:rsidRDefault="00A40499" w:rsidP="00A40499">
      <w:pPr>
        <w:pStyle w:val="ListParagraph"/>
        <w:rPr>
          <w:rFonts w:ascii="Times New Roman" w:hAnsi="Times New Roman"/>
          <w:sz w:val="24"/>
          <w:szCs w:val="24"/>
        </w:rPr>
      </w:pPr>
      <w:r w:rsidRPr="00E54704">
        <w:rPr>
          <w:rFonts w:ascii="Times New Roman" w:hAnsi="Times New Roman"/>
          <w:sz w:val="24"/>
          <w:szCs w:val="24"/>
        </w:rPr>
        <w:t>The Act also goes on to outline the responsibilities of the various key players, such as the Government, its relevant ministries, private sector and non-governmental organizations in the protection of the rights of the disabled peoples. Article 15 refers to the responsibility of relevant ministries whereby: -</w:t>
      </w:r>
    </w:p>
    <w:p w:rsidR="00D005D3" w:rsidRPr="00E54704" w:rsidRDefault="00D005D3" w:rsidP="00A40499">
      <w:pPr>
        <w:pStyle w:val="ListParagraph"/>
        <w:rPr>
          <w:rFonts w:ascii="Times New Roman" w:hAnsi="Times New Roman"/>
          <w:sz w:val="24"/>
          <w:szCs w:val="24"/>
        </w:rPr>
      </w:pPr>
    </w:p>
    <w:p w:rsidR="00A40499" w:rsidRDefault="00A40499" w:rsidP="00A40499">
      <w:pPr>
        <w:pStyle w:val="ListParagraph"/>
        <w:jc w:val="both"/>
        <w:rPr>
          <w:rFonts w:ascii="Times New Roman" w:hAnsi="Times New Roman"/>
          <w:i/>
          <w:sz w:val="24"/>
          <w:szCs w:val="24"/>
          <w:lang w:val="en-US"/>
        </w:rPr>
      </w:pPr>
      <w:r w:rsidRPr="00E54704">
        <w:rPr>
          <w:rFonts w:ascii="Times New Roman" w:hAnsi="Times New Roman"/>
          <w:i/>
          <w:sz w:val="24"/>
          <w:szCs w:val="24"/>
          <w:lang w:val="en-US"/>
        </w:rPr>
        <w:t>“It shall be the responsibility and obligation of every relevant ministries, government agencies or bodies or organizations:</w:t>
      </w:r>
    </w:p>
    <w:p w:rsidR="00D005D3" w:rsidRPr="00E54704" w:rsidRDefault="00D005D3" w:rsidP="00A40499">
      <w:pPr>
        <w:pStyle w:val="ListParagraph"/>
        <w:jc w:val="both"/>
        <w:rPr>
          <w:rFonts w:ascii="Times New Roman" w:hAnsi="Times New Roman"/>
          <w:i/>
          <w:sz w:val="24"/>
          <w:szCs w:val="24"/>
          <w:lang w:val="en-US"/>
        </w:rPr>
      </w:pPr>
    </w:p>
    <w:p w:rsidR="00A40499" w:rsidRPr="00E54704" w:rsidRDefault="00A40499" w:rsidP="00A40499">
      <w:pPr>
        <w:pStyle w:val="ListParagraph"/>
        <w:jc w:val="both"/>
        <w:rPr>
          <w:rFonts w:ascii="Times New Roman" w:hAnsi="Times New Roman"/>
          <w:i/>
          <w:sz w:val="24"/>
          <w:szCs w:val="24"/>
          <w:lang w:val="en-US"/>
        </w:rPr>
      </w:pPr>
      <w:bookmarkStart w:id="1" w:name="USM.0685E.S15.A"/>
      <w:bookmarkEnd w:id="1"/>
      <w:r w:rsidRPr="00E54704">
        <w:rPr>
          <w:rFonts w:ascii="Times New Roman" w:hAnsi="Times New Roman"/>
          <w:i/>
          <w:sz w:val="24"/>
          <w:szCs w:val="24"/>
          <w:lang w:val="en-US"/>
        </w:rPr>
        <w:t>a) </w:t>
      </w:r>
      <w:proofErr w:type="gramStart"/>
      <w:r w:rsidRPr="00E54704">
        <w:rPr>
          <w:rFonts w:ascii="Times New Roman" w:hAnsi="Times New Roman"/>
          <w:i/>
          <w:sz w:val="24"/>
          <w:szCs w:val="24"/>
          <w:lang w:val="en-US"/>
        </w:rPr>
        <w:t>to</w:t>
      </w:r>
      <w:proofErr w:type="gramEnd"/>
      <w:r w:rsidRPr="00E54704">
        <w:rPr>
          <w:rFonts w:ascii="Times New Roman" w:hAnsi="Times New Roman"/>
          <w:i/>
          <w:sz w:val="24"/>
          <w:szCs w:val="24"/>
          <w:lang w:val="en-US"/>
        </w:rPr>
        <w:t xml:space="preserve"> co-operate with and assist the Council in the performance by the Council of its functions under this Act;</w:t>
      </w:r>
    </w:p>
    <w:p w:rsidR="00A40499" w:rsidRPr="00E54704" w:rsidRDefault="00A40499" w:rsidP="00A40499">
      <w:pPr>
        <w:pStyle w:val="ListParagraph"/>
        <w:jc w:val="both"/>
        <w:rPr>
          <w:rFonts w:ascii="Times New Roman" w:hAnsi="Times New Roman"/>
          <w:i/>
          <w:sz w:val="24"/>
          <w:szCs w:val="24"/>
          <w:lang w:val="en-US"/>
        </w:rPr>
      </w:pPr>
      <w:bookmarkStart w:id="2" w:name="USM.0685E.S15.B"/>
      <w:bookmarkEnd w:id="2"/>
      <w:r w:rsidRPr="00E54704">
        <w:rPr>
          <w:rFonts w:ascii="Times New Roman" w:hAnsi="Times New Roman"/>
          <w:i/>
          <w:sz w:val="24"/>
          <w:szCs w:val="24"/>
          <w:lang w:val="en-US"/>
        </w:rPr>
        <w:t>b) </w:t>
      </w:r>
      <w:proofErr w:type="gramStart"/>
      <w:r w:rsidRPr="00E54704">
        <w:rPr>
          <w:rFonts w:ascii="Times New Roman" w:hAnsi="Times New Roman"/>
          <w:i/>
          <w:sz w:val="24"/>
          <w:szCs w:val="24"/>
          <w:lang w:val="en-US"/>
        </w:rPr>
        <w:t>to</w:t>
      </w:r>
      <w:proofErr w:type="gramEnd"/>
      <w:r w:rsidRPr="00E54704">
        <w:rPr>
          <w:rFonts w:ascii="Times New Roman" w:hAnsi="Times New Roman"/>
          <w:i/>
          <w:sz w:val="24"/>
          <w:szCs w:val="24"/>
          <w:lang w:val="en-US"/>
        </w:rPr>
        <w:t xml:space="preserve"> give due consideration to the national policy and national plan of action of the Government relating to persons with disabilities; and</w:t>
      </w:r>
    </w:p>
    <w:p w:rsidR="00A40499" w:rsidRDefault="00A40499" w:rsidP="00A40499">
      <w:pPr>
        <w:pStyle w:val="ListParagraph"/>
        <w:jc w:val="both"/>
        <w:rPr>
          <w:rFonts w:ascii="Times New Roman" w:hAnsi="Times New Roman"/>
          <w:i/>
          <w:sz w:val="24"/>
          <w:szCs w:val="24"/>
          <w:lang w:val="en-US"/>
        </w:rPr>
      </w:pPr>
      <w:bookmarkStart w:id="3" w:name="USM.0685E.S15.C"/>
      <w:bookmarkEnd w:id="3"/>
      <w:r w:rsidRPr="00E54704">
        <w:rPr>
          <w:rFonts w:ascii="Times New Roman" w:hAnsi="Times New Roman"/>
          <w:i/>
          <w:sz w:val="24"/>
          <w:szCs w:val="24"/>
          <w:lang w:val="en-US"/>
        </w:rPr>
        <w:t>c) </w:t>
      </w:r>
      <w:proofErr w:type="gramStart"/>
      <w:r w:rsidRPr="00E54704">
        <w:rPr>
          <w:rFonts w:ascii="Times New Roman" w:hAnsi="Times New Roman"/>
          <w:i/>
          <w:sz w:val="24"/>
          <w:szCs w:val="24"/>
          <w:lang w:val="en-US"/>
        </w:rPr>
        <w:t>to</w:t>
      </w:r>
      <w:proofErr w:type="gramEnd"/>
      <w:r w:rsidRPr="00E54704">
        <w:rPr>
          <w:rFonts w:ascii="Times New Roman" w:hAnsi="Times New Roman"/>
          <w:i/>
          <w:sz w:val="24"/>
          <w:szCs w:val="24"/>
          <w:lang w:val="en-US"/>
        </w:rPr>
        <w:t xml:space="preserve"> undertake steps, measures or actions required to be taken by it in such form or manner as may be provided for under any other written law or otherwise relating to persons with disabilities.”</w:t>
      </w:r>
    </w:p>
    <w:p w:rsidR="00D005D3" w:rsidRPr="00E54704" w:rsidRDefault="00D005D3" w:rsidP="00A40499">
      <w:pPr>
        <w:pStyle w:val="ListParagraph"/>
        <w:jc w:val="both"/>
        <w:rPr>
          <w:rFonts w:ascii="Times New Roman" w:hAnsi="Times New Roman"/>
          <w:i/>
          <w:sz w:val="24"/>
          <w:szCs w:val="24"/>
          <w:lang w:val="en-US"/>
        </w:rPr>
      </w:pPr>
    </w:p>
    <w:p w:rsidR="00A40499" w:rsidRPr="00E54704" w:rsidRDefault="00A40499" w:rsidP="00A40499">
      <w:pPr>
        <w:pStyle w:val="ListParagraph"/>
        <w:jc w:val="both"/>
        <w:rPr>
          <w:rFonts w:ascii="Times New Roman" w:hAnsi="Times New Roman"/>
          <w:i/>
          <w:sz w:val="24"/>
          <w:szCs w:val="24"/>
          <w:lang w:val="en-US"/>
        </w:rPr>
      </w:pPr>
      <w:r w:rsidRPr="00E54704">
        <w:rPr>
          <w:rFonts w:ascii="Times New Roman" w:hAnsi="Times New Roman"/>
          <w:sz w:val="24"/>
          <w:szCs w:val="24"/>
        </w:rPr>
        <w:lastRenderedPageBreak/>
        <w:t>On the other hand, it should be noted that the local government might be required to participate in the implementation of human rights obligations through Malaysia’s signing of three international core human rights conventions, which are:</w:t>
      </w:r>
    </w:p>
    <w:p w:rsidR="00A40499" w:rsidRPr="00E54704" w:rsidRDefault="00A40499" w:rsidP="00A40499">
      <w:pPr>
        <w:pStyle w:val="ListParagraph"/>
        <w:rPr>
          <w:rFonts w:ascii="Times New Roman" w:hAnsi="Times New Roman"/>
          <w:sz w:val="24"/>
          <w:szCs w:val="24"/>
        </w:rPr>
      </w:pPr>
    </w:p>
    <w:p w:rsidR="00A40499" w:rsidRPr="00E54704" w:rsidRDefault="00A40499" w:rsidP="00A40499">
      <w:pPr>
        <w:pStyle w:val="ListParagraph"/>
        <w:numPr>
          <w:ilvl w:val="0"/>
          <w:numId w:val="7"/>
        </w:numPr>
        <w:rPr>
          <w:rFonts w:ascii="Times New Roman" w:hAnsi="Times New Roman"/>
          <w:sz w:val="24"/>
          <w:szCs w:val="24"/>
        </w:rPr>
      </w:pPr>
      <w:r w:rsidRPr="00E54704">
        <w:rPr>
          <w:rFonts w:ascii="Times New Roman" w:hAnsi="Times New Roman"/>
          <w:sz w:val="24"/>
          <w:szCs w:val="24"/>
        </w:rPr>
        <w:t>Convention on the Elimination of All Forms of Discrimination Against Women (CEDAW)</w:t>
      </w:r>
    </w:p>
    <w:p w:rsidR="00A40499" w:rsidRPr="00E54704" w:rsidRDefault="00A40499" w:rsidP="00A40499">
      <w:pPr>
        <w:pStyle w:val="ListParagraph"/>
        <w:numPr>
          <w:ilvl w:val="0"/>
          <w:numId w:val="7"/>
        </w:numPr>
        <w:rPr>
          <w:rFonts w:ascii="Times New Roman" w:hAnsi="Times New Roman"/>
          <w:sz w:val="24"/>
          <w:szCs w:val="24"/>
        </w:rPr>
      </w:pPr>
      <w:r w:rsidRPr="00E54704">
        <w:rPr>
          <w:rFonts w:ascii="Times New Roman" w:hAnsi="Times New Roman"/>
          <w:sz w:val="24"/>
          <w:szCs w:val="24"/>
        </w:rPr>
        <w:t>Convention on the Rights of the Child (CRC)</w:t>
      </w:r>
    </w:p>
    <w:p w:rsidR="00A40499" w:rsidRPr="00E54704" w:rsidRDefault="00A40499" w:rsidP="00A40499">
      <w:pPr>
        <w:pStyle w:val="ListParagraph"/>
        <w:numPr>
          <w:ilvl w:val="0"/>
          <w:numId w:val="7"/>
        </w:numPr>
        <w:rPr>
          <w:rFonts w:ascii="Times New Roman" w:hAnsi="Times New Roman"/>
          <w:sz w:val="24"/>
          <w:szCs w:val="24"/>
        </w:rPr>
      </w:pPr>
      <w:r w:rsidRPr="00E54704">
        <w:rPr>
          <w:rFonts w:ascii="Times New Roman" w:hAnsi="Times New Roman"/>
          <w:sz w:val="24"/>
          <w:szCs w:val="24"/>
        </w:rPr>
        <w:t>Convention of the Rights of Persons with Disabilities (CRPD)</w:t>
      </w:r>
    </w:p>
    <w:p w:rsidR="00E54704" w:rsidRPr="00E54704" w:rsidRDefault="00E54704" w:rsidP="00E54704">
      <w:pPr>
        <w:pStyle w:val="ListParagraph"/>
        <w:ind w:left="2136"/>
        <w:rPr>
          <w:rFonts w:ascii="Times New Roman" w:hAnsi="Times New Roman"/>
          <w:sz w:val="24"/>
          <w:szCs w:val="24"/>
        </w:rPr>
      </w:pPr>
    </w:p>
    <w:p w:rsidR="00A40499" w:rsidRPr="00E54704" w:rsidRDefault="00A40499" w:rsidP="00A40499">
      <w:pPr>
        <w:pStyle w:val="ListParagraph"/>
        <w:rPr>
          <w:rFonts w:ascii="Times New Roman" w:hAnsi="Times New Roman"/>
          <w:sz w:val="24"/>
          <w:szCs w:val="24"/>
        </w:rPr>
      </w:pPr>
      <w:r w:rsidRPr="00E54704">
        <w:rPr>
          <w:rFonts w:ascii="Times New Roman" w:hAnsi="Times New Roman"/>
          <w:sz w:val="24"/>
          <w:szCs w:val="24"/>
        </w:rPr>
        <w:t xml:space="preserve">An example of the local government being required to assist in the implementation of human rights obligations can be witnessed through Article 2(d) of CEDAW, which requires States ‘to refrain from engaging in any act or practice of discrimination against women and to </w:t>
      </w:r>
      <w:r w:rsidRPr="00E54704">
        <w:rPr>
          <w:rFonts w:ascii="Times New Roman" w:hAnsi="Times New Roman"/>
          <w:i/>
          <w:sz w:val="24"/>
          <w:szCs w:val="24"/>
        </w:rPr>
        <w:t>ensure that public authorities and institutions shall act in conformity with this obligations’</w:t>
      </w:r>
      <w:r w:rsidRPr="00E54704">
        <w:rPr>
          <w:rFonts w:ascii="Times New Roman" w:hAnsi="Times New Roman"/>
          <w:sz w:val="24"/>
          <w:szCs w:val="24"/>
        </w:rPr>
        <w:t xml:space="preserve">. </w:t>
      </w:r>
    </w:p>
    <w:p w:rsidR="00A40499" w:rsidRPr="00E54704" w:rsidRDefault="00A40499" w:rsidP="00A40499">
      <w:pPr>
        <w:pStyle w:val="ListParagraph"/>
        <w:rPr>
          <w:rFonts w:ascii="Times New Roman" w:hAnsi="Times New Roman"/>
          <w:sz w:val="24"/>
          <w:szCs w:val="24"/>
        </w:rPr>
      </w:pPr>
      <w:r w:rsidRPr="00E54704">
        <w:rPr>
          <w:rFonts w:ascii="Times New Roman" w:hAnsi="Times New Roman"/>
          <w:sz w:val="24"/>
          <w:szCs w:val="24"/>
        </w:rPr>
        <w:t xml:space="preserve">If the term ‘public authority’ was to refer to </w:t>
      </w:r>
      <w:r w:rsidRPr="00E54704">
        <w:rPr>
          <w:rFonts w:ascii="Times New Roman" w:hAnsi="Times New Roman"/>
          <w:sz w:val="24"/>
          <w:szCs w:val="24"/>
          <w:lang w:val="en-US"/>
        </w:rPr>
        <w:t xml:space="preserve">any form of authority, which has a legal mandate to govern or administrate a part or aspect of public life such as all branches of the executive power of a state, province, municipality, </w:t>
      </w:r>
      <w:r w:rsidRPr="00E54704">
        <w:rPr>
          <w:rFonts w:ascii="Times New Roman" w:hAnsi="Times New Roman"/>
          <w:sz w:val="24"/>
          <w:szCs w:val="24"/>
        </w:rPr>
        <w:t xml:space="preserve">then the duties of local government in the protection and promotion of human rights are rather direct. However, given that the local government in Malaysia lacks any particularly vital role or even mandate with regard to any form of initiatives, it is clear that it is then the responsibility of the state and federal government to ensure the compliance of the local government in the implementation of its human rights obligations. </w:t>
      </w:r>
    </w:p>
    <w:p w:rsidR="00A40499" w:rsidRPr="00E54704" w:rsidRDefault="00A40499" w:rsidP="00A40499">
      <w:pPr>
        <w:pStyle w:val="ListParagraph"/>
        <w:spacing w:after="100" w:afterAutospacing="1" w:line="240" w:lineRule="auto"/>
        <w:jc w:val="both"/>
        <w:rPr>
          <w:rFonts w:ascii="Times New Roman" w:hAnsi="Times New Roman"/>
          <w:sz w:val="24"/>
          <w:szCs w:val="24"/>
        </w:rPr>
      </w:pPr>
    </w:p>
    <w:p w:rsidR="00A40499" w:rsidRPr="00E54704" w:rsidRDefault="00A40499" w:rsidP="00A40499">
      <w:pPr>
        <w:pStyle w:val="ListParagraph"/>
        <w:spacing w:after="100" w:afterAutospacing="1" w:line="240" w:lineRule="auto"/>
        <w:jc w:val="both"/>
        <w:rPr>
          <w:rFonts w:ascii="Times New Roman" w:hAnsi="Times New Roman"/>
          <w:sz w:val="24"/>
          <w:szCs w:val="24"/>
        </w:rPr>
      </w:pPr>
    </w:p>
    <w:p w:rsidR="00A40499" w:rsidRPr="00E54704" w:rsidRDefault="00A40499" w:rsidP="00A40499">
      <w:pPr>
        <w:pStyle w:val="ListParagraph"/>
        <w:numPr>
          <w:ilvl w:val="0"/>
          <w:numId w:val="1"/>
        </w:numPr>
        <w:spacing w:after="100" w:afterAutospacing="1" w:line="240" w:lineRule="auto"/>
        <w:jc w:val="both"/>
        <w:rPr>
          <w:rFonts w:ascii="Times New Roman" w:hAnsi="Times New Roman"/>
          <w:b/>
          <w:sz w:val="24"/>
          <w:szCs w:val="24"/>
        </w:rPr>
      </w:pPr>
      <w:r w:rsidRPr="00E54704">
        <w:rPr>
          <w:rFonts w:ascii="Times New Roman" w:hAnsi="Times New Roman"/>
          <w:b/>
          <w:sz w:val="24"/>
          <w:szCs w:val="24"/>
        </w:rPr>
        <w:t xml:space="preserve">Is there any cooperation between local government and the central government in your country regarding the implementation of human rights at local level? If yes, please describe the existing cooperation framework. </w:t>
      </w:r>
    </w:p>
    <w:p w:rsidR="002A3B8E" w:rsidRPr="00E54704" w:rsidRDefault="002A3B8E" w:rsidP="002A3B8E">
      <w:pPr>
        <w:pStyle w:val="ListParagraph"/>
        <w:spacing w:after="100" w:afterAutospacing="1" w:line="240" w:lineRule="auto"/>
        <w:jc w:val="both"/>
        <w:rPr>
          <w:rFonts w:ascii="Times New Roman" w:hAnsi="Times New Roman"/>
          <w:b/>
          <w:sz w:val="24"/>
          <w:szCs w:val="24"/>
        </w:rPr>
      </w:pPr>
    </w:p>
    <w:p w:rsidR="00B964AC" w:rsidRPr="00E54704" w:rsidRDefault="00B964AC" w:rsidP="00A40499">
      <w:pPr>
        <w:pStyle w:val="NormalWeb"/>
        <w:spacing w:before="0" w:beforeAutospacing="0" w:after="0" w:afterAutospacing="0" w:line="180" w:lineRule="atLeast"/>
        <w:ind w:left="708"/>
        <w:textAlignment w:val="baseline"/>
      </w:pPr>
      <w:r w:rsidRPr="00E54704">
        <w:t xml:space="preserve">From our observation, </w:t>
      </w:r>
      <w:r w:rsidR="00003849" w:rsidRPr="00E54704">
        <w:t>there is</w:t>
      </w:r>
      <w:r w:rsidR="00A40499" w:rsidRPr="00E54704">
        <w:t xml:space="preserve"> a level of</w:t>
      </w:r>
      <w:r w:rsidRPr="00E54704">
        <w:t>cooperation between loca</w:t>
      </w:r>
      <w:r w:rsidR="00003849" w:rsidRPr="00E54704">
        <w:t>l government agencies with central</w:t>
      </w:r>
      <w:r w:rsidRPr="00E54704">
        <w:t xml:space="preserve"> governments concerning</w:t>
      </w:r>
      <w:r w:rsidR="00A40499" w:rsidRPr="00E54704">
        <w:t xml:space="preserve"> the implementation of human rights at a local level</w:t>
      </w:r>
      <w:r w:rsidRPr="00E54704">
        <w:t>. An example of this would b</w:t>
      </w:r>
      <w:r w:rsidR="00F929FC" w:rsidRPr="00E54704">
        <w:t>e the federal government’s initi</w:t>
      </w:r>
      <w:r w:rsidR="00003849" w:rsidRPr="00E54704">
        <w:t xml:space="preserve">ative, called </w:t>
      </w:r>
      <w:r w:rsidRPr="00E54704">
        <w:t xml:space="preserve">the ‘E-Kasih </w:t>
      </w:r>
      <w:r w:rsidR="00693261" w:rsidRPr="00E54704">
        <w:t>1Azam’ programme</w:t>
      </w:r>
      <w:r w:rsidRPr="00E54704">
        <w:t xml:space="preserve">, which was </w:t>
      </w:r>
      <w:r w:rsidR="00693261" w:rsidRPr="00E54704">
        <w:t xml:space="preserve">aimed at alleviating poverty in rural and urban areas. </w:t>
      </w:r>
      <w:r w:rsidR="00A40499" w:rsidRPr="00E54704">
        <w:t xml:space="preserve">As with most programmes, national initiatives that are large scale and aimed at civil society, cooperation with the state and local government would be necessary in the form of assisting the central government in the implementation process. Other than that, other forms of cooperation that have been witnessed between the central and local government would be in the form of consultations, for the purpose of engaging and raising awareness amongst civil servants and civil society alike. </w:t>
      </w:r>
    </w:p>
    <w:p w:rsidR="00B964AC" w:rsidRPr="00E54704" w:rsidRDefault="00B964AC" w:rsidP="00A40499">
      <w:pPr>
        <w:pStyle w:val="NormalWeb"/>
        <w:spacing w:before="0" w:beforeAutospacing="0" w:after="0" w:afterAutospacing="0" w:line="180" w:lineRule="atLeast"/>
        <w:textAlignment w:val="baseline"/>
      </w:pPr>
    </w:p>
    <w:p w:rsidR="002A3B8E" w:rsidRPr="00E54704" w:rsidRDefault="00F929FC" w:rsidP="00A40499">
      <w:pPr>
        <w:pStyle w:val="NormalWeb"/>
        <w:spacing w:before="0" w:beforeAutospacing="0" w:after="0" w:afterAutospacing="0" w:line="180" w:lineRule="atLeast"/>
        <w:ind w:left="708"/>
        <w:textAlignment w:val="baseline"/>
      </w:pPr>
      <w:r w:rsidRPr="00E54704">
        <w:t>However, while SUHAKAM believes that there is a certain degree of co</w:t>
      </w:r>
      <w:r w:rsidR="003F6E8E" w:rsidRPr="00E54704">
        <w:t xml:space="preserve">llaberation </w:t>
      </w:r>
      <w:r w:rsidRPr="00E54704">
        <w:t>between local government a</w:t>
      </w:r>
      <w:r w:rsidR="00003849" w:rsidRPr="00E54704">
        <w:t>nd the central government, we are unfamiliar if there is any particular framework</w:t>
      </w:r>
      <w:r w:rsidR="003F6E8E" w:rsidRPr="00E54704">
        <w:t xml:space="preserve"> of cooperation</w:t>
      </w:r>
      <w:r w:rsidR="00003849" w:rsidRPr="00E54704">
        <w:t xml:space="preserve"> utlized when dealing with issues of human rights. </w:t>
      </w:r>
    </w:p>
    <w:p w:rsidR="00A40499" w:rsidRPr="00E54704" w:rsidRDefault="00A40499" w:rsidP="00A40499">
      <w:pPr>
        <w:pStyle w:val="NormalWeb"/>
        <w:spacing w:before="0" w:beforeAutospacing="0" w:after="0" w:afterAutospacing="0" w:line="180" w:lineRule="atLeast"/>
        <w:ind w:left="708"/>
        <w:textAlignment w:val="baseline"/>
        <w:rPr>
          <w:color w:val="FF0000"/>
        </w:rPr>
      </w:pPr>
    </w:p>
    <w:p w:rsidR="00A40499" w:rsidRPr="00E54704" w:rsidRDefault="00A40499" w:rsidP="00A40499">
      <w:pPr>
        <w:pStyle w:val="NormalWeb"/>
        <w:spacing w:before="0" w:beforeAutospacing="0" w:after="0" w:afterAutospacing="0" w:line="180" w:lineRule="atLeast"/>
        <w:ind w:left="708"/>
        <w:textAlignment w:val="baseline"/>
        <w:rPr>
          <w:color w:val="FF0000"/>
        </w:rPr>
      </w:pPr>
    </w:p>
    <w:p w:rsidR="00901ABE" w:rsidRPr="00901ABE" w:rsidRDefault="00AF4FBA" w:rsidP="00901ABE">
      <w:pPr>
        <w:pStyle w:val="NormalWeb"/>
        <w:numPr>
          <w:ilvl w:val="0"/>
          <w:numId w:val="1"/>
        </w:numPr>
        <w:spacing w:before="0" w:beforeAutospacing="0" w:after="0" w:afterAutospacing="0" w:line="180" w:lineRule="atLeast"/>
        <w:textAlignment w:val="baseline"/>
        <w:rPr>
          <w:b/>
        </w:rPr>
      </w:pPr>
      <w:r w:rsidRPr="00E54704">
        <w:rPr>
          <w:b/>
        </w:rPr>
        <w:lastRenderedPageBreak/>
        <w:t>Do you have human rights protection mechanisms at the local level in your country (e.g. ombudspersons, human rights commissions, mediators, etc.)?</w:t>
      </w:r>
    </w:p>
    <w:p w:rsidR="00901ABE" w:rsidRPr="00E54704" w:rsidRDefault="00901ABE" w:rsidP="00633C95">
      <w:pPr>
        <w:pStyle w:val="NormalWeb"/>
        <w:spacing w:before="0" w:beforeAutospacing="0" w:after="0" w:afterAutospacing="0" w:line="180" w:lineRule="atLeast"/>
        <w:ind w:left="720"/>
        <w:textAlignment w:val="baseline"/>
      </w:pPr>
    </w:p>
    <w:p w:rsidR="00901ABE" w:rsidRDefault="00901ABE" w:rsidP="00633C95">
      <w:pPr>
        <w:pStyle w:val="NormalWeb"/>
        <w:spacing w:before="0" w:beforeAutospacing="0" w:after="0" w:afterAutospacing="0" w:line="180" w:lineRule="atLeast"/>
        <w:ind w:left="720"/>
        <w:textAlignment w:val="baseline"/>
      </w:pPr>
    </w:p>
    <w:p w:rsidR="00633C95" w:rsidRPr="00E54704" w:rsidRDefault="00633C95" w:rsidP="00633C95">
      <w:pPr>
        <w:pStyle w:val="NormalWeb"/>
        <w:spacing w:before="0" w:beforeAutospacing="0" w:after="0" w:afterAutospacing="0" w:line="180" w:lineRule="atLeast"/>
        <w:ind w:left="720"/>
        <w:textAlignment w:val="baseline"/>
      </w:pPr>
      <w:r w:rsidRPr="00E54704">
        <w:t xml:space="preserve">It should be noted that while the local governments have provisions for certain human rights issues, such as the Building By-Laws, which sets out requirements for building plans to include easy accessibility by Persons with Disabilities (PWDs), it lacks the enforcement capabilities to incur any form of punishment or financial penalties. In this case, even if the local governments had the legal rights to enforce these By-laws, SUHAKAM is unaware if there has been any record of the By-laws being properly implemented. </w:t>
      </w:r>
    </w:p>
    <w:p w:rsidR="00A40499" w:rsidRPr="00E54704" w:rsidRDefault="00A40499" w:rsidP="00A40499">
      <w:pPr>
        <w:pStyle w:val="NormalWeb"/>
        <w:spacing w:before="0" w:beforeAutospacing="0" w:after="0" w:afterAutospacing="0" w:line="180" w:lineRule="atLeast"/>
        <w:ind w:left="720"/>
        <w:textAlignment w:val="baseline"/>
        <w:rPr>
          <w:color w:val="FF0000"/>
        </w:rPr>
      </w:pPr>
    </w:p>
    <w:p w:rsidR="00AF4FBA" w:rsidRPr="00E54704" w:rsidRDefault="00633C95" w:rsidP="00A40499">
      <w:pPr>
        <w:spacing w:after="100" w:afterAutospacing="1" w:line="240" w:lineRule="auto"/>
        <w:ind w:left="708"/>
        <w:jc w:val="both"/>
        <w:rPr>
          <w:rFonts w:ascii="Times New Roman" w:hAnsi="Times New Roman"/>
          <w:sz w:val="24"/>
          <w:szCs w:val="24"/>
          <w:lang w:val="en-US"/>
        </w:rPr>
      </w:pPr>
      <w:r w:rsidRPr="00E54704">
        <w:rPr>
          <w:rFonts w:ascii="Times New Roman" w:hAnsi="Times New Roman"/>
          <w:sz w:val="24"/>
          <w:szCs w:val="24"/>
          <w:lang w:val="en-US"/>
        </w:rPr>
        <w:t>On the other hand, t</w:t>
      </w:r>
      <w:r w:rsidR="00AF4FBA" w:rsidRPr="00E54704">
        <w:rPr>
          <w:rFonts w:ascii="Times New Roman" w:hAnsi="Times New Roman"/>
          <w:sz w:val="24"/>
          <w:szCs w:val="24"/>
          <w:lang w:val="en-US"/>
        </w:rPr>
        <w:t xml:space="preserve">he Human Rights Commission of Malaysia (SUHAKAM) was established by Parliament under the Human Rights Commission of Malaysia Act 1999, Act 597. The Act was </w:t>
      </w:r>
      <w:proofErr w:type="spellStart"/>
      <w:r w:rsidR="00AF4FBA" w:rsidRPr="00E54704">
        <w:rPr>
          <w:rFonts w:ascii="Times New Roman" w:hAnsi="Times New Roman"/>
          <w:sz w:val="24"/>
          <w:szCs w:val="24"/>
          <w:lang w:val="en-US"/>
        </w:rPr>
        <w:t>gazetted</w:t>
      </w:r>
      <w:proofErr w:type="spellEnd"/>
      <w:r w:rsidR="00AF4FBA" w:rsidRPr="00E54704">
        <w:rPr>
          <w:rFonts w:ascii="Times New Roman" w:hAnsi="Times New Roman"/>
          <w:sz w:val="24"/>
          <w:szCs w:val="24"/>
          <w:lang w:val="en-US"/>
        </w:rPr>
        <w:t xml:space="preserve"> on 9 September 1999.</w:t>
      </w:r>
      <w:r w:rsidRPr="00E54704">
        <w:rPr>
          <w:rFonts w:ascii="Times New Roman" w:hAnsi="Times New Roman"/>
          <w:sz w:val="24"/>
          <w:szCs w:val="24"/>
          <w:lang w:val="en-US"/>
        </w:rPr>
        <w:t xml:space="preserve"> SUHAKAM represents the Government’s initiative in ensuring that Malaysia had</w:t>
      </w:r>
      <w:r w:rsidR="00AF4FBA" w:rsidRPr="00E54704">
        <w:rPr>
          <w:rFonts w:ascii="Times New Roman" w:hAnsi="Times New Roman"/>
          <w:sz w:val="24"/>
          <w:szCs w:val="24"/>
          <w:lang w:val="en-US"/>
        </w:rPr>
        <w:t xml:space="preserve"> its own independent national human rights institution (NHRI). Hence, </w:t>
      </w:r>
      <w:r w:rsidRPr="00E54704">
        <w:rPr>
          <w:rFonts w:ascii="Times New Roman" w:hAnsi="Times New Roman"/>
          <w:sz w:val="24"/>
          <w:szCs w:val="24"/>
          <w:lang w:val="en-US"/>
        </w:rPr>
        <w:t xml:space="preserve">while there may not be any form of human rights protection mechanisms at the local level, </w:t>
      </w:r>
      <w:r w:rsidR="00AF4FBA" w:rsidRPr="00E54704">
        <w:rPr>
          <w:rFonts w:ascii="Times New Roman" w:hAnsi="Times New Roman"/>
          <w:sz w:val="24"/>
          <w:szCs w:val="24"/>
          <w:lang w:val="en-US"/>
        </w:rPr>
        <w:t>the Commission is tasked in the promotion and protection</w:t>
      </w:r>
      <w:r w:rsidRPr="00E54704">
        <w:rPr>
          <w:rFonts w:ascii="Times New Roman" w:hAnsi="Times New Roman"/>
          <w:sz w:val="24"/>
          <w:szCs w:val="24"/>
          <w:lang w:val="en-US"/>
        </w:rPr>
        <w:t xml:space="preserve"> of human rights at all levels. </w:t>
      </w:r>
    </w:p>
    <w:p w:rsidR="00633C95" w:rsidRDefault="00633C95" w:rsidP="00A40499">
      <w:pPr>
        <w:spacing w:after="100" w:afterAutospacing="1" w:line="240" w:lineRule="auto"/>
        <w:ind w:left="708"/>
        <w:jc w:val="both"/>
        <w:rPr>
          <w:rFonts w:ascii="Times New Roman" w:hAnsi="Times New Roman"/>
          <w:sz w:val="24"/>
          <w:szCs w:val="24"/>
          <w:lang w:val="en-US"/>
        </w:rPr>
      </w:pPr>
      <w:r w:rsidRPr="00E54704">
        <w:rPr>
          <w:rFonts w:ascii="Times New Roman" w:hAnsi="Times New Roman"/>
          <w:sz w:val="24"/>
          <w:szCs w:val="24"/>
          <w:lang w:val="en-US"/>
        </w:rPr>
        <w:t xml:space="preserve">The organizational structure of SUHAKAM </w:t>
      </w:r>
      <w:r w:rsidR="00500AE7" w:rsidRPr="00E54704">
        <w:rPr>
          <w:rFonts w:ascii="Times New Roman" w:hAnsi="Times New Roman"/>
          <w:sz w:val="24"/>
          <w:szCs w:val="24"/>
          <w:lang w:val="en-US"/>
        </w:rPr>
        <w:t>is one that has allowed</w:t>
      </w:r>
      <w:r w:rsidRPr="00E54704">
        <w:rPr>
          <w:rFonts w:ascii="Times New Roman" w:hAnsi="Times New Roman"/>
          <w:sz w:val="24"/>
          <w:szCs w:val="24"/>
          <w:lang w:val="en-US"/>
        </w:rPr>
        <w:t xml:space="preserve"> accessibility and participation alike, in the pursuit to promote and protect human rights. </w:t>
      </w:r>
      <w:r w:rsidR="00500AE7" w:rsidRPr="00E54704">
        <w:rPr>
          <w:rFonts w:ascii="Times New Roman" w:hAnsi="Times New Roman"/>
          <w:sz w:val="24"/>
          <w:szCs w:val="24"/>
          <w:lang w:val="en-US"/>
        </w:rPr>
        <w:t>Hence, specific groups were formed on education and public relations (EPRG), research and policy development (RPDG) as well as on complaints, inquiries and monitoring (CMIG). For instance,</w:t>
      </w:r>
      <w:r w:rsidRPr="00E54704">
        <w:rPr>
          <w:rFonts w:ascii="Times New Roman" w:hAnsi="Times New Roman"/>
          <w:sz w:val="24"/>
          <w:szCs w:val="24"/>
          <w:lang w:val="en-US"/>
        </w:rPr>
        <w:t xml:space="preserve"> under </w:t>
      </w:r>
      <w:r w:rsidR="00500AE7" w:rsidRPr="00E54704">
        <w:rPr>
          <w:rFonts w:ascii="Times New Roman" w:hAnsi="Times New Roman"/>
          <w:sz w:val="24"/>
          <w:szCs w:val="24"/>
          <w:lang w:val="en-US"/>
        </w:rPr>
        <w:t xml:space="preserve">CMIG, </w:t>
      </w:r>
      <w:r w:rsidRPr="00E54704">
        <w:rPr>
          <w:rFonts w:ascii="Times New Roman" w:hAnsi="Times New Roman"/>
          <w:sz w:val="24"/>
          <w:szCs w:val="24"/>
          <w:lang w:val="en-US"/>
        </w:rPr>
        <w:t>SUHAKAM is tasked to inquire into complaints regarding infringements of human rights received from the public, and to investigate complaints and to recommend to the authorities appropriate measures to redress the infringement. Hence, while S</w:t>
      </w:r>
      <w:r w:rsidR="00500AE7" w:rsidRPr="00E54704">
        <w:rPr>
          <w:rFonts w:ascii="Times New Roman" w:hAnsi="Times New Roman"/>
          <w:sz w:val="24"/>
          <w:szCs w:val="24"/>
          <w:lang w:val="en-US"/>
        </w:rPr>
        <w:t xml:space="preserve">UHAKAM represents a national human rights institution, it must be reiterated that our work encompasses all levels, from government to grassroots. </w:t>
      </w:r>
    </w:p>
    <w:p w:rsidR="0095568E" w:rsidRPr="00E54704" w:rsidRDefault="0095568E" w:rsidP="00A40499">
      <w:pPr>
        <w:spacing w:after="100" w:afterAutospacing="1" w:line="240" w:lineRule="auto"/>
        <w:ind w:left="708"/>
        <w:jc w:val="both"/>
        <w:rPr>
          <w:rFonts w:ascii="Times New Roman" w:hAnsi="Times New Roman"/>
          <w:sz w:val="24"/>
          <w:szCs w:val="24"/>
          <w:lang w:val="en-US"/>
        </w:rPr>
      </w:pPr>
    </w:p>
    <w:p w:rsidR="00003849" w:rsidRPr="00E54704" w:rsidRDefault="00AF4FBA" w:rsidP="00003849">
      <w:pPr>
        <w:pStyle w:val="ListParagraph"/>
        <w:numPr>
          <w:ilvl w:val="0"/>
          <w:numId w:val="1"/>
        </w:numPr>
        <w:spacing w:after="100" w:afterAutospacing="1" w:line="240" w:lineRule="auto"/>
        <w:jc w:val="both"/>
        <w:rPr>
          <w:rFonts w:ascii="Times New Roman" w:hAnsi="Times New Roman"/>
          <w:b/>
          <w:sz w:val="24"/>
          <w:szCs w:val="24"/>
        </w:rPr>
      </w:pPr>
      <w:r w:rsidRPr="00E54704">
        <w:rPr>
          <w:rFonts w:ascii="Times New Roman" w:hAnsi="Times New Roman"/>
          <w:b/>
          <w:sz w:val="24"/>
          <w:szCs w:val="24"/>
        </w:rPr>
        <w:t>What initiatives have been taken to include human rights mainstreaming in local administration and public services?</w:t>
      </w:r>
    </w:p>
    <w:p w:rsidR="00500AE7" w:rsidRPr="00E54704" w:rsidRDefault="002A3B8E" w:rsidP="00633C95">
      <w:pPr>
        <w:spacing w:after="100" w:afterAutospacing="1" w:line="240" w:lineRule="auto"/>
        <w:ind w:left="708"/>
        <w:jc w:val="both"/>
        <w:rPr>
          <w:rFonts w:ascii="Times New Roman" w:hAnsi="Times New Roman"/>
          <w:sz w:val="24"/>
          <w:szCs w:val="24"/>
        </w:rPr>
      </w:pPr>
      <w:r w:rsidRPr="00E54704">
        <w:rPr>
          <w:rFonts w:ascii="Times New Roman" w:hAnsi="Times New Roman"/>
          <w:sz w:val="24"/>
          <w:szCs w:val="24"/>
        </w:rPr>
        <w:t>Frankly, it again appears that</w:t>
      </w:r>
      <w:r w:rsidR="00E71707" w:rsidRPr="00E54704">
        <w:rPr>
          <w:rFonts w:ascii="Times New Roman" w:hAnsi="Times New Roman"/>
          <w:sz w:val="24"/>
          <w:szCs w:val="24"/>
        </w:rPr>
        <w:t xml:space="preserve"> SUHAKAM is unaware</w:t>
      </w:r>
      <w:r w:rsidR="00901ABE">
        <w:rPr>
          <w:rFonts w:ascii="Times New Roman" w:hAnsi="Times New Roman"/>
          <w:sz w:val="24"/>
          <w:szCs w:val="24"/>
        </w:rPr>
        <w:t xml:space="preserve"> </w:t>
      </w:r>
      <w:r w:rsidR="00E71707" w:rsidRPr="00E54704">
        <w:rPr>
          <w:rFonts w:ascii="Times New Roman" w:hAnsi="Times New Roman"/>
          <w:sz w:val="24"/>
          <w:szCs w:val="24"/>
        </w:rPr>
        <w:t>of any</w:t>
      </w:r>
      <w:r w:rsidRPr="00E54704">
        <w:rPr>
          <w:rFonts w:ascii="Times New Roman" w:hAnsi="Times New Roman"/>
          <w:sz w:val="24"/>
          <w:szCs w:val="24"/>
        </w:rPr>
        <w:t xml:space="preserve"> specific initiatives</w:t>
      </w:r>
      <w:r w:rsidR="00E71707" w:rsidRPr="00E54704">
        <w:rPr>
          <w:rFonts w:ascii="Times New Roman" w:hAnsi="Times New Roman"/>
          <w:sz w:val="24"/>
          <w:szCs w:val="24"/>
        </w:rPr>
        <w:t xml:space="preserve"> by the Government</w:t>
      </w:r>
      <w:r w:rsidRPr="00E54704">
        <w:rPr>
          <w:rFonts w:ascii="Times New Roman" w:hAnsi="Times New Roman"/>
          <w:sz w:val="24"/>
          <w:szCs w:val="24"/>
        </w:rPr>
        <w:t xml:space="preserve"> to mainstream human rights in local administration and public services</w:t>
      </w:r>
      <w:r w:rsidR="00E71707" w:rsidRPr="00E54704">
        <w:rPr>
          <w:rFonts w:ascii="Times New Roman" w:hAnsi="Times New Roman"/>
          <w:sz w:val="24"/>
          <w:szCs w:val="24"/>
        </w:rPr>
        <w:t xml:space="preserve">. This may be because the human </w:t>
      </w:r>
      <w:r w:rsidR="00500AE7" w:rsidRPr="00E54704">
        <w:rPr>
          <w:rFonts w:ascii="Times New Roman" w:hAnsi="Times New Roman"/>
          <w:sz w:val="24"/>
          <w:szCs w:val="24"/>
        </w:rPr>
        <w:t xml:space="preserve">rights issue as a whole, is a relatively fledgling idea and not particularly high on the national agenda, as compared to other issues concerning economic growth and security, which is generally typical of developing countries. </w:t>
      </w:r>
    </w:p>
    <w:p w:rsidR="00633C95" w:rsidRDefault="00500AE7" w:rsidP="00500AE7">
      <w:pPr>
        <w:spacing w:after="100" w:afterAutospacing="1" w:line="240" w:lineRule="auto"/>
        <w:ind w:left="708"/>
        <w:jc w:val="both"/>
        <w:rPr>
          <w:rFonts w:ascii="Times New Roman" w:hAnsi="Times New Roman"/>
          <w:sz w:val="24"/>
          <w:szCs w:val="24"/>
        </w:rPr>
      </w:pPr>
      <w:r w:rsidRPr="00E54704">
        <w:rPr>
          <w:rFonts w:ascii="Times New Roman" w:hAnsi="Times New Roman"/>
          <w:sz w:val="24"/>
          <w:szCs w:val="24"/>
        </w:rPr>
        <w:t xml:space="preserve">As of now, the most significant step that the Federal Government has taken with regard to the promotion and protection of human rights is the National Human Rights Action Plan (NHRAP), whereby the framework for the Plan is in the process of being formulated. In this case, a successful NHRAP would require collaboration from state and local governments. Therefore, SUHAKAM is hopeful that the implementation of the NHRAP would indeed include human rights mainstreaming in local administration and public services. </w:t>
      </w:r>
    </w:p>
    <w:p w:rsidR="0095568E" w:rsidRPr="00E54704" w:rsidRDefault="0095568E" w:rsidP="00500AE7">
      <w:pPr>
        <w:spacing w:after="100" w:afterAutospacing="1" w:line="240" w:lineRule="auto"/>
        <w:ind w:left="708"/>
        <w:jc w:val="both"/>
        <w:rPr>
          <w:rFonts w:ascii="Times New Roman" w:hAnsi="Times New Roman"/>
          <w:sz w:val="24"/>
          <w:szCs w:val="24"/>
        </w:rPr>
      </w:pPr>
    </w:p>
    <w:p w:rsidR="00AF4FBA" w:rsidRPr="00E54704" w:rsidRDefault="00AF4FBA" w:rsidP="00633C95">
      <w:pPr>
        <w:pStyle w:val="ListParagraph"/>
        <w:numPr>
          <w:ilvl w:val="0"/>
          <w:numId w:val="1"/>
        </w:numPr>
        <w:spacing w:after="100" w:afterAutospacing="1" w:line="240" w:lineRule="auto"/>
        <w:jc w:val="both"/>
        <w:rPr>
          <w:rFonts w:ascii="Times New Roman" w:hAnsi="Times New Roman"/>
          <w:b/>
          <w:sz w:val="24"/>
          <w:szCs w:val="24"/>
        </w:rPr>
      </w:pPr>
      <w:r w:rsidRPr="00E54704">
        <w:rPr>
          <w:rFonts w:ascii="Times New Roman" w:hAnsi="Times New Roman"/>
          <w:b/>
          <w:sz w:val="24"/>
          <w:szCs w:val="24"/>
        </w:rPr>
        <w:t>What is the role of civil society in the planning and implementation of activities for the protection and promotion of human rights at local level in your country?</w:t>
      </w:r>
    </w:p>
    <w:p w:rsidR="00AA4660" w:rsidRPr="00E54704" w:rsidRDefault="00AA4660" w:rsidP="00AA4660">
      <w:pPr>
        <w:spacing w:after="100" w:afterAutospacing="1" w:line="240" w:lineRule="auto"/>
        <w:ind w:left="708"/>
        <w:jc w:val="both"/>
        <w:rPr>
          <w:rFonts w:ascii="Times New Roman" w:hAnsi="Times New Roman"/>
          <w:sz w:val="24"/>
          <w:szCs w:val="24"/>
        </w:rPr>
      </w:pPr>
      <w:r w:rsidRPr="00E54704">
        <w:rPr>
          <w:rFonts w:ascii="Times New Roman" w:hAnsi="Times New Roman"/>
          <w:sz w:val="24"/>
          <w:szCs w:val="24"/>
        </w:rPr>
        <w:t xml:space="preserve">Similar to other countries, </w:t>
      </w:r>
      <w:r w:rsidR="00D477E2" w:rsidRPr="00E54704">
        <w:rPr>
          <w:rFonts w:ascii="Times New Roman" w:hAnsi="Times New Roman"/>
          <w:sz w:val="24"/>
          <w:szCs w:val="24"/>
        </w:rPr>
        <w:t>C</w:t>
      </w:r>
      <w:r w:rsidRPr="00E54704">
        <w:rPr>
          <w:rFonts w:ascii="Times New Roman" w:hAnsi="Times New Roman"/>
          <w:sz w:val="24"/>
          <w:szCs w:val="24"/>
        </w:rPr>
        <w:t xml:space="preserve">ivil </w:t>
      </w:r>
      <w:r w:rsidR="00D477E2" w:rsidRPr="00E54704">
        <w:rPr>
          <w:rFonts w:ascii="Times New Roman" w:hAnsi="Times New Roman"/>
          <w:sz w:val="24"/>
          <w:szCs w:val="24"/>
        </w:rPr>
        <w:t>S</w:t>
      </w:r>
      <w:r w:rsidRPr="00E54704">
        <w:rPr>
          <w:rFonts w:ascii="Times New Roman" w:hAnsi="Times New Roman"/>
          <w:sz w:val="24"/>
          <w:szCs w:val="24"/>
        </w:rPr>
        <w:t xml:space="preserve">ociety </w:t>
      </w:r>
      <w:r w:rsidR="00D477E2" w:rsidRPr="00E54704">
        <w:rPr>
          <w:rFonts w:ascii="Times New Roman" w:hAnsi="Times New Roman"/>
          <w:sz w:val="24"/>
          <w:szCs w:val="24"/>
        </w:rPr>
        <w:t>O</w:t>
      </w:r>
      <w:r w:rsidRPr="00E54704">
        <w:rPr>
          <w:rFonts w:ascii="Times New Roman" w:hAnsi="Times New Roman"/>
          <w:sz w:val="24"/>
          <w:szCs w:val="24"/>
        </w:rPr>
        <w:t>rganizations (CSOs)</w:t>
      </w:r>
      <w:r w:rsidR="00E61424">
        <w:rPr>
          <w:rFonts w:ascii="Times New Roman" w:hAnsi="Times New Roman"/>
          <w:sz w:val="24"/>
          <w:szCs w:val="24"/>
        </w:rPr>
        <w:t xml:space="preserve"> </w:t>
      </w:r>
      <w:r w:rsidRPr="00E54704">
        <w:rPr>
          <w:rFonts w:ascii="Times New Roman" w:hAnsi="Times New Roman"/>
          <w:sz w:val="24"/>
          <w:szCs w:val="24"/>
        </w:rPr>
        <w:t xml:space="preserve">in Malaysia </w:t>
      </w:r>
      <w:r w:rsidR="00D477E2" w:rsidRPr="00E54704">
        <w:rPr>
          <w:rFonts w:ascii="Times New Roman" w:hAnsi="Times New Roman"/>
          <w:sz w:val="24"/>
          <w:szCs w:val="24"/>
        </w:rPr>
        <w:t xml:space="preserve">aim to </w:t>
      </w:r>
      <w:proofErr w:type="gramStart"/>
      <w:r w:rsidR="00E61424">
        <w:rPr>
          <w:rFonts w:ascii="Times New Roman" w:hAnsi="Times New Roman"/>
          <w:sz w:val="24"/>
          <w:szCs w:val="24"/>
        </w:rPr>
        <w:t>advocate,</w:t>
      </w:r>
      <w:proofErr w:type="gramEnd"/>
      <w:r w:rsidRPr="00E54704">
        <w:rPr>
          <w:rFonts w:ascii="Times New Roman" w:hAnsi="Times New Roman"/>
          <w:sz w:val="24"/>
          <w:szCs w:val="24"/>
        </w:rPr>
        <w:t xml:space="preserve"> educate and raise awareness</w:t>
      </w:r>
      <w:r w:rsidR="00D477E2" w:rsidRPr="00E54704">
        <w:rPr>
          <w:rFonts w:ascii="Times New Roman" w:hAnsi="Times New Roman"/>
          <w:sz w:val="24"/>
          <w:szCs w:val="24"/>
        </w:rPr>
        <w:t xml:space="preserve"> on issues of human rights that are seen to be plaguing our society.</w:t>
      </w:r>
      <w:r w:rsidRPr="00E54704">
        <w:rPr>
          <w:rFonts w:ascii="Times New Roman" w:hAnsi="Times New Roman"/>
          <w:sz w:val="24"/>
          <w:szCs w:val="24"/>
        </w:rPr>
        <w:t xml:space="preserve"> The human rights issues covered by CSOs are wide and varied, encompassing rights pertaining to women and children, migrant workers, indigenous peoples, environment, persons with disabilities, and much more.</w:t>
      </w:r>
    </w:p>
    <w:p w:rsidR="00D477E2" w:rsidRPr="00E54704" w:rsidRDefault="00D477E2" w:rsidP="00AA4660">
      <w:pPr>
        <w:spacing w:after="100" w:afterAutospacing="1" w:line="240" w:lineRule="auto"/>
        <w:ind w:left="708"/>
        <w:jc w:val="both"/>
        <w:rPr>
          <w:rFonts w:ascii="Times New Roman" w:hAnsi="Times New Roman"/>
          <w:sz w:val="24"/>
          <w:szCs w:val="24"/>
        </w:rPr>
      </w:pPr>
      <w:r w:rsidRPr="00E54704">
        <w:rPr>
          <w:rFonts w:ascii="Times New Roman" w:hAnsi="Times New Roman"/>
          <w:sz w:val="24"/>
          <w:szCs w:val="24"/>
        </w:rPr>
        <w:t xml:space="preserve">However, </w:t>
      </w:r>
      <w:r w:rsidR="00AA4660" w:rsidRPr="00E54704">
        <w:rPr>
          <w:rFonts w:ascii="Times New Roman" w:hAnsi="Times New Roman"/>
          <w:sz w:val="24"/>
          <w:szCs w:val="24"/>
        </w:rPr>
        <w:t xml:space="preserve">it should be noted that CSOs in Malaysia </w:t>
      </w:r>
      <w:r w:rsidRPr="00E54704">
        <w:rPr>
          <w:rFonts w:ascii="Times New Roman" w:hAnsi="Times New Roman"/>
          <w:sz w:val="24"/>
          <w:szCs w:val="24"/>
        </w:rPr>
        <w:t>are rarely consulted</w:t>
      </w:r>
      <w:r w:rsidR="00AA4660" w:rsidRPr="00E54704">
        <w:rPr>
          <w:rFonts w:ascii="Times New Roman" w:hAnsi="Times New Roman"/>
          <w:sz w:val="24"/>
          <w:szCs w:val="24"/>
        </w:rPr>
        <w:t xml:space="preserve"> and widely ignored</w:t>
      </w:r>
      <w:r w:rsidRPr="00E54704">
        <w:rPr>
          <w:rFonts w:ascii="Times New Roman" w:hAnsi="Times New Roman"/>
          <w:sz w:val="24"/>
          <w:szCs w:val="24"/>
        </w:rPr>
        <w:t xml:space="preserve"> by the Government with regard to any initiatives</w:t>
      </w:r>
      <w:r w:rsidR="00AA4660" w:rsidRPr="00E54704">
        <w:rPr>
          <w:rFonts w:ascii="Times New Roman" w:hAnsi="Times New Roman"/>
          <w:sz w:val="24"/>
          <w:szCs w:val="24"/>
        </w:rPr>
        <w:t xml:space="preserve"> or recommendations</w:t>
      </w:r>
      <w:r w:rsidRPr="00E54704">
        <w:rPr>
          <w:rFonts w:ascii="Times New Roman" w:hAnsi="Times New Roman"/>
          <w:sz w:val="24"/>
          <w:szCs w:val="24"/>
        </w:rPr>
        <w:t xml:space="preserve"> to implement activitie</w:t>
      </w:r>
      <w:r w:rsidR="00AA4660" w:rsidRPr="00E54704">
        <w:rPr>
          <w:rFonts w:ascii="Times New Roman" w:hAnsi="Times New Roman"/>
          <w:sz w:val="24"/>
          <w:szCs w:val="24"/>
        </w:rPr>
        <w:t>s for the protection and promot</w:t>
      </w:r>
      <w:r w:rsidRPr="00E54704">
        <w:rPr>
          <w:rFonts w:ascii="Times New Roman" w:hAnsi="Times New Roman"/>
          <w:sz w:val="24"/>
          <w:szCs w:val="24"/>
        </w:rPr>
        <w:t>ion of</w:t>
      </w:r>
      <w:r w:rsidR="00AA4660" w:rsidRPr="00E54704">
        <w:rPr>
          <w:rFonts w:ascii="Times New Roman" w:hAnsi="Times New Roman"/>
          <w:sz w:val="24"/>
          <w:szCs w:val="24"/>
        </w:rPr>
        <w:t xml:space="preserve"> human rights at any level. It has been observed that there is a lack of recognition by the Government of the important role that civil society should play with regard to any particular human rights issues on the ground. </w:t>
      </w:r>
    </w:p>
    <w:p w:rsidR="00AF4FBA" w:rsidRDefault="00AA4660" w:rsidP="00AA4660">
      <w:pPr>
        <w:spacing w:after="100" w:afterAutospacing="1" w:line="240" w:lineRule="auto"/>
        <w:ind w:left="708"/>
        <w:jc w:val="both"/>
        <w:rPr>
          <w:rFonts w:ascii="Times New Roman" w:hAnsi="Times New Roman"/>
          <w:sz w:val="24"/>
          <w:szCs w:val="24"/>
        </w:rPr>
      </w:pPr>
      <w:r w:rsidRPr="00E54704">
        <w:rPr>
          <w:rFonts w:ascii="Times New Roman" w:hAnsi="Times New Roman"/>
          <w:sz w:val="24"/>
          <w:szCs w:val="24"/>
        </w:rPr>
        <w:t xml:space="preserve">Also, CSOs </w:t>
      </w:r>
      <w:r w:rsidR="00AF4FBA" w:rsidRPr="00E54704">
        <w:rPr>
          <w:rFonts w:ascii="Times New Roman" w:hAnsi="Times New Roman"/>
          <w:sz w:val="24"/>
          <w:szCs w:val="24"/>
        </w:rPr>
        <w:t>in Malaysia</w:t>
      </w:r>
      <w:r w:rsidRPr="00E54704">
        <w:rPr>
          <w:rFonts w:ascii="Times New Roman" w:hAnsi="Times New Roman"/>
          <w:sz w:val="24"/>
          <w:szCs w:val="24"/>
        </w:rPr>
        <w:t xml:space="preserve"> tend to</w:t>
      </w:r>
      <w:r w:rsidR="00AF4FBA" w:rsidRPr="00E54704">
        <w:rPr>
          <w:rFonts w:ascii="Times New Roman" w:hAnsi="Times New Roman"/>
          <w:sz w:val="24"/>
          <w:szCs w:val="24"/>
        </w:rPr>
        <w:t xml:space="preserve"> operate in a much more restrictive environment than what is guaranteed in the Federal Constitution</w:t>
      </w:r>
      <w:r w:rsidR="00EB6CF8" w:rsidRPr="00E54704">
        <w:rPr>
          <w:rFonts w:ascii="Times New Roman" w:hAnsi="Times New Roman"/>
          <w:sz w:val="24"/>
          <w:szCs w:val="24"/>
        </w:rPr>
        <w:t xml:space="preserve">. </w:t>
      </w:r>
      <w:r w:rsidR="00AF4FBA" w:rsidRPr="00E54704">
        <w:rPr>
          <w:rFonts w:ascii="Times New Roman" w:hAnsi="Times New Roman"/>
          <w:sz w:val="24"/>
          <w:szCs w:val="24"/>
        </w:rPr>
        <w:t>They face an array of laws that contravene the fundamental freedoms of association, assembly and expression. </w:t>
      </w:r>
    </w:p>
    <w:p w:rsidR="0095568E" w:rsidRPr="00E54704" w:rsidRDefault="0095568E" w:rsidP="00AA4660">
      <w:pPr>
        <w:spacing w:after="100" w:afterAutospacing="1" w:line="240" w:lineRule="auto"/>
        <w:ind w:left="708"/>
        <w:jc w:val="both"/>
        <w:rPr>
          <w:rFonts w:ascii="Times New Roman" w:hAnsi="Times New Roman"/>
          <w:sz w:val="24"/>
          <w:szCs w:val="24"/>
        </w:rPr>
      </w:pPr>
    </w:p>
    <w:p w:rsidR="00AF4FBA" w:rsidRPr="00E54704" w:rsidRDefault="00AF4FBA" w:rsidP="00EB6CF8">
      <w:pPr>
        <w:pStyle w:val="ListParagraph"/>
        <w:numPr>
          <w:ilvl w:val="0"/>
          <w:numId w:val="1"/>
        </w:numPr>
        <w:spacing w:after="100" w:afterAutospacing="1" w:line="240" w:lineRule="auto"/>
        <w:jc w:val="both"/>
        <w:rPr>
          <w:rFonts w:ascii="Times New Roman" w:hAnsi="Times New Roman"/>
          <w:b/>
          <w:sz w:val="24"/>
          <w:szCs w:val="24"/>
        </w:rPr>
      </w:pPr>
      <w:r w:rsidRPr="00E54704">
        <w:rPr>
          <w:rFonts w:ascii="Times New Roman" w:hAnsi="Times New Roman"/>
          <w:b/>
          <w:sz w:val="24"/>
          <w:szCs w:val="24"/>
        </w:rPr>
        <w:t>What is the role and programme of your organization for promotion and protection of human rights at local level or in enhancing local governance for human rights?</w:t>
      </w:r>
    </w:p>
    <w:p w:rsidR="00AF4FBA" w:rsidRPr="00E54704" w:rsidRDefault="00AF4FBA" w:rsidP="00EB6CF8">
      <w:pPr>
        <w:spacing w:after="100" w:afterAutospacing="1" w:line="240" w:lineRule="auto"/>
        <w:ind w:left="708"/>
        <w:jc w:val="both"/>
        <w:rPr>
          <w:rFonts w:ascii="Times New Roman" w:hAnsi="Times New Roman"/>
          <w:sz w:val="24"/>
          <w:szCs w:val="24"/>
        </w:rPr>
      </w:pPr>
      <w:r w:rsidRPr="00E54704">
        <w:rPr>
          <w:rFonts w:ascii="Times New Roman" w:hAnsi="Times New Roman"/>
          <w:sz w:val="24"/>
          <w:szCs w:val="24"/>
        </w:rPr>
        <w:t>Headed by the Education and Promotion Division of SUHAKAM, the Commission extended its Training for Law Enforcement Agencies to include providing its human rights course to enforcement officers from all the local councils in Perak. In previous years, it had conducted courses in Selangor and Penang, working with the Training Centre for Local Authorities. The aim is to sensitise enforcement officials to human rights in performing their tasks.</w:t>
      </w:r>
    </w:p>
    <w:p w:rsidR="00AF4FBA" w:rsidRPr="00E54704" w:rsidRDefault="00AF4FBA" w:rsidP="00EB6CF8">
      <w:pPr>
        <w:spacing w:after="100" w:afterAutospacing="1" w:line="240" w:lineRule="auto"/>
        <w:ind w:left="708"/>
        <w:jc w:val="both"/>
        <w:rPr>
          <w:rFonts w:ascii="Times New Roman" w:hAnsi="Times New Roman"/>
          <w:sz w:val="24"/>
          <w:szCs w:val="24"/>
        </w:rPr>
      </w:pPr>
      <w:r w:rsidRPr="00E54704">
        <w:rPr>
          <w:rFonts w:ascii="Times New Roman" w:hAnsi="Times New Roman"/>
          <w:sz w:val="24"/>
          <w:szCs w:val="24"/>
        </w:rPr>
        <w:t>Lectures</w:t>
      </w:r>
      <w:r w:rsidR="00EB6CF8" w:rsidRPr="00E54704">
        <w:rPr>
          <w:rFonts w:ascii="Times New Roman" w:hAnsi="Times New Roman"/>
          <w:sz w:val="24"/>
          <w:szCs w:val="24"/>
        </w:rPr>
        <w:t xml:space="preserve"> also</w:t>
      </w:r>
      <w:r w:rsidRPr="00E54704">
        <w:rPr>
          <w:rFonts w:ascii="Times New Roman" w:hAnsi="Times New Roman"/>
          <w:sz w:val="24"/>
          <w:szCs w:val="24"/>
        </w:rPr>
        <w:t xml:space="preserve"> highlight the human rights of the officers themselves, people with disabilities, children and women. Complaints received by the Commission are shared with the local authorities alongside practical solutions to address the issues raised, such as the lack of infrastructure in public places to meet the needs of persons with disabilities. </w:t>
      </w:r>
    </w:p>
    <w:p w:rsidR="00D477E2" w:rsidRDefault="00D477E2" w:rsidP="00EB6CF8">
      <w:pPr>
        <w:spacing w:after="100" w:afterAutospacing="1" w:line="240" w:lineRule="auto"/>
        <w:ind w:left="708"/>
        <w:jc w:val="both"/>
        <w:rPr>
          <w:rFonts w:ascii="Times New Roman" w:hAnsi="Times New Roman"/>
          <w:sz w:val="24"/>
          <w:szCs w:val="24"/>
        </w:rPr>
      </w:pPr>
      <w:r w:rsidRPr="00E54704">
        <w:rPr>
          <w:rFonts w:ascii="Times New Roman" w:hAnsi="Times New Roman"/>
          <w:sz w:val="24"/>
          <w:szCs w:val="24"/>
        </w:rPr>
        <w:t xml:space="preserve">SUHAKAM </w:t>
      </w:r>
      <w:r w:rsidR="00EB6CF8" w:rsidRPr="00E54704">
        <w:rPr>
          <w:rFonts w:ascii="Times New Roman" w:hAnsi="Times New Roman"/>
          <w:sz w:val="24"/>
          <w:szCs w:val="24"/>
        </w:rPr>
        <w:t>has made it a</w:t>
      </w:r>
      <w:r w:rsidRPr="00E54704">
        <w:rPr>
          <w:rFonts w:ascii="Times New Roman" w:hAnsi="Times New Roman"/>
          <w:sz w:val="24"/>
          <w:szCs w:val="24"/>
        </w:rPr>
        <w:t xml:space="preserve"> point to ensure that CSOs and local government alike are constantly involved in our efforts to promote human rights at all levels. </w:t>
      </w:r>
      <w:r w:rsidR="00EB6CF8" w:rsidRPr="00E54704">
        <w:rPr>
          <w:rFonts w:ascii="Times New Roman" w:hAnsi="Times New Roman"/>
          <w:sz w:val="24"/>
          <w:szCs w:val="24"/>
        </w:rPr>
        <w:t>These activities are not only aimed at educating the public and government agencies on human rights obligations, but also to encourage constructive engagements between all key players.</w:t>
      </w:r>
    </w:p>
    <w:p w:rsidR="0095568E" w:rsidRPr="00E54704" w:rsidRDefault="0095568E" w:rsidP="00EB6CF8">
      <w:pPr>
        <w:spacing w:after="100" w:afterAutospacing="1" w:line="240" w:lineRule="auto"/>
        <w:ind w:left="708"/>
        <w:jc w:val="both"/>
        <w:rPr>
          <w:rFonts w:ascii="Times New Roman" w:hAnsi="Times New Roman"/>
          <w:sz w:val="24"/>
          <w:szCs w:val="24"/>
        </w:rPr>
      </w:pPr>
    </w:p>
    <w:p w:rsidR="00AF4FBA" w:rsidRPr="00E54704" w:rsidRDefault="00AF4FBA" w:rsidP="00EB6CF8">
      <w:pPr>
        <w:pStyle w:val="ListParagraph"/>
        <w:numPr>
          <w:ilvl w:val="0"/>
          <w:numId w:val="1"/>
        </w:numPr>
        <w:spacing w:after="100" w:afterAutospacing="1" w:line="240" w:lineRule="auto"/>
        <w:jc w:val="both"/>
        <w:rPr>
          <w:rFonts w:ascii="Times New Roman" w:hAnsi="Times New Roman"/>
          <w:b/>
          <w:sz w:val="24"/>
          <w:szCs w:val="24"/>
        </w:rPr>
      </w:pPr>
      <w:r w:rsidRPr="00E54704">
        <w:rPr>
          <w:rFonts w:ascii="Times New Roman" w:hAnsi="Times New Roman"/>
          <w:b/>
          <w:sz w:val="24"/>
          <w:szCs w:val="24"/>
        </w:rPr>
        <w:lastRenderedPageBreak/>
        <w:t>What are the main challenges faced by local government in your country in the promotion and protection of human rights?</w:t>
      </w:r>
    </w:p>
    <w:p w:rsidR="00AF4FBA" w:rsidRPr="00E54704" w:rsidRDefault="00AF4FBA" w:rsidP="00053A2C">
      <w:pPr>
        <w:spacing w:after="100" w:afterAutospacing="1" w:line="240" w:lineRule="auto"/>
        <w:ind w:left="708"/>
        <w:jc w:val="both"/>
        <w:rPr>
          <w:rFonts w:ascii="Times New Roman" w:hAnsi="Times New Roman"/>
          <w:sz w:val="24"/>
          <w:szCs w:val="24"/>
        </w:rPr>
      </w:pPr>
      <w:r w:rsidRPr="00E54704">
        <w:rPr>
          <w:rFonts w:ascii="Times New Roman" w:hAnsi="Times New Roman"/>
          <w:sz w:val="24"/>
          <w:szCs w:val="24"/>
        </w:rPr>
        <w:t xml:space="preserve">As mentioned above, the role and duties of the local government </w:t>
      </w:r>
      <w:r w:rsidR="00053A2C" w:rsidRPr="00E54704">
        <w:rPr>
          <w:rFonts w:ascii="Times New Roman" w:hAnsi="Times New Roman"/>
          <w:sz w:val="24"/>
          <w:szCs w:val="24"/>
        </w:rPr>
        <w:t>only focus on</w:t>
      </w:r>
      <w:r w:rsidRPr="00E54704">
        <w:rPr>
          <w:rFonts w:ascii="Times New Roman" w:hAnsi="Times New Roman"/>
          <w:sz w:val="24"/>
          <w:szCs w:val="24"/>
        </w:rPr>
        <w:t xml:space="preserve"> ensuring </w:t>
      </w:r>
      <w:r w:rsidR="007A0D71" w:rsidRPr="00E54704">
        <w:rPr>
          <w:rFonts w:ascii="Times New Roman" w:hAnsi="Times New Roman"/>
          <w:sz w:val="24"/>
          <w:szCs w:val="24"/>
        </w:rPr>
        <w:t xml:space="preserve">that </w:t>
      </w:r>
      <w:r w:rsidR="00053A2C" w:rsidRPr="00E54704">
        <w:rPr>
          <w:rFonts w:ascii="Times New Roman" w:hAnsi="Times New Roman"/>
          <w:sz w:val="24"/>
          <w:szCs w:val="24"/>
        </w:rPr>
        <w:t xml:space="preserve">the </w:t>
      </w:r>
      <w:r w:rsidRPr="00E54704">
        <w:rPr>
          <w:rFonts w:ascii="Times New Roman" w:hAnsi="Times New Roman"/>
          <w:sz w:val="24"/>
          <w:szCs w:val="24"/>
        </w:rPr>
        <w:t xml:space="preserve">physical development, socio-economic, planning and </w:t>
      </w:r>
      <w:r w:rsidR="00053A2C" w:rsidRPr="00E54704">
        <w:rPr>
          <w:rFonts w:ascii="Times New Roman" w:hAnsi="Times New Roman"/>
          <w:sz w:val="24"/>
          <w:szCs w:val="24"/>
        </w:rPr>
        <w:t>control of municipal services are</w:t>
      </w:r>
      <w:r w:rsidRPr="00E54704">
        <w:rPr>
          <w:rFonts w:ascii="Times New Roman" w:hAnsi="Times New Roman"/>
          <w:sz w:val="24"/>
          <w:szCs w:val="24"/>
        </w:rPr>
        <w:t xml:space="preserve"> a planned and coordinated effort based governance. </w:t>
      </w:r>
      <w:r w:rsidR="00053A2C" w:rsidRPr="00E54704">
        <w:rPr>
          <w:rFonts w:ascii="Times New Roman" w:hAnsi="Times New Roman"/>
          <w:sz w:val="24"/>
          <w:szCs w:val="24"/>
        </w:rPr>
        <w:t>In this sense</w:t>
      </w:r>
      <w:r w:rsidR="00C23084" w:rsidRPr="00E54704">
        <w:rPr>
          <w:rFonts w:ascii="Times New Roman" w:hAnsi="Times New Roman"/>
          <w:sz w:val="24"/>
          <w:szCs w:val="24"/>
        </w:rPr>
        <w:t xml:space="preserve">, the local governments in Malaysia are witnessed to </w:t>
      </w:r>
      <w:r w:rsidR="00053A2C" w:rsidRPr="00E54704">
        <w:rPr>
          <w:rFonts w:ascii="Times New Roman" w:hAnsi="Times New Roman"/>
          <w:sz w:val="24"/>
          <w:szCs w:val="24"/>
        </w:rPr>
        <w:t>have</w:t>
      </w:r>
      <w:r w:rsidR="00C23084" w:rsidRPr="00E54704">
        <w:rPr>
          <w:rFonts w:ascii="Times New Roman" w:hAnsi="Times New Roman"/>
          <w:sz w:val="24"/>
          <w:szCs w:val="24"/>
        </w:rPr>
        <w:t xml:space="preserve"> ra</w:t>
      </w:r>
      <w:r w:rsidR="00053A2C" w:rsidRPr="00E54704">
        <w:rPr>
          <w:rFonts w:ascii="Times New Roman" w:hAnsi="Times New Roman"/>
          <w:sz w:val="24"/>
          <w:szCs w:val="24"/>
        </w:rPr>
        <w:t xml:space="preserve">ther limited authority and are unable to take initiative with regard to carrying out human rights obligations due to the lack of enforcement capabilities and also because they are directly answerable to the state government.  </w:t>
      </w:r>
    </w:p>
    <w:p w:rsidR="00C23084" w:rsidRPr="00E54704" w:rsidRDefault="00C23084" w:rsidP="00EB6CF8">
      <w:pPr>
        <w:spacing w:after="100" w:afterAutospacing="1" w:line="240" w:lineRule="auto"/>
        <w:ind w:left="708"/>
        <w:jc w:val="both"/>
        <w:rPr>
          <w:rFonts w:ascii="Times New Roman" w:hAnsi="Times New Roman"/>
          <w:sz w:val="24"/>
          <w:szCs w:val="24"/>
        </w:rPr>
      </w:pPr>
      <w:r w:rsidRPr="00E54704">
        <w:rPr>
          <w:rFonts w:ascii="Times New Roman" w:hAnsi="Times New Roman"/>
          <w:sz w:val="24"/>
          <w:szCs w:val="24"/>
        </w:rPr>
        <w:t>Other than that, it appears that forms of corruption and inefficiencies have also cr</w:t>
      </w:r>
      <w:r w:rsidR="007A0D71" w:rsidRPr="00E54704">
        <w:rPr>
          <w:rFonts w:ascii="Times New Roman" w:hAnsi="Times New Roman"/>
          <w:sz w:val="24"/>
          <w:szCs w:val="24"/>
        </w:rPr>
        <w:t>ippled our local government, which</w:t>
      </w:r>
      <w:r w:rsidRPr="00E54704">
        <w:rPr>
          <w:rFonts w:ascii="Times New Roman" w:hAnsi="Times New Roman"/>
          <w:sz w:val="24"/>
          <w:szCs w:val="24"/>
        </w:rPr>
        <w:t xml:space="preserve"> has been highlighted over the last few years. According to the Centre for Public Policy Studies, ‘Transparency international Malaysia Public Opinion Survey, 2001, found that municipal councils were seen as more corrupt than: the land office, judicial office, environment department, health department, police and road transport department.</w:t>
      </w:r>
      <w:r w:rsidR="00D005D3">
        <w:rPr>
          <w:rStyle w:val="FootnoteReference"/>
          <w:rFonts w:ascii="Times New Roman" w:hAnsi="Times New Roman"/>
          <w:sz w:val="24"/>
          <w:szCs w:val="24"/>
        </w:rPr>
        <w:footnoteReference w:id="4"/>
      </w:r>
      <w:r w:rsidRPr="00E54704">
        <w:rPr>
          <w:rFonts w:ascii="Times New Roman" w:hAnsi="Times New Roman"/>
          <w:sz w:val="24"/>
          <w:szCs w:val="24"/>
        </w:rPr>
        <w:t xml:space="preserve"> </w:t>
      </w:r>
    </w:p>
    <w:p w:rsidR="0095568E" w:rsidRDefault="00E54704" w:rsidP="0095568E">
      <w:pPr>
        <w:spacing w:after="100" w:afterAutospacing="1" w:line="240" w:lineRule="auto"/>
        <w:ind w:left="708"/>
        <w:jc w:val="both"/>
        <w:rPr>
          <w:rFonts w:ascii="Times New Roman" w:hAnsi="Times New Roman"/>
          <w:sz w:val="24"/>
          <w:szCs w:val="24"/>
        </w:rPr>
      </w:pPr>
      <w:r w:rsidRPr="00E54704">
        <w:rPr>
          <w:rFonts w:ascii="Times New Roman" w:hAnsi="Times New Roman"/>
          <w:sz w:val="24"/>
          <w:szCs w:val="24"/>
        </w:rPr>
        <w:t>So far, t</w:t>
      </w:r>
      <w:r w:rsidR="00C23084" w:rsidRPr="00E54704">
        <w:rPr>
          <w:rFonts w:ascii="Times New Roman" w:hAnsi="Times New Roman"/>
          <w:sz w:val="24"/>
          <w:szCs w:val="24"/>
        </w:rPr>
        <w:t>he issue of human rights in Malaysia</w:t>
      </w:r>
      <w:r w:rsidRPr="00E54704">
        <w:rPr>
          <w:rFonts w:ascii="Times New Roman" w:hAnsi="Times New Roman"/>
          <w:sz w:val="24"/>
          <w:szCs w:val="24"/>
        </w:rPr>
        <w:t xml:space="preserve"> as a </w:t>
      </w:r>
      <w:proofErr w:type="gramStart"/>
      <w:r w:rsidRPr="00E54704">
        <w:rPr>
          <w:rFonts w:ascii="Times New Roman" w:hAnsi="Times New Roman"/>
          <w:sz w:val="24"/>
          <w:szCs w:val="24"/>
        </w:rPr>
        <w:t>whole,</w:t>
      </w:r>
      <w:proofErr w:type="gramEnd"/>
      <w:r w:rsidR="00C23084" w:rsidRPr="00E54704">
        <w:rPr>
          <w:rFonts w:ascii="Times New Roman" w:hAnsi="Times New Roman"/>
          <w:sz w:val="24"/>
          <w:szCs w:val="24"/>
        </w:rPr>
        <w:t xml:space="preserve"> has not be</w:t>
      </w:r>
      <w:r w:rsidR="007A0D71" w:rsidRPr="00E54704">
        <w:rPr>
          <w:rFonts w:ascii="Times New Roman" w:hAnsi="Times New Roman"/>
          <w:sz w:val="24"/>
          <w:szCs w:val="24"/>
        </w:rPr>
        <w:t xml:space="preserve">en given </w:t>
      </w:r>
      <w:r w:rsidRPr="00E54704">
        <w:rPr>
          <w:rFonts w:ascii="Times New Roman" w:hAnsi="Times New Roman"/>
          <w:sz w:val="24"/>
          <w:szCs w:val="24"/>
        </w:rPr>
        <w:t xml:space="preserve">its </w:t>
      </w:r>
      <w:r w:rsidR="007A0D71" w:rsidRPr="00E54704">
        <w:rPr>
          <w:rFonts w:ascii="Times New Roman" w:hAnsi="Times New Roman"/>
          <w:sz w:val="24"/>
          <w:szCs w:val="24"/>
        </w:rPr>
        <w:t>due importance and it is hard to identify clear efforts aimed at the</w:t>
      </w:r>
      <w:r w:rsidR="00C23084" w:rsidRPr="00E54704">
        <w:rPr>
          <w:rFonts w:ascii="Times New Roman" w:hAnsi="Times New Roman"/>
          <w:sz w:val="24"/>
          <w:szCs w:val="24"/>
        </w:rPr>
        <w:t xml:space="preserve"> protection and promotion of human rights</w:t>
      </w:r>
      <w:r w:rsidRPr="00E54704">
        <w:rPr>
          <w:rFonts w:ascii="Times New Roman" w:hAnsi="Times New Roman"/>
          <w:sz w:val="24"/>
          <w:szCs w:val="24"/>
        </w:rPr>
        <w:t xml:space="preserve"> at all levels.</w:t>
      </w:r>
      <w:r w:rsidR="007A0D71" w:rsidRPr="00E54704">
        <w:rPr>
          <w:rFonts w:ascii="Times New Roman" w:hAnsi="Times New Roman"/>
          <w:sz w:val="24"/>
          <w:szCs w:val="24"/>
        </w:rPr>
        <w:t xml:space="preserve"> Hence, it is impossible for local authorities to practice or understand human rights obligation</w:t>
      </w:r>
      <w:r w:rsidRPr="00E54704">
        <w:rPr>
          <w:rFonts w:ascii="Times New Roman" w:hAnsi="Times New Roman"/>
          <w:sz w:val="24"/>
          <w:szCs w:val="24"/>
        </w:rPr>
        <w:t>s pertaining to the public or even themselves, when they have not been provided</w:t>
      </w:r>
      <w:r w:rsidR="007A0D71" w:rsidRPr="00E54704">
        <w:rPr>
          <w:rFonts w:ascii="Times New Roman" w:hAnsi="Times New Roman"/>
          <w:sz w:val="24"/>
          <w:szCs w:val="24"/>
        </w:rPr>
        <w:t xml:space="preserve"> with proper training</w:t>
      </w:r>
      <w:r w:rsidRPr="00E54704">
        <w:rPr>
          <w:rFonts w:ascii="Times New Roman" w:hAnsi="Times New Roman"/>
          <w:sz w:val="24"/>
          <w:szCs w:val="24"/>
        </w:rPr>
        <w:t xml:space="preserve"> or education concerning</w:t>
      </w:r>
      <w:r w:rsidR="007A0D71" w:rsidRPr="00E54704">
        <w:rPr>
          <w:rFonts w:ascii="Times New Roman" w:hAnsi="Times New Roman"/>
          <w:sz w:val="24"/>
          <w:szCs w:val="24"/>
        </w:rPr>
        <w:t xml:space="preserve"> human rights issues. </w:t>
      </w:r>
    </w:p>
    <w:p w:rsidR="0095568E" w:rsidRPr="00E54704" w:rsidRDefault="0095568E" w:rsidP="0095568E">
      <w:pPr>
        <w:spacing w:after="100" w:afterAutospacing="1" w:line="240" w:lineRule="auto"/>
        <w:ind w:left="708"/>
        <w:jc w:val="both"/>
        <w:rPr>
          <w:rFonts w:ascii="Times New Roman" w:hAnsi="Times New Roman"/>
          <w:sz w:val="24"/>
          <w:szCs w:val="24"/>
        </w:rPr>
      </w:pPr>
    </w:p>
    <w:p w:rsidR="007A0D71" w:rsidRPr="00E54704" w:rsidRDefault="00AF4FBA" w:rsidP="007A0D71">
      <w:pPr>
        <w:pStyle w:val="ListParagraph"/>
        <w:numPr>
          <w:ilvl w:val="0"/>
          <w:numId w:val="1"/>
        </w:numPr>
        <w:spacing w:after="100" w:afterAutospacing="1" w:line="240" w:lineRule="auto"/>
        <w:jc w:val="both"/>
        <w:rPr>
          <w:rFonts w:ascii="Times New Roman" w:hAnsi="Times New Roman"/>
          <w:b/>
          <w:sz w:val="24"/>
          <w:szCs w:val="24"/>
        </w:rPr>
      </w:pPr>
      <w:r w:rsidRPr="00E54704">
        <w:rPr>
          <w:rFonts w:ascii="Times New Roman" w:hAnsi="Times New Roman"/>
          <w:b/>
          <w:sz w:val="24"/>
          <w:szCs w:val="24"/>
        </w:rPr>
        <w:t>Please provide any best practices with regard to the above-mentioned issues.</w:t>
      </w:r>
    </w:p>
    <w:p w:rsidR="007A0D71" w:rsidRPr="00E54704" w:rsidRDefault="007A0D71" w:rsidP="007A0D71">
      <w:pPr>
        <w:pStyle w:val="ListParagraph"/>
        <w:spacing w:after="100" w:afterAutospacing="1" w:line="240" w:lineRule="auto"/>
        <w:jc w:val="both"/>
        <w:rPr>
          <w:rFonts w:ascii="Times New Roman" w:hAnsi="Times New Roman"/>
          <w:sz w:val="24"/>
          <w:szCs w:val="24"/>
        </w:rPr>
      </w:pPr>
    </w:p>
    <w:p w:rsidR="007A0D71" w:rsidRPr="00E54704" w:rsidRDefault="007A0D71" w:rsidP="007A0D71">
      <w:pPr>
        <w:pStyle w:val="ListParagraph"/>
        <w:spacing w:after="100" w:afterAutospacing="1" w:line="240" w:lineRule="auto"/>
        <w:jc w:val="both"/>
        <w:rPr>
          <w:rFonts w:ascii="Times New Roman" w:hAnsi="Times New Roman"/>
          <w:sz w:val="24"/>
          <w:szCs w:val="24"/>
        </w:rPr>
      </w:pPr>
      <w:r w:rsidRPr="00E54704">
        <w:rPr>
          <w:rFonts w:ascii="Times New Roman" w:hAnsi="Times New Roman"/>
          <w:sz w:val="24"/>
          <w:szCs w:val="24"/>
        </w:rPr>
        <w:t>One of SUHAKA</w:t>
      </w:r>
      <w:r w:rsidR="00053A2C" w:rsidRPr="00E54704">
        <w:rPr>
          <w:rFonts w:ascii="Times New Roman" w:hAnsi="Times New Roman"/>
          <w:sz w:val="24"/>
          <w:szCs w:val="24"/>
        </w:rPr>
        <w:t xml:space="preserve">M’s good practices involves promoting awareness on human rights through education and campaigns, which are held regularly and nation wide. As mentioned above, these activities also involve local authorities. We feel such activities have created greater levels of awareness and understanding, which is the foundation for better compliance with human rights standards. </w:t>
      </w:r>
    </w:p>
    <w:p w:rsidR="007A0D71" w:rsidRPr="00E54704" w:rsidRDefault="007A0D71" w:rsidP="007A0D71">
      <w:pPr>
        <w:pStyle w:val="ListParagraph"/>
        <w:spacing w:after="100" w:afterAutospacing="1" w:line="240" w:lineRule="auto"/>
        <w:jc w:val="both"/>
        <w:rPr>
          <w:rFonts w:ascii="Times New Roman" w:hAnsi="Times New Roman"/>
          <w:sz w:val="24"/>
          <w:szCs w:val="24"/>
        </w:rPr>
      </w:pPr>
    </w:p>
    <w:p w:rsidR="00AF4FBA" w:rsidRPr="00E54704" w:rsidRDefault="00AF4FBA" w:rsidP="00AF4FBA">
      <w:pPr>
        <w:rPr>
          <w:sz w:val="24"/>
          <w:szCs w:val="24"/>
        </w:rPr>
      </w:pPr>
    </w:p>
    <w:p w:rsidR="003E7819" w:rsidRPr="00E54704" w:rsidRDefault="003E7819" w:rsidP="00AF4FBA">
      <w:pPr>
        <w:rPr>
          <w:sz w:val="24"/>
          <w:szCs w:val="24"/>
        </w:rPr>
      </w:pPr>
    </w:p>
    <w:sectPr w:rsidR="003E7819" w:rsidRPr="00E54704" w:rsidSect="003E78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2C" w:rsidRDefault="00053A2C" w:rsidP="00241E24">
      <w:pPr>
        <w:spacing w:after="0" w:line="240" w:lineRule="auto"/>
      </w:pPr>
      <w:r>
        <w:separator/>
      </w:r>
    </w:p>
  </w:endnote>
  <w:endnote w:type="continuationSeparator" w:id="0">
    <w:p w:rsidR="00053A2C" w:rsidRDefault="00053A2C" w:rsidP="0024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2C" w:rsidRDefault="00053A2C" w:rsidP="00241E24">
      <w:pPr>
        <w:spacing w:after="0" w:line="240" w:lineRule="auto"/>
      </w:pPr>
      <w:r>
        <w:separator/>
      </w:r>
    </w:p>
  </w:footnote>
  <w:footnote w:type="continuationSeparator" w:id="0">
    <w:p w:rsidR="00053A2C" w:rsidRDefault="00053A2C" w:rsidP="00241E24">
      <w:pPr>
        <w:spacing w:after="0" w:line="240" w:lineRule="auto"/>
      </w:pPr>
      <w:r>
        <w:continuationSeparator/>
      </w:r>
    </w:p>
  </w:footnote>
  <w:footnote w:id="1">
    <w:p w:rsidR="00D005D3" w:rsidRPr="00D005D3" w:rsidRDefault="00D005D3">
      <w:pPr>
        <w:pStyle w:val="FootnoteText"/>
        <w:rPr>
          <w:lang w:val="en-US"/>
        </w:rPr>
      </w:pPr>
      <w:r>
        <w:rPr>
          <w:rStyle w:val="FootnoteReference"/>
        </w:rPr>
        <w:footnoteRef/>
      </w:r>
      <w:r>
        <w:t xml:space="preserve"> </w:t>
      </w:r>
      <w:proofErr w:type="gramStart"/>
      <w:r>
        <w:rPr>
          <w:lang w:val="en-US"/>
        </w:rPr>
        <w:t>Directly translated as the “head of state” in the Malay language.</w:t>
      </w:r>
      <w:proofErr w:type="gramEnd"/>
      <w:r>
        <w:rPr>
          <w:lang w:val="en-US"/>
        </w:rPr>
        <w:t xml:space="preserve"> </w:t>
      </w:r>
      <w:proofErr w:type="gramStart"/>
      <w:r>
        <w:rPr>
          <w:lang w:val="en-US"/>
        </w:rPr>
        <w:t>Refers to the official title of the ceremonial governors of the Malaysian states without monarchs, namely Penang, Malacca, Sabah and Sarawak.</w:t>
      </w:r>
      <w:proofErr w:type="gramEnd"/>
    </w:p>
  </w:footnote>
  <w:footnote w:id="2">
    <w:p w:rsidR="00053A2C" w:rsidRDefault="00053A2C" w:rsidP="008D73B8">
      <w:pPr>
        <w:pStyle w:val="FootnoteText"/>
      </w:pPr>
      <w:r>
        <w:rPr>
          <w:rStyle w:val="FootnoteReference"/>
        </w:rPr>
        <w:footnoteRef/>
      </w:r>
      <w:hyperlink r:id="rId1" w:history="1">
        <w:r w:rsidRPr="00C873BA">
          <w:rPr>
            <w:rStyle w:val="Hyperlink"/>
          </w:rPr>
          <w:t>http://jkt.kpkt.gov.my/en/main.php?Content=vertsections&amp;SubVertSectionID=65&amp;VertSectionID=43&amp;CurLocation=43&amp;IID=&amp;Page=1</w:t>
        </w:r>
      </w:hyperlink>
    </w:p>
  </w:footnote>
  <w:footnote w:id="3">
    <w:p w:rsidR="00053A2C" w:rsidRDefault="00053A2C" w:rsidP="008D73B8">
      <w:pPr>
        <w:pStyle w:val="FootnoteText"/>
      </w:pPr>
      <w:r>
        <w:rPr>
          <w:rStyle w:val="FootnoteReference"/>
        </w:rPr>
        <w:footnoteRef/>
      </w:r>
      <w:r>
        <w:t xml:space="preserve"> The first fire and rescue services in Malaysia (known as Malaya at the time) started in 1883, when Malaysia was still under British colonial rule with the establishment of the Selangor state fire and rescue volunteers squad.</w:t>
      </w:r>
    </w:p>
  </w:footnote>
  <w:footnote w:id="4">
    <w:p w:rsidR="00D005D3" w:rsidRPr="00D005D3" w:rsidRDefault="00D005D3">
      <w:pPr>
        <w:pStyle w:val="FootnoteText"/>
        <w:rPr>
          <w:lang w:val="en-US"/>
        </w:rPr>
      </w:pPr>
      <w:r>
        <w:rPr>
          <w:rStyle w:val="FootnoteReference"/>
        </w:rPr>
        <w:footnoteRef/>
      </w:r>
      <w:r>
        <w:t xml:space="preserve"> </w:t>
      </w:r>
      <w:r w:rsidRPr="00D005D3">
        <w:t>http://www.cpps.org.my/resource_centre/Local%20Government.pdf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BE9"/>
    <w:multiLevelType w:val="multilevel"/>
    <w:tmpl w:val="D0D4D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DE6CF5"/>
    <w:multiLevelType w:val="hybridMultilevel"/>
    <w:tmpl w:val="81703E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C367BB"/>
    <w:multiLevelType w:val="hybridMultilevel"/>
    <w:tmpl w:val="EB407F52"/>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nsid w:val="13D920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3DD44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A9E46B5"/>
    <w:multiLevelType w:val="hybridMultilevel"/>
    <w:tmpl w:val="7B420DCA"/>
    <w:lvl w:ilvl="0" w:tplc="F77E1F34">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
    <w:nsid w:val="1CDC5E46"/>
    <w:multiLevelType w:val="hybridMultilevel"/>
    <w:tmpl w:val="B9EAD784"/>
    <w:lvl w:ilvl="0" w:tplc="D03288DA">
      <w:start w:val="1"/>
      <w:numFmt w:val="bullet"/>
      <w:lvlText w:val="-"/>
      <w:lvlJc w:val="left"/>
      <w:pPr>
        <w:ind w:left="720" w:hanging="360"/>
      </w:pPr>
      <w:rPr>
        <w:rFonts w:ascii="Times New Roman" w:eastAsia="Calibri"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7">
    <w:nsid w:val="490F04BD"/>
    <w:multiLevelType w:val="hybridMultilevel"/>
    <w:tmpl w:val="C90A16A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8">
    <w:nsid w:val="4A76593E"/>
    <w:multiLevelType w:val="hybridMultilevel"/>
    <w:tmpl w:val="0476775E"/>
    <w:lvl w:ilvl="0" w:tplc="BA5E4C86">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21604B"/>
    <w:multiLevelType w:val="multilevel"/>
    <w:tmpl w:val="D0D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B477C7"/>
    <w:multiLevelType w:val="hybridMultilevel"/>
    <w:tmpl w:val="BE32215A"/>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1">
    <w:nsid w:val="532C087B"/>
    <w:multiLevelType w:val="hybridMultilevel"/>
    <w:tmpl w:val="846A5A02"/>
    <w:lvl w:ilvl="0" w:tplc="98E03B4E">
      <w:start w:val="1"/>
      <w:numFmt w:val="bullet"/>
      <w:lvlText w:val=""/>
      <w:lvlJc w:val="left"/>
      <w:pPr>
        <w:ind w:left="720" w:hanging="360"/>
      </w:pPr>
      <w:rPr>
        <w:rFonts w:ascii="Times New Roman" w:eastAsia="Calibri"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2">
    <w:nsid w:val="5F953510"/>
    <w:multiLevelType w:val="multilevel"/>
    <w:tmpl w:val="C4B8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3F0142"/>
    <w:multiLevelType w:val="hybridMultilevel"/>
    <w:tmpl w:val="C80C32AC"/>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10"/>
  </w:num>
  <w:num w:numId="5">
    <w:abstractNumId w:val="7"/>
  </w:num>
  <w:num w:numId="6">
    <w:abstractNumId w:val="13"/>
  </w:num>
  <w:num w:numId="7">
    <w:abstractNumId w:val="5"/>
  </w:num>
  <w:num w:numId="8">
    <w:abstractNumId w:val="12"/>
  </w:num>
  <w:num w:numId="9">
    <w:abstractNumId w:val="8"/>
  </w:num>
  <w:num w:numId="10">
    <w:abstractNumId w:val="9"/>
  </w:num>
  <w:num w:numId="11">
    <w:abstractNumId w:val="0"/>
  </w:num>
  <w:num w:numId="12">
    <w:abstractNumId w:val="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16"/>
    <w:rsid w:val="00003849"/>
    <w:rsid w:val="000525C1"/>
    <w:rsid w:val="00053A2C"/>
    <w:rsid w:val="00121194"/>
    <w:rsid w:val="00147633"/>
    <w:rsid w:val="001F3DEF"/>
    <w:rsid w:val="00211037"/>
    <w:rsid w:val="00241E24"/>
    <w:rsid w:val="00285D15"/>
    <w:rsid w:val="002A0F18"/>
    <w:rsid w:val="002A3B8E"/>
    <w:rsid w:val="002D7A77"/>
    <w:rsid w:val="00303716"/>
    <w:rsid w:val="00336083"/>
    <w:rsid w:val="00341093"/>
    <w:rsid w:val="0035181F"/>
    <w:rsid w:val="003625D8"/>
    <w:rsid w:val="003E7819"/>
    <w:rsid w:val="003F6E8E"/>
    <w:rsid w:val="004312EA"/>
    <w:rsid w:val="00476F7A"/>
    <w:rsid w:val="004D50D5"/>
    <w:rsid w:val="00500AE7"/>
    <w:rsid w:val="005B59AC"/>
    <w:rsid w:val="005C27DC"/>
    <w:rsid w:val="005D41E8"/>
    <w:rsid w:val="00600F0F"/>
    <w:rsid w:val="00633C95"/>
    <w:rsid w:val="00646C73"/>
    <w:rsid w:val="00693261"/>
    <w:rsid w:val="006C3FDB"/>
    <w:rsid w:val="00791113"/>
    <w:rsid w:val="007A0D71"/>
    <w:rsid w:val="007D0EBA"/>
    <w:rsid w:val="00817B9C"/>
    <w:rsid w:val="008A4EE5"/>
    <w:rsid w:val="008D73B8"/>
    <w:rsid w:val="008F126E"/>
    <w:rsid w:val="00901ABE"/>
    <w:rsid w:val="0095568E"/>
    <w:rsid w:val="009A422A"/>
    <w:rsid w:val="009D1F6A"/>
    <w:rsid w:val="00A40499"/>
    <w:rsid w:val="00AA4660"/>
    <w:rsid w:val="00AF4FBA"/>
    <w:rsid w:val="00B10A08"/>
    <w:rsid w:val="00B86BEF"/>
    <w:rsid w:val="00B964AC"/>
    <w:rsid w:val="00BA5B9E"/>
    <w:rsid w:val="00C23084"/>
    <w:rsid w:val="00C30DA3"/>
    <w:rsid w:val="00CC2357"/>
    <w:rsid w:val="00D005D3"/>
    <w:rsid w:val="00D24005"/>
    <w:rsid w:val="00D477E2"/>
    <w:rsid w:val="00DC1229"/>
    <w:rsid w:val="00E54704"/>
    <w:rsid w:val="00E61424"/>
    <w:rsid w:val="00E71707"/>
    <w:rsid w:val="00E878F7"/>
    <w:rsid w:val="00EB6CF8"/>
    <w:rsid w:val="00ED4142"/>
    <w:rsid w:val="00EF03CC"/>
    <w:rsid w:val="00F84493"/>
    <w:rsid w:val="00F929FC"/>
    <w:rsid w:val="00FD1176"/>
  </w:rsids>
  <m:mathPr>
    <m:mathFont m:val="Cambria Math"/>
    <m:brkBin m:val="before"/>
    <m:brkBinSub m:val="--"/>
    <m:smallFrac/>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1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16"/>
    <w:pPr>
      <w:ind w:left="720"/>
      <w:contextualSpacing/>
    </w:pPr>
  </w:style>
  <w:style w:type="character" w:styleId="Hyperlink">
    <w:name w:val="Hyperlink"/>
    <w:basedOn w:val="DefaultParagraphFont"/>
    <w:uiPriority w:val="99"/>
    <w:unhideWhenUsed/>
    <w:rsid w:val="005C27DC"/>
    <w:rPr>
      <w:color w:val="0000FF" w:themeColor="hyperlink"/>
      <w:u w:val="single"/>
    </w:rPr>
  </w:style>
  <w:style w:type="character" w:customStyle="1" w:styleId="tightinline">
    <w:name w:val="tightinline"/>
    <w:basedOn w:val="DefaultParagraphFont"/>
    <w:rsid w:val="00211037"/>
  </w:style>
  <w:style w:type="character" w:customStyle="1" w:styleId="bold">
    <w:name w:val="bold"/>
    <w:basedOn w:val="DefaultParagraphFont"/>
    <w:rsid w:val="00211037"/>
  </w:style>
  <w:style w:type="paragraph" w:customStyle="1" w:styleId="loose">
    <w:name w:val="loose"/>
    <w:basedOn w:val="Normal"/>
    <w:rsid w:val="00211037"/>
    <w:pPr>
      <w:spacing w:before="100" w:beforeAutospacing="1" w:after="100" w:afterAutospacing="1" w:line="240" w:lineRule="auto"/>
    </w:pPr>
    <w:rPr>
      <w:rFonts w:ascii="Times" w:eastAsiaTheme="minorHAnsi" w:hAnsi="Times" w:cstheme="minorBidi"/>
      <w:sz w:val="20"/>
      <w:szCs w:val="20"/>
      <w:lang w:val="en-US"/>
    </w:rPr>
  </w:style>
  <w:style w:type="character" w:customStyle="1" w:styleId="italic">
    <w:name w:val="italic"/>
    <w:basedOn w:val="DefaultParagraphFont"/>
    <w:rsid w:val="00211037"/>
  </w:style>
  <w:style w:type="character" w:styleId="FollowedHyperlink">
    <w:name w:val="FollowedHyperlink"/>
    <w:basedOn w:val="DefaultParagraphFont"/>
    <w:uiPriority w:val="99"/>
    <w:semiHidden/>
    <w:unhideWhenUsed/>
    <w:rsid w:val="005B59AC"/>
    <w:rPr>
      <w:color w:val="800080" w:themeColor="followedHyperlink"/>
      <w:u w:val="single"/>
    </w:rPr>
  </w:style>
  <w:style w:type="paragraph" w:styleId="FootnoteText">
    <w:name w:val="footnote text"/>
    <w:basedOn w:val="Normal"/>
    <w:link w:val="FootnoteTextChar"/>
    <w:uiPriority w:val="99"/>
    <w:unhideWhenUsed/>
    <w:rsid w:val="00241E24"/>
    <w:pPr>
      <w:spacing w:after="0" w:line="240" w:lineRule="auto"/>
    </w:pPr>
    <w:rPr>
      <w:sz w:val="24"/>
      <w:szCs w:val="24"/>
    </w:rPr>
  </w:style>
  <w:style w:type="character" w:customStyle="1" w:styleId="FootnoteTextChar">
    <w:name w:val="Footnote Text Char"/>
    <w:basedOn w:val="DefaultParagraphFont"/>
    <w:link w:val="FootnoteText"/>
    <w:uiPriority w:val="99"/>
    <w:rsid w:val="00241E24"/>
    <w:rPr>
      <w:rFonts w:ascii="Calibri" w:eastAsia="Calibri" w:hAnsi="Calibri" w:cs="Times New Roman"/>
      <w:sz w:val="24"/>
      <w:szCs w:val="24"/>
      <w:lang w:val="en-GB"/>
    </w:rPr>
  </w:style>
  <w:style w:type="character" w:styleId="FootnoteReference">
    <w:name w:val="footnote reference"/>
    <w:basedOn w:val="DefaultParagraphFont"/>
    <w:uiPriority w:val="99"/>
    <w:unhideWhenUsed/>
    <w:rsid w:val="00241E24"/>
    <w:rPr>
      <w:vertAlign w:val="superscript"/>
    </w:rPr>
  </w:style>
  <w:style w:type="character" w:customStyle="1" w:styleId="apple-converted-space">
    <w:name w:val="apple-converted-space"/>
    <w:basedOn w:val="DefaultParagraphFont"/>
    <w:rsid w:val="00AF4FBA"/>
  </w:style>
  <w:style w:type="paragraph" w:styleId="NormalWeb">
    <w:name w:val="Normal (Web)"/>
    <w:basedOn w:val="Normal"/>
    <w:uiPriority w:val="99"/>
    <w:unhideWhenUsed/>
    <w:rsid w:val="00E71707"/>
    <w:pPr>
      <w:spacing w:before="100" w:beforeAutospacing="1" w:after="100" w:afterAutospacing="1" w:line="240" w:lineRule="auto"/>
    </w:pPr>
    <w:rPr>
      <w:rFonts w:ascii="Times New Roman" w:eastAsia="Times New Roman" w:hAnsi="Times New Roman"/>
      <w:sz w:val="24"/>
      <w:szCs w:val="24"/>
      <w:lang w:val="ms-MY" w:eastAsia="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1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16"/>
    <w:pPr>
      <w:ind w:left="720"/>
      <w:contextualSpacing/>
    </w:pPr>
  </w:style>
  <w:style w:type="character" w:styleId="Hyperlink">
    <w:name w:val="Hyperlink"/>
    <w:basedOn w:val="DefaultParagraphFont"/>
    <w:uiPriority w:val="99"/>
    <w:unhideWhenUsed/>
    <w:rsid w:val="005C27DC"/>
    <w:rPr>
      <w:color w:val="0000FF" w:themeColor="hyperlink"/>
      <w:u w:val="single"/>
    </w:rPr>
  </w:style>
  <w:style w:type="character" w:customStyle="1" w:styleId="tightinline">
    <w:name w:val="tightinline"/>
    <w:basedOn w:val="DefaultParagraphFont"/>
    <w:rsid w:val="00211037"/>
  </w:style>
  <w:style w:type="character" w:customStyle="1" w:styleId="bold">
    <w:name w:val="bold"/>
    <w:basedOn w:val="DefaultParagraphFont"/>
    <w:rsid w:val="00211037"/>
  </w:style>
  <w:style w:type="paragraph" w:customStyle="1" w:styleId="loose">
    <w:name w:val="loose"/>
    <w:basedOn w:val="Normal"/>
    <w:rsid w:val="00211037"/>
    <w:pPr>
      <w:spacing w:before="100" w:beforeAutospacing="1" w:after="100" w:afterAutospacing="1" w:line="240" w:lineRule="auto"/>
    </w:pPr>
    <w:rPr>
      <w:rFonts w:ascii="Times" w:eastAsiaTheme="minorHAnsi" w:hAnsi="Times" w:cstheme="minorBidi"/>
      <w:sz w:val="20"/>
      <w:szCs w:val="20"/>
      <w:lang w:val="en-US"/>
    </w:rPr>
  </w:style>
  <w:style w:type="character" w:customStyle="1" w:styleId="italic">
    <w:name w:val="italic"/>
    <w:basedOn w:val="DefaultParagraphFont"/>
    <w:rsid w:val="00211037"/>
  </w:style>
  <w:style w:type="character" w:styleId="FollowedHyperlink">
    <w:name w:val="FollowedHyperlink"/>
    <w:basedOn w:val="DefaultParagraphFont"/>
    <w:uiPriority w:val="99"/>
    <w:semiHidden/>
    <w:unhideWhenUsed/>
    <w:rsid w:val="005B59AC"/>
    <w:rPr>
      <w:color w:val="800080" w:themeColor="followedHyperlink"/>
      <w:u w:val="single"/>
    </w:rPr>
  </w:style>
  <w:style w:type="paragraph" w:styleId="FootnoteText">
    <w:name w:val="footnote text"/>
    <w:basedOn w:val="Normal"/>
    <w:link w:val="FootnoteTextChar"/>
    <w:uiPriority w:val="99"/>
    <w:unhideWhenUsed/>
    <w:rsid w:val="00241E24"/>
    <w:pPr>
      <w:spacing w:after="0" w:line="240" w:lineRule="auto"/>
    </w:pPr>
    <w:rPr>
      <w:sz w:val="24"/>
      <w:szCs w:val="24"/>
    </w:rPr>
  </w:style>
  <w:style w:type="character" w:customStyle="1" w:styleId="FootnoteTextChar">
    <w:name w:val="Footnote Text Char"/>
    <w:basedOn w:val="DefaultParagraphFont"/>
    <w:link w:val="FootnoteText"/>
    <w:uiPriority w:val="99"/>
    <w:rsid w:val="00241E24"/>
    <w:rPr>
      <w:rFonts w:ascii="Calibri" w:eastAsia="Calibri" w:hAnsi="Calibri" w:cs="Times New Roman"/>
      <w:sz w:val="24"/>
      <w:szCs w:val="24"/>
      <w:lang w:val="en-GB"/>
    </w:rPr>
  </w:style>
  <w:style w:type="character" w:styleId="FootnoteReference">
    <w:name w:val="footnote reference"/>
    <w:basedOn w:val="DefaultParagraphFont"/>
    <w:uiPriority w:val="99"/>
    <w:unhideWhenUsed/>
    <w:rsid w:val="00241E24"/>
    <w:rPr>
      <w:vertAlign w:val="superscript"/>
    </w:rPr>
  </w:style>
  <w:style w:type="character" w:customStyle="1" w:styleId="apple-converted-space">
    <w:name w:val="apple-converted-space"/>
    <w:basedOn w:val="DefaultParagraphFont"/>
    <w:rsid w:val="00AF4FBA"/>
  </w:style>
  <w:style w:type="paragraph" w:styleId="NormalWeb">
    <w:name w:val="Normal (Web)"/>
    <w:basedOn w:val="Normal"/>
    <w:uiPriority w:val="99"/>
    <w:unhideWhenUsed/>
    <w:rsid w:val="00E71707"/>
    <w:pPr>
      <w:spacing w:before="100" w:beforeAutospacing="1" w:after="100" w:afterAutospacing="1" w:line="240" w:lineRule="auto"/>
    </w:pPr>
    <w:rPr>
      <w:rFonts w:ascii="Times New Roman" w:eastAsia="Times New Roman" w:hAnsi="Times New Roman"/>
      <w:sz w:val="24"/>
      <w:szCs w:val="24"/>
      <w:lang w:val="ms-MY" w:eastAsia="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70726">
      <w:bodyDiv w:val="1"/>
      <w:marLeft w:val="0"/>
      <w:marRight w:val="0"/>
      <w:marTop w:val="0"/>
      <w:marBottom w:val="0"/>
      <w:divBdr>
        <w:top w:val="none" w:sz="0" w:space="0" w:color="auto"/>
        <w:left w:val="none" w:sz="0" w:space="0" w:color="auto"/>
        <w:bottom w:val="none" w:sz="0" w:space="0" w:color="auto"/>
        <w:right w:val="none" w:sz="0" w:space="0" w:color="auto"/>
      </w:divBdr>
    </w:div>
    <w:div w:id="845748924">
      <w:bodyDiv w:val="1"/>
      <w:marLeft w:val="0"/>
      <w:marRight w:val="0"/>
      <w:marTop w:val="0"/>
      <w:marBottom w:val="0"/>
      <w:divBdr>
        <w:top w:val="none" w:sz="0" w:space="0" w:color="auto"/>
        <w:left w:val="none" w:sz="0" w:space="0" w:color="auto"/>
        <w:bottom w:val="none" w:sz="0" w:space="0" w:color="auto"/>
        <w:right w:val="none" w:sz="0" w:space="0" w:color="auto"/>
      </w:divBdr>
    </w:div>
    <w:div w:id="1186362627">
      <w:bodyDiv w:val="1"/>
      <w:marLeft w:val="0"/>
      <w:marRight w:val="0"/>
      <w:marTop w:val="0"/>
      <w:marBottom w:val="0"/>
      <w:divBdr>
        <w:top w:val="none" w:sz="0" w:space="0" w:color="auto"/>
        <w:left w:val="none" w:sz="0" w:space="0" w:color="auto"/>
        <w:bottom w:val="none" w:sz="0" w:space="0" w:color="auto"/>
        <w:right w:val="none" w:sz="0" w:space="0" w:color="auto"/>
      </w:divBdr>
      <w:divsChild>
        <w:div w:id="1466007486">
          <w:marLeft w:val="0"/>
          <w:marRight w:val="0"/>
          <w:marTop w:val="0"/>
          <w:marBottom w:val="0"/>
          <w:divBdr>
            <w:top w:val="none" w:sz="0" w:space="0" w:color="auto"/>
            <w:left w:val="none" w:sz="0" w:space="0" w:color="auto"/>
            <w:bottom w:val="none" w:sz="0" w:space="0" w:color="auto"/>
            <w:right w:val="none" w:sz="0" w:space="0" w:color="auto"/>
          </w:divBdr>
          <w:divsChild>
            <w:div w:id="971403164">
              <w:marLeft w:val="0"/>
              <w:marRight w:val="0"/>
              <w:marTop w:val="0"/>
              <w:marBottom w:val="0"/>
              <w:divBdr>
                <w:top w:val="none" w:sz="0" w:space="0" w:color="auto"/>
                <w:left w:val="none" w:sz="0" w:space="0" w:color="auto"/>
                <w:bottom w:val="none" w:sz="0" w:space="0" w:color="auto"/>
                <w:right w:val="none" w:sz="0" w:space="0" w:color="auto"/>
              </w:divBdr>
              <w:divsChild>
                <w:div w:id="2113281910">
                  <w:marLeft w:val="450"/>
                  <w:marRight w:val="0"/>
                  <w:marTop w:val="0"/>
                  <w:marBottom w:val="0"/>
                  <w:divBdr>
                    <w:top w:val="none" w:sz="0" w:space="0" w:color="auto"/>
                    <w:left w:val="none" w:sz="0" w:space="0" w:color="auto"/>
                    <w:bottom w:val="none" w:sz="0" w:space="0" w:color="auto"/>
                    <w:right w:val="none" w:sz="0" w:space="0" w:color="auto"/>
                  </w:divBdr>
                </w:div>
                <w:div w:id="111638396">
                  <w:marLeft w:val="450"/>
                  <w:marRight w:val="0"/>
                  <w:marTop w:val="0"/>
                  <w:marBottom w:val="0"/>
                  <w:divBdr>
                    <w:top w:val="none" w:sz="0" w:space="0" w:color="auto"/>
                    <w:left w:val="none" w:sz="0" w:space="0" w:color="auto"/>
                    <w:bottom w:val="none" w:sz="0" w:space="0" w:color="auto"/>
                    <w:right w:val="none" w:sz="0" w:space="0" w:color="auto"/>
                  </w:divBdr>
                </w:div>
                <w:div w:id="20028476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jkt.kpkt.gov.my/en/main.php?Content=vertsections&amp;SubVertSectionID=65&amp;VertSectionID=43&amp;CurLocation=43&amp;IID=&amp;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696D11-2640-4D44-B64C-B33905E374E2}"/>
</file>

<file path=customXml/itemProps2.xml><?xml version="1.0" encoding="utf-8"?>
<ds:datastoreItem xmlns:ds="http://schemas.openxmlformats.org/officeDocument/2006/customXml" ds:itemID="{06400C89-F8C4-4F69-93BA-A2043C3489D2}"/>
</file>

<file path=customXml/itemProps3.xml><?xml version="1.0" encoding="utf-8"?>
<ds:datastoreItem xmlns:ds="http://schemas.openxmlformats.org/officeDocument/2006/customXml" ds:itemID="{18EB211F-606F-41E7-A9E5-1FC9307027F4}"/>
</file>

<file path=customXml/itemProps4.xml><?xml version="1.0" encoding="utf-8"?>
<ds:datastoreItem xmlns:ds="http://schemas.openxmlformats.org/officeDocument/2006/customXml" ds:itemID="{55DF437D-2144-44D7-807C-48479A9C638E}"/>
</file>

<file path=docProps/app.xml><?xml version="1.0" encoding="utf-8"?>
<Properties xmlns="http://schemas.openxmlformats.org/officeDocument/2006/extended-properties" xmlns:vt="http://schemas.openxmlformats.org/officeDocument/2006/docPropsVTypes">
  <Template>Normal</Template>
  <TotalTime>1</TotalTime>
  <Pages>8</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Nurrul Elyani</dc:creator>
  <cp:lastModifiedBy>Markova Anjela</cp:lastModifiedBy>
  <cp:revision>2</cp:revision>
  <cp:lastPrinted>2014-04-23T06:26:00Z</cp:lastPrinted>
  <dcterms:created xsi:type="dcterms:W3CDTF">2014-04-28T11:16:00Z</dcterms:created>
  <dcterms:modified xsi:type="dcterms:W3CDTF">2014-04-28T11:16:00Z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2452600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