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7421" w:rsidRDefault="0086075F" w:rsidP="0086075F">
      <w:pPr>
        <w:pStyle w:val="Normal1"/>
        <w:tabs>
          <w:tab w:val="left" w:pos="2055"/>
        </w:tabs>
      </w:pPr>
      <w:bookmarkStart w:id="0" w:name="_GoBack"/>
      <w:bookmarkEnd w:id="0"/>
      <w:r>
        <w:tab/>
      </w:r>
    </w:p>
    <w:p w:rsidR="00017421" w:rsidRDefault="00AF3DD0">
      <w:pPr>
        <w:pStyle w:val="Normal1"/>
        <w:jc w:val="center"/>
      </w:pPr>
      <w:r>
        <w:rPr>
          <w:rFonts w:ascii="Times New Roman" w:eastAsia="Times New Roman" w:hAnsi="Times New Roman" w:cs="Times New Roman"/>
          <w:b/>
          <w:sz w:val="26"/>
          <w:u w:val="single"/>
        </w:rPr>
        <w:t xml:space="preserve">Local government and human rights </w:t>
      </w:r>
    </w:p>
    <w:p w:rsidR="00017421" w:rsidRDefault="00AF3DD0">
      <w:pPr>
        <w:pStyle w:val="Normal1"/>
        <w:jc w:val="center"/>
      </w:pPr>
      <w:r>
        <w:rPr>
          <w:rFonts w:ascii="Times New Roman" w:eastAsia="Times New Roman" w:hAnsi="Times New Roman" w:cs="Times New Roman"/>
          <w:b/>
          <w:sz w:val="26"/>
        </w:rPr>
        <w:t>QUESTIONNAIRE</w:t>
      </w:r>
    </w:p>
    <w:p w:rsidR="00017421" w:rsidRDefault="00AF3DD0">
      <w:pPr>
        <w:pStyle w:val="Normal1"/>
        <w:jc w:val="both"/>
      </w:pPr>
      <w:r>
        <w:rPr>
          <w:rFonts w:ascii="Times New Roman" w:eastAsia="Times New Roman" w:hAnsi="Times New Roman" w:cs="Times New Roman"/>
          <w:i/>
          <w:sz w:val="26"/>
        </w:rPr>
        <w:t xml:space="preserve">As part of the consultations undertaken by the Human Rights Council Advisory Committee with </w:t>
      </w:r>
      <w:r>
        <w:rPr>
          <w:rFonts w:ascii="Times New Roman" w:eastAsia="Times New Roman" w:hAnsi="Times New Roman" w:cs="Times New Roman"/>
          <w:b/>
          <w:i/>
          <w:sz w:val="26"/>
        </w:rPr>
        <w:t>governments</w:t>
      </w:r>
      <w:r>
        <w:rPr>
          <w:rFonts w:ascii="Times New Roman" w:eastAsia="Times New Roman" w:hAnsi="Times New Roman" w:cs="Times New Roman"/>
          <w:i/>
          <w:sz w:val="26"/>
        </w:rPr>
        <w:t>,</w:t>
      </w:r>
      <w:r>
        <w:rPr>
          <w:rFonts w:ascii="Times New Roman" w:eastAsia="Times New Roman" w:hAnsi="Times New Roman" w:cs="Times New Roman"/>
          <w:b/>
          <w:i/>
          <w:sz w:val="26"/>
        </w:rPr>
        <w:t xml:space="preserve"> national human rights institutions </w:t>
      </w:r>
      <w:r>
        <w:rPr>
          <w:rFonts w:ascii="Times New Roman" w:eastAsia="Times New Roman" w:hAnsi="Times New Roman" w:cs="Times New Roman"/>
          <w:i/>
          <w:sz w:val="26"/>
        </w:rPr>
        <w:t>and</w:t>
      </w:r>
      <w:r>
        <w:rPr>
          <w:rFonts w:ascii="Times New Roman" w:eastAsia="Times New Roman" w:hAnsi="Times New Roman" w:cs="Times New Roman"/>
          <w:b/>
          <w:i/>
          <w:sz w:val="26"/>
        </w:rPr>
        <w:t xml:space="preserve"> non-governmental organizations</w:t>
      </w:r>
      <w:r>
        <w:rPr>
          <w:rFonts w:ascii="Times New Roman" w:eastAsia="Times New Roman" w:hAnsi="Times New Roman" w:cs="Times New Roman"/>
          <w:i/>
          <w:sz w:val="26"/>
        </w:rPr>
        <w:t xml:space="preserve"> with a view to preparing a report on the role of local government in the promotion and protection of human rights, pursuant to Council resolution 24/2.</w:t>
      </w:r>
    </w:p>
    <w:p w:rsidR="00017421" w:rsidRDefault="00017421">
      <w:pPr>
        <w:pStyle w:val="Normal1"/>
      </w:pPr>
    </w:p>
    <w:p w:rsidR="00017421" w:rsidRDefault="00AF3DD0">
      <w:pPr>
        <w:pStyle w:val="Normal1"/>
      </w:pPr>
      <w:r>
        <w:rPr>
          <w:rFonts w:ascii="Times New Roman" w:eastAsia="Times New Roman" w:hAnsi="Times New Roman" w:cs="Times New Roman"/>
          <w:b/>
          <w:u w:val="single"/>
        </w:rPr>
        <w:t>Background</w:t>
      </w:r>
      <w:r>
        <w:rPr>
          <w:rFonts w:ascii="Times New Roman" w:eastAsia="Times New Roman" w:hAnsi="Times New Roman" w:cs="Times New Roman"/>
          <w:b/>
        </w:rPr>
        <w:t>:</w:t>
      </w:r>
    </w:p>
    <w:p w:rsidR="00017421" w:rsidRDefault="00AF3DD0">
      <w:pPr>
        <w:pStyle w:val="Normal1"/>
        <w:jc w:val="both"/>
      </w:pPr>
      <w:r>
        <w:rPr>
          <w:rFonts w:ascii="Times New Roman" w:eastAsia="Times New Roman" w:hAnsi="Times New Roman" w:cs="Times New Roman"/>
        </w:rPr>
        <w:t>Human Rights Council resolution 24/2, adopted in September 2013, took note of the research proposals made by the Advisory Committee in August 2012</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which included a research proposal on local government and human rights, and mandated the Committee to prepare a research-based report on the role of local government in the promotion and protection of human rights, including human rights mainstreaming in local administration and public services, with a view to compiling best practices and main challenges, and to present a progress report thereon to the twenty-seventh session of the Council (September 2014).</w:t>
      </w:r>
    </w:p>
    <w:p w:rsidR="00017421" w:rsidRDefault="00AF3DD0">
      <w:pPr>
        <w:pStyle w:val="Normal1"/>
        <w:jc w:val="both"/>
      </w:pPr>
      <w:r>
        <w:rPr>
          <w:rFonts w:ascii="Times New Roman" w:eastAsia="Times New Roman" w:hAnsi="Times New Roman" w:cs="Times New Roman"/>
        </w:rPr>
        <w:t>The Committee is also requested to seek the views and inputs of Member States, relevant international and regional organizations, the OHCHR and relevant special procedures, as well as national human rights institutions and non-governmental organizations, in order to prepare the above-mentioned report.</w:t>
      </w:r>
    </w:p>
    <w:p w:rsidR="00017421" w:rsidRDefault="00AF3DD0">
      <w:pPr>
        <w:pStyle w:val="Normal1"/>
        <w:jc w:val="both"/>
      </w:pPr>
      <w:r>
        <w:rPr>
          <w:rFonts w:ascii="Times New Roman" w:eastAsia="Times New Roman" w:hAnsi="Times New Roman" w:cs="Times New Roman"/>
        </w:rPr>
        <w:t>It is therefore in this context that the Advisory Committee decided, at its twelfth session held in February 2014, to appoint a drafting group</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in charge of the preparation of this report and elaborated the hereunder questionnaire for governments,</w:t>
      </w:r>
      <w:r>
        <w:t xml:space="preserve"> </w:t>
      </w:r>
      <w:r>
        <w:rPr>
          <w:rFonts w:ascii="Times New Roman" w:eastAsia="Times New Roman" w:hAnsi="Times New Roman" w:cs="Times New Roman"/>
        </w:rPr>
        <w:t>national human rights institutions and non-governmental organizations.</w:t>
      </w:r>
    </w:p>
    <w:p w:rsidR="00017421" w:rsidRDefault="00017421">
      <w:pPr>
        <w:pStyle w:val="Normal1"/>
      </w:pPr>
    </w:p>
    <w:p w:rsidR="00017421" w:rsidRDefault="00AF3DD0">
      <w:pPr>
        <w:pStyle w:val="Normal1"/>
        <w:jc w:val="center"/>
      </w:pPr>
      <w:r>
        <w:rPr>
          <w:rFonts w:ascii="Times New Roman" w:eastAsia="Times New Roman" w:hAnsi="Times New Roman" w:cs="Times New Roman"/>
          <w:b/>
        </w:rPr>
        <w:t>QUESTIONNAIRE</w:t>
      </w:r>
    </w:p>
    <w:p w:rsidR="00017421" w:rsidRDefault="00AF3DD0">
      <w:pPr>
        <w:pStyle w:val="Normal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How is local government organised in your country? Please describe the existing legal framework for the organisation, functioning, competences and financial resources of local government in your country.</w:t>
      </w:r>
    </w:p>
    <w:p w:rsidR="0031159A" w:rsidRPr="00D5472A" w:rsidRDefault="001053EB" w:rsidP="00D5472A">
      <w:pPr>
        <w:pStyle w:val="Normal1"/>
        <w:spacing w:after="0" w:line="240" w:lineRule="auto"/>
        <w:ind w:left="720"/>
        <w:jc w:val="both"/>
        <w:rPr>
          <w:rFonts w:cstheme="minorHAnsi"/>
          <w:color w:val="auto"/>
        </w:rPr>
      </w:pPr>
      <w:r w:rsidRPr="00D5472A">
        <w:rPr>
          <w:rFonts w:cstheme="minorHAnsi"/>
          <w:color w:val="auto"/>
        </w:rPr>
        <w:t>India is a federal country comprising one Union, 28 states and 7 Union Territories</w:t>
      </w:r>
      <w:r w:rsidR="005C2F7C">
        <w:rPr>
          <w:rFonts w:cstheme="minorHAnsi"/>
          <w:color w:val="auto"/>
        </w:rPr>
        <w:t xml:space="preserve">. The </w:t>
      </w:r>
      <w:r w:rsidRPr="00D5472A">
        <w:rPr>
          <w:rFonts w:cstheme="minorHAnsi"/>
          <w:color w:val="auto"/>
        </w:rPr>
        <w:t xml:space="preserve">  Union Government</w:t>
      </w:r>
      <w:r w:rsidR="005C2F7C">
        <w:rPr>
          <w:rFonts w:cstheme="minorHAnsi"/>
          <w:color w:val="auto"/>
        </w:rPr>
        <w:t xml:space="preserve"> has supremacy over provincial and local governments in the country</w:t>
      </w:r>
      <w:r w:rsidRPr="00D5472A">
        <w:rPr>
          <w:rFonts w:cstheme="minorHAnsi"/>
          <w:color w:val="auto"/>
        </w:rPr>
        <w:t>. The Union of India is governed by an elected cabinet of ministers, headed by the Prime Minister of India</w:t>
      </w:r>
      <w:r w:rsidR="0031159A" w:rsidRPr="00D5472A">
        <w:rPr>
          <w:rFonts w:cstheme="minorHAnsi"/>
          <w:color w:val="auto"/>
        </w:rPr>
        <w:t>. Similarly</w:t>
      </w:r>
      <w:r w:rsidRPr="00D5472A">
        <w:rPr>
          <w:rFonts w:cstheme="minorHAnsi"/>
          <w:color w:val="auto"/>
        </w:rPr>
        <w:t xml:space="preserve"> there are elected state governments in provinces</w:t>
      </w:r>
      <w:r w:rsidR="00580A14">
        <w:rPr>
          <w:rFonts w:cstheme="minorHAnsi"/>
          <w:color w:val="auto"/>
        </w:rPr>
        <w:t>. These governments</w:t>
      </w:r>
      <w:r w:rsidRPr="00D5472A">
        <w:rPr>
          <w:rFonts w:cstheme="minorHAnsi"/>
          <w:color w:val="auto"/>
        </w:rPr>
        <w:t xml:space="preserve"> </w:t>
      </w:r>
      <w:r w:rsidR="00046349">
        <w:rPr>
          <w:rFonts w:cstheme="minorHAnsi"/>
          <w:color w:val="auto"/>
        </w:rPr>
        <w:t xml:space="preserve">are </w:t>
      </w:r>
      <w:r w:rsidR="00046349">
        <w:rPr>
          <w:rFonts w:cstheme="minorHAnsi"/>
          <w:color w:val="auto"/>
        </w:rPr>
        <w:lastRenderedPageBreak/>
        <w:t>led</w:t>
      </w:r>
      <w:r w:rsidRPr="00D5472A">
        <w:rPr>
          <w:rFonts w:cstheme="minorHAnsi"/>
          <w:color w:val="auto"/>
        </w:rPr>
        <w:t xml:space="preserve"> by </w:t>
      </w:r>
      <w:r w:rsidR="009C2321">
        <w:rPr>
          <w:rFonts w:cstheme="minorHAnsi"/>
          <w:color w:val="auto"/>
        </w:rPr>
        <w:t xml:space="preserve">the </w:t>
      </w:r>
      <w:r w:rsidRPr="00D5472A">
        <w:rPr>
          <w:rFonts w:cstheme="minorHAnsi"/>
          <w:color w:val="auto"/>
        </w:rPr>
        <w:t>elected cabinet</w:t>
      </w:r>
      <w:r w:rsidR="00680153">
        <w:rPr>
          <w:rFonts w:cstheme="minorHAnsi"/>
          <w:color w:val="auto"/>
        </w:rPr>
        <w:t>s</w:t>
      </w:r>
      <w:r w:rsidRPr="00D5472A">
        <w:rPr>
          <w:rFonts w:cstheme="minorHAnsi"/>
          <w:color w:val="auto"/>
        </w:rPr>
        <w:t xml:space="preserve"> of ministers</w:t>
      </w:r>
      <w:r w:rsidR="0031159A" w:rsidRPr="00D5472A">
        <w:rPr>
          <w:rFonts w:cstheme="minorHAnsi"/>
          <w:color w:val="auto"/>
        </w:rPr>
        <w:t>,</w:t>
      </w:r>
      <w:r w:rsidRPr="00D5472A">
        <w:rPr>
          <w:rFonts w:cstheme="minorHAnsi"/>
          <w:color w:val="auto"/>
        </w:rPr>
        <w:t xml:space="preserve"> headed </w:t>
      </w:r>
      <w:r w:rsidR="0031159A" w:rsidRPr="00D5472A">
        <w:rPr>
          <w:rFonts w:cstheme="minorHAnsi"/>
          <w:color w:val="auto"/>
        </w:rPr>
        <w:t>by the Chief Minister. Union and states are governed as per</w:t>
      </w:r>
      <w:r w:rsidRPr="00D5472A">
        <w:rPr>
          <w:rFonts w:cstheme="minorHAnsi"/>
          <w:color w:val="auto"/>
        </w:rPr>
        <w:t xml:space="preserve"> the Constitution of India</w:t>
      </w:r>
      <w:r w:rsidR="0031159A" w:rsidRPr="00D5472A">
        <w:rPr>
          <w:rFonts w:cstheme="minorHAnsi"/>
          <w:color w:val="auto"/>
        </w:rPr>
        <w:t>, which</w:t>
      </w:r>
      <w:r w:rsidRPr="00D5472A">
        <w:rPr>
          <w:rFonts w:cstheme="minorHAnsi"/>
          <w:color w:val="auto"/>
        </w:rPr>
        <w:t xml:space="preserve"> is </w:t>
      </w:r>
      <w:r w:rsidR="0031159A" w:rsidRPr="00D5472A">
        <w:rPr>
          <w:rFonts w:cstheme="minorHAnsi"/>
          <w:color w:val="auto"/>
        </w:rPr>
        <w:t xml:space="preserve">the </w:t>
      </w:r>
      <w:r w:rsidRPr="00D5472A">
        <w:rPr>
          <w:rFonts w:cstheme="minorHAnsi"/>
          <w:color w:val="auto"/>
        </w:rPr>
        <w:t xml:space="preserve">ultimate </w:t>
      </w:r>
      <w:r w:rsidR="0031159A" w:rsidRPr="00D5472A">
        <w:rPr>
          <w:rFonts w:cstheme="minorHAnsi"/>
          <w:color w:val="auto"/>
        </w:rPr>
        <w:t xml:space="preserve">legal </w:t>
      </w:r>
      <w:r w:rsidRPr="00D5472A">
        <w:rPr>
          <w:rFonts w:cstheme="minorHAnsi"/>
          <w:color w:val="auto"/>
        </w:rPr>
        <w:t>reference</w:t>
      </w:r>
      <w:r w:rsidR="0031159A" w:rsidRPr="00D5472A">
        <w:rPr>
          <w:rFonts w:cstheme="minorHAnsi"/>
          <w:color w:val="auto"/>
        </w:rPr>
        <w:t xml:space="preserve">. </w:t>
      </w:r>
      <w:r w:rsidRPr="00D5472A">
        <w:rPr>
          <w:rFonts w:cstheme="minorHAnsi"/>
          <w:color w:val="auto"/>
        </w:rPr>
        <w:t xml:space="preserve"> </w:t>
      </w:r>
      <w:r w:rsidR="0031159A" w:rsidRPr="00D5472A">
        <w:rPr>
          <w:rFonts w:cstheme="minorHAnsi"/>
          <w:color w:val="auto"/>
        </w:rPr>
        <w:t>The</w:t>
      </w:r>
      <w:r w:rsidRPr="00D5472A">
        <w:rPr>
          <w:rFonts w:cstheme="minorHAnsi"/>
          <w:color w:val="auto"/>
        </w:rPr>
        <w:t xml:space="preserve"> Parliament of India is supreme authority for Pan-Indian governance. </w:t>
      </w:r>
      <w:r w:rsidR="0031159A" w:rsidRPr="00D5472A">
        <w:rPr>
          <w:rFonts w:cstheme="minorHAnsi"/>
          <w:color w:val="auto"/>
        </w:rPr>
        <w:t xml:space="preserve">Below provinces/states, </w:t>
      </w:r>
      <w:r w:rsidR="00580A14">
        <w:rPr>
          <w:rFonts w:cstheme="minorHAnsi"/>
          <w:color w:val="auto"/>
        </w:rPr>
        <w:t>there are</w:t>
      </w:r>
      <w:r w:rsidR="0031159A" w:rsidRPr="00D5472A">
        <w:rPr>
          <w:rFonts w:cstheme="minorHAnsi"/>
          <w:color w:val="auto"/>
        </w:rPr>
        <w:t xml:space="preserve"> 640 districts</w:t>
      </w:r>
      <w:r w:rsidR="00580A14">
        <w:rPr>
          <w:rFonts w:cstheme="minorHAnsi"/>
          <w:color w:val="auto"/>
        </w:rPr>
        <w:t xml:space="preserve"> in India</w:t>
      </w:r>
      <w:r w:rsidR="0031159A" w:rsidRPr="00D5472A">
        <w:rPr>
          <w:rFonts w:cstheme="minorHAnsi"/>
          <w:color w:val="auto"/>
        </w:rPr>
        <w:t>, which are supposed to be governed by the local governments.</w:t>
      </w:r>
      <w:r w:rsidRPr="00D5472A">
        <w:rPr>
          <w:rFonts w:cstheme="minorHAnsi"/>
          <w:color w:val="auto"/>
        </w:rPr>
        <w:t xml:space="preserve"> </w:t>
      </w:r>
    </w:p>
    <w:p w:rsidR="00CE2FA5" w:rsidRPr="00D5472A" w:rsidRDefault="00CE2FA5" w:rsidP="00D5472A">
      <w:pPr>
        <w:pStyle w:val="Normal1"/>
        <w:spacing w:after="0" w:line="240" w:lineRule="auto"/>
        <w:ind w:left="720"/>
        <w:jc w:val="both"/>
        <w:rPr>
          <w:rFonts w:cstheme="minorHAnsi"/>
          <w:color w:val="auto"/>
        </w:rPr>
      </w:pPr>
    </w:p>
    <w:p w:rsidR="0031159A" w:rsidRPr="00D5472A" w:rsidRDefault="00D8643D" w:rsidP="00D5472A">
      <w:pPr>
        <w:pStyle w:val="Normal1"/>
        <w:spacing w:after="0" w:line="240" w:lineRule="auto"/>
        <w:ind w:left="720"/>
        <w:jc w:val="both"/>
        <w:rPr>
          <w:rFonts w:cstheme="minorHAnsi"/>
          <w:color w:val="auto"/>
        </w:rPr>
      </w:pPr>
      <w:r w:rsidRPr="00D5472A">
        <w:rPr>
          <w:rFonts w:cstheme="minorHAnsi"/>
          <w:color w:val="auto"/>
        </w:rPr>
        <w:t>Local bodies have always been part of Indian traditions. However, it was only in 1992 when local governments in India were provide</w:t>
      </w:r>
      <w:r w:rsidR="0031159A" w:rsidRPr="00D5472A">
        <w:rPr>
          <w:rFonts w:cstheme="minorHAnsi"/>
          <w:color w:val="auto"/>
        </w:rPr>
        <w:t>d</w:t>
      </w:r>
      <w:r w:rsidRPr="00D5472A">
        <w:rPr>
          <w:rFonts w:cstheme="minorHAnsi"/>
          <w:color w:val="auto"/>
        </w:rPr>
        <w:t xml:space="preserve"> detailed </w:t>
      </w:r>
      <w:r w:rsidR="00E2197F" w:rsidRPr="00D5472A">
        <w:rPr>
          <w:rFonts w:cstheme="minorHAnsi"/>
          <w:color w:val="auto"/>
        </w:rPr>
        <w:t xml:space="preserve">legal structures and powers as democratically elected institutions of local self-government. </w:t>
      </w:r>
      <w:r w:rsidR="0031159A" w:rsidRPr="00D5472A">
        <w:rPr>
          <w:rFonts w:cstheme="minorHAnsi"/>
          <w:color w:val="auto"/>
        </w:rPr>
        <w:t>It must be emphasized here that the l</w:t>
      </w:r>
      <w:r w:rsidR="00C3182C" w:rsidRPr="00D5472A">
        <w:rPr>
          <w:rFonts w:cstheme="minorHAnsi"/>
          <w:color w:val="auto"/>
        </w:rPr>
        <w:t>ocal governments in India are constitutional bodies. However, u</w:t>
      </w:r>
      <w:r w:rsidR="00E2197F" w:rsidRPr="00D5472A">
        <w:rPr>
          <w:rFonts w:cstheme="minorHAnsi"/>
          <w:color w:val="auto"/>
        </w:rPr>
        <w:t xml:space="preserve">nlike most of other countries, India has two separate </w:t>
      </w:r>
      <w:r w:rsidR="00C3182C" w:rsidRPr="00D5472A">
        <w:rPr>
          <w:rFonts w:cstheme="minorHAnsi"/>
          <w:color w:val="auto"/>
        </w:rPr>
        <w:t>Constitutional Amendment</w:t>
      </w:r>
      <w:r w:rsidR="0031159A" w:rsidRPr="00D5472A">
        <w:rPr>
          <w:rFonts w:cstheme="minorHAnsi"/>
          <w:color w:val="auto"/>
        </w:rPr>
        <w:t xml:space="preserve"> Acts</w:t>
      </w:r>
      <w:r w:rsidR="00C3182C" w:rsidRPr="00D5472A">
        <w:rPr>
          <w:rFonts w:cstheme="minorHAnsi"/>
          <w:color w:val="auto"/>
        </w:rPr>
        <w:t>- 73</w:t>
      </w:r>
      <w:r w:rsidR="00C3182C" w:rsidRPr="00D5472A">
        <w:rPr>
          <w:rFonts w:cstheme="minorHAnsi"/>
          <w:color w:val="auto"/>
          <w:vertAlign w:val="superscript"/>
        </w:rPr>
        <w:t>rd</w:t>
      </w:r>
      <w:r w:rsidR="00C3182C" w:rsidRPr="00D5472A">
        <w:rPr>
          <w:rFonts w:cstheme="minorHAnsi"/>
          <w:color w:val="auto"/>
        </w:rPr>
        <w:t xml:space="preserve"> Constitutional Amendment Act, 1992 and 74</w:t>
      </w:r>
      <w:r w:rsidR="00C3182C" w:rsidRPr="00D5472A">
        <w:rPr>
          <w:rFonts w:cstheme="minorHAnsi"/>
          <w:color w:val="auto"/>
          <w:vertAlign w:val="superscript"/>
        </w:rPr>
        <w:t>th</w:t>
      </w:r>
      <w:r w:rsidR="00C3182C" w:rsidRPr="00D5472A">
        <w:rPr>
          <w:rFonts w:cstheme="minorHAnsi"/>
          <w:color w:val="auto"/>
        </w:rPr>
        <w:t xml:space="preserve"> Constitutional Amendment Act, 1992 </w:t>
      </w:r>
      <w:r w:rsidR="001053EB" w:rsidRPr="00D5472A">
        <w:rPr>
          <w:rFonts w:cstheme="minorHAnsi"/>
          <w:color w:val="auto"/>
        </w:rPr>
        <w:t>respectively</w:t>
      </w:r>
      <w:r w:rsidR="0031159A" w:rsidRPr="00D5472A">
        <w:rPr>
          <w:rFonts w:cstheme="minorHAnsi"/>
          <w:color w:val="auto"/>
        </w:rPr>
        <w:t xml:space="preserve"> - for</w:t>
      </w:r>
      <w:r w:rsidR="00E2197F" w:rsidRPr="00D5472A">
        <w:rPr>
          <w:rFonts w:cstheme="minorHAnsi"/>
          <w:color w:val="auto"/>
        </w:rPr>
        <w:t xml:space="preserve"> local governments in rural and urban areas</w:t>
      </w:r>
      <w:r w:rsidR="00C3182C" w:rsidRPr="00D5472A">
        <w:rPr>
          <w:rFonts w:cstheme="minorHAnsi"/>
          <w:color w:val="auto"/>
        </w:rPr>
        <w:t xml:space="preserve">. </w:t>
      </w:r>
      <w:r w:rsidR="00E2197F" w:rsidRPr="00D5472A">
        <w:rPr>
          <w:rFonts w:cstheme="minorHAnsi"/>
          <w:color w:val="auto"/>
        </w:rPr>
        <w:t xml:space="preserve"> </w:t>
      </w:r>
      <w:r w:rsidR="00C3182C" w:rsidRPr="00D5472A">
        <w:rPr>
          <w:rFonts w:cstheme="minorHAnsi"/>
          <w:color w:val="auto"/>
        </w:rPr>
        <w:t xml:space="preserve">Accordingly local governments in </w:t>
      </w:r>
      <w:r w:rsidR="001053EB" w:rsidRPr="00D5472A">
        <w:rPr>
          <w:rFonts w:cstheme="minorHAnsi"/>
          <w:color w:val="auto"/>
        </w:rPr>
        <w:t>India</w:t>
      </w:r>
      <w:r w:rsidR="00C3182C" w:rsidRPr="00D5472A">
        <w:rPr>
          <w:rFonts w:cstheme="minorHAnsi"/>
          <w:color w:val="auto"/>
        </w:rPr>
        <w:t xml:space="preserve"> are called </w:t>
      </w:r>
      <w:r w:rsidR="00E2197F" w:rsidRPr="00D5472A">
        <w:rPr>
          <w:rFonts w:cstheme="minorHAnsi"/>
          <w:color w:val="auto"/>
        </w:rPr>
        <w:t>Urban Local Body (</w:t>
      </w:r>
      <w:r w:rsidR="00344950" w:rsidRPr="00D5472A">
        <w:rPr>
          <w:rFonts w:cstheme="minorHAnsi"/>
          <w:color w:val="auto"/>
        </w:rPr>
        <w:t>Municipalit</w:t>
      </w:r>
      <w:r w:rsidR="00E2197F" w:rsidRPr="00D5472A">
        <w:rPr>
          <w:rFonts w:cstheme="minorHAnsi"/>
          <w:color w:val="auto"/>
        </w:rPr>
        <w:t>y)</w:t>
      </w:r>
      <w:r w:rsidR="00344950" w:rsidRPr="00D5472A">
        <w:rPr>
          <w:rFonts w:cstheme="minorHAnsi"/>
          <w:color w:val="auto"/>
        </w:rPr>
        <w:t xml:space="preserve"> for urban areas and </w:t>
      </w:r>
      <w:r w:rsidR="00344950" w:rsidRPr="00D5472A">
        <w:rPr>
          <w:rFonts w:cstheme="minorHAnsi"/>
          <w:i/>
          <w:color w:val="auto"/>
        </w:rPr>
        <w:t>Panchayats</w:t>
      </w:r>
      <w:r w:rsidR="00344950" w:rsidRPr="00D5472A">
        <w:rPr>
          <w:rFonts w:cstheme="minorHAnsi"/>
          <w:color w:val="auto"/>
        </w:rPr>
        <w:t xml:space="preserve"> for rural areas. </w:t>
      </w:r>
      <w:r w:rsidR="00E2197F" w:rsidRPr="00D5472A">
        <w:rPr>
          <w:rFonts w:cstheme="minorHAnsi"/>
          <w:color w:val="auto"/>
        </w:rPr>
        <w:t xml:space="preserve"> </w:t>
      </w:r>
      <w:r w:rsidR="00344950" w:rsidRPr="00D5472A">
        <w:rPr>
          <w:rFonts w:cstheme="minorHAnsi"/>
          <w:color w:val="auto"/>
        </w:rPr>
        <w:t xml:space="preserve"> </w:t>
      </w:r>
      <w:r w:rsidR="0031159A" w:rsidRPr="00D5472A">
        <w:rPr>
          <w:rFonts w:cstheme="minorHAnsi"/>
          <w:color w:val="auto"/>
        </w:rPr>
        <w:t>There are 3 tiers of Panchayats: District Panchayat for rural part of the district, more than 6000 Block Panchayats at sub-district levels and about 0.25 million Village Panchayats for single or cluster of villages, depending on population size of the villages.</w:t>
      </w:r>
    </w:p>
    <w:p w:rsidR="0031159A" w:rsidRPr="00D5472A" w:rsidRDefault="0031159A" w:rsidP="00D5472A">
      <w:pPr>
        <w:pStyle w:val="Normal1"/>
        <w:spacing w:after="0" w:line="240" w:lineRule="auto"/>
        <w:ind w:left="720"/>
        <w:jc w:val="both"/>
        <w:rPr>
          <w:rFonts w:cstheme="minorHAnsi"/>
          <w:color w:val="auto"/>
        </w:rPr>
      </w:pPr>
    </w:p>
    <w:p w:rsidR="00344950" w:rsidRPr="00D5472A" w:rsidRDefault="00270ED6" w:rsidP="00D5472A">
      <w:pPr>
        <w:pStyle w:val="Normal1"/>
        <w:spacing w:after="0" w:line="240" w:lineRule="auto"/>
        <w:ind w:left="720"/>
        <w:jc w:val="both"/>
        <w:rPr>
          <w:rFonts w:eastAsia="Times New Roman" w:cstheme="minorHAnsi"/>
          <w:color w:val="auto"/>
        </w:rPr>
      </w:pPr>
      <w:r w:rsidRPr="00D5472A">
        <w:rPr>
          <w:rFonts w:cstheme="minorHAnsi"/>
          <w:color w:val="auto"/>
        </w:rPr>
        <w:t>About 4000 Urban Local Bodies</w:t>
      </w:r>
      <w:r w:rsidR="0031159A" w:rsidRPr="00D5472A">
        <w:rPr>
          <w:rFonts w:cstheme="minorHAnsi"/>
          <w:color w:val="auto"/>
        </w:rPr>
        <w:t xml:space="preserve"> are categorized as</w:t>
      </w:r>
      <w:r w:rsidRPr="00D5472A">
        <w:rPr>
          <w:rFonts w:cstheme="minorHAnsi"/>
          <w:color w:val="auto"/>
        </w:rPr>
        <w:t>: (i) Municipal Corporation for larger cit</w:t>
      </w:r>
      <w:r w:rsidR="0046129E" w:rsidRPr="00D5472A">
        <w:rPr>
          <w:rFonts w:cstheme="minorHAnsi"/>
          <w:color w:val="auto"/>
        </w:rPr>
        <w:t>y</w:t>
      </w:r>
      <w:r w:rsidR="00171605" w:rsidRPr="00D5472A">
        <w:rPr>
          <w:rFonts w:cstheme="minorHAnsi"/>
          <w:color w:val="auto"/>
        </w:rPr>
        <w:t>, (ii) Municipal</w:t>
      </w:r>
      <w:r w:rsidR="00634893" w:rsidRPr="00D5472A">
        <w:rPr>
          <w:rFonts w:cstheme="minorHAnsi"/>
          <w:color w:val="auto"/>
        </w:rPr>
        <w:t>ity</w:t>
      </w:r>
      <w:r w:rsidR="00171605" w:rsidRPr="00D5472A">
        <w:rPr>
          <w:rFonts w:cstheme="minorHAnsi"/>
          <w:color w:val="auto"/>
        </w:rPr>
        <w:t xml:space="preserve"> for middle level </w:t>
      </w:r>
      <w:r w:rsidR="00634893" w:rsidRPr="00D5472A">
        <w:rPr>
          <w:rFonts w:cstheme="minorHAnsi"/>
          <w:color w:val="auto"/>
        </w:rPr>
        <w:t>city</w:t>
      </w:r>
      <w:r w:rsidR="00171605" w:rsidRPr="00D5472A">
        <w:rPr>
          <w:rFonts w:cstheme="minorHAnsi"/>
          <w:color w:val="auto"/>
        </w:rPr>
        <w:t xml:space="preserve">, and (iii) Nagar Panchayat (City Council) for smaller towns. </w:t>
      </w:r>
      <w:r w:rsidRPr="00D5472A">
        <w:rPr>
          <w:rFonts w:cstheme="minorHAnsi"/>
          <w:color w:val="auto"/>
        </w:rPr>
        <w:t xml:space="preserve"> </w:t>
      </w:r>
      <w:r w:rsidR="0031159A" w:rsidRPr="00D5472A">
        <w:rPr>
          <w:rFonts w:cstheme="minorHAnsi"/>
          <w:color w:val="auto"/>
        </w:rPr>
        <w:t xml:space="preserve"> </w:t>
      </w:r>
      <w:r w:rsidR="00344950" w:rsidRPr="00D5472A">
        <w:rPr>
          <w:rFonts w:eastAsia="Times New Roman" w:cstheme="minorHAnsi"/>
          <w:color w:val="auto"/>
        </w:rPr>
        <w:t xml:space="preserve">The municipal networks in India comprise of </w:t>
      </w:r>
      <w:r w:rsidR="00634893" w:rsidRPr="00D5472A">
        <w:rPr>
          <w:rFonts w:eastAsia="Times New Roman" w:cstheme="minorHAnsi"/>
          <w:color w:val="auto"/>
        </w:rPr>
        <w:t xml:space="preserve">elected </w:t>
      </w:r>
      <w:r w:rsidR="00344950" w:rsidRPr="00D5472A">
        <w:rPr>
          <w:rFonts w:eastAsia="Times New Roman" w:cstheme="minorHAnsi"/>
          <w:color w:val="auto"/>
        </w:rPr>
        <w:t>mayor</w:t>
      </w:r>
      <w:r w:rsidR="00634893" w:rsidRPr="00D5472A">
        <w:rPr>
          <w:rFonts w:eastAsia="Times New Roman" w:cstheme="minorHAnsi"/>
          <w:color w:val="auto"/>
        </w:rPr>
        <w:t>s</w:t>
      </w:r>
      <w:r w:rsidR="00344950" w:rsidRPr="00D5472A">
        <w:rPr>
          <w:rFonts w:eastAsia="Times New Roman" w:cstheme="minorHAnsi"/>
          <w:color w:val="auto"/>
        </w:rPr>
        <w:t xml:space="preserve"> and councilors. The number of councilors in a particular municipal area depends upon the total population of that </w:t>
      </w:r>
      <w:r w:rsidR="00634893" w:rsidRPr="00D5472A">
        <w:rPr>
          <w:rFonts w:eastAsia="Times New Roman" w:cstheme="minorHAnsi"/>
          <w:color w:val="auto"/>
        </w:rPr>
        <w:t>area</w:t>
      </w:r>
      <w:r w:rsidR="00344950" w:rsidRPr="00D5472A">
        <w:rPr>
          <w:rFonts w:eastAsia="Times New Roman" w:cstheme="minorHAnsi"/>
          <w:color w:val="auto"/>
        </w:rPr>
        <w:t xml:space="preserve">. </w:t>
      </w:r>
    </w:p>
    <w:p w:rsidR="00CE2FA5" w:rsidRPr="00D5472A" w:rsidRDefault="00CE2FA5" w:rsidP="00D5472A">
      <w:pPr>
        <w:pStyle w:val="Normal1"/>
        <w:spacing w:after="0" w:line="240" w:lineRule="auto"/>
        <w:ind w:left="720"/>
        <w:jc w:val="both"/>
        <w:rPr>
          <w:rFonts w:eastAsia="Times New Roman" w:cstheme="minorHAnsi"/>
          <w:color w:val="auto"/>
        </w:rPr>
      </w:pPr>
    </w:p>
    <w:p w:rsidR="00344950" w:rsidRPr="00D5472A" w:rsidRDefault="00CE2FA5" w:rsidP="00D5472A">
      <w:pPr>
        <w:pStyle w:val="Normal1"/>
        <w:spacing w:after="100" w:line="240" w:lineRule="auto"/>
        <w:ind w:left="709"/>
        <w:jc w:val="both"/>
        <w:rPr>
          <w:rFonts w:cs="Helvetica"/>
          <w:color w:val="auto"/>
          <w:szCs w:val="21"/>
          <w:shd w:val="clear" w:color="auto" w:fill="FFFFFF"/>
        </w:rPr>
      </w:pPr>
      <w:r w:rsidRPr="00D5472A">
        <w:rPr>
          <w:rFonts w:cs="Helvetica"/>
          <w:color w:val="auto"/>
          <w:szCs w:val="21"/>
          <w:shd w:val="clear" w:color="auto" w:fill="FFFFFF"/>
        </w:rPr>
        <w:t>The municipal bodies of India are vested with a long list of functions delegated to them by the state governments under the municipal legislation. These functions broadly relate to public health, regulatory functions, public safety, public infrastructures, and development planning (including the implementation of the plan).</w:t>
      </w:r>
    </w:p>
    <w:p w:rsidR="00CE2FA5" w:rsidRPr="00D5472A" w:rsidRDefault="00CE2FA5" w:rsidP="00D5472A">
      <w:pPr>
        <w:pStyle w:val="Normal1"/>
        <w:spacing w:after="100" w:line="240" w:lineRule="auto"/>
        <w:ind w:left="709"/>
        <w:jc w:val="both"/>
        <w:rPr>
          <w:color w:val="auto"/>
          <w:sz w:val="24"/>
        </w:rPr>
      </w:pPr>
      <w:r w:rsidRPr="00D5472A">
        <w:rPr>
          <w:rFonts w:cs="Helvetica"/>
          <w:color w:val="auto"/>
          <w:szCs w:val="21"/>
          <w:shd w:val="clear" w:color="auto" w:fill="FFFFFF"/>
        </w:rPr>
        <w:t>Though municipal bodies are constitutionally sanctioned, actual devolution of appropriate powers and authorities have been left to the respective governments. So, powers and authorities of these bodies across different states are different</w:t>
      </w:r>
      <w:r w:rsidR="00D5472A" w:rsidRPr="00D5472A">
        <w:rPr>
          <w:rFonts w:cs="Helvetica"/>
          <w:color w:val="auto"/>
          <w:szCs w:val="21"/>
          <w:shd w:val="clear" w:color="auto" w:fill="FFFFFF"/>
        </w:rPr>
        <w:t xml:space="preserve">, depending on willingness of the state government to devolve authorities and resources. So, while most of Municipal corporations are resource rich, most of municipalities and almost all city councils don’t have much powers and resources. </w:t>
      </w:r>
    </w:p>
    <w:p w:rsidR="00017421" w:rsidRDefault="00AF3DD0">
      <w:pPr>
        <w:pStyle w:val="Normal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Is local government in your country required by legislation to promote and protect human rights? Please describe how local government in your country is involved in the implementation of human rights obligations.</w:t>
      </w:r>
    </w:p>
    <w:p w:rsidR="00D5472A" w:rsidRPr="003B0963" w:rsidRDefault="003B0963" w:rsidP="003B0963">
      <w:pPr>
        <w:pStyle w:val="Normal1"/>
        <w:spacing w:after="100" w:line="240" w:lineRule="auto"/>
        <w:ind w:left="709"/>
        <w:jc w:val="both"/>
        <w:rPr>
          <w:sz w:val="20"/>
        </w:rPr>
      </w:pPr>
      <w:r w:rsidRPr="003B0963">
        <w:rPr>
          <w:rFonts w:eastAsia="Times New Roman" w:cs="Times New Roman"/>
        </w:rPr>
        <w:t>Though the legislations for local governments in India do not specifically mention protection of human rights as one of responsibilities of local governments, the constitutionally mandated municipal functions directly relate to core human rights</w:t>
      </w:r>
      <w:r>
        <w:rPr>
          <w:rFonts w:eastAsia="Times New Roman" w:cs="Times New Roman"/>
        </w:rPr>
        <w:t>. The performances of local governments, specially the rural ones, in implementation of initiatives for democratic inclusion of hitherto excluded/discriminated ones</w:t>
      </w:r>
      <w:r w:rsidRPr="003B0963">
        <w:rPr>
          <w:rFonts w:eastAsia="Times New Roman" w:cs="Times New Roman"/>
        </w:rPr>
        <w:t xml:space="preserve"> in</w:t>
      </w:r>
      <w:r>
        <w:rPr>
          <w:rFonts w:eastAsia="Times New Roman" w:cs="Times New Roman"/>
        </w:rPr>
        <w:t xml:space="preserve"> local decision making processes, welfare measures and local justice system have been encouragingly appreciable. There are ongoing initiatives by PRIA to functionally link different statutory commissions and local governments for more effective protection</w:t>
      </w:r>
      <w:r w:rsidR="00636169">
        <w:rPr>
          <w:rFonts w:eastAsia="Times New Roman" w:cs="Times New Roman"/>
        </w:rPr>
        <w:t xml:space="preserve"> and advancement of rights of marginalized people in India.</w:t>
      </w:r>
    </w:p>
    <w:p w:rsidR="00017421" w:rsidRDefault="00AF3DD0">
      <w:pPr>
        <w:pStyle w:val="Normal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Is there any cooperation between local government and the central government in your country regarding the implementation of human rights at local level? If yes, please describe the existing cooperation framework. </w:t>
      </w:r>
    </w:p>
    <w:p w:rsidR="00636169" w:rsidRPr="00636169" w:rsidRDefault="00636169" w:rsidP="00636169">
      <w:pPr>
        <w:pStyle w:val="Normal1"/>
        <w:spacing w:after="100" w:line="240" w:lineRule="auto"/>
        <w:ind w:left="709"/>
        <w:jc w:val="both"/>
        <w:rPr>
          <w:sz w:val="20"/>
        </w:rPr>
      </w:pPr>
      <w:r w:rsidRPr="00636169">
        <w:rPr>
          <w:rFonts w:eastAsia="Times New Roman" w:cs="Times New Roman"/>
        </w:rPr>
        <w:t xml:space="preserve">Not cooperation as such. Yes, local governments implement development policies and </w:t>
      </w:r>
      <w:r w:rsidRPr="00636169">
        <w:rPr>
          <w:rFonts w:eastAsia="Times New Roman" w:cs="Times New Roman"/>
        </w:rPr>
        <w:lastRenderedPageBreak/>
        <w:t>programmes of central and state governments. In that way, some sort of cooperation could be discerned.</w:t>
      </w:r>
    </w:p>
    <w:p w:rsidR="00017421" w:rsidRDefault="00AF3DD0">
      <w:pPr>
        <w:pStyle w:val="Normal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Do you have human rights protection mechanisms at the local level in your country (e.g. ombudspersons, human rights commissions, mediators, etc.)?</w:t>
      </w:r>
    </w:p>
    <w:p w:rsidR="00636169" w:rsidRPr="00636169" w:rsidRDefault="00636169" w:rsidP="00636169">
      <w:pPr>
        <w:pStyle w:val="Normal1"/>
        <w:spacing w:after="100" w:line="240" w:lineRule="auto"/>
        <w:ind w:left="709"/>
        <w:jc w:val="both"/>
        <w:rPr>
          <w:sz w:val="20"/>
        </w:rPr>
      </w:pPr>
      <w:r w:rsidRPr="00636169">
        <w:rPr>
          <w:rFonts w:eastAsia="Times New Roman" w:cs="Times New Roman"/>
        </w:rPr>
        <w:t xml:space="preserve">Yes, </w:t>
      </w:r>
      <w:r w:rsidR="00446BE2">
        <w:rPr>
          <w:rFonts w:eastAsia="Times New Roman" w:cs="Times New Roman"/>
        </w:rPr>
        <w:t>there are offices of human right commissions at</w:t>
      </w:r>
      <w:r w:rsidRPr="00636169">
        <w:rPr>
          <w:rFonts w:eastAsia="Times New Roman" w:cs="Times New Roman"/>
        </w:rPr>
        <w:t xml:space="preserve"> national and provincial levels but not at local level</w:t>
      </w:r>
      <w:r>
        <w:rPr>
          <w:rFonts w:eastAsia="Times New Roman" w:cs="Times New Roman"/>
        </w:rPr>
        <w:t>s</w:t>
      </w:r>
      <w:r w:rsidRPr="00636169">
        <w:rPr>
          <w:rFonts w:eastAsia="Times New Roman" w:cs="Times New Roman"/>
        </w:rPr>
        <w:t>.</w:t>
      </w:r>
      <w:r w:rsidR="0087274F">
        <w:rPr>
          <w:rFonts w:eastAsia="Times New Roman" w:cs="Times New Roman"/>
        </w:rPr>
        <w:t xml:space="preserve"> However, state human right commissions as well as national human right commission have local connections through local administration</w:t>
      </w:r>
      <w:r w:rsidR="00242C54">
        <w:rPr>
          <w:rFonts w:eastAsia="Times New Roman" w:cs="Times New Roman"/>
        </w:rPr>
        <w:t xml:space="preserve">, judiciary </w:t>
      </w:r>
      <w:r w:rsidR="00446BE2">
        <w:rPr>
          <w:rFonts w:eastAsia="Times New Roman" w:cs="Times New Roman"/>
        </w:rPr>
        <w:t>and the</w:t>
      </w:r>
      <w:r w:rsidR="00242C54">
        <w:rPr>
          <w:rFonts w:eastAsia="Times New Roman" w:cs="Times New Roman"/>
        </w:rPr>
        <w:t xml:space="preserve"> </w:t>
      </w:r>
      <w:r w:rsidR="0087274F">
        <w:rPr>
          <w:rFonts w:eastAsia="Times New Roman" w:cs="Times New Roman"/>
        </w:rPr>
        <w:t>police.</w:t>
      </w:r>
    </w:p>
    <w:p w:rsidR="00017421" w:rsidRDefault="00AF3DD0">
      <w:pPr>
        <w:pStyle w:val="Normal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What initiatives have been taken to include human rights mainstreaming in local administration and public services?</w:t>
      </w:r>
    </w:p>
    <w:p w:rsidR="00446BE2" w:rsidRPr="001E3E9F" w:rsidRDefault="00446BE2" w:rsidP="001E3E9F">
      <w:pPr>
        <w:pStyle w:val="Normal1"/>
        <w:spacing w:after="100" w:line="240" w:lineRule="auto"/>
        <w:ind w:left="709"/>
        <w:jc w:val="both"/>
        <w:rPr>
          <w:sz w:val="20"/>
        </w:rPr>
      </w:pPr>
      <w:r w:rsidRPr="001E3E9F">
        <w:rPr>
          <w:rFonts w:eastAsia="Times New Roman" w:cs="Times New Roman"/>
        </w:rPr>
        <w:t xml:space="preserve">Human right commissions as well as other statutory commissions such as women commissions, Commissions for minorities, Disables, Caste and Tribe </w:t>
      </w:r>
      <w:r w:rsidR="001E3E9F" w:rsidRPr="001E3E9F">
        <w:rPr>
          <w:rFonts w:eastAsia="Times New Roman" w:cs="Times New Roman"/>
        </w:rPr>
        <w:t>discriminated</w:t>
      </w:r>
      <w:r w:rsidRPr="001E3E9F">
        <w:rPr>
          <w:rFonts w:eastAsia="Times New Roman" w:cs="Times New Roman"/>
        </w:rPr>
        <w:t xml:space="preserve"> ones</w:t>
      </w:r>
      <w:r w:rsidR="001E3E9F" w:rsidRPr="001E3E9F">
        <w:rPr>
          <w:rFonts w:eastAsia="Times New Roman" w:cs="Times New Roman"/>
        </w:rPr>
        <w:t xml:space="preserve"> occasionally take up the right issues and suggest governments steps needed.</w:t>
      </w:r>
    </w:p>
    <w:p w:rsidR="00017421" w:rsidRDefault="00AF3DD0">
      <w:pPr>
        <w:pStyle w:val="Normal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What is the role of civil society in the planning and implementation of activities for the protection and promotion of human rights at local level in your country?</w:t>
      </w:r>
    </w:p>
    <w:p w:rsidR="001E3E9F" w:rsidRPr="001E3E9F" w:rsidRDefault="001E3E9F" w:rsidP="001E3E9F">
      <w:pPr>
        <w:pStyle w:val="Normal1"/>
        <w:spacing w:after="100" w:line="240" w:lineRule="auto"/>
        <w:ind w:left="709"/>
        <w:jc w:val="both"/>
        <w:rPr>
          <w:sz w:val="20"/>
        </w:rPr>
      </w:pPr>
      <w:r w:rsidRPr="001E3E9F">
        <w:rPr>
          <w:rFonts w:eastAsia="Times New Roman" w:cs="Times New Roman"/>
        </w:rPr>
        <w:t>Civil society engagements in India for protection and promotion of human rights are quite intense and wide. They do engage in awareness generation, highlighting issues, policy and programme analysis and also advocate for appropriate changes in laws and practices by providing examples/models of better alternatives.</w:t>
      </w:r>
    </w:p>
    <w:p w:rsidR="00017421" w:rsidRDefault="00AF3DD0">
      <w:pPr>
        <w:pStyle w:val="Normal1"/>
        <w:spacing w:after="100" w:line="240" w:lineRule="auto"/>
        <w:jc w:val="both"/>
      </w:pPr>
      <w:r>
        <w:rPr>
          <w:rFonts w:ascii="Times New Roman" w:eastAsia="Times New Roman" w:hAnsi="Times New Roman" w:cs="Times New Roman"/>
          <w:sz w:val="24"/>
        </w:rPr>
        <w:t>7. What is the role and programme of your organization for promotion and protection of human rights at local level or in enhancing local governance for human rights?</w:t>
      </w:r>
      <w:r>
        <w:t xml:space="preserve"> </w:t>
      </w:r>
    </w:p>
    <w:p w:rsidR="00CF73C7" w:rsidRDefault="00CF73C7" w:rsidP="005A1B46">
      <w:pPr>
        <w:pStyle w:val="Normal1"/>
        <w:spacing w:after="100" w:line="240" w:lineRule="auto"/>
        <w:ind w:left="709"/>
        <w:jc w:val="both"/>
      </w:pPr>
      <w:r>
        <w:t xml:space="preserve">PRIA has been working for last 3 decades to promote institutional and social responsibilities for protections and promotion of human rights. It has been working towards strengthening the roles of local governments in effectively addressing rights of marginalized citizens at local level. PRIA’s recent initiatives to strengthen the institutional capacities and accountable functioning of 5 statutory commissions </w:t>
      </w:r>
      <w:r w:rsidR="005A1B46">
        <w:t>in India</w:t>
      </w:r>
      <w:r>
        <w:t xml:space="preserve"> has been widely appreciated and accepted</w:t>
      </w:r>
      <w:r w:rsidR="005A1B46">
        <w:t>. It has also catalyzed</w:t>
      </w:r>
      <w:r>
        <w:t xml:space="preserve"> </w:t>
      </w:r>
      <w:r w:rsidR="005A1B46">
        <w:t>larger civil society and government interests</w:t>
      </w:r>
      <w:r>
        <w:t xml:space="preserve"> </w:t>
      </w:r>
      <w:r w:rsidR="005A1B46">
        <w:t xml:space="preserve">for further </w:t>
      </w:r>
      <w:r w:rsidR="00F24703">
        <w:t>works on</w:t>
      </w:r>
      <w:r>
        <w:t xml:space="preserve"> strengthening human right initiatives of </w:t>
      </w:r>
      <w:r w:rsidR="005A1B46">
        <w:t xml:space="preserve">the </w:t>
      </w:r>
      <w:r>
        <w:t>local</w:t>
      </w:r>
      <w:r w:rsidR="005A1B46">
        <w:t xml:space="preserve"> governments.</w:t>
      </w:r>
      <w:r>
        <w:t xml:space="preserve"> </w:t>
      </w:r>
    </w:p>
    <w:p w:rsidR="00017421" w:rsidRDefault="00AF3DD0">
      <w:pPr>
        <w:pStyle w:val="Normal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What are the main challenges faced by local government in your country in the promotion and protection of human rights?</w:t>
      </w:r>
    </w:p>
    <w:p w:rsidR="005A1B46" w:rsidRPr="005A1B46" w:rsidRDefault="005A1B46" w:rsidP="005A1B46">
      <w:pPr>
        <w:pStyle w:val="Normal1"/>
        <w:spacing w:after="100" w:line="240" w:lineRule="auto"/>
        <w:ind w:left="709"/>
        <w:jc w:val="both"/>
        <w:rPr>
          <w:sz w:val="20"/>
        </w:rPr>
      </w:pPr>
      <w:r w:rsidRPr="005A1B46">
        <w:rPr>
          <w:rFonts w:eastAsia="Times New Roman" w:cs="Times New Roman"/>
        </w:rPr>
        <w:t xml:space="preserve">Essentially the local government challenges relate to lack of appropriate powers and authorities available with them. Also most of the institutions which work directly or indirectly to protect and promote human rights have no local convergence.   </w:t>
      </w:r>
      <w:r>
        <w:rPr>
          <w:rFonts w:eastAsia="Times New Roman" w:cs="Times New Roman"/>
        </w:rPr>
        <w:t xml:space="preserve">The exclusive territory </w:t>
      </w:r>
      <w:r w:rsidR="00AB1382">
        <w:rPr>
          <w:rFonts w:eastAsia="Times New Roman" w:cs="Times New Roman"/>
        </w:rPr>
        <w:t>cultures in multiplicity of such organizations also undermine</w:t>
      </w:r>
      <w:r>
        <w:rPr>
          <w:rFonts w:eastAsia="Times New Roman" w:cs="Times New Roman"/>
        </w:rPr>
        <w:t xml:space="preserve"> roles of local governments for human rights at local levels. </w:t>
      </w:r>
    </w:p>
    <w:p w:rsidR="00017421" w:rsidRDefault="00AF3DD0">
      <w:pPr>
        <w:pStyle w:val="Normal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Please provide any best practices with regard to the above-mentioned issues.</w:t>
      </w:r>
    </w:p>
    <w:p w:rsidR="00841258" w:rsidRDefault="00F24703" w:rsidP="00841258">
      <w:pPr>
        <w:pStyle w:val="Normal1"/>
        <w:spacing w:after="100" w:line="240" w:lineRule="auto"/>
        <w:ind w:left="709"/>
        <w:jc w:val="both"/>
        <w:rPr>
          <w:rFonts w:ascii="Times New Roman" w:eastAsia="Times New Roman" w:hAnsi="Times New Roman" w:cs="Times New Roman"/>
          <w:sz w:val="24"/>
        </w:rPr>
      </w:pPr>
      <w:r w:rsidRPr="00841258">
        <w:rPr>
          <w:rFonts w:eastAsia="Times New Roman" w:cs="Times New Roman"/>
        </w:rPr>
        <w:t xml:space="preserve">There are many examples on local governments’ roles on </w:t>
      </w:r>
      <w:r w:rsidR="00841258" w:rsidRPr="00841258">
        <w:rPr>
          <w:rFonts w:eastAsia="Times New Roman" w:cs="Times New Roman"/>
        </w:rPr>
        <w:t xml:space="preserve">protection and promotion of human rights. A number of case studies are available on roles of Panchayats and Municipalities in protecting dignities of caste marginalized, empowering women, participatory planning and social protection. These practices are available on </w:t>
      </w:r>
      <w:hyperlink r:id="rId8" w:history="1">
        <w:r w:rsidR="00841258" w:rsidRPr="00841258">
          <w:rPr>
            <w:rStyle w:val="Hyperlink"/>
            <w:rFonts w:eastAsia="Times New Roman" w:cs="Times New Roman"/>
          </w:rPr>
          <w:t>www.pria.org</w:t>
        </w:r>
      </w:hyperlink>
      <w:r w:rsidR="00841258">
        <w:rPr>
          <w:rFonts w:ascii="Times New Roman" w:eastAsia="Times New Roman" w:hAnsi="Times New Roman" w:cs="Times New Roman"/>
          <w:sz w:val="24"/>
        </w:rPr>
        <w:t>.</w:t>
      </w:r>
    </w:p>
    <w:p w:rsidR="00F24703" w:rsidRDefault="00841258">
      <w:pPr>
        <w:pStyle w:val="Normal1"/>
        <w:spacing w:after="100" w:line="240" w:lineRule="auto"/>
        <w:jc w:val="both"/>
      </w:pPr>
      <w:r>
        <w:rPr>
          <w:rFonts w:ascii="Times New Roman" w:eastAsia="Times New Roman" w:hAnsi="Times New Roman" w:cs="Times New Roman"/>
          <w:sz w:val="24"/>
        </w:rPr>
        <w:t xml:space="preserve"> </w:t>
      </w:r>
    </w:p>
    <w:p w:rsidR="00017421" w:rsidRDefault="00017421">
      <w:pPr>
        <w:pStyle w:val="Normal1"/>
      </w:pPr>
    </w:p>
    <w:p w:rsidR="00017421" w:rsidRDefault="00017421">
      <w:pPr>
        <w:pStyle w:val="Normal1"/>
      </w:pPr>
    </w:p>
    <w:p w:rsidR="00017421" w:rsidRDefault="00AF3DD0">
      <w:pPr>
        <w:pStyle w:val="Normal1"/>
        <w:jc w:val="center"/>
      </w:pPr>
      <w:r>
        <w:rPr>
          <w:rFonts w:ascii="Times New Roman" w:eastAsia="Times New Roman" w:hAnsi="Times New Roman" w:cs="Times New Roman"/>
          <w:b/>
          <w:u w:val="single"/>
        </w:rPr>
        <w:t>Deadline for submission of responses to the questionnaire:</w:t>
      </w:r>
    </w:p>
    <w:p w:rsidR="00017421" w:rsidRDefault="00AF3DD0">
      <w:pPr>
        <w:pStyle w:val="Normal1"/>
        <w:jc w:val="both"/>
      </w:pPr>
      <w:r>
        <w:rPr>
          <w:rFonts w:ascii="Times New Roman" w:eastAsia="Times New Roman" w:hAnsi="Times New Roman" w:cs="Times New Roman"/>
        </w:rPr>
        <w:lastRenderedPageBreak/>
        <w:t xml:space="preserve">In order to give the Drafting Group the opportunity to take into account the different contributions, all parties are encouraged to submit their responses as soon as possible and at the latest by </w:t>
      </w:r>
      <w:r>
        <w:rPr>
          <w:rFonts w:ascii="Times New Roman" w:eastAsia="Times New Roman" w:hAnsi="Times New Roman" w:cs="Times New Roman"/>
          <w:b/>
        </w:rPr>
        <w:t>11 April 2014</w:t>
      </w:r>
      <w:r>
        <w:rPr>
          <w:rFonts w:ascii="Times New Roman" w:eastAsia="Times New Roman" w:hAnsi="Times New Roman" w:cs="Times New Roman"/>
        </w:rPr>
        <w:t xml:space="preserve">. </w:t>
      </w:r>
    </w:p>
    <w:p w:rsidR="00017421" w:rsidRDefault="00AF3DD0">
      <w:pPr>
        <w:pStyle w:val="Normal1"/>
      </w:pPr>
      <w:r>
        <w:rPr>
          <w:rFonts w:ascii="Times New Roman" w:eastAsia="Times New Roman" w:hAnsi="Times New Roman" w:cs="Times New Roman"/>
        </w:rPr>
        <w:t xml:space="preserve">Answers can be submitted via email to the following address: </w:t>
      </w:r>
    </w:p>
    <w:p w:rsidR="00017421" w:rsidRDefault="00C754F5">
      <w:pPr>
        <w:pStyle w:val="Normal1"/>
        <w:jc w:val="center"/>
      </w:pPr>
      <w:hyperlink r:id="rId9">
        <w:r w:rsidR="00AF3DD0">
          <w:rPr>
            <w:rFonts w:ascii="Times New Roman" w:eastAsia="Times New Roman" w:hAnsi="Times New Roman" w:cs="Times New Roman"/>
            <w:color w:val="0000FF"/>
            <w:u w:val="single"/>
          </w:rPr>
          <w:t>hrcadvisorycommittee@ohchr.org</w:t>
        </w:r>
      </w:hyperlink>
      <w:hyperlink r:id="rId10"/>
    </w:p>
    <w:p w:rsidR="00017421" w:rsidRDefault="00AF3DD0">
      <w:pPr>
        <w:pStyle w:val="Normal1"/>
        <w:spacing w:after="0" w:line="240" w:lineRule="auto"/>
        <w:jc w:val="center"/>
      </w:pPr>
      <w:r>
        <w:rPr>
          <w:rFonts w:ascii="Times New Roman" w:eastAsia="Times New Roman" w:hAnsi="Times New Roman" w:cs="Times New Roman"/>
        </w:rPr>
        <w:t>OR</w:t>
      </w:r>
    </w:p>
    <w:p w:rsidR="00017421" w:rsidRDefault="00017421">
      <w:pPr>
        <w:pStyle w:val="Normal1"/>
        <w:spacing w:after="0" w:line="240" w:lineRule="auto"/>
        <w:jc w:val="center"/>
      </w:pPr>
    </w:p>
    <w:p w:rsidR="00017421" w:rsidRDefault="00AF3DD0">
      <w:pPr>
        <w:pStyle w:val="Normal1"/>
        <w:spacing w:after="0" w:line="240" w:lineRule="auto"/>
        <w:jc w:val="center"/>
      </w:pPr>
      <w:r>
        <w:rPr>
          <w:rFonts w:ascii="Times New Roman" w:eastAsia="Times New Roman" w:hAnsi="Times New Roman" w:cs="Times New Roman"/>
        </w:rPr>
        <w:t>Secretariat of the Human Rights Council Advisory Committee</w:t>
      </w:r>
    </w:p>
    <w:p w:rsidR="00017421" w:rsidRDefault="00AF3DD0">
      <w:pPr>
        <w:pStyle w:val="Normal1"/>
        <w:spacing w:after="0" w:line="240" w:lineRule="auto"/>
        <w:jc w:val="center"/>
      </w:pPr>
      <w:r>
        <w:rPr>
          <w:rFonts w:ascii="Times New Roman" w:eastAsia="Times New Roman" w:hAnsi="Times New Roman" w:cs="Times New Roman"/>
        </w:rPr>
        <w:t>c/o Ms. Meena Ramkaun</w:t>
      </w:r>
    </w:p>
    <w:p w:rsidR="00017421" w:rsidRDefault="00AF3DD0">
      <w:pPr>
        <w:pStyle w:val="Normal1"/>
        <w:spacing w:after="0" w:line="240" w:lineRule="auto"/>
        <w:jc w:val="center"/>
      </w:pPr>
      <w:r>
        <w:rPr>
          <w:rFonts w:ascii="Times New Roman" w:eastAsia="Times New Roman" w:hAnsi="Times New Roman" w:cs="Times New Roman"/>
        </w:rPr>
        <w:t>Office of the United Nations High Commissioner for Human Rights</w:t>
      </w:r>
    </w:p>
    <w:p w:rsidR="00017421" w:rsidRDefault="00AF3DD0">
      <w:pPr>
        <w:pStyle w:val="Normal1"/>
        <w:spacing w:after="0" w:line="240" w:lineRule="auto"/>
        <w:jc w:val="center"/>
      </w:pPr>
      <w:r>
        <w:rPr>
          <w:rFonts w:ascii="Times New Roman" w:eastAsia="Times New Roman" w:hAnsi="Times New Roman" w:cs="Times New Roman"/>
        </w:rPr>
        <w:t>Palais Wilson, Room 4-060, Fax: +41 22 917 9011</w:t>
      </w:r>
    </w:p>
    <w:p w:rsidR="00017421" w:rsidRDefault="00AF3DD0">
      <w:pPr>
        <w:pStyle w:val="Normal1"/>
        <w:spacing w:after="0" w:line="240" w:lineRule="auto"/>
        <w:jc w:val="center"/>
      </w:pPr>
      <w:r>
        <w:rPr>
          <w:rFonts w:ascii="Times New Roman" w:eastAsia="Times New Roman" w:hAnsi="Times New Roman" w:cs="Times New Roman"/>
        </w:rPr>
        <w:t>United Nations Office at Geneva,</w:t>
      </w:r>
    </w:p>
    <w:p w:rsidR="00017421" w:rsidRDefault="00AF3DD0">
      <w:pPr>
        <w:pStyle w:val="Normal1"/>
        <w:spacing w:after="0" w:line="240" w:lineRule="auto"/>
        <w:jc w:val="center"/>
      </w:pPr>
      <w:r>
        <w:rPr>
          <w:rFonts w:ascii="Times New Roman" w:eastAsia="Times New Roman" w:hAnsi="Times New Roman" w:cs="Times New Roman"/>
        </w:rPr>
        <w:t>CH-1211 Geneva 10, Switzerland</w:t>
      </w:r>
    </w:p>
    <w:p w:rsidR="00017421" w:rsidRDefault="00017421">
      <w:pPr>
        <w:pStyle w:val="Normal1"/>
        <w:jc w:val="both"/>
      </w:pPr>
    </w:p>
    <w:p w:rsidR="00017421" w:rsidRDefault="00AF3DD0">
      <w:pPr>
        <w:pStyle w:val="Normal1"/>
        <w:jc w:val="center"/>
      </w:pPr>
      <w:r>
        <w:rPr>
          <w:rFonts w:ascii="Times New Roman" w:eastAsia="Times New Roman" w:hAnsi="Times New Roman" w:cs="Times New Roman"/>
        </w:rPr>
        <w:t>Thank you for your contribution.</w:t>
      </w:r>
    </w:p>
    <w:p w:rsidR="00017421" w:rsidRDefault="00017421">
      <w:pPr>
        <w:pStyle w:val="Normal1"/>
        <w:jc w:val="center"/>
      </w:pPr>
    </w:p>
    <w:p w:rsidR="00017421" w:rsidRDefault="00AF3DD0">
      <w:pPr>
        <w:pStyle w:val="Normal1"/>
        <w:jc w:val="center"/>
      </w:pPr>
      <w:r>
        <w:rPr>
          <w:rFonts w:ascii="Times New Roman" w:eastAsia="Times New Roman" w:hAnsi="Times New Roman" w:cs="Times New Roman"/>
        </w:rPr>
        <w:t xml:space="preserve">For more information on the Advisory’s mandate: </w:t>
      </w:r>
      <w:hyperlink r:id="rId11">
        <w:r>
          <w:rPr>
            <w:rFonts w:ascii="Times New Roman" w:eastAsia="Times New Roman" w:hAnsi="Times New Roman" w:cs="Times New Roman"/>
            <w:color w:val="0000FF"/>
            <w:u w:val="single"/>
          </w:rPr>
          <w:t>http://www.ohchr.org/EN/HRBodies/HRC/AdvisoryCommittee/Pages/HRCACIndex.aspx</w:t>
        </w:r>
      </w:hyperlink>
      <w:hyperlink r:id="rId12"/>
    </w:p>
    <w:p w:rsidR="00017421" w:rsidRDefault="00C754F5">
      <w:pPr>
        <w:pStyle w:val="Normal1"/>
      </w:pPr>
      <w:hyperlink r:id="rId13"/>
    </w:p>
    <w:sectPr w:rsidR="00017421" w:rsidSect="00017421">
      <w:headerReference w:type="default" r:id="rId14"/>
      <w:footerReference w:type="default" r:id="rId15"/>
      <w:pgSz w:w="11906" w:h="16838"/>
      <w:pgMar w:top="993"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0F" w:rsidRDefault="0004270F" w:rsidP="00017421">
      <w:r>
        <w:separator/>
      </w:r>
    </w:p>
  </w:endnote>
  <w:endnote w:type="continuationSeparator" w:id="0">
    <w:p w:rsidR="0004270F" w:rsidRDefault="0004270F" w:rsidP="0001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1" w:rsidRDefault="0004270F">
    <w:pPr>
      <w:pStyle w:val="Normal1"/>
      <w:tabs>
        <w:tab w:val="center" w:pos="4513"/>
        <w:tab w:val="right" w:pos="9026"/>
      </w:tabs>
      <w:jc w:val="right"/>
    </w:pPr>
    <w:r>
      <w:fldChar w:fldCharType="begin"/>
    </w:r>
    <w:r>
      <w:instrText>PAGE</w:instrText>
    </w:r>
    <w:r>
      <w:fldChar w:fldCharType="separate"/>
    </w:r>
    <w:r w:rsidR="00C754F5">
      <w:rPr>
        <w:noProof/>
      </w:rPr>
      <w:t>1</w:t>
    </w:r>
    <w:r>
      <w:rPr>
        <w:noProof/>
      </w:rPr>
      <w:fldChar w:fldCharType="end"/>
    </w:r>
  </w:p>
  <w:p w:rsidR="00017421" w:rsidRDefault="00017421">
    <w:pPr>
      <w:pStyle w:val="Normal1"/>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0F" w:rsidRDefault="0004270F" w:rsidP="00017421">
      <w:r>
        <w:separator/>
      </w:r>
    </w:p>
  </w:footnote>
  <w:footnote w:type="continuationSeparator" w:id="0">
    <w:p w:rsidR="0004270F" w:rsidRDefault="0004270F" w:rsidP="00017421">
      <w:r>
        <w:continuationSeparator/>
      </w:r>
    </w:p>
  </w:footnote>
  <w:footnote w:id="1">
    <w:p w:rsidR="00017421" w:rsidRDefault="00AF3DD0">
      <w:pPr>
        <w:pStyle w:val="Normal1"/>
      </w:pPr>
      <w:r>
        <w:rPr>
          <w:vertAlign w:val="superscript"/>
        </w:rPr>
        <w:footnoteRef/>
      </w:r>
      <w:r>
        <w:rPr>
          <w:sz w:val="20"/>
        </w:rPr>
        <w:t xml:space="preserve"> </w:t>
      </w:r>
      <w:r>
        <w:rPr>
          <w:rFonts w:ascii="Times New Roman" w:eastAsia="Times New Roman" w:hAnsi="Times New Roman" w:cs="Times New Roman"/>
          <w:sz w:val="20"/>
        </w:rPr>
        <w:t>A/HRC/AC/9/6</w:t>
      </w:r>
    </w:p>
  </w:footnote>
  <w:footnote w:id="2">
    <w:p w:rsidR="00017421" w:rsidRDefault="00AF3DD0">
      <w:pPr>
        <w:pStyle w:val="Normal1"/>
      </w:pPr>
      <w:r>
        <w:rPr>
          <w:vertAlign w:val="superscript"/>
        </w:rPr>
        <w:footnoteRef/>
      </w:r>
      <w:r>
        <w:rPr>
          <w:sz w:val="20"/>
        </w:rPr>
        <w:t xml:space="preserve"> </w:t>
      </w:r>
      <w:r>
        <w:rPr>
          <w:rFonts w:ascii="Times New Roman" w:eastAsia="Times New Roman" w:hAnsi="Times New Roman" w:cs="Times New Roman"/>
          <w:sz w:val="20"/>
        </w:rPr>
        <w:t xml:space="preserve">A/HRC/AC/12/L.5, 28 February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1" w:rsidRDefault="00AF3DD0">
    <w:pPr>
      <w:pStyle w:val="Normal1"/>
      <w:jc w:val="center"/>
    </w:pPr>
    <w:r>
      <w:rPr>
        <w:rFonts w:ascii="Times New Roman" w:eastAsia="Times New Roman" w:hAnsi="Times New Roman" w:cs="Times New Roman"/>
        <w:b/>
        <w:sz w:val="26"/>
      </w:rPr>
      <w:t>Human Rights Council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4D82"/>
    <w:multiLevelType w:val="multilevel"/>
    <w:tmpl w:val="95FA3274"/>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nsid w:val="438A41E9"/>
    <w:multiLevelType w:val="multilevel"/>
    <w:tmpl w:val="B4C0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21"/>
    <w:rsid w:val="00017421"/>
    <w:rsid w:val="0004270F"/>
    <w:rsid w:val="00046349"/>
    <w:rsid w:val="001053EB"/>
    <w:rsid w:val="00114158"/>
    <w:rsid w:val="00171605"/>
    <w:rsid w:val="00177D5E"/>
    <w:rsid w:val="001E3E9F"/>
    <w:rsid w:val="00242C54"/>
    <w:rsid w:val="00270ED6"/>
    <w:rsid w:val="002A0569"/>
    <w:rsid w:val="0031159A"/>
    <w:rsid w:val="00344950"/>
    <w:rsid w:val="003B0963"/>
    <w:rsid w:val="00446BE2"/>
    <w:rsid w:val="0046129E"/>
    <w:rsid w:val="00580A14"/>
    <w:rsid w:val="005A1B46"/>
    <w:rsid w:val="005C2F7C"/>
    <w:rsid w:val="00634893"/>
    <w:rsid w:val="00636169"/>
    <w:rsid w:val="00680153"/>
    <w:rsid w:val="00841258"/>
    <w:rsid w:val="0086075F"/>
    <w:rsid w:val="0087274F"/>
    <w:rsid w:val="009C2321"/>
    <w:rsid w:val="00AB1382"/>
    <w:rsid w:val="00AF3DD0"/>
    <w:rsid w:val="00C3182C"/>
    <w:rsid w:val="00C754F5"/>
    <w:rsid w:val="00CE2FA5"/>
    <w:rsid w:val="00CF73C7"/>
    <w:rsid w:val="00D5472A"/>
    <w:rsid w:val="00D8643D"/>
    <w:rsid w:val="00E2197F"/>
    <w:rsid w:val="00F247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style>
  <w:style w:type="paragraph" w:styleId="Heading1">
    <w:name w:val="heading 1"/>
    <w:basedOn w:val="Normal1"/>
    <w:next w:val="Normal1"/>
    <w:rsid w:val="00017421"/>
    <w:pPr>
      <w:keepNext/>
      <w:keepLines/>
      <w:spacing w:before="480" w:after="120"/>
      <w:contextualSpacing/>
      <w:outlineLvl w:val="0"/>
    </w:pPr>
    <w:rPr>
      <w:b/>
      <w:sz w:val="48"/>
    </w:rPr>
  </w:style>
  <w:style w:type="paragraph" w:styleId="Heading2">
    <w:name w:val="heading 2"/>
    <w:basedOn w:val="Normal1"/>
    <w:next w:val="Normal1"/>
    <w:rsid w:val="00017421"/>
    <w:pPr>
      <w:keepNext/>
      <w:keepLines/>
      <w:spacing w:before="360" w:after="80"/>
      <w:contextualSpacing/>
      <w:outlineLvl w:val="1"/>
    </w:pPr>
    <w:rPr>
      <w:b/>
      <w:sz w:val="36"/>
    </w:rPr>
  </w:style>
  <w:style w:type="paragraph" w:styleId="Heading3">
    <w:name w:val="heading 3"/>
    <w:basedOn w:val="Normal1"/>
    <w:next w:val="Normal1"/>
    <w:rsid w:val="00017421"/>
    <w:pPr>
      <w:keepNext/>
      <w:keepLines/>
      <w:spacing w:before="280" w:after="80"/>
      <w:contextualSpacing/>
      <w:outlineLvl w:val="2"/>
    </w:pPr>
    <w:rPr>
      <w:b/>
      <w:sz w:val="28"/>
    </w:rPr>
  </w:style>
  <w:style w:type="paragraph" w:styleId="Heading4">
    <w:name w:val="heading 4"/>
    <w:basedOn w:val="Normal1"/>
    <w:next w:val="Normal1"/>
    <w:rsid w:val="00017421"/>
    <w:pPr>
      <w:keepNext/>
      <w:keepLines/>
      <w:spacing w:before="240" w:after="40"/>
      <w:contextualSpacing/>
      <w:outlineLvl w:val="3"/>
    </w:pPr>
    <w:rPr>
      <w:b/>
      <w:sz w:val="24"/>
    </w:rPr>
  </w:style>
  <w:style w:type="paragraph" w:styleId="Heading5">
    <w:name w:val="heading 5"/>
    <w:basedOn w:val="Normal1"/>
    <w:next w:val="Normal1"/>
    <w:rsid w:val="00017421"/>
    <w:pPr>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1"/>
    <w:next w:val="Normal1"/>
    <w:rsid w:val="0001742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7421"/>
    <w:pPr>
      <w:widowControl w:val="0"/>
      <w:spacing w:after="200" w:line="276" w:lineRule="auto"/>
    </w:pPr>
    <w:rPr>
      <w:rFonts w:ascii="Calibri" w:eastAsia="Calibri" w:hAnsi="Calibri" w:cs="Calibri"/>
      <w:color w:val="000000"/>
      <w:sz w:val="22"/>
    </w:rPr>
  </w:style>
  <w:style w:type="paragraph" w:styleId="Title">
    <w:name w:val="Title"/>
    <w:basedOn w:val="Normal1"/>
    <w:next w:val="Normal1"/>
    <w:rsid w:val="00017421"/>
    <w:pPr>
      <w:keepNext/>
      <w:keepLines/>
      <w:spacing w:before="480" w:after="120"/>
      <w:contextualSpacing/>
    </w:pPr>
    <w:rPr>
      <w:b/>
      <w:sz w:val="72"/>
    </w:rPr>
  </w:style>
  <w:style w:type="paragraph" w:styleId="Subtitle">
    <w:name w:val="Subtitle"/>
    <w:basedOn w:val="Normal1"/>
    <w:next w:val="Normal1"/>
    <w:rsid w:val="0001742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177D5E"/>
    <w:pPr>
      <w:tabs>
        <w:tab w:val="center" w:pos="4513"/>
        <w:tab w:val="right" w:pos="9026"/>
      </w:tabs>
      <w:snapToGrid w:val="0"/>
    </w:pPr>
  </w:style>
  <w:style w:type="character" w:customStyle="1" w:styleId="HeaderChar">
    <w:name w:val="Header Char"/>
    <w:basedOn w:val="DefaultParagraphFont"/>
    <w:link w:val="Header"/>
    <w:uiPriority w:val="99"/>
    <w:semiHidden/>
    <w:rsid w:val="00177D5E"/>
  </w:style>
  <w:style w:type="paragraph" w:styleId="Footer">
    <w:name w:val="footer"/>
    <w:basedOn w:val="Normal"/>
    <w:link w:val="FooterChar"/>
    <w:uiPriority w:val="99"/>
    <w:semiHidden/>
    <w:unhideWhenUsed/>
    <w:rsid w:val="00177D5E"/>
    <w:pPr>
      <w:tabs>
        <w:tab w:val="center" w:pos="4513"/>
        <w:tab w:val="right" w:pos="9026"/>
      </w:tabs>
      <w:snapToGrid w:val="0"/>
    </w:pPr>
  </w:style>
  <w:style w:type="character" w:customStyle="1" w:styleId="FooterChar">
    <w:name w:val="Footer Char"/>
    <w:basedOn w:val="DefaultParagraphFont"/>
    <w:link w:val="Footer"/>
    <w:uiPriority w:val="99"/>
    <w:semiHidden/>
    <w:rsid w:val="00177D5E"/>
  </w:style>
  <w:style w:type="character" w:styleId="Hyperlink">
    <w:name w:val="Hyperlink"/>
    <w:basedOn w:val="DefaultParagraphFont"/>
    <w:uiPriority w:val="99"/>
    <w:unhideWhenUsed/>
    <w:rsid w:val="00CE2FA5"/>
    <w:rPr>
      <w:color w:val="0000FF"/>
      <w:u w:val="single"/>
    </w:rPr>
  </w:style>
  <w:style w:type="character" w:customStyle="1" w:styleId="apple-converted-space">
    <w:name w:val="apple-converted-space"/>
    <w:basedOn w:val="DefaultParagraphFont"/>
    <w:rsid w:val="00CE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style>
  <w:style w:type="paragraph" w:styleId="Heading1">
    <w:name w:val="heading 1"/>
    <w:basedOn w:val="Normal1"/>
    <w:next w:val="Normal1"/>
    <w:rsid w:val="00017421"/>
    <w:pPr>
      <w:keepNext/>
      <w:keepLines/>
      <w:spacing w:before="480" w:after="120"/>
      <w:contextualSpacing/>
      <w:outlineLvl w:val="0"/>
    </w:pPr>
    <w:rPr>
      <w:b/>
      <w:sz w:val="48"/>
    </w:rPr>
  </w:style>
  <w:style w:type="paragraph" w:styleId="Heading2">
    <w:name w:val="heading 2"/>
    <w:basedOn w:val="Normal1"/>
    <w:next w:val="Normal1"/>
    <w:rsid w:val="00017421"/>
    <w:pPr>
      <w:keepNext/>
      <w:keepLines/>
      <w:spacing w:before="360" w:after="80"/>
      <w:contextualSpacing/>
      <w:outlineLvl w:val="1"/>
    </w:pPr>
    <w:rPr>
      <w:b/>
      <w:sz w:val="36"/>
    </w:rPr>
  </w:style>
  <w:style w:type="paragraph" w:styleId="Heading3">
    <w:name w:val="heading 3"/>
    <w:basedOn w:val="Normal1"/>
    <w:next w:val="Normal1"/>
    <w:rsid w:val="00017421"/>
    <w:pPr>
      <w:keepNext/>
      <w:keepLines/>
      <w:spacing w:before="280" w:after="80"/>
      <w:contextualSpacing/>
      <w:outlineLvl w:val="2"/>
    </w:pPr>
    <w:rPr>
      <w:b/>
      <w:sz w:val="28"/>
    </w:rPr>
  </w:style>
  <w:style w:type="paragraph" w:styleId="Heading4">
    <w:name w:val="heading 4"/>
    <w:basedOn w:val="Normal1"/>
    <w:next w:val="Normal1"/>
    <w:rsid w:val="00017421"/>
    <w:pPr>
      <w:keepNext/>
      <w:keepLines/>
      <w:spacing w:before="240" w:after="40"/>
      <w:contextualSpacing/>
      <w:outlineLvl w:val="3"/>
    </w:pPr>
    <w:rPr>
      <w:b/>
      <w:sz w:val="24"/>
    </w:rPr>
  </w:style>
  <w:style w:type="paragraph" w:styleId="Heading5">
    <w:name w:val="heading 5"/>
    <w:basedOn w:val="Normal1"/>
    <w:next w:val="Normal1"/>
    <w:rsid w:val="00017421"/>
    <w:pPr>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1"/>
    <w:next w:val="Normal1"/>
    <w:rsid w:val="0001742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7421"/>
    <w:pPr>
      <w:widowControl w:val="0"/>
      <w:spacing w:after="200" w:line="276" w:lineRule="auto"/>
    </w:pPr>
    <w:rPr>
      <w:rFonts w:ascii="Calibri" w:eastAsia="Calibri" w:hAnsi="Calibri" w:cs="Calibri"/>
      <w:color w:val="000000"/>
      <w:sz w:val="22"/>
    </w:rPr>
  </w:style>
  <w:style w:type="paragraph" w:styleId="Title">
    <w:name w:val="Title"/>
    <w:basedOn w:val="Normal1"/>
    <w:next w:val="Normal1"/>
    <w:rsid w:val="00017421"/>
    <w:pPr>
      <w:keepNext/>
      <w:keepLines/>
      <w:spacing w:before="480" w:after="120"/>
      <w:contextualSpacing/>
    </w:pPr>
    <w:rPr>
      <w:b/>
      <w:sz w:val="72"/>
    </w:rPr>
  </w:style>
  <w:style w:type="paragraph" w:styleId="Subtitle">
    <w:name w:val="Subtitle"/>
    <w:basedOn w:val="Normal1"/>
    <w:next w:val="Normal1"/>
    <w:rsid w:val="0001742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177D5E"/>
    <w:pPr>
      <w:tabs>
        <w:tab w:val="center" w:pos="4513"/>
        <w:tab w:val="right" w:pos="9026"/>
      </w:tabs>
      <w:snapToGrid w:val="0"/>
    </w:pPr>
  </w:style>
  <w:style w:type="character" w:customStyle="1" w:styleId="HeaderChar">
    <w:name w:val="Header Char"/>
    <w:basedOn w:val="DefaultParagraphFont"/>
    <w:link w:val="Header"/>
    <w:uiPriority w:val="99"/>
    <w:semiHidden/>
    <w:rsid w:val="00177D5E"/>
  </w:style>
  <w:style w:type="paragraph" w:styleId="Footer">
    <w:name w:val="footer"/>
    <w:basedOn w:val="Normal"/>
    <w:link w:val="FooterChar"/>
    <w:uiPriority w:val="99"/>
    <w:semiHidden/>
    <w:unhideWhenUsed/>
    <w:rsid w:val="00177D5E"/>
    <w:pPr>
      <w:tabs>
        <w:tab w:val="center" w:pos="4513"/>
        <w:tab w:val="right" w:pos="9026"/>
      </w:tabs>
      <w:snapToGrid w:val="0"/>
    </w:pPr>
  </w:style>
  <w:style w:type="character" w:customStyle="1" w:styleId="FooterChar">
    <w:name w:val="Footer Char"/>
    <w:basedOn w:val="DefaultParagraphFont"/>
    <w:link w:val="Footer"/>
    <w:uiPriority w:val="99"/>
    <w:semiHidden/>
    <w:rsid w:val="00177D5E"/>
  </w:style>
  <w:style w:type="character" w:styleId="Hyperlink">
    <w:name w:val="Hyperlink"/>
    <w:basedOn w:val="DefaultParagraphFont"/>
    <w:uiPriority w:val="99"/>
    <w:unhideWhenUsed/>
    <w:rsid w:val="00CE2FA5"/>
    <w:rPr>
      <w:color w:val="0000FF"/>
      <w:u w:val="single"/>
    </w:rPr>
  </w:style>
  <w:style w:type="character" w:customStyle="1" w:styleId="apple-converted-space">
    <w:name w:val="apple-converted-space"/>
    <w:basedOn w:val="DefaultParagraphFont"/>
    <w:rsid w:val="00CE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ia.org" TargetMode="External"/><Relationship Id="rId13" Type="http://schemas.openxmlformats.org/officeDocument/2006/relationships/hyperlink" Target="http://www.ohchr.org/EN/HRBodies/HRC/AdvisoryCommittee/Pages/HRCACIndex.aspx"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hchr.org/EN/HRBodies/HRC/AdvisoryCommittee/Pages/HRCACIndex.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EN/HRBodies/HRC/AdvisoryCommittee/Pages/HRCACIndex.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cadvisorycommittee@ohchr.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rcadvisorycommittee@ohchr.org"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CB838-4C79-4A3A-9183-E683FFC83C1A}"/>
</file>

<file path=customXml/itemProps2.xml><?xml version="1.0" encoding="utf-8"?>
<ds:datastoreItem xmlns:ds="http://schemas.openxmlformats.org/officeDocument/2006/customXml" ds:itemID="{8A6103B4-86C3-4565-8984-E6F39B68BAD0}"/>
</file>

<file path=customXml/itemProps3.xml><?xml version="1.0" encoding="utf-8"?>
<ds:datastoreItem xmlns:ds="http://schemas.openxmlformats.org/officeDocument/2006/customXml" ds:itemID="{418BE035-1491-402C-AF61-2B7D5F955DEA}"/>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Questionnaire - local govt - States, NGOs, NHRIs EN.docx</vt:lpstr>
    </vt:vector>
  </TitlesOfParts>
  <Company>Hewlett-Packard</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local govt - States, NGOs, NHRIs EN.docx</dc:title>
  <dc:creator>user</dc:creator>
  <cp:lastModifiedBy>Markova Anjela</cp:lastModifiedBy>
  <cp:revision>2</cp:revision>
  <dcterms:created xsi:type="dcterms:W3CDTF">2014-04-15T14:32:00Z</dcterms:created>
  <dcterms:modified xsi:type="dcterms:W3CDTF">2014-04-15T14:32:00Z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