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E75125">
        <w:trPr>
          <w:trHeight w:val="851"/>
        </w:trPr>
        <w:tc>
          <w:tcPr>
            <w:tcW w:w="1259" w:type="dxa"/>
            <w:tcBorders>
              <w:top w:val="nil"/>
              <w:left w:val="nil"/>
              <w:bottom w:val="single" w:sz="4" w:space="0" w:color="auto"/>
              <w:right w:val="nil"/>
            </w:tcBorders>
          </w:tcPr>
          <w:p w:rsidR="00FB5C08" w:rsidRPr="004A62B2" w:rsidRDefault="00FB5C08">
            <w:pPr>
              <w:tabs>
                <w:tab w:val="right" w:pos="850"/>
                <w:tab w:val="left" w:pos="1134"/>
                <w:tab w:val="right" w:leader="dot" w:pos="8504"/>
              </w:tabs>
              <w:spacing w:before="360" w:after="240"/>
              <w:rPr>
                <w:rStyle w:val="Emphasis"/>
                <w:i w:val="0"/>
                <w:iCs w:val="0"/>
              </w:rPr>
            </w:pPr>
          </w:p>
        </w:tc>
        <w:tc>
          <w:tcPr>
            <w:tcW w:w="2236" w:type="dxa"/>
            <w:tcBorders>
              <w:top w:val="nil"/>
              <w:left w:val="nil"/>
              <w:bottom w:val="single" w:sz="4" w:space="0" w:color="auto"/>
              <w:right w:val="nil"/>
            </w:tcBorders>
            <w:vAlign w:val="bottom"/>
          </w:tcPr>
          <w:p w:rsidR="00FB5C08" w:rsidRPr="00E75125" w:rsidRDefault="00FB5C08">
            <w:pPr>
              <w:spacing w:after="80" w:line="300" w:lineRule="exact"/>
              <w:rPr>
                <w:sz w:val="28"/>
                <w:szCs w:val="28"/>
              </w:rPr>
            </w:pPr>
            <w:r w:rsidRPr="00E75125">
              <w:rPr>
                <w:sz w:val="28"/>
                <w:szCs w:val="28"/>
              </w:rPr>
              <w:t>United Nations</w:t>
            </w:r>
          </w:p>
        </w:tc>
        <w:tc>
          <w:tcPr>
            <w:tcW w:w="6144" w:type="dxa"/>
            <w:gridSpan w:val="2"/>
            <w:tcBorders>
              <w:top w:val="nil"/>
              <w:left w:val="nil"/>
              <w:bottom w:val="single" w:sz="4" w:space="0" w:color="auto"/>
              <w:right w:val="nil"/>
            </w:tcBorders>
            <w:vAlign w:val="bottom"/>
          </w:tcPr>
          <w:p w:rsidR="00FB5C08" w:rsidRPr="00E75125" w:rsidRDefault="00044525" w:rsidP="00555372">
            <w:pPr>
              <w:suppressAutoHyphens w:val="0"/>
              <w:spacing w:after="20"/>
              <w:jc w:val="right"/>
            </w:pPr>
            <w:r w:rsidRPr="00E75125">
              <w:rPr>
                <w:sz w:val="40"/>
              </w:rPr>
              <w:t>A</w:t>
            </w:r>
            <w:r w:rsidR="005739D2" w:rsidRPr="00E75125">
              <w:t>/HRC/AC/1</w:t>
            </w:r>
            <w:r w:rsidR="00555372">
              <w:t>8</w:t>
            </w:r>
            <w:r w:rsidRPr="00E75125">
              <w:t>/2</w:t>
            </w:r>
          </w:p>
        </w:tc>
      </w:tr>
      <w:tr w:rsidR="00FB5C08" w:rsidRPr="00E75125">
        <w:trPr>
          <w:trHeight w:val="2835"/>
        </w:trPr>
        <w:tc>
          <w:tcPr>
            <w:tcW w:w="1259" w:type="dxa"/>
            <w:tcBorders>
              <w:top w:val="single" w:sz="4" w:space="0" w:color="auto"/>
              <w:left w:val="nil"/>
              <w:bottom w:val="single" w:sz="12" w:space="0" w:color="auto"/>
              <w:right w:val="nil"/>
            </w:tcBorders>
          </w:tcPr>
          <w:p w:rsidR="00FB5C08" w:rsidRPr="00E75125"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E75125" w:rsidRDefault="00DC463C">
            <w:pPr>
              <w:spacing w:before="120" w:line="420" w:lineRule="exact"/>
              <w:rPr>
                <w:b/>
                <w:sz w:val="40"/>
                <w:szCs w:val="40"/>
              </w:rPr>
            </w:pPr>
            <w:r>
              <w:rPr>
                <w:b/>
                <w:sz w:val="40"/>
                <w:szCs w:val="40"/>
              </w:rPr>
              <w:t>Advance unedited vers</w:t>
            </w:r>
            <w:bookmarkStart w:id="0" w:name="_GoBack"/>
            <w:bookmarkEnd w:id="0"/>
            <w:r>
              <w:rPr>
                <w:b/>
                <w:sz w:val="40"/>
                <w:szCs w:val="40"/>
              </w:rPr>
              <w:t>ion</w:t>
            </w:r>
          </w:p>
        </w:tc>
        <w:tc>
          <w:tcPr>
            <w:tcW w:w="2930" w:type="dxa"/>
            <w:tcBorders>
              <w:top w:val="single" w:sz="4" w:space="0" w:color="auto"/>
              <w:left w:val="nil"/>
              <w:bottom w:val="single" w:sz="12" w:space="0" w:color="auto"/>
              <w:right w:val="nil"/>
            </w:tcBorders>
          </w:tcPr>
          <w:p w:rsidR="00044525" w:rsidRPr="00E75125" w:rsidRDefault="00044525" w:rsidP="00044525">
            <w:pPr>
              <w:suppressAutoHyphens w:val="0"/>
              <w:spacing w:before="240" w:line="240" w:lineRule="exact"/>
            </w:pPr>
            <w:r w:rsidRPr="00E75125">
              <w:t>Distr.: General</w:t>
            </w:r>
          </w:p>
          <w:p w:rsidR="00044525" w:rsidRPr="00E75125" w:rsidRDefault="00DC463C" w:rsidP="002C22CD">
            <w:pPr>
              <w:suppressAutoHyphens w:val="0"/>
            </w:pPr>
            <w:r>
              <w:t>24 February</w:t>
            </w:r>
            <w:r w:rsidR="00AC273F" w:rsidRPr="008A07C1">
              <w:t xml:space="preserve"> 201</w:t>
            </w:r>
            <w:r w:rsidR="00795503" w:rsidRPr="008A07C1">
              <w:t>7</w:t>
            </w:r>
          </w:p>
          <w:p w:rsidR="00E75125" w:rsidRPr="00E75125" w:rsidRDefault="00E75125" w:rsidP="00044525">
            <w:pPr>
              <w:suppressAutoHyphens w:val="0"/>
            </w:pPr>
          </w:p>
          <w:p w:rsidR="00FB5C08" w:rsidRPr="00E75125" w:rsidRDefault="00044525" w:rsidP="00044525">
            <w:pPr>
              <w:suppressAutoHyphens w:val="0"/>
            </w:pPr>
            <w:r w:rsidRPr="00E75125">
              <w:t>Original: English</w:t>
            </w:r>
          </w:p>
        </w:tc>
      </w:tr>
    </w:tbl>
    <w:p w:rsidR="004A62B2" w:rsidRPr="004A62B2" w:rsidRDefault="004A62B2" w:rsidP="004A62B2">
      <w:pPr>
        <w:spacing w:line="20" w:lineRule="exact"/>
        <w:rPr>
          <w:b/>
          <w:sz w:val="2"/>
          <w:szCs w:val="24"/>
        </w:rPr>
      </w:pPr>
    </w:p>
    <w:p w:rsidR="00044525" w:rsidRPr="00E75125" w:rsidRDefault="00044525" w:rsidP="00044525">
      <w:pPr>
        <w:spacing w:before="120"/>
        <w:rPr>
          <w:b/>
          <w:sz w:val="24"/>
          <w:szCs w:val="24"/>
        </w:rPr>
      </w:pPr>
      <w:r w:rsidRPr="00E75125">
        <w:rPr>
          <w:b/>
          <w:sz w:val="24"/>
          <w:szCs w:val="24"/>
        </w:rPr>
        <w:t>Human Rights Council</w:t>
      </w:r>
    </w:p>
    <w:p w:rsidR="00044525" w:rsidRPr="00E75125" w:rsidRDefault="00044525" w:rsidP="00044525">
      <w:pPr>
        <w:rPr>
          <w:b/>
        </w:rPr>
      </w:pPr>
      <w:r w:rsidRPr="00E75125">
        <w:rPr>
          <w:b/>
        </w:rPr>
        <w:t>Advisory Committee</w:t>
      </w:r>
    </w:p>
    <w:p w:rsidR="00044525" w:rsidRPr="00E75125" w:rsidRDefault="00555372" w:rsidP="00044525">
      <w:pPr>
        <w:rPr>
          <w:b/>
        </w:rPr>
      </w:pPr>
      <w:r>
        <w:rPr>
          <w:b/>
        </w:rPr>
        <w:t>Eighteenth</w:t>
      </w:r>
      <w:r w:rsidRPr="00E75125">
        <w:rPr>
          <w:b/>
        </w:rPr>
        <w:t xml:space="preserve"> </w:t>
      </w:r>
      <w:r w:rsidR="00044525" w:rsidRPr="00E75125">
        <w:rPr>
          <w:b/>
        </w:rPr>
        <w:t>session</w:t>
      </w:r>
    </w:p>
    <w:p w:rsidR="00044525" w:rsidRPr="00E75125" w:rsidRDefault="005739D2" w:rsidP="00C43CA1">
      <w:r w:rsidRPr="00E75125">
        <w:t>2</w:t>
      </w:r>
      <w:r w:rsidR="00555372">
        <w:t>0</w:t>
      </w:r>
      <w:r w:rsidR="00C43CA1">
        <w:t>-</w:t>
      </w:r>
      <w:r w:rsidRPr="00E75125">
        <w:t>2</w:t>
      </w:r>
      <w:r w:rsidR="00555372">
        <w:t>4</w:t>
      </w:r>
      <w:r w:rsidRPr="00E75125">
        <w:t xml:space="preserve"> February 201</w:t>
      </w:r>
      <w:r w:rsidR="00555372">
        <w:t>7</w:t>
      </w:r>
    </w:p>
    <w:p w:rsidR="00044525" w:rsidRPr="00E75125" w:rsidRDefault="00044525" w:rsidP="00044525">
      <w:r w:rsidRPr="00E75125">
        <w:t>Agenda item 5</w:t>
      </w:r>
    </w:p>
    <w:p w:rsidR="00044525" w:rsidRPr="00E75125" w:rsidRDefault="00044525" w:rsidP="00044525">
      <w:pPr>
        <w:rPr>
          <w:b/>
        </w:rPr>
      </w:pPr>
      <w:r w:rsidRPr="00E75125">
        <w:rPr>
          <w:b/>
        </w:rPr>
        <w:t>Report of the</w:t>
      </w:r>
      <w:r w:rsidR="00781658">
        <w:rPr>
          <w:b/>
        </w:rPr>
        <w:t xml:space="preserve"> Advisory Committee on its </w:t>
      </w:r>
      <w:r w:rsidR="00555372">
        <w:rPr>
          <w:b/>
        </w:rPr>
        <w:t>eighteenth</w:t>
      </w:r>
      <w:r w:rsidR="00555372" w:rsidRPr="00E75125">
        <w:rPr>
          <w:b/>
        </w:rPr>
        <w:t xml:space="preserve"> </w:t>
      </w:r>
      <w:r w:rsidRPr="00E75125">
        <w:rPr>
          <w:b/>
        </w:rPr>
        <w:t>session</w:t>
      </w:r>
    </w:p>
    <w:p w:rsidR="00044525" w:rsidRPr="00E75125" w:rsidRDefault="00044525" w:rsidP="00044525">
      <w:pPr>
        <w:pStyle w:val="HMG"/>
      </w:pPr>
      <w:r w:rsidRPr="00E75125">
        <w:tab/>
      </w:r>
      <w:r w:rsidRPr="00E75125">
        <w:tab/>
        <w:t xml:space="preserve">Report of the </w:t>
      </w:r>
      <w:r w:rsidR="000B1ECE" w:rsidRPr="00E75125">
        <w:t>Advisory Committee</w:t>
      </w:r>
      <w:r w:rsidR="005739D2" w:rsidRPr="00E75125">
        <w:br/>
        <w:t xml:space="preserve">on its </w:t>
      </w:r>
      <w:r w:rsidR="00555372">
        <w:t>eighteenth</w:t>
      </w:r>
      <w:r w:rsidR="00555372" w:rsidRPr="00E75125">
        <w:t xml:space="preserve"> </w:t>
      </w:r>
      <w:r w:rsidRPr="00E75125">
        <w:t>session</w:t>
      </w:r>
      <w:r w:rsidR="004039CC" w:rsidRPr="00E75125">
        <w:rPr>
          <w:rStyle w:val="FootnoteReference"/>
          <w:b w:val="0"/>
          <w:sz w:val="20"/>
          <w:vertAlign w:val="baseline"/>
        </w:rPr>
        <w:footnoteReference w:customMarkFollows="1" w:id="2"/>
        <w:t>*</w:t>
      </w:r>
      <w:r w:rsidR="00A61CCC">
        <w:rPr>
          <w:b w:val="0"/>
          <w:sz w:val="20"/>
        </w:rPr>
        <w:t xml:space="preserve"> </w:t>
      </w:r>
    </w:p>
    <w:p w:rsidR="00044525" w:rsidRPr="00126A6B" w:rsidRDefault="00044525" w:rsidP="00044525">
      <w:pPr>
        <w:pStyle w:val="H56G"/>
      </w:pPr>
      <w:r w:rsidRPr="00E75125">
        <w:tab/>
      </w:r>
      <w:r w:rsidRPr="00E75125">
        <w:tab/>
      </w:r>
      <w:r w:rsidRPr="00126A6B">
        <w:t>Geneva</w:t>
      </w:r>
      <w:r w:rsidR="005739D2" w:rsidRPr="00126A6B">
        <w:t>, 2</w:t>
      </w:r>
      <w:r w:rsidR="00555372" w:rsidRPr="00126A6B">
        <w:t>0</w:t>
      </w:r>
      <w:r w:rsidR="0075018A" w:rsidRPr="00126A6B">
        <w:t>-</w:t>
      </w:r>
      <w:r w:rsidR="005739D2" w:rsidRPr="00126A6B">
        <w:t>2</w:t>
      </w:r>
      <w:r w:rsidR="00555372" w:rsidRPr="00126A6B">
        <w:t>4</w:t>
      </w:r>
      <w:r w:rsidR="005739D2" w:rsidRPr="00126A6B">
        <w:t xml:space="preserve"> February 201</w:t>
      </w:r>
      <w:r w:rsidR="00555372" w:rsidRPr="00126A6B">
        <w:t>7</w:t>
      </w:r>
    </w:p>
    <w:p w:rsidR="00044525" w:rsidRDefault="00044525" w:rsidP="00044525">
      <w:pPr>
        <w:pStyle w:val="SingleTxtG"/>
        <w:rPr>
          <w:iCs/>
        </w:rPr>
      </w:pPr>
      <w:r w:rsidRPr="00126A6B">
        <w:rPr>
          <w:i/>
        </w:rPr>
        <w:t>Rapporteur</w:t>
      </w:r>
      <w:r w:rsidRPr="00126A6B">
        <w:rPr>
          <w:iCs/>
        </w:rPr>
        <w:t xml:space="preserve">: </w:t>
      </w:r>
      <w:r w:rsidR="001E2167">
        <w:t xml:space="preserve">Mr. </w:t>
      </w:r>
      <w:r w:rsidR="001E2167" w:rsidRPr="00A347DA">
        <w:t>Kaoru Obata</w:t>
      </w:r>
    </w:p>
    <w:p w:rsidR="006F326E" w:rsidRDefault="00044525" w:rsidP="006F326E">
      <w:pPr>
        <w:spacing w:after="120"/>
        <w:rPr>
          <w:rFonts w:eastAsia="MS Mincho"/>
          <w:sz w:val="28"/>
        </w:rPr>
      </w:pPr>
      <w:r w:rsidRPr="00550B2A">
        <w:br w:type="page"/>
      </w:r>
      <w:r w:rsidR="006F326E" w:rsidRPr="00E75125">
        <w:rPr>
          <w:rFonts w:eastAsia="MS Mincho"/>
          <w:sz w:val="28"/>
        </w:rPr>
        <w:lastRenderedPageBreak/>
        <w:t>Contents</w:t>
      </w:r>
    </w:p>
    <w:p w:rsidR="00DD52DD" w:rsidRDefault="00DD52DD" w:rsidP="00DD52DD">
      <w:pPr>
        <w:tabs>
          <w:tab w:val="right" w:pos="9638"/>
        </w:tabs>
        <w:spacing w:after="120"/>
        <w:ind w:left="283"/>
        <w:rPr>
          <w:rFonts w:eastAsia="MS Mincho"/>
          <w:sz w:val="18"/>
        </w:rPr>
      </w:pPr>
      <w:r>
        <w:rPr>
          <w:rFonts w:eastAsia="MS Mincho"/>
          <w:i/>
          <w:sz w:val="18"/>
        </w:rPr>
        <w:tab/>
        <w:t>Page</w:t>
      </w:r>
    </w:p>
    <w:p w:rsidR="001633D1" w:rsidRPr="00E75125" w:rsidRDefault="001633D1" w:rsidP="007C5719">
      <w:pPr>
        <w:tabs>
          <w:tab w:val="right" w:pos="850"/>
          <w:tab w:val="left" w:pos="1134"/>
          <w:tab w:val="left" w:pos="1559"/>
          <w:tab w:val="left" w:pos="1984"/>
          <w:tab w:val="left" w:leader="dot" w:pos="8929"/>
          <w:tab w:val="right" w:pos="9638"/>
        </w:tabs>
        <w:spacing w:after="120"/>
        <w:rPr>
          <w:rFonts w:eastAsia="MS Mincho"/>
        </w:rPr>
      </w:pPr>
      <w:r w:rsidRPr="00E75125">
        <w:rPr>
          <w:rFonts w:eastAsia="MS Mincho"/>
          <w:bCs/>
        </w:rPr>
        <w:tab/>
        <w:t>I.</w:t>
      </w:r>
      <w:r w:rsidRPr="00E75125">
        <w:rPr>
          <w:rFonts w:eastAsia="MS Mincho"/>
          <w:bCs/>
        </w:rPr>
        <w:tab/>
      </w:r>
      <w:r w:rsidRPr="00E75125">
        <w:rPr>
          <w:rFonts w:eastAsia="MS Mincho"/>
        </w:rPr>
        <w:t xml:space="preserve">Action taken by the Advisory Committee at its </w:t>
      </w:r>
      <w:r w:rsidR="00555372">
        <w:rPr>
          <w:rFonts w:eastAsia="MS Mincho"/>
        </w:rPr>
        <w:t>eighteenth</w:t>
      </w:r>
      <w:r w:rsidR="00555372" w:rsidRPr="00E75125">
        <w:rPr>
          <w:rFonts w:eastAsia="MS Mincho"/>
        </w:rPr>
        <w:t xml:space="preserve"> </w:t>
      </w:r>
      <w:r w:rsidRPr="00E75125">
        <w:rPr>
          <w:rFonts w:eastAsia="MS Mincho"/>
        </w:rPr>
        <w:t>session</w:t>
      </w:r>
      <w:r w:rsidRPr="00E75125">
        <w:rPr>
          <w:rFonts w:eastAsia="MS Mincho"/>
          <w:bCs/>
        </w:rPr>
        <w:tab/>
      </w:r>
      <w:r w:rsidR="000A15B6" w:rsidRPr="00E75125">
        <w:rPr>
          <w:rFonts w:eastAsia="MS Mincho"/>
          <w:bCs/>
        </w:rPr>
        <w:tab/>
      </w:r>
      <w:r w:rsidR="003B4B74">
        <w:rPr>
          <w:rFonts w:eastAsia="MS Mincho"/>
          <w:bCs/>
        </w:rPr>
        <w:t>3</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t>II.</w:t>
      </w:r>
      <w:r w:rsidRPr="00E75125">
        <w:rPr>
          <w:rFonts w:eastAsia="MS Mincho"/>
          <w:bCs/>
        </w:rPr>
        <w:tab/>
        <w:t>Officers, adoption of the agenda and organization of work</w:t>
      </w:r>
      <w:r w:rsidRPr="00E75125">
        <w:rPr>
          <w:rFonts w:eastAsia="MS Mincho"/>
          <w:bCs/>
        </w:rPr>
        <w:tab/>
      </w:r>
      <w:r w:rsidRPr="00E75125">
        <w:rPr>
          <w:rFonts w:eastAsia="MS Mincho"/>
          <w:bCs/>
        </w:rPr>
        <w:tab/>
      </w:r>
      <w:r w:rsidR="003B4B74">
        <w:rPr>
          <w:rFonts w:eastAsia="MS Mincho"/>
          <w:bCs/>
        </w:rPr>
        <w:t>6</w:t>
      </w:r>
    </w:p>
    <w:p w:rsidR="0043289A" w:rsidRDefault="006F326E" w:rsidP="0043289A">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A.</w:t>
      </w:r>
      <w:r w:rsidRPr="00E75125">
        <w:rPr>
          <w:rFonts w:eastAsia="MS Mincho"/>
          <w:bCs/>
        </w:rPr>
        <w:tab/>
        <w:t>Opening and duration of the session</w:t>
      </w:r>
      <w:r w:rsidRPr="00E75125">
        <w:rPr>
          <w:rFonts w:eastAsia="MS Mincho"/>
          <w:bCs/>
        </w:rPr>
        <w:tab/>
      </w:r>
      <w:r w:rsidR="003B4B74">
        <w:rPr>
          <w:rFonts w:eastAsia="MS Mincho"/>
          <w:bCs/>
        </w:rPr>
        <w:tab/>
        <w:t>6</w:t>
      </w:r>
    </w:p>
    <w:p w:rsidR="006F326E" w:rsidRPr="00E75125" w:rsidRDefault="006F326E" w:rsidP="0043289A">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r>
      <w:r w:rsidR="0043289A">
        <w:rPr>
          <w:rFonts w:eastAsia="MS Mincho"/>
          <w:bCs/>
        </w:rPr>
        <w:t>B.</w:t>
      </w:r>
      <w:r w:rsidR="0043289A">
        <w:rPr>
          <w:rFonts w:eastAsia="MS Mincho"/>
          <w:bCs/>
        </w:rPr>
        <w:tab/>
      </w:r>
      <w:r w:rsidRPr="00E75125">
        <w:rPr>
          <w:rFonts w:eastAsia="MS Mincho"/>
          <w:bCs/>
        </w:rPr>
        <w:t>Composition of the Advisory Committee</w:t>
      </w:r>
      <w:r w:rsidRPr="00E75125">
        <w:rPr>
          <w:rFonts w:eastAsia="MS Mincho"/>
          <w:bCs/>
        </w:rPr>
        <w:tab/>
      </w:r>
      <w:r w:rsidRPr="00E75125">
        <w:rPr>
          <w:rFonts w:eastAsia="MS Mincho"/>
          <w:bCs/>
        </w:rPr>
        <w:tab/>
      </w:r>
      <w:r w:rsidR="003B4B74">
        <w:rPr>
          <w:rFonts w:eastAsia="MS Mincho"/>
          <w:bCs/>
        </w:rPr>
        <w:t>7</w:t>
      </w:r>
    </w:p>
    <w:p w:rsidR="006F326E" w:rsidRPr="00E75125" w:rsidRDefault="006F326E" w:rsidP="0043289A">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C.</w:t>
      </w:r>
      <w:r w:rsidRPr="00E75125">
        <w:rPr>
          <w:rFonts w:eastAsia="MS Mincho"/>
          <w:bCs/>
        </w:rPr>
        <w:tab/>
        <w:t>Attendance</w:t>
      </w:r>
      <w:r w:rsidRPr="00E75125">
        <w:rPr>
          <w:rFonts w:eastAsia="MS Mincho"/>
          <w:bCs/>
        </w:rPr>
        <w:tab/>
      </w:r>
      <w:r w:rsidRPr="00E75125">
        <w:rPr>
          <w:rFonts w:eastAsia="MS Mincho"/>
          <w:bCs/>
        </w:rPr>
        <w:tab/>
      </w:r>
      <w:r w:rsidR="003B4B74">
        <w:rPr>
          <w:rFonts w:eastAsia="MS Mincho"/>
          <w:bCs/>
        </w:rPr>
        <w:t>7</w:t>
      </w:r>
    </w:p>
    <w:p w:rsidR="006F326E" w:rsidRPr="00E75125" w:rsidRDefault="006F326E" w:rsidP="0043289A">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D.</w:t>
      </w:r>
      <w:r w:rsidRPr="00E75125">
        <w:rPr>
          <w:rFonts w:eastAsia="MS Mincho"/>
          <w:bCs/>
        </w:rPr>
        <w:tab/>
        <w:t>Meetings and documentation</w:t>
      </w:r>
      <w:r w:rsidRPr="00E75125">
        <w:rPr>
          <w:rFonts w:eastAsia="MS Mincho"/>
          <w:bCs/>
        </w:rPr>
        <w:tab/>
      </w:r>
      <w:r w:rsidRPr="00E75125">
        <w:rPr>
          <w:rFonts w:eastAsia="MS Mincho"/>
          <w:bCs/>
        </w:rPr>
        <w:tab/>
      </w:r>
      <w:r w:rsidR="003B4B74">
        <w:rPr>
          <w:rFonts w:eastAsia="MS Mincho"/>
          <w:bCs/>
        </w:rPr>
        <w:t>7</w:t>
      </w:r>
    </w:p>
    <w:p w:rsidR="006F326E" w:rsidRPr="00E75125" w:rsidRDefault="006F326E" w:rsidP="0043289A">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E.</w:t>
      </w:r>
      <w:r w:rsidRPr="00E75125">
        <w:rPr>
          <w:rFonts w:eastAsia="MS Mincho"/>
          <w:bCs/>
        </w:rPr>
        <w:tab/>
        <w:t>Election of officers</w:t>
      </w:r>
      <w:r w:rsidRPr="00E75125">
        <w:rPr>
          <w:rFonts w:eastAsia="MS Mincho"/>
          <w:bCs/>
        </w:rPr>
        <w:tab/>
      </w:r>
      <w:r w:rsidRPr="00E75125">
        <w:rPr>
          <w:rFonts w:eastAsia="MS Mincho"/>
          <w:bCs/>
        </w:rPr>
        <w:tab/>
      </w:r>
      <w:r w:rsidR="003B4B74">
        <w:rPr>
          <w:rFonts w:eastAsia="MS Mincho"/>
          <w:bCs/>
        </w:rPr>
        <w:t>8</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F.</w:t>
      </w:r>
      <w:r w:rsidRPr="00E75125">
        <w:rPr>
          <w:rFonts w:eastAsia="MS Mincho"/>
          <w:bCs/>
        </w:rPr>
        <w:tab/>
        <w:t>Adoption of the agenda</w:t>
      </w:r>
      <w:r w:rsidRPr="00E75125">
        <w:rPr>
          <w:rFonts w:eastAsia="MS Mincho"/>
          <w:bCs/>
        </w:rPr>
        <w:tab/>
      </w:r>
      <w:r w:rsidRPr="00E75125">
        <w:rPr>
          <w:rFonts w:eastAsia="MS Mincho"/>
          <w:bCs/>
        </w:rPr>
        <w:tab/>
      </w:r>
      <w:r w:rsidR="003B4B74">
        <w:rPr>
          <w:rFonts w:eastAsia="MS Mincho"/>
          <w:bCs/>
        </w:rPr>
        <w:t>8</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G.</w:t>
      </w:r>
      <w:r w:rsidRPr="00E75125">
        <w:rPr>
          <w:rFonts w:eastAsia="MS Mincho"/>
          <w:bCs/>
        </w:rPr>
        <w:tab/>
        <w:t>Organization of work</w:t>
      </w:r>
      <w:r w:rsidRPr="00E75125">
        <w:rPr>
          <w:rFonts w:eastAsia="MS Mincho"/>
          <w:bCs/>
        </w:rPr>
        <w:tab/>
      </w:r>
      <w:r w:rsidRPr="00E75125">
        <w:rPr>
          <w:rFonts w:eastAsia="MS Mincho"/>
          <w:bCs/>
        </w:rPr>
        <w:tab/>
      </w:r>
      <w:r w:rsidR="003B4B74">
        <w:rPr>
          <w:rFonts w:eastAsia="MS Mincho"/>
          <w:bCs/>
        </w:rPr>
        <w:t>8</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t>III.</w:t>
      </w:r>
      <w:r w:rsidRPr="00E75125">
        <w:rPr>
          <w:rFonts w:eastAsia="MS Mincho"/>
          <w:bCs/>
        </w:rPr>
        <w:tab/>
        <w:t>Requests addressed to the A</w:t>
      </w:r>
      <w:r w:rsidR="004A7132" w:rsidRPr="00E75125">
        <w:rPr>
          <w:rFonts w:eastAsia="MS Mincho"/>
          <w:bCs/>
        </w:rPr>
        <w:t>dvisory Committee stemming from</w:t>
      </w:r>
      <w:r w:rsidR="004B3756">
        <w:rPr>
          <w:rFonts w:eastAsia="MS Mincho"/>
          <w:bCs/>
        </w:rPr>
        <w:t xml:space="preserve"> </w:t>
      </w:r>
      <w:r w:rsidR="004B3756">
        <w:rPr>
          <w:rFonts w:eastAsia="MS Mincho"/>
          <w:bCs/>
        </w:rPr>
        <w:br/>
      </w:r>
      <w:r w:rsidR="004B3756">
        <w:rPr>
          <w:rFonts w:eastAsia="MS Mincho"/>
          <w:bCs/>
        </w:rPr>
        <w:tab/>
      </w:r>
      <w:r w:rsidR="004B3756">
        <w:rPr>
          <w:rFonts w:eastAsia="MS Mincho"/>
          <w:bCs/>
        </w:rPr>
        <w:tab/>
      </w:r>
      <w:r w:rsidRPr="00E75125">
        <w:rPr>
          <w:rFonts w:eastAsia="MS Mincho"/>
          <w:bCs/>
        </w:rPr>
        <w:t>Human Rights Council resolutions</w:t>
      </w:r>
      <w:r w:rsidRPr="00E75125">
        <w:rPr>
          <w:rFonts w:eastAsia="MS Mincho"/>
          <w:bCs/>
        </w:rPr>
        <w:tab/>
      </w:r>
      <w:r w:rsidR="004B3756">
        <w:rPr>
          <w:rFonts w:eastAsia="MS Mincho"/>
          <w:bCs/>
        </w:rPr>
        <w:tab/>
      </w:r>
      <w:r w:rsidR="003B4B74">
        <w:rPr>
          <w:rFonts w:eastAsia="MS Mincho"/>
          <w:bCs/>
        </w:rPr>
        <w:t>8</w:t>
      </w:r>
    </w:p>
    <w:p w:rsidR="0043289A" w:rsidRDefault="0043289A" w:rsidP="0043289A">
      <w:pPr>
        <w:pStyle w:val="ListParagraph"/>
        <w:numPr>
          <w:ilvl w:val="0"/>
          <w:numId w:val="38"/>
        </w:numPr>
        <w:tabs>
          <w:tab w:val="right" w:pos="850"/>
          <w:tab w:val="left" w:pos="1134"/>
          <w:tab w:val="left" w:pos="1559"/>
          <w:tab w:val="left" w:pos="1984"/>
          <w:tab w:val="left" w:leader="dot" w:pos="8929"/>
          <w:tab w:val="right" w:pos="9638"/>
        </w:tabs>
        <w:spacing w:after="120" w:line="360" w:lineRule="auto"/>
        <w:ind w:left="1497" w:hanging="357"/>
        <w:rPr>
          <w:rFonts w:ascii="Times New Roman" w:eastAsia="MS Mincho" w:hAnsi="Times New Roman" w:cs="Times New Roman"/>
          <w:bCs/>
          <w:sz w:val="20"/>
          <w:szCs w:val="20"/>
          <w:lang w:val="en-GB"/>
        </w:rPr>
      </w:pPr>
      <w:r>
        <w:rPr>
          <w:rFonts w:ascii="Times New Roman" w:eastAsia="MS Mincho" w:hAnsi="Times New Roman" w:cs="Times New Roman"/>
          <w:bCs/>
          <w:sz w:val="20"/>
          <w:szCs w:val="20"/>
          <w:lang w:val="en-GB"/>
        </w:rPr>
        <w:t xml:space="preserve"> </w:t>
      </w:r>
      <w:r w:rsidR="006F326E" w:rsidRPr="0043289A">
        <w:rPr>
          <w:rFonts w:ascii="Times New Roman" w:eastAsia="MS Mincho" w:hAnsi="Times New Roman" w:cs="Times New Roman"/>
          <w:bCs/>
          <w:sz w:val="20"/>
          <w:szCs w:val="20"/>
          <w:lang w:val="en-GB"/>
        </w:rPr>
        <w:t>Requests currently under consideration by the Committee</w:t>
      </w:r>
      <w:r w:rsidR="006F326E" w:rsidRPr="0043289A">
        <w:rPr>
          <w:rFonts w:ascii="Times New Roman" w:eastAsia="MS Mincho" w:hAnsi="Times New Roman" w:cs="Times New Roman"/>
          <w:bCs/>
          <w:sz w:val="20"/>
          <w:szCs w:val="20"/>
          <w:lang w:val="en-GB"/>
        </w:rPr>
        <w:tab/>
      </w:r>
      <w:r w:rsidR="003B4B74">
        <w:rPr>
          <w:rFonts w:ascii="Times New Roman" w:eastAsia="MS Mincho" w:hAnsi="Times New Roman" w:cs="Times New Roman"/>
          <w:bCs/>
          <w:sz w:val="20"/>
          <w:szCs w:val="20"/>
          <w:lang w:val="en-GB"/>
        </w:rPr>
        <w:tab/>
        <w:t>8</w:t>
      </w:r>
    </w:p>
    <w:p w:rsidR="006F326E" w:rsidRPr="0043289A" w:rsidRDefault="0043289A" w:rsidP="0043289A">
      <w:pPr>
        <w:pStyle w:val="ListParagraph"/>
        <w:numPr>
          <w:ilvl w:val="0"/>
          <w:numId w:val="38"/>
        </w:numPr>
        <w:tabs>
          <w:tab w:val="right" w:pos="850"/>
          <w:tab w:val="left" w:pos="1134"/>
          <w:tab w:val="left" w:pos="1559"/>
          <w:tab w:val="left" w:pos="1984"/>
          <w:tab w:val="left" w:leader="dot" w:pos="8929"/>
          <w:tab w:val="right" w:pos="9638"/>
        </w:tabs>
        <w:spacing w:after="120" w:line="360" w:lineRule="auto"/>
        <w:ind w:left="1497" w:hanging="357"/>
        <w:rPr>
          <w:rFonts w:ascii="Times New Roman" w:eastAsia="MS Mincho" w:hAnsi="Times New Roman" w:cs="Times New Roman"/>
          <w:bCs/>
          <w:sz w:val="20"/>
          <w:szCs w:val="20"/>
          <w:lang w:val="en-GB"/>
        </w:rPr>
      </w:pPr>
      <w:r>
        <w:rPr>
          <w:rFonts w:ascii="Times New Roman" w:eastAsia="MS Mincho" w:hAnsi="Times New Roman" w:cs="Times New Roman"/>
          <w:bCs/>
          <w:sz w:val="20"/>
          <w:szCs w:val="20"/>
          <w:lang w:val="en-GB"/>
        </w:rPr>
        <w:t xml:space="preserve"> </w:t>
      </w:r>
      <w:r w:rsidRPr="0043289A">
        <w:rPr>
          <w:rFonts w:ascii="Times New Roman" w:eastAsia="MS Mincho" w:hAnsi="Times New Roman" w:cs="Times New Roman"/>
          <w:bCs/>
          <w:sz w:val="20"/>
          <w:szCs w:val="20"/>
          <w:lang w:val="en-GB"/>
        </w:rPr>
        <w:t>Follow-up to reports submitted to the Human Rights Council</w:t>
      </w:r>
      <w:r w:rsidR="006F326E" w:rsidRPr="0043289A">
        <w:rPr>
          <w:rFonts w:ascii="Times New Roman" w:eastAsia="MS Mincho" w:hAnsi="Times New Roman" w:cs="Times New Roman"/>
          <w:bCs/>
          <w:sz w:val="20"/>
          <w:szCs w:val="20"/>
          <w:lang w:val="en-GB"/>
        </w:rPr>
        <w:tab/>
      </w:r>
      <w:r w:rsidR="003B4B74">
        <w:rPr>
          <w:rFonts w:ascii="Times New Roman" w:eastAsia="MS Mincho" w:hAnsi="Times New Roman" w:cs="Times New Roman"/>
          <w:bCs/>
          <w:sz w:val="20"/>
          <w:szCs w:val="20"/>
          <w:lang w:val="en-GB"/>
        </w:rPr>
        <w:tab/>
        <w:t>10</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t>IV.</w:t>
      </w:r>
      <w:r w:rsidRPr="00E75125">
        <w:rPr>
          <w:rFonts w:eastAsia="MS Mincho"/>
          <w:bCs/>
        </w:rPr>
        <w:tab/>
        <w:t xml:space="preserve">Implementation of sections III and IV of the annex to Human Rights Council </w:t>
      </w:r>
      <w:r w:rsidR="008733A2" w:rsidRPr="00E75125">
        <w:rPr>
          <w:rFonts w:eastAsia="MS Mincho"/>
          <w:bCs/>
        </w:rPr>
        <w:br/>
      </w:r>
      <w:r w:rsidR="004B3756">
        <w:rPr>
          <w:rFonts w:eastAsia="MS Mincho"/>
          <w:bCs/>
        </w:rPr>
        <w:tab/>
      </w:r>
      <w:r w:rsidR="004B3756">
        <w:rPr>
          <w:rFonts w:eastAsia="MS Mincho"/>
          <w:bCs/>
        </w:rPr>
        <w:tab/>
      </w:r>
      <w:r w:rsidRPr="00E75125">
        <w:rPr>
          <w:rFonts w:eastAsia="MS Mincho"/>
          <w:bCs/>
        </w:rPr>
        <w:t xml:space="preserve">resolution 5/1 of 18 June 2007 and of section III of the annex to </w:t>
      </w:r>
      <w:r w:rsidR="00D55F6D" w:rsidRPr="00E75125">
        <w:rPr>
          <w:rFonts w:eastAsia="MS Mincho"/>
          <w:bCs/>
        </w:rPr>
        <w:br/>
      </w:r>
      <w:r w:rsidR="004B3756">
        <w:rPr>
          <w:rFonts w:eastAsia="MS Mincho"/>
          <w:bCs/>
        </w:rPr>
        <w:tab/>
      </w:r>
      <w:r w:rsidR="004B3756">
        <w:rPr>
          <w:rFonts w:eastAsia="MS Mincho"/>
          <w:bCs/>
        </w:rPr>
        <w:tab/>
      </w:r>
      <w:r w:rsidRPr="00E75125">
        <w:rPr>
          <w:rFonts w:eastAsia="MS Mincho"/>
          <w:bCs/>
        </w:rPr>
        <w:t>Council</w:t>
      </w:r>
      <w:r w:rsidR="00D55F6D" w:rsidRPr="00E75125">
        <w:rPr>
          <w:rFonts w:eastAsia="MS Mincho"/>
          <w:bCs/>
        </w:rPr>
        <w:t xml:space="preserve"> </w:t>
      </w:r>
      <w:r w:rsidRPr="00E75125">
        <w:rPr>
          <w:rFonts w:eastAsia="MS Mincho"/>
          <w:bCs/>
        </w:rPr>
        <w:t>resolution 16/21 of 25 March 2011</w:t>
      </w:r>
      <w:r w:rsidRPr="00E75125">
        <w:rPr>
          <w:rFonts w:eastAsia="MS Mincho"/>
          <w:bCs/>
        </w:rPr>
        <w:tab/>
      </w:r>
      <w:r w:rsidRPr="00E75125">
        <w:rPr>
          <w:rFonts w:eastAsia="MS Mincho"/>
          <w:bCs/>
        </w:rPr>
        <w:tab/>
      </w:r>
      <w:r w:rsidR="003B4B74">
        <w:rPr>
          <w:rFonts w:eastAsia="MS Mincho"/>
          <w:bCs/>
        </w:rPr>
        <w:t>10</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r>
      <w:r w:rsidRPr="00E75125">
        <w:rPr>
          <w:rFonts w:eastAsia="MS Mincho"/>
          <w:bCs/>
        </w:rPr>
        <w:tab/>
        <w:t>A.</w:t>
      </w:r>
      <w:r w:rsidRPr="00E75125">
        <w:rPr>
          <w:rFonts w:eastAsia="MS Mincho"/>
          <w:bCs/>
        </w:rPr>
        <w:tab/>
        <w:t>Review of methods of work</w:t>
      </w:r>
      <w:r w:rsidRPr="00E75125">
        <w:rPr>
          <w:rFonts w:eastAsia="MS Mincho"/>
          <w:bCs/>
        </w:rPr>
        <w:tab/>
      </w:r>
      <w:r w:rsidRPr="00E75125">
        <w:rPr>
          <w:rFonts w:eastAsia="MS Mincho"/>
          <w:bCs/>
        </w:rPr>
        <w:tab/>
      </w:r>
      <w:r w:rsidR="003B4B74">
        <w:rPr>
          <w:rFonts w:eastAsia="MS Mincho"/>
          <w:bCs/>
        </w:rPr>
        <w:t>10</w:t>
      </w:r>
    </w:p>
    <w:p w:rsidR="006F326E" w:rsidRPr="00E75125" w:rsidRDefault="006F326E" w:rsidP="007C5719">
      <w:pPr>
        <w:tabs>
          <w:tab w:val="right" w:pos="850"/>
          <w:tab w:val="left" w:pos="1134"/>
          <w:tab w:val="left" w:pos="1559"/>
          <w:tab w:val="left" w:pos="1984"/>
          <w:tab w:val="left" w:leader="dot" w:pos="8929"/>
          <w:tab w:val="right" w:pos="9638"/>
        </w:tabs>
        <w:spacing w:after="120"/>
      </w:pPr>
      <w:r w:rsidRPr="00E75125">
        <w:rPr>
          <w:rFonts w:eastAsia="MS Mincho"/>
          <w:bCs/>
        </w:rPr>
        <w:tab/>
      </w:r>
      <w:r w:rsidRPr="00E75125">
        <w:rPr>
          <w:rFonts w:eastAsia="MS Mincho"/>
          <w:bCs/>
        </w:rPr>
        <w:tab/>
        <w:t>B</w:t>
      </w:r>
      <w:r w:rsidRPr="00E75125">
        <w:t>.</w:t>
      </w:r>
      <w:r w:rsidRPr="00E75125">
        <w:tab/>
        <w:t>Agenda and annual programme of work, including new priorities</w:t>
      </w:r>
      <w:r w:rsidRPr="00E75125">
        <w:tab/>
      </w:r>
      <w:r w:rsidRPr="00E75125">
        <w:tab/>
      </w:r>
      <w:r w:rsidR="003B4B74">
        <w:t>10</w:t>
      </w:r>
    </w:p>
    <w:p w:rsidR="006F326E" w:rsidRPr="00E75125"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tab/>
      </w:r>
      <w:r w:rsidRPr="00E75125">
        <w:rPr>
          <w:rFonts w:eastAsia="MS Mincho"/>
          <w:bCs/>
        </w:rPr>
        <w:t>V.</w:t>
      </w:r>
      <w:r w:rsidRPr="00E75125">
        <w:rPr>
          <w:rFonts w:eastAsia="MS Mincho"/>
          <w:bCs/>
        </w:rPr>
        <w:tab/>
        <w:t xml:space="preserve">Report of the Advisory Committee on its </w:t>
      </w:r>
      <w:r w:rsidR="00DC463C">
        <w:rPr>
          <w:rFonts w:eastAsia="MS Mincho"/>
          <w:bCs/>
        </w:rPr>
        <w:t>eigh</w:t>
      </w:r>
      <w:r w:rsidR="008B280F" w:rsidRPr="00E75125">
        <w:rPr>
          <w:rFonts w:eastAsia="MS Mincho"/>
          <w:bCs/>
        </w:rPr>
        <w:t>teen</w:t>
      </w:r>
      <w:r w:rsidRPr="00E75125">
        <w:rPr>
          <w:rFonts w:eastAsia="MS Mincho"/>
          <w:bCs/>
        </w:rPr>
        <w:t>th session</w:t>
      </w:r>
      <w:r w:rsidRPr="00E75125">
        <w:rPr>
          <w:rFonts w:eastAsia="MS Mincho"/>
          <w:bCs/>
        </w:rPr>
        <w:tab/>
      </w:r>
      <w:r w:rsidRPr="00E75125">
        <w:rPr>
          <w:rFonts w:eastAsia="MS Mincho"/>
          <w:bCs/>
        </w:rPr>
        <w:tab/>
      </w:r>
      <w:r w:rsidR="003B4B74">
        <w:rPr>
          <w:rFonts w:eastAsia="MS Mincho"/>
          <w:bCs/>
        </w:rPr>
        <w:t>11</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rPr>
          <w:rFonts w:eastAsia="MS Mincho"/>
          <w:bCs/>
        </w:rPr>
        <w:tab/>
        <w:t>Annexes</w:t>
      </w:r>
    </w:p>
    <w:p w:rsidR="006F326E" w:rsidRPr="00E75125" w:rsidRDefault="00CA092E" w:rsidP="007C5719">
      <w:pPr>
        <w:tabs>
          <w:tab w:val="right" w:pos="850"/>
          <w:tab w:val="left" w:pos="1134"/>
          <w:tab w:val="left" w:pos="1559"/>
          <w:tab w:val="left" w:pos="1984"/>
          <w:tab w:val="left" w:leader="dot" w:pos="8929"/>
          <w:tab w:val="right" w:pos="9638"/>
        </w:tabs>
        <w:spacing w:after="120"/>
        <w:rPr>
          <w:rFonts w:eastAsia="MS Mincho"/>
          <w:bCs/>
        </w:rPr>
      </w:pPr>
      <w:r>
        <w:rPr>
          <w:rFonts w:eastAsia="MS Mincho"/>
          <w:bCs/>
        </w:rPr>
        <w:tab/>
      </w:r>
      <w:r w:rsidR="006F326E" w:rsidRPr="00E75125">
        <w:rPr>
          <w:rFonts w:eastAsia="MS Mincho"/>
          <w:bCs/>
        </w:rPr>
        <w:t>I.</w:t>
      </w:r>
      <w:r w:rsidR="006F326E" w:rsidRPr="00E75125">
        <w:rPr>
          <w:rFonts w:eastAsia="MS Mincho"/>
          <w:bCs/>
        </w:rPr>
        <w:tab/>
        <w:t>List of speakers</w:t>
      </w:r>
      <w:r w:rsidR="006F326E" w:rsidRPr="00E75125">
        <w:rPr>
          <w:rFonts w:eastAsia="MS Mincho"/>
          <w:bCs/>
        </w:rPr>
        <w:tab/>
      </w:r>
      <w:r w:rsidR="008944AD">
        <w:rPr>
          <w:rFonts w:eastAsia="MS Mincho"/>
          <w:bCs/>
        </w:rPr>
        <w:tab/>
      </w:r>
      <w:r w:rsidR="003B4B74">
        <w:rPr>
          <w:rFonts w:eastAsia="MS Mincho"/>
          <w:bCs/>
        </w:rPr>
        <w:t>12</w:t>
      </w:r>
    </w:p>
    <w:p w:rsidR="00A36CC6" w:rsidRDefault="006F326E" w:rsidP="007C5719">
      <w:pPr>
        <w:tabs>
          <w:tab w:val="right" w:pos="850"/>
          <w:tab w:val="left" w:pos="1134"/>
          <w:tab w:val="left" w:pos="1559"/>
          <w:tab w:val="left" w:pos="1984"/>
          <w:tab w:val="left" w:leader="dot" w:pos="8929"/>
          <w:tab w:val="right" w:pos="9638"/>
        </w:tabs>
        <w:spacing w:after="120"/>
        <w:rPr>
          <w:rFonts w:eastAsia="MS Mincho"/>
          <w:bCs/>
        </w:rPr>
      </w:pPr>
      <w:r w:rsidRPr="00E75125">
        <w:rPr>
          <w:rFonts w:eastAsia="MS Mincho"/>
          <w:bCs/>
        </w:rPr>
        <w:tab/>
        <w:t>II.</w:t>
      </w:r>
      <w:r w:rsidRPr="00E75125">
        <w:rPr>
          <w:rFonts w:eastAsia="MS Mincho"/>
          <w:bCs/>
        </w:rPr>
        <w:tab/>
        <w:t xml:space="preserve">List of documents issued for the </w:t>
      </w:r>
      <w:r w:rsidR="00313123">
        <w:rPr>
          <w:rFonts w:eastAsia="MS Mincho"/>
          <w:bCs/>
        </w:rPr>
        <w:t>eighteenth</w:t>
      </w:r>
      <w:r w:rsidR="00313123" w:rsidRPr="00E75125">
        <w:rPr>
          <w:rFonts w:eastAsia="MS Mincho"/>
          <w:bCs/>
        </w:rPr>
        <w:t xml:space="preserve"> </w:t>
      </w:r>
      <w:r w:rsidRPr="00E75125">
        <w:rPr>
          <w:rFonts w:eastAsia="MS Mincho"/>
          <w:bCs/>
        </w:rPr>
        <w:t>session of the Advisory Committee</w:t>
      </w:r>
      <w:r w:rsidRPr="00E75125">
        <w:rPr>
          <w:rFonts w:eastAsia="MS Mincho"/>
          <w:bCs/>
        </w:rPr>
        <w:tab/>
      </w:r>
      <w:r w:rsidR="008944AD">
        <w:rPr>
          <w:rFonts w:eastAsia="MS Mincho"/>
          <w:bCs/>
        </w:rPr>
        <w:tab/>
      </w:r>
      <w:r w:rsidR="003B4B74">
        <w:rPr>
          <w:rFonts w:eastAsia="MS Mincho"/>
          <w:bCs/>
        </w:rPr>
        <w:t>14</w:t>
      </w:r>
    </w:p>
    <w:p w:rsidR="001C60F6" w:rsidRDefault="00D63EC8" w:rsidP="00863930">
      <w:pPr>
        <w:tabs>
          <w:tab w:val="right" w:pos="850"/>
          <w:tab w:val="left" w:pos="1134"/>
          <w:tab w:val="left" w:pos="1559"/>
          <w:tab w:val="left" w:pos="1984"/>
          <w:tab w:val="left" w:leader="dot" w:pos="8929"/>
          <w:tab w:val="right" w:pos="9638"/>
        </w:tabs>
        <w:spacing w:after="120"/>
        <w:ind w:left="1134" w:hanging="1134"/>
        <w:rPr>
          <w:rFonts w:eastAsia="MS Mincho"/>
          <w:bCs/>
        </w:rPr>
      </w:pPr>
      <w:r>
        <w:rPr>
          <w:rFonts w:eastAsia="MS Mincho"/>
          <w:bCs/>
        </w:rPr>
        <w:tab/>
        <w:t>I</w:t>
      </w:r>
      <w:r w:rsidR="005D05EB">
        <w:rPr>
          <w:rFonts w:eastAsia="MS Mincho"/>
          <w:bCs/>
        </w:rPr>
        <w:t>II</w:t>
      </w:r>
      <w:r>
        <w:rPr>
          <w:rFonts w:eastAsia="MS Mincho"/>
          <w:bCs/>
        </w:rPr>
        <w:t>.</w:t>
      </w:r>
      <w:r>
        <w:rPr>
          <w:rFonts w:eastAsia="MS Mincho"/>
          <w:bCs/>
        </w:rPr>
        <w:tab/>
      </w:r>
      <w:r w:rsidR="001C60F6">
        <w:rPr>
          <w:rFonts w:eastAsia="MS Mincho"/>
          <w:bCs/>
        </w:rPr>
        <w:t>Research proposals</w:t>
      </w:r>
      <w:r w:rsidR="00B07F6E">
        <w:rPr>
          <w:rFonts w:eastAsia="MS Mincho"/>
          <w:bCs/>
        </w:rPr>
        <w:tab/>
      </w:r>
      <w:r w:rsidR="008944AD">
        <w:rPr>
          <w:rFonts w:eastAsia="MS Mincho"/>
          <w:bCs/>
        </w:rPr>
        <w:tab/>
      </w:r>
      <w:r w:rsidR="003B4B74">
        <w:rPr>
          <w:rFonts w:eastAsia="MS Mincho"/>
          <w:bCs/>
        </w:rPr>
        <w:t>16</w:t>
      </w:r>
    </w:p>
    <w:p w:rsidR="00031B9B" w:rsidRDefault="00A36CC6" w:rsidP="00795503">
      <w:pPr>
        <w:pStyle w:val="HChG"/>
        <w:rPr>
          <w:rFonts w:eastAsia="SimSun"/>
          <w:lang w:eastAsia="ar-SA"/>
        </w:rPr>
      </w:pPr>
      <w:r w:rsidRPr="00E75125">
        <w:rPr>
          <w:rFonts w:eastAsia="MS Mincho"/>
        </w:rPr>
        <w:br w:type="page"/>
      </w:r>
      <w:r w:rsidR="00E75125" w:rsidRPr="00E75125">
        <w:rPr>
          <w:rFonts w:eastAsia="MS Mincho"/>
          <w:b w:val="0"/>
        </w:rPr>
        <w:lastRenderedPageBreak/>
        <w:tab/>
      </w:r>
      <w:r w:rsidR="00E75125" w:rsidRPr="001C6ED8">
        <w:rPr>
          <w:rFonts w:eastAsia="MS Mincho"/>
        </w:rPr>
        <w:t>I</w:t>
      </w:r>
      <w:r w:rsidR="00E75125" w:rsidRPr="00E75125">
        <w:rPr>
          <w:rFonts w:eastAsia="MS Mincho"/>
        </w:rPr>
        <w:t>.</w:t>
      </w:r>
      <w:r w:rsidR="00E75125" w:rsidRPr="00E75125">
        <w:rPr>
          <w:rFonts w:eastAsia="MS Mincho"/>
        </w:rPr>
        <w:tab/>
      </w:r>
      <w:r w:rsidRPr="00E75125">
        <w:rPr>
          <w:rFonts w:eastAsia="MS Mincho"/>
        </w:rPr>
        <w:t>Action taken by the</w:t>
      </w:r>
      <w:r w:rsidR="00281FD0" w:rsidRPr="00E75125">
        <w:rPr>
          <w:rFonts w:eastAsia="MS Mincho"/>
        </w:rPr>
        <w:t xml:space="preserve"> Advisory Committee at its </w:t>
      </w:r>
      <w:r w:rsidR="00555372">
        <w:rPr>
          <w:rFonts w:eastAsia="MS Mincho"/>
        </w:rPr>
        <w:t>eighteenth</w:t>
      </w:r>
      <w:r w:rsidR="00555372" w:rsidRPr="00E75125">
        <w:rPr>
          <w:rFonts w:eastAsia="MS Mincho"/>
        </w:rPr>
        <w:t xml:space="preserve"> </w:t>
      </w:r>
      <w:r w:rsidRPr="00E75125">
        <w:rPr>
          <w:rFonts w:eastAsia="MS Mincho"/>
        </w:rPr>
        <w:t>session</w:t>
      </w:r>
    </w:p>
    <w:p w:rsidR="00C23BDE" w:rsidRDefault="00C23BDE" w:rsidP="00C23BDE">
      <w:pPr>
        <w:pStyle w:val="H1G"/>
        <w:tabs>
          <w:tab w:val="left" w:pos="1985"/>
        </w:tabs>
        <w:ind w:left="1974" w:hanging="840"/>
        <w:rPr>
          <w:szCs w:val="24"/>
        </w:rPr>
      </w:pPr>
      <w:r>
        <w:t xml:space="preserve">18/1. </w:t>
      </w:r>
      <w:r>
        <w:tab/>
        <w:t>Elimination of discrimination against persons affected by leprosy, and their family members</w:t>
      </w:r>
    </w:p>
    <w:p w:rsidR="00C23BDE" w:rsidRDefault="00C23BDE" w:rsidP="00C23BDE">
      <w:pPr>
        <w:pStyle w:val="SingleTxtG"/>
      </w:pPr>
      <w:r>
        <w:rPr>
          <w:i/>
          <w:iCs/>
        </w:rPr>
        <w:tab/>
        <w:t>The Human Rights Council Advisory Committee</w:t>
      </w:r>
      <w:r>
        <w:t>,</w:t>
      </w:r>
    </w:p>
    <w:p w:rsidR="00C23BDE" w:rsidRDefault="00C23BDE" w:rsidP="00C23BDE">
      <w:pPr>
        <w:pStyle w:val="SingleTxtG"/>
        <w:tabs>
          <w:tab w:val="left" w:pos="4962"/>
        </w:tabs>
        <w:ind w:firstLine="567"/>
      </w:pPr>
      <w:r>
        <w:rPr>
          <w:i/>
          <w:iCs/>
        </w:rPr>
        <w:t>Recalling</w:t>
      </w:r>
      <w:r>
        <w:t xml:space="preserve"> Human Rights Council resolution </w:t>
      </w:r>
      <w:r>
        <w:rPr>
          <w:bCs/>
        </w:rPr>
        <w:t>29/5 of 2 July 2015, in which the Council requested the Advisory Committee,</w:t>
      </w:r>
      <w:r>
        <w:t xml:space="preserve"> from within existing resources,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Human Rights Council at its thirty-fifth session,</w:t>
      </w:r>
    </w:p>
    <w:p w:rsidR="00C23BDE" w:rsidRDefault="00C23BDE" w:rsidP="00C23BDE">
      <w:pPr>
        <w:pStyle w:val="SingleTxtG"/>
        <w:ind w:firstLine="567"/>
      </w:pPr>
      <w:r>
        <w:rPr>
          <w:i/>
          <w:iCs/>
        </w:rPr>
        <w:t>Recalling also</w:t>
      </w:r>
      <w:r>
        <w:rPr>
          <w:iCs/>
        </w:rPr>
        <w:t xml:space="preserve"> that, at its fifteenth session, the Advisory Committee established a drafting group, currently composed of Laurence </w:t>
      </w:r>
      <w:proofErr w:type="spellStart"/>
      <w:r>
        <w:rPr>
          <w:iCs/>
        </w:rPr>
        <w:t>Boisson</w:t>
      </w:r>
      <w:proofErr w:type="spellEnd"/>
      <w:r>
        <w:rPr>
          <w:iCs/>
        </w:rPr>
        <w:t xml:space="preserve"> de </w:t>
      </w:r>
      <w:proofErr w:type="spellStart"/>
      <w:r>
        <w:rPr>
          <w:iCs/>
        </w:rPr>
        <w:t>Chazournes</w:t>
      </w:r>
      <w:proofErr w:type="spellEnd"/>
      <w:r>
        <w:rPr>
          <w:iCs/>
        </w:rPr>
        <w:t xml:space="preserve">, Mario Luis </w:t>
      </w:r>
      <w:proofErr w:type="spellStart"/>
      <w:r>
        <w:rPr>
          <w:iCs/>
        </w:rPr>
        <w:t>Coriolano</w:t>
      </w:r>
      <w:proofErr w:type="spellEnd"/>
      <w:r>
        <w:rPr>
          <w:iCs/>
        </w:rPr>
        <w:t xml:space="preserve">, Kaoru Obata (Chair), </w:t>
      </w:r>
      <w:proofErr w:type="spellStart"/>
      <w:r>
        <w:rPr>
          <w:iCs/>
        </w:rPr>
        <w:t>Obiora</w:t>
      </w:r>
      <w:proofErr w:type="spellEnd"/>
      <w:r>
        <w:rPr>
          <w:iCs/>
        </w:rPr>
        <w:t xml:space="preserve"> </w:t>
      </w:r>
      <w:proofErr w:type="spellStart"/>
      <w:r>
        <w:rPr>
          <w:iCs/>
        </w:rPr>
        <w:t>Chinedu</w:t>
      </w:r>
      <w:proofErr w:type="spellEnd"/>
      <w:r>
        <w:rPr>
          <w:iCs/>
        </w:rPr>
        <w:t xml:space="preserve"> </w:t>
      </w:r>
      <w:proofErr w:type="spellStart"/>
      <w:r>
        <w:rPr>
          <w:iCs/>
        </w:rPr>
        <w:t>Okafor</w:t>
      </w:r>
      <w:proofErr w:type="spellEnd"/>
      <w:r>
        <w:rPr>
          <w:iCs/>
        </w:rPr>
        <w:t xml:space="preserve">, </w:t>
      </w:r>
      <w:proofErr w:type="spellStart"/>
      <w:r>
        <w:rPr>
          <w:iCs/>
        </w:rPr>
        <w:t>Changrok</w:t>
      </w:r>
      <w:proofErr w:type="spellEnd"/>
      <w:r>
        <w:rPr>
          <w:iCs/>
        </w:rPr>
        <w:t xml:space="preserve"> </w:t>
      </w:r>
      <w:proofErr w:type="spellStart"/>
      <w:r>
        <w:rPr>
          <w:iCs/>
        </w:rPr>
        <w:t>Soh</w:t>
      </w:r>
      <w:proofErr w:type="spellEnd"/>
      <w:r>
        <w:rPr>
          <w:iCs/>
        </w:rPr>
        <w:t xml:space="preserve">, </w:t>
      </w:r>
      <w:proofErr w:type="spellStart"/>
      <w:r>
        <w:rPr>
          <w:iCs/>
        </w:rPr>
        <w:t>Ahmer</w:t>
      </w:r>
      <w:proofErr w:type="spellEnd"/>
      <w:r>
        <w:rPr>
          <w:iCs/>
        </w:rPr>
        <w:t xml:space="preserve"> Bilal </w:t>
      </w:r>
      <w:proofErr w:type="spellStart"/>
      <w:r>
        <w:rPr>
          <w:iCs/>
        </w:rPr>
        <w:t>Soofi</w:t>
      </w:r>
      <w:proofErr w:type="spellEnd"/>
      <w:r>
        <w:rPr>
          <w:iCs/>
        </w:rPr>
        <w:t xml:space="preserve"> and </w:t>
      </w:r>
      <w:proofErr w:type="spellStart"/>
      <w:r>
        <w:rPr>
          <w:iCs/>
        </w:rPr>
        <w:t>Imeru</w:t>
      </w:r>
      <w:proofErr w:type="spellEnd"/>
      <w:r>
        <w:rPr>
          <w:iCs/>
        </w:rPr>
        <w:t xml:space="preserve"> </w:t>
      </w:r>
      <w:proofErr w:type="spellStart"/>
      <w:r>
        <w:rPr>
          <w:iCs/>
        </w:rPr>
        <w:t>Tamrat</w:t>
      </w:r>
      <w:proofErr w:type="spellEnd"/>
      <w:r>
        <w:rPr>
          <w:iCs/>
        </w:rPr>
        <w:t xml:space="preserve"> </w:t>
      </w:r>
      <w:proofErr w:type="spellStart"/>
      <w:r>
        <w:rPr>
          <w:iCs/>
        </w:rPr>
        <w:t>Yigezu</w:t>
      </w:r>
      <w:proofErr w:type="spellEnd"/>
      <w:r>
        <w:rPr>
          <w:iCs/>
        </w:rPr>
        <w:t xml:space="preserve"> (Rapporteur), </w:t>
      </w:r>
      <w:r>
        <w:t>as well as Mr. Liu who joined the drafting group at this session,</w:t>
      </w:r>
    </w:p>
    <w:p w:rsidR="00C23BDE" w:rsidRDefault="00C23BDE" w:rsidP="00C23BDE">
      <w:pPr>
        <w:pStyle w:val="SingleTxtG"/>
        <w:ind w:firstLine="567"/>
        <w:rPr>
          <w:iCs/>
        </w:rPr>
      </w:pPr>
      <w:r>
        <w:rPr>
          <w:i/>
          <w:iCs/>
        </w:rPr>
        <w:t xml:space="preserve">Recalling further </w:t>
      </w:r>
      <w:r>
        <w:rPr>
          <w:iCs/>
        </w:rPr>
        <w:t>that, at its sixteenth session, the Advisory Committee took note of the preliminary report on the implementation of the principles and guidelines for the elimination of discrimination against persons affected by leprosy and their family members submitted by the drafting group to the Advisory Committee,</w:t>
      </w:r>
    </w:p>
    <w:p w:rsidR="00C23BDE" w:rsidRDefault="00C23BDE" w:rsidP="00C23BDE">
      <w:pPr>
        <w:pStyle w:val="SingleTxtG"/>
        <w:ind w:firstLine="567"/>
        <w:rPr>
          <w:iCs/>
        </w:rPr>
      </w:pPr>
      <w:r>
        <w:rPr>
          <w:i/>
          <w:iCs/>
        </w:rPr>
        <w:t xml:space="preserve">Recalling </w:t>
      </w:r>
      <w:r>
        <w:rPr>
          <w:iCs/>
        </w:rPr>
        <w:t>that, at its seventeenth session, the Advisory Committee took note of the progress report on the implementation of the principles and guidelines for the elimination of discrimination against persons affected by leprosy and their family members submitted by the drafting group to the Committee</w:t>
      </w:r>
      <w:r>
        <w:rPr>
          <w:rStyle w:val="FootnoteReference"/>
          <w:iCs/>
        </w:rPr>
        <w:footnoteReference w:id="3"/>
      </w:r>
      <w:r>
        <w:rPr>
          <w:iCs/>
        </w:rPr>
        <w:t xml:space="preserve"> and requested</w:t>
      </w:r>
      <w:r>
        <w:t xml:space="preserve"> the drafting group to submit its draft final report to the Committee at its eighteenth session</w:t>
      </w:r>
      <w:r>
        <w:rPr>
          <w:iCs/>
        </w:rPr>
        <w:t>,</w:t>
      </w:r>
    </w:p>
    <w:p w:rsidR="00C23BDE" w:rsidRDefault="00C23BDE" w:rsidP="00C23BDE">
      <w:pPr>
        <w:pStyle w:val="SingleTxtG"/>
        <w:ind w:firstLine="567"/>
        <w:rPr>
          <w:iCs/>
        </w:rPr>
      </w:pPr>
      <w:r>
        <w:t>1.</w:t>
      </w:r>
      <w:r>
        <w:tab/>
      </w:r>
      <w:r>
        <w:rPr>
          <w:i/>
          <w:iCs/>
        </w:rPr>
        <w:t xml:space="preserve">Takes note </w:t>
      </w:r>
      <w:r>
        <w:rPr>
          <w:iCs/>
        </w:rPr>
        <w:t>of the draft final report on the implementation of the principles and guidelines for the elimination of discrimination against persons affected by leprosy and their family members submitted by the drafting group to the Advisory Committee at its current session;</w:t>
      </w:r>
      <w:r>
        <w:rPr>
          <w:rStyle w:val="FootnoteReference"/>
          <w:iCs/>
        </w:rPr>
        <w:footnoteReference w:id="4"/>
      </w:r>
    </w:p>
    <w:p w:rsidR="00C23BDE" w:rsidRDefault="00C23BDE" w:rsidP="00C23BDE">
      <w:pPr>
        <w:pStyle w:val="SingleTxtG"/>
      </w:pPr>
      <w:r>
        <w:tab/>
        <w:t xml:space="preserve">2. </w:t>
      </w:r>
      <w:r>
        <w:tab/>
      </w:r>
      <w:r>
        <w:rPr>
          <w:i/>
        </w:rPr>
        <w:t xml:space="preserve">Adopts </w:t>
      </w:r>
      <w:r>
        <w:t>the draft final report ad referendum and entrusts the Rapporteur with its finalization, with a view to submitting the final report to the Council at its thirty-fifth session.</w:t>
      </w:r>
    </w:p>
    <w:p w:rsidR="00C23BDE" w:rsidRDefault="00C23BDE" w:rsidP="00C23BDE">
      <w:pPr>
        <w:pStyle w:val="SingleTxtG"/>
        <w:spacing w:after="0"/>
        <w:jc w:val="right"/>
        <w:rPr>
          <w:rFonts w:eastAsia="SimSun"/>
          <w:i/>
          <w:lang w:eastAsia="ar-SA"/>
        </w:rPr>
      </w:pPr>
      <w:r>
        <w:rPr>
          <w:rFonts w:eastAsia="SimSun"/>
          <w:i/>
          <w:lang w:eastAsia="ar-SA"/>
        </w:rPr>
        <w:t>9th meeting</w:t>
      </w:r>
    </w:p>
    <w:p w:rsidR="00C23BDE" w:rsidRDefault="00C23BDE" w:rsidP="00C23BDE">
      <w:pPr>
        <w:pStyle w:val="SingleTxtG"/>
        <w:spacing w:after="0"/>
        <w:jc w:val="right"/>
        <w:rPr>
          <w:rFonts w:eastAsia="SimSun"/>
          <w:i/>
          <w:lang w:eastAsia="ar-SA"/>
        </w:rPr>
      </w:pPr>
      <w:r>
        <w:rPr>
          <w:rFonts w:eastAsia="SimSun"/>
          <w:i/>
          <w:lang w:eastAsia="ar-SA"/>
        </w:rPr>
        <w:t>24 February 2017</w:t>
      </w:r>
    </w:p>
    <w:p w:rsidR="00C23BDE" w:rsidRDefault="00C23BDE" w:rsidP="00C23BDE">
      <w:pPr>
        <w:pStyle w:val="SingleTxtG"/>
        <w:rPr>
          <w:rFonts w:eastAsia="SimSun"/>
          <w:lang w:eastAsia="ar-SA"/>
        </w:rPr>
      </w:pPr>
      <w:proofErr w:type="gramStart"/>
      <w:r>
        <w:rPr>
          <w:rFonts w:eastAsia="SimSun"/>
          <w:sz w:val="18"/>
          <w:lang w:eastAsia="ar-SA"/>
        </w:rPr>
        <w:t>[</w:t>
      </w:r>
      <w:r>
        <w:rPr>
          <w:rFonts w:eastAsia="SimSun"/>
          <w:lang w:eastAsia="ar-SA"/>
        </w:rPr>
        <w:t>Adopted without a vote.]</w:t>
      </w:r>
      <w:proofErr w:type="gramEnd"/>
    </w:p>
    <w:p w:rsidR="00C23BDE" w:rsidRDefault="00C23BDE" w:rsidP="00C23BDE">
      <w:pPr>
        <w:pStyle w:val="H1G"/>
        <w:tabs>
          <w:tab w:val="left" w:pos="1985"/>
        </w:tabs>
        <w:ind w:left="1974" w:hanging="840"/>
        <w:rPr>
          <w:szCs w:val="24"/>
        </w:rPr>
      </w:pPr>
      <w:r>
        <w:lastRenderedPageBreak/>
        <w:t xml:space="preserve">18/2. </w:t>
      </w:r>
      <w:r>
        <w:tab/>
        <w:t>Regional arrangements for the promotion and protection of human rights</w:t>
      </w:r>
    </w:p>
    <w:p w:rsidR="00C23BDE" w:rsidRDefault="00C23BDE" w:rsidP="00C23BDE">
      <w:pPr>
        <w:pStyle w:val="SingleTxtG"/>
      </w:pPr>
      <w:r>
        <w:rPr>
          <w:i/>
          <w:iCs/>
        </w:rPr>
        <w:tab/>
        <w:t>The Human Rights Council Advisory Committee</w:t>
      </w:r>
      <w:r>
        <w:t>,</w:t>
      </w:r>
    </w:p>
    <w:p w:rsidR="00C23BDE" w:rsidRDefault="00C23BDE" w:rsidP="00C23BDE">
      <w:pPr>
        <w:pStyle w:val="SingleTxtG"/>
        <w:ind w:firstLine="567"/>
        <w:rPr>
          <w:rFonts w:eastAsia="SimSun"/>
        </w:rPr>
      </w:pPr>
      <w:r>
        <w:rPr>
          <w:i/>
          <w:iCs/>
        </w:rPr>
        <w:t>Recalling</w:t>
      </w:r>
      <w:r>
        <w:t xml:space="preserve"> Human Rights Council decision 32/115 of 30 June 2016 </w:t>
      </w:r>
      <w:r>
        <w:rPr>
          <w:bCs/>
        </w:rPr>
        <w:t>in which the Council requested the Advisory Committee t</w:t>
      </w:r>
      <w:r>
        <w:rPr>
          <w:rFonts w:eastAsia="SimSun"/>
        </w:rPr>
        <w:t xml:space="preserve">o </w:t>
      </w:r>
      <w:r>
        <w:t xml:space="preserve">prepare a report on regional arrangements for the promotion and protection of human rights, in particular on the progress made in the establishment of regional and </w:t>
      </w:r>
      <w:proofErr w:type="spellStart"/>
      <w:r>
        <w:t>subregional</w:t>
      </w:r>
      <w:proofErr w:type="spellEnd"/>
      <w:r>
        <w:t xml:space="preserve"> arrangements for the promotion and protection of human rights, and their achievements in all regions of the world, and on the role played by the Office of the United Nations High Commissioner for Human Rights,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w:t>
      </w:r>
      <w:r>
        <w:rPr>
          <w:rFonts w:eastAsia="SimSun"/>
        </w:rPr>
        <w:t xml:space="preserve">ional human rights instruments, and to submit the report to the Human Rights Council before its thirty-ninth session, </w:t>
      </w:r>
    </w:p>
    <w:p w:rsidR="00C23BDE" w:rsidRDefault="00C23BDE" w:rsidP="00C23BDE">
      <w:pPr>
        <w:pStyle w:val="SingleTxtG"/>
      </w:pPr>
      <w:r>
        <w:tab/>
      </w:r>
      <w:r>
        <w:rPr>
          <w:i/>
        </w:rPr>
        <w:t>Recalling also</w:t>
      </w:r>
      <w:r>
        <w:t xml:space="preserve"> that the Human Rights Council encouraged the Advisory Committee, when preparing the above-mentioned report, to take into account the views of Member States, as appropriate, relevant international and regional organizations, the Office of the High Commissioner, national human rights institutions and non-governmental organizations and other relevant stakeholders, </w:t>
      </w:r>
    </w:p>
    <w:p w:rsidR="00C23BDE" w:rsidRDefault="00C23BDE" w:rsidP="00C23BDE">
      <w:pPr>
        <w:pStyle w:val="SingleTxtG"/>
      </w:pPr>
      <w:r>
        <w:rPr>
          <w:i/>
        </w:rPr>
        <w:tab/>
        <w:t xml:space="preserve">Recalling further </w:t>
      </w:r>
      <w:r>
        <w:t xml:space="preserve">that, at its seventeenth session, the Advisory Committee established a drafting group, currently composed of Mohamed </w:t>
      </w:r>
      <w:proofErr w:type="spellStart"/>
      <w:r>
        <w:t>Bennani</w:t>
      </w:r>
      <w:proofErr w:type="spellEnd"/>
      <w:r>
        <w:t xml:space="preserve">, Laurence </w:t>
      </w:r>
      <w:proofErr w:type="spellStart"/>
      <w:r>
        <w:t>Boisson</w:t>
      </w:r>
      <w:proofErr w:type="spellEnd"/>
      <w:r>
        <w:t xml:space="preserve"> de </w:t>
      </w:r>
      <w:proofErr w:type="spellStart"/>
      <w:r>
        <w:t>Chazournes</w:t>
      </w:r>
      <w:proofErr w:type="spellEnd"/>
      <w:r>
        <w:t xml:space="preserve">, Mario Luis </w:t>
      </w:r>
      <w:proofErr w:type="spellStart"/>
      <w:r>
        <w:t>Coriolano</w:t>
      </w:r>
      <w:proofErr w:type="spellEnd"/>
      <w:r>
        <w:t xml:space="preserve">, Carla </w:t>
      </w:r>
      <w:proofErr w:type="spellStart"/>
      <w:r>
        <w:t>Hananía</w:t>
      </w:r>
      <w:proofErr w:type="spellEnd"/>
      <w:r>
        <w:t xml:space="preserve"> de Varela, Mikhail </w:t>
      </w:r>
      <w:proofErr w:type="spellStart"/>
      <w:r>
        <w:t>Lebedev</w:t>
      </w:r>
      <w:proofErr w:type="spellEnd"/>
      <w:r>
        <w:t xml:space="preserve">, Kaoru Obata, Katharina </w:t>
      </w:r>
      <w:proofErr w:type="spellStart"/>
      <w:r>
        <w:t>Pabel</w:t>
      </w:r>
      <w:proofErr w:type="spellEnd"/>
      <w:r>
        <w:t xml:space="preserve"> (Chair), </w:t>
      </w:r>
      <w:proofErr w:type="spellStart"/>
      <w:r>
        <w:t>Anantonia</w:t>
      </w:r>
      <w:proofErr w:type="spellEnd"/>
      <w:r>
        <w:t xml:space="preserve"> Reyes Prado, </w:t>
      </w:r>
      <w:proofErr w:type="spellStart"/>
      <w:r>
        <w:t>Changrok</w:t>
      </w:r>
      <w:proofErr w:type="spellEnd"/>
      <w:r>
        <w:t xml:space="preserve"> </w:t>
      </w:r>
      <w:proofErr w:type="spellStart"/>
      <w:r>
        <w:t>Soh</w:t>
      </w:r>
      <w:proofErr w:type="spellEnd"/>
      <w:r>
        <w:t xml:space="preserve"> (Rapporteur) and </w:t>
      </w:r>
      <w:proofErr w:type="spellStart"/>
      <w:r>
        <w:t>Imeru</w:t>
      </w:r>
      <w:proofErr w:type="spellEnd"/>
      <w:r>
        <w:t xml:space="preserve"> </w:t>
      </w:r>
      <w:proofErr w:type="spellStart"/>
      <w:r>
        <w:t>Tamrat</w:t>
      </w:r>
      <w:proofErr w:type="spellEnd"/>
      <w:r>
        <w:t xml:space="preserve"> </w:t>
      </w:r>
      <w:proofErr w:type="spellStart"/>
      <w:r>
        <w:t>Yigezu</w:t>
      </w:r>
      <w:proofErr w:type="spellEnd"/>
      <w:r>
        <w:t xml:space="preserve">, as well as </w:t>
      </w:r>
      <w:proofErr w:type="spellStart"/>
      <w:r>
        <w:t>Xinsheng</w:t>
      </w:r>
      <w:proofErr w:type="spellEnd"/>
      <w:r>
        <w:t xml:space="preserve"> Liu who joined the drafting group at this session,</w:t>
      </w:r>
    </w:p>
    <w:p w:rsidR="00C23BDE" w:rsidRDefault="00C23BDE" w:rsidP="00C23BDE">
      <w:pPr>
        <w:spacing w:after="120"/>
        <w:ind w:left="1134" w:right="1134" w:firstLine="567"/>
        <w:jc w:val="both"/>
      </w:pPr>
      <w:r>
        <w:t>1.</w:t>
      </w:r>
      <w:r>
        <w:tab/>
      </w:r>
      <w:r>
        <w:rPr>
          <w:i/>
        </w:rPr>
        <w:t xml:space="preserve">Takes note </w:t>
      </w:r>
      <w:r>
        <w:t>of the draft preliminary report on regional arrangements for the promotion and protection of human rights submitted by the drafting group at its current session;</w:t>
      </w:r>
      <w:r>
        <w:rPr>
          <w:rStyle w:val="FootnoteReference"/>
          <w:iCs/>
        </w:rPr>
        <w:footnoteReference w:id="5"/>
      </w:r>
    </w:p>
    <w:p w:rsidR="00C23BDE" w:rsidRDefault="00C23BDE" w:rsidP="00C23BDE">
      <w:pPr>
        <w:spacing w:after="120"/>
        <w:ind w:left="1134" w:right="1134"/>
        <w:jc w:val="both"/>
      </w:pPr>
      <w:r>
        <w:tab/>
        <w:t>2.</w:t>
      </w:r>
      <w:r>
        <w:tab/>
      </w:r>
      <w:r>
        <w:rPr>
          <w:i/>
        </w:rPr>
        <w:t xml:space="preserve">Requests </w:t>
      </w:r>
      <w:r>
        <w:t>the drafting group to recirculate the questionnaire to seek the views of Member States, as appropriate, relevant international and regional organizations, national human rights institutions and non-governmental organizations and other relevant stakeholders that did not respond to the questionnaire, in order to allow for better informed work;</w:t>
      </w:r>
    </w:p>
    <w:p w:rsidR="00C23BDE" w:rsidRDefault="00C23BDE" w:rsidP="00C23BDE">
      <w:pPr>
        <w:spacing w:after="120"/>
        <w:ind w:left="1134" w:right="1134" w:firstLine="567"/>
        <w:jc w:val="both"/>
      </w:pPr>
      <w:r>
        <w:t>3.</w:t>
      </w:r>
      <w:r>
        <w:tab/>
      </w:r>
      <w:r>
        <w:rPr>
          <w:i/>
          <w:iCs/>
        </w:rPr>
        <w:t>Requests</w:t>
      </w:r>
      <w:r>
        <w:t xml:space="preserve"> the drafting group to submit a draft progress report to the Advisory Committee at its nineteenth session, taking into account the discussion held by the Advisory Committee at its current session, with a view to submitting a final report to the Council at its thirty-ninth session.</w:t>
      </w:r>
    </w:p>
    <w:p w:rsidR="00C23BDE" w:rsidRDefault="00C23BDE" w:rsidP="00C23BDE">
      <w:pPr>
        <w:pStyle w:val="SingleTxtG"/>
        <w:spacing w:after="0"/>
        <w:jc w:val="right"/>
        <w:rPr>
          <w:rFonts w:eastAsia="SimSun"/>
          <w:i/>
          <w:lang w:eastAsia="ar-SA"/>
        </w:rPr>
      </w:pPr>
      <w:r>
        <w:tab/>
      </w:r>
      <w:r>
        <w:rPr>
          <w:rFonts w:eastAsia="SimSun"/>
          <w:i/>
          <w:lang w:eastAsia="ar-SA"/>
        </w:rPr>
        <w:t>9th meeting</w:t>
      </w:r>
    </w:p>
    <w:p w:rsidR="00C23BDE" w:rsidRDefault="00C23BDE" w:rsidP="00C23BDE">
      <w:pPr>
        <w:pStyle w:val="SingleTxtG"/>
        <w:spacing w:after="0"/>
        <w:jc w:val="right"/>
        <w:rPr>
          <w:rFonts w:eastAsia="SimSun"/>
          <w:i/>
          <w:lang w:eastAsia="ar-SA"/>
        </w:rPr>
      </w:pPr>
      <w:r>
        <w:rPr>
          <w:rFonts w:eastAsia="SimSun"/>
          <w:i/>
          <w:lang w:eastAsia="ar-SA"/>
        </w:rPr>
        <w:t>24 February 2017</w:t>
      </w:r>
    </w:p>
    <w:p w:rsidR="00C23BDE" w:rsidRDefault="00C23BDE" w:rsidP="00C23BDE">
      <w:pPr>
        <w:pStyle w:val="SingleTxtG"/>
        <w:rPr>
          <w:rFonts w:eastAsia="SimSun"/>
          <w:lang w:eastAsia="ar-SA"/>
        </w:rPr>
      </w:pPr>
      <w:proofErr w:type="gramStart"/>
      <w:r>
        <w:rPr>
          <w:rFonts w:eastAsia="SimSun"/>
          <w:sz w:val="18"/>
          <w:lang w:eastAsia="ar-SA"/>
        </w:rPr>
        <w:t>[</w:t>
      </w:r>
      <w:r>
        <w:rPr>
          <w:rFonts w:eastAsia="SimSun"/>
          <w:lang w:eastAsia="ar-SA"/>
        </w:rPr>
        <w:t>Adopted without a vote.]</w:t>
      </w:r>
      <w:proofErr w:type="gramEnd"/>
    </w:p>
    <w:p w:rsidR="00C23BDE" w:rsidRDefault="00C23BDE" w:rsidP="00C23BDE">
      <w:pPr>
        <w:pStyle w:val="H1G"/>
        <w:tabs>
          <w:tab w:val="left" w:pos="1985"/>
        </w:tabs>
        <w:ind w:left="1974" w:hanging="840"/>
        <w:rPr>
          <w:szCs w:val="24"/>
        </w:rPr>
      </w:pPr>
      <w:r>
        <w:lastRenderedPageBreak/>
        <w:t xml:space="preserve">18/3. </w:t>
      </w:r>
      <w:r>
        <w:tab/>
        <w:t>Unaccompanied migrant children and adolescents and human rights</w:t>
      </w:r>
    </w:p>
    <w:p w:rsidR="00C23BDE" w:rsidRDefault="00C23BDE" w:rsidP="00C23BDE">
      <w:pPr>
        <w:pStyle w:val="SingleTxtG"/>
      </w:pPr>
      <w:r>
        <w:rPr>
          <w:i/>
          <w:iCs/>
        </w:rPr>
        <w:tab/>
        <w:t>The Human Rights Council Advisory Committee</w:t>
      </w:r>
      <w:r>
        <w:t>,</w:t>
      </w:r>
    </w:p>
    <w:p w:rsidR="00C23BDE" w:rsidRDefault="00C23BDE" w:rsidP="00C23BDE">
      <w:pPr>
        <w:pStyle w:val="SingleTxtG"/>
        <w:rPr>
          <w:bCs/>
        </w:rPr>
      </w:pPr>
      <w:r>
        <w:rPr>
          <w:i/>
          <w:iCs/>
          <w:lang w:val="en-US"/>
        </w:rPr>
        <w:tab/>
      </w:r>
      <w:r>
        <w:rPr>
          <w:i/>
          <w:iCs/>
        </w:rPr>
        <w:t>Recalling</w:t>
      </w:r>
      <w:r>
        <w:t xml:space="preserve"> Human Rights Council resolution </w:t>
      </w:r>
      <w:r>
        <w:rPr>
          <w:bCs/>
        </w:rPr>
        <w:t>29/12 of 2 July 2015, in which the Council requested the Advisory Committee to develop a research-based study on the global issue of unaccompanied migrant children and adolescents and human rights, in which it identified areas, reasons and cases where this issue arises in the world, and the ways in which human rights are threatened and violated, and makes recommendations for the protection of the human rights of members of this population, and to submit it to the Human Rights Council at its thirty-third session for its consideration,</w:t>
      </w:r>
      <w:r>
        <w:rPr>
          <w:bCs/>
        </w:rPr>
        <w:tab/>
      </w:r>
    </w:p>
    <w:p w:rsidR="00C23BDE" w:rsidRDefault="00C23BDE" w:rsidP="00C23BDE">
      <w:pPr>
        <w:pStyle w:val="SingleTxtG"/>
        <w:ind w:firstLine="567"/>
        <w:rPr>
          <w:rFonts w:eastAsia="SimSun"/>
        </w:rPr>
      </w:pPr>
      <w:r>
        <w:rPr>
          <w:i/>
          <w:iCs/>
        </w:rPr>
        <w:t>Recalling also</w:t>
      </w:r>
      <w:r>
        <w:rPr>
          <w:iCs/>
        </w:rPr>
        <w:t xml:space="preserve"> that, at its fifteenth session, the Advisory Committee established a drafting group, currently composed </w:t>
      </w:r>
      <w:r>
        <w:t xml:space="preserve">of Ibrahim Abdul Aziz </w:t>
      </w:r>
      <w:proofErr w:type="spellStart"/>
      <w:r>
        <w:t>Alsheddi</w:t>
      </w:r>
      <w:proofErr w:type="spellEnd"/>
      <w:r>
        <w:t xml:space="preserve">, Mario Luis </w:t>
      </w:r>
      <w:proofErr w:type="spellStart"/>
      <w:r>
        <w:t>Coriolano</w:t>
      </w:r>
      <w:proofErr w:type="spellEnd"/>
      <w:r>
        <w:t xml:space="preserve">, Carla </w:t>
      </w:r>
      <w:proofErr w:type="spellStart"/>
      <w:r>
        <w:t>Hananía</w:t>
      </w:r>
      <w:proofErr w:type="spellEnd"/>
      <w:r>
        <w:t xml:space="preserve"> de Varela (Rapporteur), </w:t>
      </w:r>
      <w:proofErr w:type="spellStart"/>
      <w:r>
        <w:t>Obiora</w:t>
      </w:r>
      <w:proofErr w:type="spellEnd"/>
      <w:r>
        <w:t xml:space="preserve"> </w:t>
      </w:r>
      <w:proofErr w:type="spellStart"/>
      <w:r>
        <w:t>Chinedu</w:t>
      </w:r>
      <w:proofErr w:type="spellEnd"/>
      <w:r>
        <w:t xml:space="preserve"> </w:t>
      </w:r>
      <w:proofErr w:type="spellStart"/>
      <w:r>
        <w:t>Okafor</w:t>
      </w:r>
      <w:proofErr w:type="spellEnd"/>
      <w:r>
        <w:t xml:space="preserve">, Katharina </w:t>
      </w:r>
      <w:proofErr w:type="spellStart"/>
      <w:r>
        <w:t>Pabel</w:t>
      </w:r>
      <w:proofErr w:type="spellEnd"/>
      <w:r>
        <w:t xml:space="preserve">, </w:t>
      </w:r>
      <w:proofErr w:type="spellStart"/>
      <w:r>
        <w:t>Anantonia</w:t>
      </w:r>
      <w:proofErr w:type="spellEnd"/>
      <w:r>
        <w:t xml:space="preserve"> Reyes Prado (Chair) and </w:t>
      </w:r>
      <w:proofErr w:type="spellStart"/>
      <w:r>
        <w:t>Changrok</w:t>
      </w:r>
      <w:proofErr w:type="spellEnd"/>
      <w:r>
        <w:t xml:space="preserve"> </w:t>
      </w:r>
      <w:proofErr w:type="spellStart"/>
      <w:r>
        <w:t>Soh</w:t>
      </w:r>
      <w:proofErr w:type="spellEnd"/>
      <w:r>
        <w:rPr>
          <w:szCs w:val="22"/>
        </w:rPr>
        <w:t xml:space="preserve">, as well as </w:t>
      </w:r>
      <w:proofErr w:type="spellStart"/>
      <w:r>
        <w:rPr>
          <w:szCs w:val="22"/>
        </w:rPr>
        <w:t>Lazhari</w:t>
      </w:r>
      <w:proofErr w:type="spellEnd"/>
      <w:r>
        <w:rPr>
          <w:szCs w:val="22"/>
        </w:rPr>
        <w:t xml:space="preserve"> </w:t>
      </w:r>
      <w:proofErr w:type="spellStart"/>
      <w:r>
        <w:rPr>
          <w:szCs w:val="22"/>
        </w:rPr>
        <w:t>Bouzid</w:t>
      </w:r>
      <w:proofErr w:type="spellEnd"/>
      <w:r>
        <w:t xml:space="preserve"> who joined the drafting group at this session,</w:t>
      </w:r>
    </w:p>
    <w:p w:rsidR="00C23BDE" w:rsidRDefault="00C23BDE" w:rsidP="00C23BDE">
      <w:pPr>
        <w:pStyle w:val="SingleTxtG"/>
        <w:ind w:firstLine="567"/>
        <w:rPr>
          <w:iCs/>
        </w:rPr>
      </w:pPr>
      <w:r>
        <w:rPr>
          <w:i/>
          <w:iCs/>
        </w:rPr>
        <w:t xml:space="preserve">Recalling further </w:t>
      </w:r>
      <w:r>
        <w:rPr>
          <w:iCs/>
        </w:rPr>
        <w:t>that, at its sixteenth session, the Advisory Committee, in its action 16/2,</w:t>
      </w:r>
      <w:r>
        <w:t xml:space="preserve"> </w:t>
      </w:r>
      <w:r>
        <w:rPr>
          <w:iCs/>
        </w:rPr>
        <w:t xml:space="preserve">recommended that the Human Rights Council extend the time schedule envisaged to allow for better informed work by, </w:t>
      </w:r>
      <w:r>
        <w:t xml:space="preserve">inter alia, taking into account the work of the Committee on the Protection of the Rights of All Migrant Workers and Members of Their Families and the Committee on the Rights of the Child, </w:t>
      </w:r>
      <w:r>
        <w:rPr>
          <w:iCs/>
        </w:rPr>
        <w:t>and consequently request the Advisory Committee to present a progress report to the Council at its thirty-third session and a final report at its thirty-sixth session,</w:t>
      </w:r>
    </w:p>
    <w:p w:rsidR="00C23BDE" w:rsidRDefault="00C23BDE" w:rsidP="00C23BDE">
      <w:pPr>
        <w:pStyle w:val="SingleTxtG"/>
        <w:ind w:firstLine="567"/>
      </w:pPr>
      <w:r>
        <w:rPr>
          <w:i/>
        </w:rPr>
        <w:t xml:space="preserve">Recalling </w:t>
      </w:r>
      <w:r>
        <w:t>the need</w:t>
      </w:r>
      <w:r>
        <w:rPr>
          <w:i/>
        </w:rPr>
        <w:t xml:space="preserve"> </w:t>
      </w:r>
      <w:r>
        <w:t>for enhanced communication, coordination and collaboration in the drafting of the report with the Committee on the Protection of the Rights of All Migrant Workers and Members of Their Families, the Committee on the Rights of the Child and the Special Representative of the Secretary-General on Violence against Children in order to ensure coherence and to enhance synergies,</w:t>
      </w:r>
    </w:p>
    <w:p w:rsidR="00C23BDE" w:rsidRDefault="00C23BDE" w:rsidP="00C23BDE">
      <w:pPr>
        <w:pStyle w:val="SingleTxtG"/>
        <w:ind w:firstLine="567"/>
      </w:pPr>
      <w:r>
        <w:rPr>
          <w:i/>
          <w:iCs/>
        </w:rPr>
        <w:t xml:space="preserve">Recalling also </w:t>
      </w:r>
      <w:r>
        <w:rPr>
          <w:iCs/>
        </w:rPr>
        <w:t>that at its seventeenth session, the Advisory Committee took note of the progress report submitted to the Human Rights Council for consideration at its thirty-third session,</w:t>
      </w:r>
      <w:r>
        <w:rPr>
          <w:rStyle w:val="FootnoteReference"/>
          <w:iCs/>
        </w:rPr>
        <w:footnoteReference w:id="6"/>
      </w:r>
      <w:r>
        <w:rPr>
          <w:iCs/>
        </w:rPr>
        <w:t xml:space="preserve"> and requested the drafting group to submit its draft final report to the Committee at its eighteenth session, taking into account the discussion held by the Committee at the seventeenth session with a view to submitting the final report to the Council at its thirty-sixth session,</w:t>
      </w:r>
      <w:r>
        <w:tab/>
      </w:r>
    </w:p>
    <w:p w:rsidR="00C23BDE" w:rsidRDefault="00C23BDE" w:rsidP="00C23BDE">
      <w:pPr>
        <w:pStyle w:val="SingleTxtG"/>
        <w:ind w:firstLine="567"/>
      </w:pPr>
      <w:r>
        <w:t>1.</w:t>
      </w:r>
      <w:r>
        <w:tab/>
      </w:r>
      <w:r>
        <w:rPr>
          <w:i/>
        </w:rPr>
        <w:t>Takes n</w:t>
      </w:r>
      <w:r>
        <w:rPr>
          <w:i/>
          <w:iCs/>
        </w:rPr>
        <w:t>ote</w:t>
      </w:r>
      <w:r>
        <w:t xml:space="preserve"> of the draft final report on the research-based study on the global issue of unaccompanied migrant children and adolescents and human rights submitted by the drafting group to the Advisory Committee at its eighteenth session;</w:t>
      </w:r>
      <w:r>
        <w:rPr>
          <w:rStyle w:val="FootnoteReference"/>
          <w:iCs/>
        </w:rPr>
        <w:footnoteReference w:id="7"/>
      </w:r>
      <w:r>
        <w:t xml:space="preserve"> </w:t>
      </w:r>
    </w:p>
    <w:p w:rsidR="00C23BDE" w:rsidRDefault="00C23BDE" w:rsidP="00C23BDE">
      <w:pPr>
        <w:pStyle w:val="SingleTxtG"/>
      </w:pPr>
      <w:r>
        <w:tab/>
        <w:t>2.</w:t>
      </w:r>
      <w:r>
        <w:tab/>
      </w:r>
      <w:r>
        <w:rPr>
          <w:i/>
          <w:iCs/>
        </w:rPr>
        <w:t>Requests</w:t>
      </w:r>
      <w:r>
        <w:t xml:space="preserve"> the drafting group to finalize the report to the Human Rights Council in the light of the discussion held by the Advisory Committee at its current session, after circulating it electronically to all members of the Advisory Committee for approval, with a view to submitting it to the Council at its thirty-sixth session.</w:t>
      </w:r>
    </w:p>
    <w:p w:rsidR="00C23BDE" w:rsidRDefault="00C23BDE" w:rsidP="00C23BDE">
      <w:pPr>
        <w:pStyle w:val="SingleTxtG"/>
        <w:spacing w:after="0"/>
        <w:jc w:val="right"/>
        <w:rPr>
          <w:rFonts w:eastAsia="SimSun"/>
          <w:i/>
          <w:lang w:eastAsia="ar-SA"/>
        </w:rPr>
      </w:pPr>
      <w:r>
        <w:rPr>
          <w:rFonts w:eastAsia="SimSun"/>
          <w:i/>
          <w:lang w:eastAsia="ar-SA"/>
        </w:rPr>
        <w:t>9th meeting</w:t>
      </w:r>
    </w:p>
    <w:p w:rsidR="00C23BDE" w:rsidRDefault="00C23BDE" w:rsidP="00C23BDE">
      <w:pPr>
        <w:pStyle w:val="SingleTxtG"/>
        <w:spacing w:after="0"/>
        <w:jc w:val="right"/>
        <w:rPr>
          <w:rFonts w:eastAsia="SimSun"/>
          <w:i/>
          <w:lang w:eastAsia="ar-SA"/>
        </w:rPr>
      </w:pPr>
      <w:r>
        <w:rPr>
          <w:rFonts w:eastAsia="SimSun"/>
          <w:i/>
          <w:lang w:eastAsia="ar-SA"/>
        </w:rPr>
        <w:t>24 February 2017</w:t>
      </w:r>
    </w:p>
    <w:p w:rsidR="00C23BDE" w:rsidRDefault="00C23BDE" w:rsidP="00C23BDE">
      <w:pPr>
        <w:pStyle w:val="SingleTxtG"/>
        <w:rPr>
          <w:rFonts w:eastAsia="SimSun"/>
          <w:lang w:eastAsia="ar-SA"/>
        </w:rPr>
      </w:pPr>
      <w:proofErr w:type="gramStart"/>
      <w:r>
        <w:rPr>
          <w:rFonts w:eastAsia="SimSun"/>
          <w:sz w:val="18"/>
          <w:lang w:eastAsia="ar-SA"/>
        </w:rPr>
        <w:t>[</w:t>
      </w:r>
      <w:r>
        <w:rPr>
          <w:rFonts w:eastAsia="SimSun"/>
          <w:lang w:eastAsia="ar-SA"/>
        </w:rPr>
        <w:t>Adopted without a vote.]</w:t>
      </w:r>
      <w:proofErr w:type="gramEnd"/>
    </w:p>
    <w:p w:rsidR="00C23BDE" w:rsidRDefault="00C23BDE" w:rsidP="00C23BDE">
      <w:pPr>
        <w:pStyle w:val="H1G"/>
        <w:tabs>
          <w:tab w:val="left" w:pos="1985"/>
        </w:tabs>
        <w:ind w:left="1974" w:hanging="840"/>
        <w:rPr>
          <w:szCs w:val="24"/>
        </w:rPr>
      </w:pPr>
      <w:r>
        <w:lastRenderedPageBreak/>
        <w:t xml:space="preserve">18/4. </w:t>
      </w:r>
      <w:r>
        <w:tab/>
        <w:t>Negative impact of the non-repatriation of funds of illicit origin on the enjoyment of human rights</w:t>
      </w:r>
    </w:p>
    <w:p w:rsidR="00C23BDE" w:rsidRDefault="00C23BDE" w:rsidP="00C23BDE">
      <w:pPr>
        <w:pStyle w:val="SingleTxtG"/>
      </w:pPr>
      <w:r>
        <w:rPr>
          <w:i/>
          <w:iCs/>
        </w:rPr>
        <w:tab/>
        <w:t>The Human Rights Council Advisory Committee</w:t>
      </w:r>
      <w:r>
        <w:t>,</w:t>
      </w:r>
    </w:p>
    <w:p w:rsidR="00C23BDE" w:rsidRDefault="00C23BDE" w:rsidP="00C23BDE">
      <w:pPr>
        <w:pStyle w:val="SingleTxtG"/>
        <w:ind w:firstLine="567"/>
        <w:rPr>
          <w:rFonts w:eastAsia="SimSun"/>
        </w:rPr>
      </w:pPr>
      <w:r>
        <w:rPr>
          <w:i/>
          <w:iCs/>
        </w:rPr>
        <w:t>Recalling</w:t>
      </w:r>
      <w:r>
        <w:t xml:space="preserve"> Human Rights Council resolution </w:t>
      </w:r>
      <w:r>
        <w:rPr>
          <w:bCs/>
        </w:rPr>
        <w:t>31/22 of 24 March 2016, in which the Council requested the Advisory Committee t</w:t>
      </w:r>
      <w:r>
        <w:rPr>
          <w:rFonts w:eastAsia="SimSun"/>
        </w:rPr>
        <w:t>o conduct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w:t>
      </w:r>
      <w:r>
        <w:t xml:space="preserve"> </w:t>
      </w:r>
      <w:r>
        <w:rPr>
          <w:rFonts w:eastAsia="SimSun"/>
        </w:rPr>
        <w:t xml:space="preserve">in question, and to present a progress report on the requested study to the Council at its thirty-sixth session for its consideration, </w:t>
      </w:r>
    </w:p>
    <w:p w:rsidR="00C23BDE" w:rsidRDefault="00C23BDE" w:rsidP="00C23BDE">
      <w:pPr>
        <w:pStyle w:val="SingleTxtG"/>
        <w:ind w:firstLine="567"/>
        <w:rPr>
          <w:iCs/>
        </w:rPr>
      </w:pPr>
      <w:r>
        <w:rPr>
          <w:i/>
          <w:iCs/>
        </w:rPr>
        <w:t xml:space="preserve">Recalling also </w:t>
      </w:r>
      <w:r>
        <w:rPr>
          <w:iCs/>
        </w:rPr>
        <w:t>that the Human Rights Council also requested the Advisory Committee to seek, if necessary, further views and the input of Member States, relevant international and regional organisations, the United Nations High Commissioner for Human Rights and relevant special procedures, national human rights institutions and non-governmental organizations, in order to finalize the study, taking into account, inter alia, the final study on illicit financial flows, human rights and the 2030 Agenda for Sustainable Development, of the Independent Expert on the effect of foreign debt and other related international financial obligations of States on the full enjoyment of all human rights,</w:t>
      </w:r>
      <w:r>
        <w:t xml:space="preserve"> </w:t>
      </w:r>
      <w:r>
        <w:rPr>
          <w:iCs/>
        </w:rPr>
        <w:t>particularly economic, social and cultural rights,</w:t>
      </w:r>
    </w:p>
    <w:p w:rsidR="00C23BDE" w:rsidRDefault="00C23BDE" w:rsidP="00C23BDE">
      <w:pPr>
        <w:pStyle w:val="SingleTxtG"/>
        <w:ind w:firstLine="567"/>
        <w:rPr>
          <w:rFonts w:eastAsia="SimSun"/>
        </w:rPr>
      </w:pPr>
      <w:r>
        <w:rPr>
          <w:i/>
          <w:iCs/>
        </w:rPr>
        <w:t xml:space="preserve">Recalling further </w:t>
      </w:r>
      <w:r>
        <w:rPr>
          <w:iCs/>
        </w:rPr>
        <w:t xml:space="preserve">that at its seventeenth session, the Advisory established a drafting group, currently comprising Mario Luis </w:t>
      </w:r>
      <w:proofErr w:type="spellStart"/>
      <w:r>
        <w:rPr>
          <w:iCs/>
        </w:rPr>
        <w:t>Coriolano</w:t>
      </w:r>
      <w:proofErr w:type="spellEnd"/>
      <w:r>
        <w:rPr>
          <w:iCs/>
        </w:rPr>
        <w:t xml:space="preserve">, Mikhail </w:t>
      </w:r>
      <w:proofErr w:type="spellStart"/>
      <w:r>
        <w:rPr>
          <w:iCs/>
        </w:rPr>
        <w:t>Lebedev</w:t>
      </w:r>
      <w:proofErr w:type="spellEnd"/>
      <w:r>
        <w:rPr>
          <w:iCs/>
        </w:rPr>
        <w:t xml:space="preserve">, </w:t>
      </w:r>
      <w:proofErr w:type="spellStart"/>
      <w:r>
        <w:rPr>
          <w:iCs/>
        </w:rPr>
        <w:t>Obiora</w:t>
      </w:r>
      <w:proofErr w:type="spellEnd"/>
      <w:r>
        <w:rPr>
          <w:iCs/>
        </w:rPr>
        <w:t xml:space="preserve"> </w:t>
      </w:r>
      <w:proofErr w:type="spellStart"/>
      <w:r>
        <w:rPr>
          <w:iCs/>
        </w:rPr>
        <w:t>Chinedu</w:t>
      </w:r>
      <w:proofErr w:type="spellEnd"/>
      <w:r>
        <w:rPr>
          <w:iCs/>
        </w:rPr>
        <w:t xml:space="preserve"> </w:t>
      </w:r>
      <w:proofErr w:type="spellStart"/>
      <w:r>
        <w:rPr>
          <w:iCs/>
        </w:rPr>
        <w:t>Okafor</w:t>
      </w:r>
      <w:proofErr w:type="spellEnd"/>
      <w:r>
        <w:rPr>
          <w:iCs/>
        </w:rPr>
        <w:t xml:space="preserve"> (Co-Rapporteur), </w:t>
      </w:r>
      <w:proofErr w:type="spellStart"/>
      <w:r>
        <w:rPr>
          <w:iCs/>
        </w:rPr>
        <w:t>Ahmer</w:t>
      </w:r>
      <w:proofErr w:type="spellEnd"/>
      <w:r>
        <w:rPr>
          <w:iCs/>
        </w:rPr>
        <w:t xml:space="preserve"> Bilal </w:t>
      </w:r>
      <w:proofErr w:type="spellStart"/>
      <w:r>
        <w:rPr>
          <w:iCs/>
        </w:rPr>
        <w:t>Soofi</w:t>
      </w:r>
      <w:proofErr w:type="spellEnd"/>
      <w:r>
        <w:rPr>
          <w:iCs/>
        </w:rPr>
        <w:t xml:space="preserve"> (Chair) and Jean Ziegler (Co-Rapporteur), as well as Mona Omar who joined the drafting group at this session.</w:t>
      </w:r>
    </w:p>
    <w:p w:rsidR="00C23BDE" w:rsidRDefault="00C23BDE" w:rsidP="00C23BDE">
      <w:pPr>
        <w:spacing w:after="120"/>
        <w:ind w:left="1134" w:right="1134" w:firstLine="567"/>
        <w:jc w:val="both"/>
      </w:pPr>
      <w:r>
        <w:t>1.</w:t>
      </w:r>
      <w:r>
        <w:tab/>
      </w:r>
      <w:r>
        <w:rPr>
          <w:i/>
        </w:rPr>
        <w:t xml:space="preserve">Takes note </w:t>
      </w:r>
      <w:r>
        <w:t>of the draft progress report on the research-based study on the impact of flow of funds of illicit origin and the non-repatriation thereof to the countries of origin on the enjoyment of human rights submitted by the drafting group at its current session;</w:t>
      </w:r>
      <w:r>
        <w:rPr>
          <w:rStyle w:val="FootnoteReference"/>
          <w:iCs/>
        </w:rPr>
        <w:footnoteReference w:id="8"/>
      </w:r>
    </w:p>
    <w:p w:rsidR="00C23BDE" w:rsidRDefault="00C23BDE" w:rsidP="00C23BDE">
      <w:pPr>
        <w:spacing w:after="120"/>
        <w:ind w:left="1134" w:right="1134" w:firstLine="567"/>
        <w:jc w:val="both"/>
      </w:pPr>
      <w:r>
        <w:t xml:space="preserve">2. </w:t>
      </w:r>
      <w:r>
        <w:tab/>
      </w:r>
      <w:r>
        <w:rPr>
          <w:i/>
        </w:rPr>
        <w:t>Requests</w:t>
      </w:r>
      <w:r>
        <w:t xml:space="preserve"> the drafting group to finalize the progress report to the Human Rights Council in the light of the discussion held by the Advisory Committee at its current session, after circulating it electronically to all members of the Advisory Committee for approval, with a view to submitting it to the Council at its thirty-sixth session.</w:t>
      </w:r>
    </w:p>
    <w:p w:rsidR="00C23BDE" w:rsidRDefault="00C23BDE" w:rsidP="00C23BDE">
      <w:pPr>
        <w:pStyle w:val="SingleTxtG"/>
        <w:spacing w:after="0"/>
        <w:jc w:val="right"/>
        <w:rPr>
          <w:rFonts w:eastAsia="SimSun"/>
          <w:i/>
          <w:lang w:eastAsia="ar-SA"/>
        </w:rPr>
      </w:pPr>
      <w:r>
        <w:rPr>
          <w:rFonts w:eastAsia="SimSun"/>
          <w:i/>
          <w:lang w:eastAsia="ar-SA"/>
        </w:rPr>
        <w:t>9th meeting</w:t>
      </w:r>
    </w:p>
    <w:p w:rsidR="00C23BDE" w:rsidRDefault="00C23BDE" w:rsidP="00C23BDE">
      <w:pPr>
        <w:pStyle w:val="SingleTxtG"/>
        <w:spacing w:after="0"/>
        <w:jc w:val="right"/>
        <w:rPr>
          <w:rFonts w:eastAsia="SimSun"/>
          <w:i/>
          <w:lang w:eastAsia="ar-SA"/>
        </w:rPr>
      </w:pPr>
      <w:r>
        <w:rPr>
          <w:rFonts w:eastAsia="SimSun"/>
          <w:i/>
          <w:lang w:eastAsia="ar-SA"/>
        </w:rPr>
        <w:t>24 February 2017</w:t>
      </w:r>
    </w:p>
    <w:p w:rsidR="00555372" w:rsidRPr="00C23BDE" w:rsidRDefault="00C23BDE" w:rsidP="00C23BDE">
      <w:pPr>
        <w:pStyle w:val="SingleTxtG"/>
        <w:rPr>
          <w:rFonts w:eastAsia="SimSun"/>
          <w:lang w:eastAsia="ar-SA"/>
        </w:rPr>
      </w:pPr>
      <w:r>
        <w:rPr>
          <w:rFonts w:eastAsia="SimSun"/>
          <w:sz w:val="18"/>
          <w:lang w:eastAsia="ar-SA"/>
        </w:rPr>
        <w:t>[</w:t>
      </w:r>
      <w:r>
        <w:rPr>
          <w:rFonts w:eastAsia="SimSun"/>
          <w:lang w:eastAsia="ar-SA"/>
        </w:rPr>
        <w:t>Adopted without a vote.]</w:t>
      </w:r>
    </w:p>
    <w:p w:rsidR="00A36CC6" w:rsidRPr="0055092C" w:rsidRDefault="00A36CC6">
      <w:pPr>
        <w:pStyle w:val="HChG"/>
      </w:pPr>
      <w:r w:rsidRPr="00E75125">
        <w:rPr>
          <w:rFonts w:eastAsia="MS Mincho"/>
        </w:rPr>
        <w:tab/>
        <w:t>II.</w:t>
      </w:r>
      <w:r w:rsidRPr="00E75125">
        <w:rPr>
          <w:rFonts w:eastAsia="MS Mincho"/>
        </w:rPr>
        <w:tab/>
      </w:r>
      <w:r w:rsidRPr="00E75125">
        <w:t>Officers, adoption of the agenda and organization of work</w:t>
      </w:r>
    </w:p>
    <w:p w:rsidR="00A36CC6" w:rsidRPr="00E75125" w:rsidRDefault="00A36CC6" w:rsidP="00A36CC6">
      <w:pPr>
        <w:pStyle w:val="H1G"/>
      </w:pPr>
      <w:bookmarkStart w:id="1" w:name="_Toc213748157"/>
      <w:r w:rsidRPr="00E75125">
        <w:tab/>
        <w:t>A.</w:t>
      </w:r>
      <w:r w:rsidRPr="00E75125">
        <w:tab/>
        <w:t>Opening and duration of the session</w:t>
      </w:r>
      <w:bookmarkEnd w:id="1"/>
    </w:p>
    <w:p w:rsidR="00A36CC6" w:rsidRPr="008A7C8A" w:rsidRDefault="003F543D" w:rsidP="003F543D">
      <w:pPr>
        <w:pStyle w:val="SingleTxtG"/>
      </w:pPr>
      <w:r w:rsidRPr="008A7C8A">
        <w:t>1.</w:t>
      </w:r>
      <w:r w:rsidRPr="008A7C8A">
        <w:tab/>
      </w:r>
      <w:r w:rsidR="00A36CC6" w:rsidRPr="008A7C8A">
        <w:t>The Human Rights Council Advisory Committee, established pursuant to Human Rights Council resolution 5/1</w:t>
      </w:r>
      <w:r w:rsidR="00004CAE" w:rsidRPr="008A7C8A">
        <w:t xml:space="preserve"> of 18 June 2007, held its </w:t>
      </w:r>
      <w:r w:rsidR="00EC329C">
        <w:t>eighteenth</w:t>
      </w:r>
      <w:r w:rsidR="00EC329C" w:rsidRPr="008A7C8A">
        <w:t xml:space="preserve"> </w:t>
      </w:r>
      <w:r w:rsidR="00A36CC6" w:rsidRPr="008A7C8A">
        <w:t xml:space="preserve">session at the United </w:t>
      </w:r>
      <w:r w:rsidR="00004CAE" w:rsidRPr="008A7C8A">
        <w:t>Nations Office at Geneva from 2</w:t>
      </w:r>
      <w:r w:rsidR="00EC329C">
        <w:t>0</w:t>
      </w:r>
      <w:r w:rsidR="00004CAE" w:rsidRPr="008A7C8A">
        <w:t xml:space="preserve"> to 2</w:t>
      </w:r>
      <w:r w:rsidR="00EC329C">
        <w:t>4</w:t>
      </w:r>
      <w:r w:rsidR="00A36CC6" w:rsidRPr="008A7C8A">
        <w:t xml:space="preserve"> Febru</w:t>
      </w:r>
      <w:r w:rsidR="00004CAE" w:rsidRPr="008A7C8A">
        <w:t>ary 201</w:t>
      </w:r>
      <w:r w:rsidR="00EC329C">
        <w:t>7</w:t>
      </w:r>
      <w:r w:rsidR="00A36CC6" w:rsidRPr="008A7C8A">
        <w:t>. The session was opened by t</w:t>
      </w:r>
      <w:r w:rsidR="00584F80" w:rsidRPr="008A7C8A">
        <w:t>he Chair</w:t>
      </w:r>
      <w:r w:rsidR="00FD7862" w:rsidRPr="008A7C8A">
        <w:t xml:space="preserve"> of</w:t>
      </w:r>
      <w:r w:rsidR="00584F80" w:rsidRPr="008A7C8A">
        <w:t xml:space="preserve"> </w:t>
      </w:r>
      <w:r w:rsidR="003D4E7E">
        <w:t>the</w:t>
      </w:r>
      <w:r w:rsidR="003D4E7E" w:rsidRPr="008A7C8A">
        <w:t xml:space="preserve"> </w:t>
      </w:r>
      <w:r w:rsidR="00A82F36">
        <w:t>seventee</w:t>
      </w:r>
      <w:r w:rsidR="00A00724">
        <w:t>n</w:t>
      </w:r>
      <w:r w:rsidR="00A82F36">
        <w:t>th</w:t>
      </w:r>
      <w:r w:rsidR="00A82F36" w:rsidRPr="008A7C8A">
        <w:t xml:space="preserve"> </w:t>
      </w:r>
      <w:r w:rsidR="00A36CC6" w:rsidRPr="008A7C8A">
        <w:t>session</w:t>
      </w:r>
      <w:r w:rsidR="00A00724">
        <w:t xml:space="preserve">, </w:t>
      </w:r>
      <w:r w:rsidR="00A82F36">
        <w:t>Ahmer Bilal Soofi.</w:t>
      </w:r>
    </w:p>
    <w:p w:rsidR="00A36CC6" w:rsidRPr="00C61DD3" w:rsidRDefault="003F543D" w:rsidP="003F543D">
      <w:pPr>
        <w:pStyle w:val="SingleTxtG"/>
      </w:pPr>
      <w:r w:rsidRPr="00C61DD3">
        <w:lastRenderedPageBreak/>
        <w:t>2.</w:t>
      </w:r>
      <w:r w:rsidRPr="00C61DD3">
        <w:tab/>
      </w:r>
      <w:r w:rsidR="00A36CC6" w:rsidRPr="00C61DD3">
        <w:t xml:space="preserve">The President of the Human Rights Council, </w:t>
      </w:r>
      <w:r w:rsidR="00C90D42" w:rsidRPr="00C90D42">
        <w:t>Joaquín Alexander Maza Martelli</w:t>
      </w:r>
      <w:r w:rsidR="00A36CC6" w:rsidRPr="00C61DD3">
        <w:t xml:space="preserve">, addressed the Advisory Committee at its first meeting, </w:t>
      </w:r>
      <w:r w:rsidR="00E77EFB" w:rsidRPr="00C61DD3">
        <w:t>on 2</w:t>
      </w:r>
      <w:r w:rsidR="00C90D42">
        <w:t>0</w:t>
      </w:r>
      <w:r w:rsidR="00E77EFB" w:rsidRPr="00C61DD3">
        <w:t xml:space="preserve"> February 201</w:t>
      </w:r>
      <w:r w:rsidR="00C90D42">
        <w:t>7</w:t>
      </w:r>
      <w:r w:rsidR="00A36CC6" w:rsidRPr="00C61DD3">
        <w:t>.</w:t>
      </w:r>
    </w:p>
    <w:p w:rsidR="00A36CC6" w:rsidRPr="00C61DD3" w:rsidRDefault="003F543D" w:rsidP="003F543D">
      <w:pPr>
        <w:pStyle w:val="SingleTxtG"/>
      </w:pPr>
      <w:r w:rsidRPr="00C61DD3">
        <w:t>3.</w:t>
      </w:r>
      <w:r w:rsidRPr="00C61DD3">
        <w:tab/>
      </w:r>
      <w:r w:rsidR="00A36CC6" w:rsidRPr="00C61DD3">
        <w:t xml:space="preserve">At the same meeting, the </w:t>
      </w:r>
      <w:r w:rsidR="00EC329C">
        <w:t>Director</w:t>
      </w:r>
      <w:r w:rsidR="004E5DF1" w:rsidRPr="00C61DD3">
        <w:t xml:space="preserve"> </w:t>
      </w:r>
      <w:r w:rsidR="00A36CC6" w:rsidRPr="00C61DD3">
        <w:t xml:space="preserve">of the Human Rights Council </w:t>
      </w:r>
      <w:r w:rsidR="00EC329C">
        <w:t xml:space="preserve">and Treaty </w:t>
      </w:r>
      <w:r w:rsidR="004E5DF1" w:rsidRPr="00C61DD3">
        <w:t>Mechanisms Division</w:t>
      </w:r>
      <w:r w:rsidR="00A36CC6" w:rsidRPr="00C61DD3">
        <w:t xml:space="preserve"> of the Office of the </w:t>
      </w:r>
      <w:r w:rsidR="00D63EC8">
        <w:t xml:space="preserve">United Nations </w:t>
      </w:r>
      <w:r w:rsidR="00A36CC6" w:rsidRPr="00C61DD3">
        <w:t>High Commissioner for Human Rights made a statement on behalf of the High Commissioner.</w:t>
      </w:r>
      <w:r w:rsidR="00EC329C" w:rsidRPr="00EC329C">
        <w:t xml:space="preserve"> </w:t>
      </w:r>
    </w:p>
    <w:p w:rsidR="00A36CC6" w:rsidRPr="00E84757" w:rsidRDefault="003F543D" w:rsidP="003F543D">
      <w:pPr>
        <w:pStyle w:val="SingleTxtG"/>
      </w:pPr>
      <w:r w:rsidRPr="00E84757">
        <w:t>4.</w:t>
      </w:r>
      <w:r w:rsidRPr="00E84757">
        <w:tab/>
      </w:r>
      <w:r w:rsidR="00A36CC6" w:rsidRPr="00E84757">
        <w:t>Also at the same meeting, participants observed a minute of silence for the victims of human rights violations around the world.</w:t>
      </w:r>
    </w:p>
    <w:p w:rsidR="00A36CC6" w:rsidRPr="00E75125" w:rsidRDefault="00A36CC6" w:rsidP="00A36CC6">
      <w:pPr>
        <w:pStyle w:val="H1G"/>
      </w:pPr>
      <w:bookmarkStart w:id="2" w:name="_Toc213748158"/>
      <w:r w:rsidRPr="00E75125">
        <w:tab/>
        <w:t>B.</w:t>
      </w:r>
      <w:r w:rsidRPr="00E75125">
        <w:tab/>
        <w:t>Composition of the Advisory Committee</w:t>
      </w:r>
      <w:bookmarkEnd w:id="2"/>
      <w:r w:rsidR="003A12C9">
        <w:rPr>
          <w:rStyle w:val="FootnoteReference"/>
        </w:rPr>
        <w:footnoteReference w:id="9"/>
      </w:r>
    </w:p>
    <w:p w:rsidR="003E0DEB" w:rsidRDefault="003F543D" w:rsidP="00933837">
      <w:pPr>
        <w:pStyle w:val="SingleTxtG"/>
      </w:pPr>
      <w:r w:rsidRPr="008A7C8A">
        <w:t>5.</w:t>
      </w:r>
      <w:r w:rsidRPr="008A7C8A">
        <w:tab/>
      </w:r>
      <w:r w:rsidR="00A36CC6" w:rsidRPr="008A7C8A">
        <w:t>The membership of the Advisory Committee is as follows:</w:t>
      </w:r>
      <w:r w:rsidR="00A36CC6" w:rsidRPr="008A7C8A">
        <w:rPr>
          <w:rStyle w:val="FootnoteReference"/>
        </w:rPr>
        <w:footnoteReference w:id="10"/>
      </w:r>
      <w:r w:rsidR="008A7C8A" w:rsidRPr="008A7C8A">
        <w:t xml:space="preserve"> </w:t>
      </w:r>
      <w:r w:rsidR="008A7C8A" w:rsidRPr="00A22055">
        <w:t>Ibrahim Abdul</w:t>
      </w:r>
      <w:r w:rsidR="00A82F36">
        <w:t xml:space="preserve"> A</w:t>
      </w:r>
      <w:r w:rsidR="008A7C8A" w:rsidRPr="00A22055">
        <w:t>ziz Alsheddi (Saudi Arabia</w:t>
      </w:r>
      <w:r w:rsidR="00E2188D" w:rsidRPr="00A22055">
        <w:t>,</w:t>
      </w:r>
      <w:r w:rsidR="008A7C8A" w:rsidRPr="00A22055">
        <w:t xml:space="preserve"> 2018)</w:t>
      </w:r>
      <w:r w:rsidR="005C5631" w:rsidRPr="00A22055">
        <w:t>;</w:t>
      </w:r>
      <w:r w:rsidR="005C5631" w:rsidRPr="008A7C8A">
        <w:t xml:space="preserve"> Mohamed Bennani (Morocco, 2017); Laurence Boisson de Chazournes (France, 2017);</w:t>
      </w:r>
      <w:r w:rsidR="00C735CE">
        <w:t xml:space="preserve"> </w:t>
      </w:r>
      <w:r w:rsidR="003E01FE">
        <w:t>Lazhari Bouzid (Algeria, 2019);</w:t>
      </w:r>
      <w:r w:rsidR="00C735CE">
        <w:t xml:space="preserve"> </w:t>
      </w:r>
      <w:r w:rsidR="00A22055">
        <w:t xml:space="preserve">Mario Luis Coriolano (Argentina, 2018); </w:t>
      </w:r>
      <w:r w:rsidR="00624CA9">
        <w:t>C</w:t>
      </w:r>
      <w:r w:rsidR="003E01FE">
        <w:t>arla Ha</w:t>
      </w:r>
      <w:r w:rsidR="00624CA9">
        <w:t>n</w:t>
      </w:r>
      <w:r w:rsidR="003E01FE">
        <w:t>anía de Varela (El Salvador, 2019)</w:t>
      </w:r>
      <w:r w:rsidR="00C735CE">
        <w:t xml:space="preserve">; </w:t>
      </w:r>
      <w:r w:rsidR="00C735CE" w:rsidRPr="008A7C8A">
        <w:t>Mikhail Lebedev (Russian Federation, 201</w:t>
      </w:r>
      <w:r w:rsidR="00A22055">
        <w:t>9</w:t>
      </w:r>
      <w:r w:rsidR="00C735CE" w:rsidRPr="008A7C8A">
        <w:t>);</w:t>
      </w:r>
      <w:r w:rsidR="00C735CE">
        <w:t xml:space="preserve"> Xinsheng Liu (China, 2019);</w:t>
      </w:r>
      <w:r w:rsidR="00C735CE" w:rsidRPr="008A7C8A">
        <w:t xml:space="preserve"> </w:t>
      </w:r>
      <w:r w:rsidR="00C735CE">
        <w:t>Kaoru Obata (Japan, 2019</w:t>
      </w:r>
      <w:r w:rsidR="00C735CE" w:rsidRPr="008A7C8A">
        <w:t>);</w:t>
      </w:r>
      <w:r w:rsidR="00C735CE" w:rsidRPr="00C735CE">
        <w:t xml:space="preserve"> </w:t>
      </w:r>
      <w:r w:rsidR="00C735CE" w:rsidRPr="008A7C8A">
        <w:t>Obiora Chinedu Okafor (Nigeria, 2017);</w:t>
      </w:r>
      <w:r w:rsidR="00C735CE" w:rsidRPr="00C735CE">
        <w:t xml:space="preserve"> </w:t>
      </w:r>
      <w:r w:rsidR="00C735CE">
        <w:t xml:space="preserve">Mona Omar (Egypt, 2019); </w:t>
      </w:r>
      <w:r w:rsidR="00C735CE" w:rsidRPr="008A7C8A">
        <w:t>Katharina Pabel (Austria, 2018);</w:t>
      </w:r>
      <w:r w:rsidR="00C735CE" w:rsidRPr="00C735CE">
        <w:t xml:space="preserve"> </w:t>
      </w:r>
      <w:r w:rsidR="00C735CE" w:rsidRPr="008A7C8A">
        <w:t>Anantonia Reyes Prado (Guatemala, 2017);</w:t>
      </w:r>
      <w:r w:rsidR="00C735CE" w:rsidRPr="00C735CE">
        <w:t xml:space="preserve"> </w:t>
      </w:r>
      <w:r w:rsidR="00C735CE" w:rsidRPr="008A7C8A">
        <w:t>Changrok Soh (Republic of Korea, 2017);</w:t>
      </w:r>
      <w:r w:rsidR="00C735CE" w:rsidRPr="00C735CE">
        <w:t xml:space="preserve"> </w:t>
      </w:r>
      <w:r w:rsidR="00C735CE" w:rsidRPr="008A7C8A">
        <w:t>Ahmer Bilal Soofi (Pakistan, 2017);</w:t>
      </w:r>
      <w:r w:rsidR="00C735CE" w:rsidRPr="00C735CE">
        <w:t xml:space="preserve"> </w:t>
      </w:r>
      <w:r w:rsidR="00C735CE" w:rsidRPr="008A7C8A">
        <w:t>Imeru Tamrat Yigezu (Ethiopia, 2018);</w:t>
      </w:r>
      <w:r w:rsidR="00C735CE" w:rsidRPr="00C735CE">
        <w:t xml:space="preserve"> </w:t>
      </w:r>
      <w:r w:rsidR="00C735CE">
        <w:t>Jean Ziegler (Switzerland, 2019</w:t>
      </w:r>
      <w:r w:rsidR="00C735CE" w:rsidRPr="008A7C8A">
        <w:t>).</w:t>
      </w:r>
      <w:r w:rsidR="00465724">
        <w:t xml:space="preserve"> </w:t>
      </w:r>
    </w:p>
    <w:p w:rsidR="00933837" w:rsidRPr="003E0DEB" w:rsidRDefault="003E0DEB" w:rsidP="00933837">
      <w:pPr>
        <w:pStyle w:val="SingleTxtG"/>
      </w:pPr>
      <w:r>
        <w:t>6.</w:t>
      </w:r>
      <w:r>
        <w:tab/>
      </w:r>
      <w:r w:rsidR="00933837" w:rsidRPr="003E0DEB">
        <w:t>Further to h</w:t>
      </w:r>
      <w:r w:rsidRPr="003E0DEB">
        <w:t xml:space="preserve">er </w:t>
      </w:r>
      <w:r w:rsidR="00933837" w:rsidRPr="003E0DEB">
        <w:t xml:space="preserve">election as member of the </w:t>
      </w:r>
      <w:r w:rsidR="004B3136">
        <w:t xml:space="preserve">Committee on Economic, Social, and Cultural Rights </w:t>
      </w:r>
      <w:r w:rsidR="00933837" w:rsidRPr="003E0DEB">
        <w:t xml:space="preserve">in </w:t>
      </w:r>
      <w:r w:rsidR="00BD6B71">
        <w:t>June</w:t>
      </w:r>
      <w:r w:rsidRPr="003E0DEB">
        <w:t xml:space="preserve"> </w:t>
      </w:r>
      <w:r w:rsidR="00933837" w:rsidRPr="003E0DEB">
        <w:t>201</w:t>
      </w:r>
      <w:r w:rsidRPr="003E0DEB">
        <w:t>6</w:t>
      </w:r>
      <w:r w:rsidR="00933837" w:rsidRPr="003E0DEB">
        <w:t xml:space="preserve">, </w:t>
      </w:r>
      <w:r w:rsidR="003918DF" w:rsidRPr="003E0DEB">
        <w:t>Ms. Laura-Maria Crăciunean</w:t>
      </w:r>
      <w:r w:rsidRPr="003E0DEB">
        <w:t xml:space="preserve"> </w:t>
      </w:r>
      <w:r w:rsidR="00933837" w:rsidRPr="003E0DEB">
        <w:t>resigned from the Advisory Committee</w:t>
      </w:r>
      <w:r w:rsidR="0083262A">
        <w:t>.</w:t>
      </w:r>
    </w:p>
    <w:p w:rsidR="00A36CC6" w:rsidRPr="00E75125" w:rsidRDefault="00A36CC6" w:rsidP="00A36CC6">
      <w:pPr>
        <w:pStyle w:val="H1G"/>
      </w:pPr>
      <w:r w:rsidRPr="00E75125">
        <w:tab/>
        <w:t>C.</w:t>
      </w:r>
      <w:r w:rsidRPr="00E75125">
        <w:tab/>
        <w:t>Attendance</w:t>
      </w:r>
    </w:p>
    <w:p w:rsidR="00A36CC6" w:rsidRPr="009E5175" w:rsidRDefault="003E0DEB" w:rsidP="00765635">
      <w:pPr>
        <w:pStyle w:val="SingleTxtG"/>
      </w:pPr>
      <w:r>
        <w:t>7</w:t>
      </w:r>
      <w:r w:rsidR="003F543D" w:rsidRPr="009E5175">
        <w:t>.</w:t>
      </w:r>
      <w:r w:rsidR="003F543D" w:rsidRPr="009E5175">
        <w:tab/>
      </w:r>
      <w:r w:rsidR="00A36CC6" w:rsidRPr="009E5175">
        <w:t>The session was attended by members of the Advisory Committee and observers for States</w:t>
      </w:r>
      <w:r w:rsidR="00F2552A">
        <w:t xml:space="preserve"> Members of the United Nations,</w:t>
      </w:r>
      <w:r w:rsidR="00A36CC6" w:rsidRPr="009E5175">
        <w:t xml:space="preserve"> </w:t>
      </w:r>
      <w:r w:rsidR="00AA07B1" w:rsidRPr="009E5175">
        <w:t xml:space="preserve">international </w:t>
      </w:r>
      <w:r w:rsidR="00A36CC6" w:rsidRPr="009E5175">
        <w:t>organizations and non-governmental organizations</w:t>
      </w:r>
      <w:r w:rsidR="00EA1A2C" w:rsidRPr="00C67D4C">
        <w:t>.</w:t>
      </w:r>
      <w:r w:rsidR="00BD2EC2">
        <w:t xml:space="preserve"> </w:t>
      </w:r>
      <w:r w:rsidR="009A77C6" w:rsidRPr="003A12C9">
        <w:t xml:space="preserve">Ms. </w:t>
      </w:r>
      <w:r w:rsidR="00973439" w:rsidRPr="003A12C9">
        <w:t xml:space="preserve">Carla Hananía de Varela </w:t>
      </w:r>
      <w:r w:rsidR="00AB17E6">
        <w:t>was</w:t>
      </w:r>
      <w:r w:rsidR="00AB17E6" w:rsidRPr="003A12C9">
        <w:t xml:space="preserve"> </w:t>
      </w:r>
      <w:r w:rsidR="00BD2EC2" w:rsidRPr="003A12C9">
        <w:t>unable to attend the session</w:t>
      </w:r>
      <w:r w:rsidR="003A12C9" w:rsidRPr="003A12C9">
        <w:t xml:space="preserve"> for medical reasons</w:t>
      </w:r>
    </w:p>
    <w:p w:rsidR="00A36CC6" w:rsidRPr="00E75125" w:rsidRDefault="00A36CC6" w:rsidP="00A36CC6">
      <w:pPr>
        <w:pStyle w:val="H1G"/>
      </w:pPr>
      <w:bookmarkStart w:id="3" w:name="_Toc213748160"/>
      <w:r w:rsidRPr="00E75125">
        <w:tab/>
        <w:t>D.</w:t>
      </w:r>
      <w:r w:rsidRPr="00E75125">
        <w:tab/>
        <w:t>Meetings and documentation</w:t>
      </w:r>
      <w:bookmarkEnd w:id="3"/>
    </w:p>
    <w:p w:rsidR="00A36CC6" w:rsidRDefault="003E0DEB" w:rsidP="003F543D">
      <w:pPr>
        <w:pStyle w:val="SingleTxtG"/>
      </w:pPr>
      <w:r>
        <w:t>8</w:t>
      </w:r>
      <w:r w:rsidR="003F543D" w:rsidRPr="00251413">
        <w:t>.</w:t>
      </w:r>
      <w:r w:rsidR="003F543D" w:rsidRPr="00251413">
        <w:tab/>
      </w:r>
      <w:r w:rsidR="00A36CC6" w:rsidRPr="00F2552A">
        <w:t xml:space="preserve">At its </w:t>
      </w:r>
      <w:r w:rsidR="00D6536A">
        <w:t>eighteenth</w:t>
      </w:r>
      <w:r w:rsidR="00D6536A" w:rsidRPr="00F2552A">
        <w:t xml:space="preserve"> </w:t>
      </w:r>
      <w:r w:rsidR="00A36CC6" w:rsidRPr="00F2552A">
        <w:t xml:space="preserve">session, the Advisory Committee held </w:t>
      </w:r>
      <w:r w:rsidR="00D54A84">
        <w:t>nine</w:t>
      </w:r>
      <w:r w:rsidR="008E277A" w:rsidRPr="00F2552A">
        <w:t xml:space="preserve"> </w:t>
      </w:r>
      <w:r w:rsidR="00A36CC6" w:rsidRPr="00F2552A">
        <w:t xml:space="preserve">plenary meetings </w:t>
      </w:r>
      <w:r w:rsidR="00A36CC6" w:rsidRPr="00251413">
        <w:t xml:space="preserve">and </w:t>
      </w:r>
      <w:r w:rsidR="00D54A84">
        <w:t>four</w:t>
      </w:r>
      <w:r w:rsidR="008E277A" w:rsidRPr="00251413">
        <w:t xml:space="preserve"> </w:t>
      </w:r>
      <w:r w:rsidR="00A36CC6" w:rsidRPr="00251413">
        <w:t>closed meetings. The drafting groups on</w:t>
      </w:r>
      <w:r w:rsidR="00251413" w:rsidRPr="00251413">
        <w:t xml:space="preserve"> the elimination of discrimination against persons </w:t>
      </w:r>
      <w:r w:rsidR="00D63EC8">
        <w:t>affected by</w:t>
      </w:r>
      <w:r w:rsidR="00251413" w:rsidRPr="00251413">
        <w:t xml:space="preserve"> leprosy</w:t>
      </w:r>
      <w:r w:rsidR="00D63EC8">
        <w:t xml:space="preserve"> and their family members</w:t>
      </w:r>
      <w:r w:rsidR="00A36CC6" w:rsidRPr="00251413">
        <w:t>,</w:t>
      </w:r>
      <w:r w:rsidR="00251413" w:rsidRPr="00251413">
        <w:t xml:space="preserve"> </w:t>
      </w:r>
      <w:r w:rsidR="00F97F31">
        <w:t xml:space="preserve">regional arrangements for the promotion and protection of human rights, </w:t>
      </w:r>
      <w:r w:rsidR="00251413" w:rsidRPr="00251413">
        <w:t>unaccompanied migrant children</w:t>
      </w:r>
      <w:r w:rsidR="00D63EC8">
        <w:t xml:space="preserve"> and adolescents</w:t>
      </w:r>
      <w:r w:rsidR="00F40BA5">
        <w:t xml:space="preserve"> and human rights</w:t>
      </w:r>
      <w:r w:rsidR="00F97F31">
        <w:t>, and the negative impact of the non-repatriation of the funds of illicit origin on the enjoyment of human rights,</w:t>
      </w:r>
      <w:r w:rsidR="00D63EC8">
        <w:t xml:space="preserve"> </w:t>
      </w:r>
      <w:r w:rsidR="00A36CC6" w:rsidRPr="00251413">
        <w:t xml:space="preserve">also held </w:t>
      </w:r>
      <w:r w:rsidR="005A5B90">
        <w:t>closed</w:t>
      </w:r>
      <w:r w:rsidR="00A36CC6" w:rsidRPr="00251413">
        <w:t xml:space="preserve"> mee</w:t>
      </w:r>
      <w:r w:rsidR="00A36CC6" w:rsidRPr="00AD2E13">
        <w:t>tings.</w:t>
      </w:r>
      <w:r w:rsidR="00C64055" w:rsidRPr="00AD2E13">
        <w:t xml:space="preserve"> </w:t>
      </w:r>
      <w:r w:rsidR="003A0997" w:rsidRPr="003A12C9">
        <w:t xml:space="preserve">The Advisory Committee also held </w:t>
      </w:r>
      <w:r w:rsidR="00ED0355" w:rsidRPr="003A12C9">
        <w:t xml:space="preserve">a </w:t>
      </w:r>
      <w:r w:rsidR="003A0997" w:rsidRPr="003A12C9">
        <w:t>private meeting with</w:t>
      </w:r>
      <w:r w:rsidR="00ED0355" w:rsidRPr="003A12C9">
        <w:t xml:space="preserve"> the Working Group on Communications as well as meetings with </w:t>
      </w:r>
      <w:r w:rsidR="003A0997" w:rsidRPr="003A12C9">
        <w:t xml:space="preserve">representatives of non-governmental </w:t>
      </w:r>
      <w:r w:rsidR="0036572B" w:rsidRPr="003A12C9">
        <w:t>organizations, Bureau</w:t>
      </w:r>
      <w:r w:rsidR="003A0997" w:rsidRPr="003A12C9">
        <w:t xml:space="preserve"> of the Human</w:t>
      </w:r>
      <w:r w:rsidR="00624CA9" w:rsidRPr="003A12C9">
        <w:t xml:space="preserve"> Rights Council</w:t>
      </w:r>
      <w:r w:rsidR="0036572B" w:rsidRPr="003A12C9">
        <w:t xml:space="preserve"> along with regional and political group coordinators. </w:t>
      </w:r>
    </w:p>
    <w:p w:rsidR="006752C7" w:rsidRDefault="003E0DEB" w:rsidP="003F543D">
      <w:pPr>
        <w:pStyle w:val="SingleTxtG"/>
      </w:pPr>
      <w:r>
        <w:t>9</w:t>
      </w:r>
      <w:r w:rsidR="006752C7">
        <w:t>.</w:t>
      </w:r>
      <w:r w:rsidR="006752C7">
        <w:tab/>
        <w:t>The Advisory Committee also held a meeting with eleven delegates from</w:t>
      </w:r>
      <w:r w:rsidR="006752C7" w:rsidRPr="00797AC6">
        <w:t xml:space="preserve"> </w:t>
      </w:r>
      <w:r w:rsidR="006752C7">
        <w:t>Least Developed Countries</w:t>
      </w:r>
      <w:r w:rsidR="006752C7" w:rsidRPr="00797AC6">
        <w:t xml:space="preserve"> and Small Island Developing States</w:t>
      </w:r>
      <w:r w:rsidR="006752C7">
        <w:t xml:space="preserve"> supported by the Voluntary Trust Fund. In the ensuing discussion, statements were made by </w:t>
      </w:r>
      <w:r w:rsidR="00D81511" w:rsidRPr="00F20C92">
        <w:rPr>
          <w:rFonts w:eastAsia="SimSun"/>
          <w:lang w:eastAsia="zh-CN"/>
        </w:rPr>
        <w:t xml:space="preserve">members of the Advisory </w:t>
      </w:r>
      <w:r w:rsidR="00D81511" w:rsidRPr="00F20C92">
        <w:rPr>
          <w:rFonts w:eastAsia="SimSun"/>
          <w:lang w:eastAsia="zh-CN"/>
        </w:rPr>
        <w:lastRenderedPageBreak/>
        <w:t>Committee</w:t>
      </w:r>
      <w:r w:rsidR="006752C7">
        <w:t>,</w:t>
      </w:r>
      <w:r w:rsidR="00D81511">
        <w:t xml:space="preserve"> </w:t>
      </w:r>
      <w:r w:rsidR="006752C7">
        <w:t>delegates from the Least Developed Countries</w:t>
      </w:r>
      <w:r w:rsidR="006752C7" w:rsidRPr="00797AC6">
        <w:t xml:space="preserve"> and Small Island Developing States</w:t>
      </w:r>
      <w:r w:rsidR="006752C7">
        <w:t>, as well as observers for States, and an observer for an intergovernmental organiza</w:t>
      </w:r>
      <w:r w:rsidR="00C67622">
        <w:t>tion</w:t>
      </w:r>
      <w:r w:rsidR="00D81511" w:rsidRPr="00D81511">
        <w:t xml:space="preserve"> </w:t>
      </w:r>
      <w:r w:rsidR="00D81511" w:rsidRPr="00F20C92">
        <w:t>(see annex I)</w:t>
      </w:r>
      <w:r w:rsidR="00D81511" w:rsidRPr="00F20C92">
        <w:rPr>
          <w:rFonts w:eastAsia="SimSun"/>
          <w:lang w:eastAsia="zh-CN"/>
        </w:rPr>
        <w:t>.</w:t>
      </w:r>
    </w:p>
    <w:p w:rsidR="00A36CC6" w:rsidRPr="00E75125" w:rsidRDefault="00A36CC6" w:rsidP="00A36CC6">
      <w:pPr>
        <w:pStyle w:val="H1G"/>
      </w:pPr>
      <w:bookmarkStart w:id="4" w:name="_Toc213748161"/>
      <w:r w:rsidRPr="00E75125">
        <w:tab/>
        <w:t>E.</w:t>
      </w:r>
      <w:r w:rsidRPr="00E75125">
        <w:tab/>
        <w:t>Election of officers</w:t>
      </w:r>
      <w:bookmarkEnd w:id="4"/>
    </w:p>
    <w:p w:rsidR="00A36CC6" w:rsidRPr="00251413" w:rsidRDefault="003E0DEB" w:rsidP="003F543D">
      <w:pPr>
        <w:pStyle w:val="SingleTxtG"/>
      </w:pPr>
      <w:r>
        <w:t>10</w:t>
      </w:r>
      <w:r w:rsidR="003F543D" w:rsidRPr="00251413">
        <w:t>.</w:t>
      </w:r>
      <w:r w:rsidR="003F543D" w:rsidRPr="00251413">
        <w:tab/>
      </w:r>
      <w:r w:rsidR="00A36CC6" w:rsidRPr="00251413">
        <w:t xml:space="preserve">In accordance with rule 103 of the rules of procedure of the General Assembly and rule 5 of the rules of procedure of the Advisory Committee, </w:t>
      </w:r>
      <w:r w:rsidR="008221E5" w:rsidRPr="00251413">
        <w:t xml:space="preserve">the following officers were elected by acclamation </w:t>
      </w:r>
      <w:r w:rsidR="00A36CC6" w:rsidRPr="00251413">
        <w:t xml:space="preserve">at the </w:t>
      </w:r>
      <w:r w:rsidR="00D63EC8">
        <w:t>firs</w:t>
      </w:r>
      <w:r w:rsidR="00A36CC6" w:rsidRPr="00251413">
        <w:t xml:space="preserve">t meeting of the </w:t>
      </w:r>
      <w:r w:rsidR="00D6536A">
        <w:t>ei</w:t>
      </w:r>
      <w:r w:rsidR="005866D2">
        <w:t>gh</w:t>
      </w:r>
      <w:r w:rsidR="00D6536A">
        <w:t>teenth</w:t>
      </w:r>
      <w:r w:rsidR="00D6536A" w:rsidRPr="00251413">
        <w:t xml:space="preserve"> </w:t>
      </w:r>
      <w:r w:rsidR="004C62B2" w:rsidRPr="00251413">
        <w:t xml:space="preserve">session, </w:t>
      </w:r>
      <w:r w:rsidR="008221E5" w:rsidRPr="00251413">
        <w:t xml:space="preserve">held </w:t>
      </w:r>
      <w:r w:rsidR="004C62B2" w:rsidRPr="00251413">
        <w:t>on 2</w:t>
      </w:r>
      <w:r w:rsidR="00D6536A">
        <w:t>0</w:t>
      </w:r>
      <w:r w:rsidR="004C62B2" w:rsidRPr="00251413">
        <w:t xml:space="preserve"> February 201</w:t>
      </w:r>
      <w:r w:rsidR="00D6536A">
        <w:t>7</w:t>
      </w:r>
      <w:r w:rsidR="00A36CC6" w:rsidRPr="00251413">
        <w:t>:</w:t>
      </w:r>
    </w:p>
    <w:p w:rsidR="00A36CC6" w:rsidRPr="00A347DA" w:rsidRDefault="00A36CC6" w:rsidP="0070262B">
      <w:pPr>
        <w:pStyle w:val="SingleTxtG"/>
        <w:ind w:left="3400" w:hanging="1699"/>
        <w:jc w:val="left"/>
        <w:rPr>
          <w:lang w:val="fr-CH"/>
        </w:rPr>
      </w:pPr>
      <w:r w:rsidRPr="00A347DA">
        <w:rPr>
          <w:lang w:val="fr-CH"/>
        </w:rPr>
        <w:t>Chair:</w:t>
      </w:r>
      <w:r w:rsidRPr="00A347DA">
        <w:rPr>
          <w:lang w:val="fr-CH"/>
        </w:rPr>
        <w:tab/>
      </w:r>
      <w:r w:rsidR="00CD649B" w:rsidRPr="00A347DA">
        <w:rPr>
          <w:lang w:val="fr-CH"/>
        </w:rPr>
        <w:t>Mikhail Lebedev</w:t>
      </w:r>
    </w:p>
    <w:p w:rsidR="00A36CC6" w:rsidRPr="00773701" w:rsidRDefault="00A36CC6" w:rsidP="009E5175">
      <w:pPr>
        <w:pStyle w:val="SingleTxtG"/>
        <w:ind w:left="3400" w:hanging="1699"/>
        <w:jc w:val="left"/>
        <w:rPr>
          <w:lang w:val="fr-CH"/>
        </w:rPr>
      </w:pPr>
      <w:r w:rsidRPr="00773701">
        <w:rPr>
          <w:lang w:val="fr-CH"/>
        </w:rPr>
        <w:t>Vice</w:t>
      </w:r>
      <w:r w:rsidR="008221E5" w:rsidRPr="00773701">
        <w:rPr>
          <w:lang w:val="fr-CH"/>
        </w:rPr>
        <w:t>-</w:t>
      </w:r>
      <w:r w:rsidRPr="00773701">
        <w:rPr>
          <w:lang w:val="fr-CH"/>
        </w:rPr>
        <w:t>Chair</w:t>
      </w:r>
      <w:r w:rsidR="009A77C6" w:rsidRPr="00773701">
        <w:rPr>
          <w:lang w:val="fr-CH"/>
        </w:rPr>
        <w:t>s</w:t>
      </w:r>
      <w:r w:rsidRPr="00773701">
        <w:rPr>
          <w:lang w:val="fr-CH"/>
        </w:rPr>
        <w:t>:</w:t>
      </w:r>
      <w:r w:rsidRPr="00773701">
        <w:rPr>
          <w:lang w:val="fr-CH"/>
        </w:rPr>
        <w:tab/>
      </w:r>
      <w:r w:rsidR="00773701" w:rsidRPr="00773701">
        <w:rPr>
          <w:lang w:val="fr-CH"/>
        </w:rPr>
        <w:t>Mohamed Bennani</w:t>
      </w:r>
      <w:r w:rsidR="009E5175" w:rsidRPr="00773701">
        <w:rPr>
          <w:lang w:val="fr-CH"/>
        </w:rPr>
        <w:t xml:space="preserve"> </w:t>
      </w:r>
      <w:r w:rsidR="00341D9C" w:rsidRPr="00773701">
        <w:rPr>
          <w:lang w:val="fr-CH"/>
        </w:rPr>
        <w:br/>
      </w:r>
      <w:r w:rsidR="00773701" w:rsidRPr="00773701">
        <w:rPr>
          <w:lang w:val="fr-CH"/>
        </w:rPr>
        <w:t>Laurence Boisson de Chazournes</w:t>
      </w:r>
      <w:r w:rsidR="00341D9C" w:rsidRPr="00773701">
        <w:rPr>
          <w:lang w:val="fr-CH"/>
        </w:rPr>
        <w:br/>
      </w:r>
      <w:r w:rsidR="00C1768F" w:rsidRPr="00773701">
        <w:rPr>
          <w:lang w:val="fr-CH"/>
        </w:rPr>
        <w:t>Kaoru Obata</w:t>
      </w:r>
      <w:r w:rsidR="00095524" w:rsidRPr="00773701">
        <w:rPr>
          <w:lang w:val="fr-CH"/>
        </w:rPr>
        <w:br/>
      </w:r>
      <w:r w:rsidR="00C1768F" w:rsidRPr="00773701">
        <w:rPr>
          <w:lang w:val="fr-CH"/>
        </w:rPr>
        <w:t>Anantonia Reyes Prado</w:t>
      </w:r>
    </w:p>
    <w:p w:rsidR="00A36CC6" w:rsidRPr="00A347DA" w:rsidRDefault="00A36CC6" w:rsidP="00A36CC6">
      <w:pPr>
        <w:pStyle w:val="SingleTxtG"/>
        <w:ind w:left="3400" w:hanging="1699"/>
        <w:jc w:val="left"/>
        <w:rPr>
          <w:highlight w:val="yellow"/>
        </w:rPr>
      </w:pPr>
      <w:r w:rsidRPr="00A347DA">
        <w:t>Rapporteur:</w:t>
      </w:r>
      <w:r w:rsidR="008017B1" w:rsidRPr="00A347DA">
        <w:tab/>
      </w:r>
      <w:r w:rsidR="00773701" w:rsidRPr="00A347DA">
        <w:t>Kaoru Obata</w:t>
      </w:r>
    </w:p>
    <w:p w:rsidR="00A36CC6" w:rsidRPr="00A347DA" w:rsidRDefault="00A36CC6" w:rsidP="00A36CC6">
      <w:pPr>
        <w:pStyle w:val="H1G"/>
      </w:pPr>
      <w:bookmarkStart w:id="5" w:name="_Toc213748162"/>
      <w:r w:rsidRPr="00A347DA">
        <w:tab/>
      </w:r>
      <w:r w:rsidRPr="00E75125">
        <w:t>F.</w:t>
      </w:r>
      <w:r w:rsidRPr="00E75125">
        <w:tab/>
        <w:t>Adoption of the agend</w:t>
      </w:r>
      <w:bookmarkEnd w:id="5"/>
      <w:r w:rsidRPr="00A347DA">
        <w:t>a</w:t>
      </w:r>
    </w:p>
    <w:p w:rsidR="00A36CC6" w:rsidRPr="00251413" w:rsidRDefault="006B03E5" w:rsidP="003F543D">
      <w:pPr>
        <w:pStyle w:val="SingleTxtG"/>
      </w:pPr>
      <w:r>
        <w:t>1</w:t>
      </w:r>
      <w:r w:rsidR="003E0DEB">
        <w:t>1</w:t>
      </w:r>
      <w:r w:rsidR="003F543D" w:rsidRPr="00251413">
        <w:t>.</w:t>
      </w:r>
      <w:r w:rsidR="003F543D" w:rsidRPr="00251413">
        <w:tab/>
      </w:r>
      <w:r w:rsidR="004C62B2" w:rsidRPr="00251413">
        <w:rPr>
          <w:rStyle w:val="SingleTxtGChar"/>
        </w:rPr>
        <w:t xml:space="preserve">At its </w:t>
      </w:r>
      <w:r w:rsidR="00D63EC8">
        <w:rPr>
          <w:rStyle w:val="SingleTxtGChar"/>
        </w:rPr>
        <w:t>fir</w:t>
      </w:r>
      <w:r w:rsidR="004C62B2" w:rsidRPr="00251413">
        <w:rPr>
          <w:rStyle w:val="SingleTxtGChar"/>
        </w:rPr>
        <w:t>st meeting, on 2</w:t>
      </w:r>
      <w:r w:rsidR="00D6536A">
        <w:rPr>
          <w:rStyle w:val="SingleTxtGChar"/>
        </w:rPr>
        <w:t>0</w:t>
      </w:r>
      <w:r w:rsidR="004C62B2" w:rsidRPr="00251413">
        <w:rPr>
          <w:rStyle w:val="SingleTxtGChar"/>
        </w:rPr>
        <w:t xml:space="preserve"> February 201</w:t>
      </w:r>
      <w:r w:rsidR="00D6536A">
        <w:rPr>
          <w:rStyle w:val="SingleTxtGChar"/>
        </w:rPr>
        <w:t>7</w:t>
      </w:r>
      <w:r w:rsidR="00A36CC6" w:rsidRPr="00251413">
        <w:rPr>
          <w:rStyle w:val="SingleTxtGChar"/>
        </w:rPr>
        <w:t>, the Advisory Committee adopted its agenda (</w:t>
      </w:r>
      <w:r w:rsidR="005D05EB">
        <w:rPr>
          <w:rStyle w:val="SingleTxtGChar"/>
        </w:rPr>
        <w:t>A/HRC/AC/1</w:t>
      </w:r>
      <w:r w:rsidR="00D6536A">
        <w:rPr>
          <w:rStyle w:val="SingleTxtGChar"/>
        </w:rPr>
        <w:t>8</w:t>
      </w:r>
      <w:r w:rsidR="005D05EB">
        <w:rPr>
          <w:rStyle w:val="SingleTxtGChar"/>
        </w:rPr>
        <w:t>/1</w:t>
      </w:r>
      <w:r w:rsidR="00A36CC6" w:rsidRPr="00251413">
        <w:rPr>
          <w:rStyle w:val="SingleTxtGChar"/>
        </w:rPr>
        <w:t>).</w:t>
      </w:r>
    </w:p>
    <w:p w:rsidR="00A36CC6" w:rsidRPr="00E75125" w:rsidRDefault="00A36CC6" w:rsidP="00A36CC6">
      <w:pPr>
        <w:pStyle w:val="H1G"/>
      </w:pPr>
      <w:bookmarkStart w:id="6" w:name="_Toc213748163"/>
      <w:r w:rsidRPr="00E75125">
        <w:tab/>
        <w:t>G.</w:t>
      </w:r>
      <w:r w:rsidRPr="00E75125">
        <w:tab/>
        <w:t>Organization of work</w:t>
      </w:r>
      <w:bookmarkEnd w:id="6"/>
    </w:p>
    <w:p w:rsidR="00A36CC6" w:rsidRPr="00251413" w:rsidRDefault="003F543D" w:rsidP="003F543D">
      <w:pPr>
        <w:pStyle w:val="SingleTxtG"/>
      </w:pPr>
      <w:r w:rsidRPr="00251413">
        <w:t>1</w:t>
      </w:r>
      <w:r w:rsidR="003E0DEB">
        <w:t>2</w:t>
      </w:r>
      <w:r w:rsidRPr="00251413">
        <w:t>.</w:t>
      </w:r>
      <w:r w:rsidRPr="00251413">
        <w:tab/>
      </w:r>
      <w:r w:rsidR="00A36CC6" w:rsidRPr="00251413">
        <w:t>At the same meeting, the Advisory Committee adopted the draft programme of work prepared by the secretariat.</w:t>
      </w:r>
    </w:p>
    <w:p w:rsidR="00A36CC6" w:rsidRPr="00E75125" w:rsidRDefault="00A36CC6" w:rsidP="005A0E40">
      <w:pPr>
        <w:pStyle w:val="HChG"/>
      </w:pPr>
      <w:bookmarkStart w:id="7" w:name="_Toc213748164"/>
      <w:r w:rsidRPr="00E75125">
        <w:tab/>
        <w:t>III.</w:t>
      </w:r>
      <w:r w:rsidRPr="00E75125">
        <w:tab/>
        <w:t>Requests addressed to the Advisory Committee stemming</w:t>
      </w:r>
      <w:r w:rsidR="00D55F6D" w:rsidRPr="00E75125">
        <w:t xml:space="preserve"> </w:t>
      </w:r>
      <w:r w:rsidRPr="00E75125">
        <w:t>from Human Rights Council resolutions</w:t>
      </w:r>
      <w:bookmarkEnd w:id="7"/>
    </w:p>
    <w:p w:rsidR="00A36CC6" w:rsidRPr="00E75125" w:rsidRDefault="00A36CC6">
      <w:pPr>
        <w:pStyle w:val="H1G"/>
      </w:pPr>
      <w:bookmarkStart w:id="8" w:name="_Toc213748165"/>
      <w:r w:rsidRPr="00E75125">
        <w:tab/>
      </w:r>
      <w:bookmarkEnd w:id="8"/>
      <w:r w:rsidRPr="00E75125">
        <w:t>A.</w:t>
      </w:r>
      <w:r w:rsidRPr="00E75125">
        <w:tab/>
        <w:t>Requests currently under consideration by the Committee</w:t>
      </w:r>
    </w:p>
    <w:p w:rsidR="00180753" w:rsidRPr="00256215" w:rsidRDefault="00A36CC6" w:rsidP="00180753">
      <w:pPr>
        <w:pStyle w:val="H23G"/>
      </w:pPr>
      <w:bookmarkStart w:id="9" w:name="_Toc213748167"/>
      <w:r w:rsidRPr="00251413">
        <w:tab/>
        <w:t>1.</w:t>
      </w:r>
      <w:r w:rsidRPr="00251413">
        <w:tab/>
      </w:r>
      <w:r w:rsidR="00180753" w:rsidRPr="00256215">
        <w:t>Integration of a gender perspective</w:t>
      </w:r>
    </w:p>
    <w:p w:rsidR="00180753" w:rsidRDefault="00180753" w:rsidP="008A46E5">
      <w:pPr>
        <w:pStyle w:val="SingleTxtG"/>
        <w:rPr>
          <w:rFonts w:eastAsia="SimSun"/>
          <w:lang w:eastAsia="zh-CN"/>
        </w:rPr>
      </w:pPr>
      <w:r w:rsidRPr="00256215">
        <w:rPr>
          <w:rFonts w:eastAsia="SimSun"/>
          <w:lang w:eastAsia="zh-CN"/>
        </w:rPr>
        <w:t>1</w:t>
      </w:r>
      <w:r w:rsidR="003E0DEB">
        <w:rPr>
          <w:rFonts w:eastAsia="SimSun"/>
          <w:lang w:eastAsia="zh-CN"/>
        </w:rPr>
        <w:t>3</w:t>
      </w:r>
      <w:r w:rsidRPr="00256215">
        <w:rPr>
          <w:rFonts w:eastAsia="SimSun"/>
          <w:lang w:eastAsia="zh-CN"/>
        </w:rPr>
        <w:t>.</w:t>
      </w:r>
      <w:r w:rsidRPr="00256215">
        <w:rPr>
          <w:rFonts w:eastAsia="SimSun"/>
          <w:lang w:eastAsia="zh-CN"/>
        </w:rPr>
        <w:tab/>
      </w:r>
      <w:r w:rsidRPr="00D22C56">
        <w:rPr>
          <w:rFonts w:eastAsia="SimSun"/>
          <w:lang w:eastAsia="zh-CN"/>
        </w:rPr>
        <w:t xml:space="preserve">At </w:t>
      </w:r>
      <w:r w:rsidRPr="003A391E">
        <w:rPr>
          <w:rFonts w:eastAsia="SimSun"/>
          <w:lang w:eastAsia="zh-CN"/>
        </w:rPr>
        <w:t xml:space="preserve">the </w:t>
      </w:r>
      <w:r w:rsidR="008A46E5" w:rsidRPr="003A391E">
        <w:rPr>
          <w:rFonts w:eastAsia="SimSun"/>
          <w:lang w:eastAsia="zh-CN"/>
        </w:rPr>
        <w:t xml:space="preserve">first </w:t>
      </w:r>
      <w:r w:rsidRPr="003A391E">
        <w:rPr>
          <w:rFonts w:eastAsia="SimSun"/>
          <w:lang w:eastAsia="zh-CN"/>
        </w:rPr>
        <w:t xml:space="preserve">meeting, on </w:t>
      </w:r>
      <w:r w:rsidR="008A46E5" w:rsidRPr="003A391E">
        <w:rPr>
          <w:rFonts w:eastAsia="SimSun"/>
          <w:lang w:eastAsia="zh-CN"/>
        </w:rPr>
        <w:t>20</w:t>
      </w:r>
      <w:r w:rsidRPr="003A391E">
        <w:rPr>
          <w:rFonts w:eastAsia="SimSun"/>
          <w:lang w:eastAsia="zh-CN"/>
        </w:rPr>
        <w:t xml:space="preserve"> </w:t>
      </w:r>
      <w:r w:rsidR="008A46E5" w:rsidRPr="003A391E">
        <w:rPr>
          <w:rFonts w:eastAsia="SimSun"/>
          <w:lang w:eastAsia="zh-CN"/>
        </w:rPr>
        <w:t xml:space="preserve">February </w:t>
      </w:r>
      <w:r w:rsidRPr="003A391E">
        <w:rPr>
          <w:rFonts w:eastAsia="SimSun"/>
          <w:lang w:eastAsia="zh-CN"/>
        </w:rPr>
        <w:t>201</w:t>
      </w:r>
      <w:r w:rsidR="008A46E5" w:rsidRPr="003A391E">
        <w:rPr>
          <w:rFonts w:eastAsia="SimSun"/>
          <w:lang w:eastAsia="zh-CN"/>
        </w:rPr>
        <w:t>7</w:t>
      </w:r>
      <w:r w:rsidRPr="003A391E">
        <w:rPr>
          <w:rFonts w:eastAsia="SimSun"/>
          <w:lang w:eastAsia="zh-CN"/>
        </w:rPr>
        <w:t xml:space="preserve">, </w:t>
      </w:r>
      <w:r w:rsidR="00A347DA" w:rsidRPr="003A391E">
        <w:rPr>
          <w:rFonts w:eastAsia="SimSun"/>
          <w:lang w:eastAsia="zh-CN"/>
        </w:rPr>
        <w:t xml:space="preserve">a </w:t>
      </w:r>
      <w:r w:rsidR="00D22C56" w:rsidRPr="003A391E">
        <w:rPr>
          <w:rFonts w:eastAsia="SimSun"/>
          <w:lang w:eastAsia="zh-CN"/>
        </w:rPr>
        <w:t xml:space="preserve">representative </w:t>
      </w:r>
      <w:r w:rsidR="003A391E" w:rsidRPr="003A391E">
        <w:rPr>
          <w:rFonts w:eastAsia="SimSun"/>
          <w:lang w:eastAsia="zh-CN"/>
        </w:rPr>
        <w:t>from the Women’s Rights and Gender Section of the Office of the High Commissioner for Human Rights</w:t>
      </w:r>
      <w:r w:rsidR="003A391E" w:rsidRPr="003A391E" w:rsidDel="003A391E">
        <w:rPr>
          <w:rFonts w:eastAsia="SimSun"/>
          <w:lang w:eastAsia="zh-CN"/>
        </w:rPr>
        <w:t xml:space="preserve"> </w:t>
      </w:r>
      <w:r w:rsidR="0033634D" w:rsidRPr="003A391E">
        <w:rPr>
          <w:rFonts w:eastAsia="SimSun"/>
          <w:lang w:eastAsia="zh-CN"/>
        </w:rPr>
        <w:t xml:space="preserve">gave a presentation on the issue of the integration </w:t>
      </w:r>
      <w:r w:rsidR="0033634D" w:rsidRPr="003A391E">
        <w:t>by the Committee</w:t>
      </w:r>
      <w:r w:rsidR="0033634D" w:rsidRPr="003A391E">
        <w:rPr>
          <w:rFonts w:eastAsia="SimSun"/>
          <w:lang w:eastAsia="zh-CN"/>
        </w:rPr>
        <w:t xml:space="preserve"> of a gender perspective </w:t>
      </w:r>
      <w:r w:rsidR="0033634D" w:rsidRPr="003A391E">
        <w:t xml:space="preserve">into the implementation of its mandate, in accordance with Human Rights Council resolution 6/30. </w:t>
      </w:r>
      <w:r w:rsidR="0033634D" w:rsidRPr="003A391E">
        <w:rPr>
          <w:rFonts w:eastAsia="SimSun"/>
          <w:lang w:eastAsia="zh-CN"/>
        </w:rPr>
        <w:t>During the ensuing discussion, statements</w:t>
      </w:r>
      <w:r w:rsidR="0033634D" w:rsidRPr="00F20C92">
        <w:rPr>
          <w:rFonts w:eastAsia="SimSun"/>
          <w:lang w:eastAsia="zh-CN"/>
        </w:rPr>
        <w:t xml:space="preserve"> were made by members of the Advisory Committee</w:t>
      </w:r>
      <w:r w:rsidR="0033634D">
        <w:rPr>
          <w:rFonts w:eastAsia="SimSun"/>
          <w:lang w:eastAsia="zh-CN"/>
        </w:rPr>
        <w:t xml:space="preserve"> and an observer for a State</w:t>
      </w:r>
      <w:r w:rsidR="0033634D" w:rsidRPr="00F20C92">
        <w:rPr>
          <w:rFonts w:eastAsia="SimSun"/>
          <w:lang w:eastAsia="zh-CN"/>
        </w:rPr>
        <w:t xml:space="preserve"> </w:t>
      </w:r>
      <w:r w:rsidR="0033634D" w:rsidRPr="00F20C92">
        <w:t>(see annex I)</w:t>
      </w:r>
      <w:r w:rsidR="0033634D" w:rsidRPr="00F20C92">
        <w:rPr>
          <w:rFonts w:eastAsia="SimSun"/>
          <w:lang w:eastAsia="zh-CN"/>
        </w:rPr>
        <w:t>.</w:t>
      </w:r>
    </w:p>
    <w:p w:rsidR="00126A6B" w:rsidRPr="00BF2F82" w:rsidRDefault="009056D0" w:rsidP="009056D0">
      <w:pPr>
        <w:pStyle w:val="H23G"/>
      </w:pPr>
      <w:r>
        <w:tab/>
      </w:r>
      <w:r w:rsidR="00126A6B">
        <w:t xml:space="preserve">2. </w:t>
      </w:r>
      <w:r w:rsidR="00FB2D0E">
        <w:tab/>
      </w:r>
      <w:r w:rsidR="00126A6B" w:rsidRPr="00BF2F82">
        <w:t>Elimination of discrimination against persons with leprosy</w:t>
      </w:r>
    </w:p>
    <w:p w:rsidR="00126A6B" w:rsidRDefault="00126A6B" w:rsidP="00126A6B">
      <w:pPr>
        <w:pStyle w:val="SingleTxtG"/>
      </w:pPr>
      <w:r w:rsidRPr="00F20C92">
        <w:rPr>
          <w:rFonts w:eastAsia="SimSun"/>
          <w:lang w:eastAsia="zh-CN"/>
        </w:rPr>
        <w:t>1</w:t>
      </w:r>
      <w:r w:rsidR="007D441F">
        <w:rPr>
          <w:rFonts w:eastAsia="SimSun"/>
          <w:lang w:eastAsia="zh-CN"/>
        </w:rPr>
        <w:t>4</w:t>
      </w:r>
      <w:r w:rsidRPr="00F20C92">
        <w:rPr>
          <w:rFonts w:eastAsia="SimSun"/>
          <w:lang w:eastAsia="zh-CN"/>
        </w:rPr>
        <w:t>.</w:t>
      </w:r>
      <w:r w:rsidRPr="00F20C92">
        <w:rPr>
          <w:rFonts w:eastAsia="SimSun"/>
          <w:lang w:eastAsia="zh-CN"/>
        </w:rPr>
        <w:tab/>
        <w:t xml:space="preserve">At its </w:t>
      </w:r>
      <w:r w:rsidR="00FD1DB7">
        <w:rPr>
          <w:rFonts w:eastAsia="SimSun"/>
          <w:lang w:eastAsia="zh-CN"/>
        </w:rPr>
        <w:t>2nd</w:t>
      </w:r>
      <w:r w:rsidRPr="00F20C92">
        <w:rPr>
          <w:rFonts w:eastAsia="SimSun"/>
          <w:lang w:eastAsia="zh-CN"/>
        </w:rPr>
        <w:t xml:space="preserve"> meeting, on 2</w:t>
      </w:r>
      <w:r w:rsidR="00FD1DB7">
        <w:rPr>
          <w:rFonts w:eastAsia="SimSun"/>
          <w:lang w:eastAsia="zh-CN"/>
        </w:rPr>
        <w:t>0</w:t>
      </w:r>
      <w:r w:rsidRPr="00F20C92">
        <w:rPr>
          <w:rFonts w:eastAsia="SimSun"/>
          <w:lang w:eastAsia="zh-CN"/>
        </w:rPr>
        <w:t xml:space="preserve"> February 201</w:t>
      </w:r>
      <w:r w:rsidR="00FD1DB7">
        <w:rPr>
          <w:rFonts w:eastAsia="SimSun"/>
          <w:lang w:eastAsia="zh-CN"/>
        </w:rPr>
        <w:t>7</w:t>
      </w:r>
      <w:r w:rsidRPr="00F20C92">
        <w:rPr>
          <w:rFonts w:eastAsia="SimSun"/>
          <w:lang w:eastAsia="zh-CN"/>
        </w:rPr>
        <w:t>, the Advisory Committee</w:t>
      </w:r>
      <w:r w:rsidRPr="00F20C92">
        <w:t xml:space="preserve">, pursuant to Human Rights Council resolution </w:t>
      </w:r>
      <w:r w:rsidRPr="00F7368C">
        <w:t>29/5</w:t>
      </w:r>
      <w:r w:rsidRPr="00F20C92">
        <w:t xml:space="preserve">, </w:t>
      </w:r>
      <w:r w:rsidRPr="00F20C92">
        <w:rPr>
          <w:rFonts w:eastAsia="SimSun"/>
          <w:lang w:eastAsia="zh-CN"/>
        </w:rPr>
        <w:t xml:space="preserve">held a discussion on </w:t>
      </w:r>
      <w:r w:rsidRPr="00F20C92">
        <w:t>the elimination of discrimination of persons affected by leprosy and their family members</w:t>
      </w:r>
      <w:r w:rsidRPr="00F20C92">
        <w:rPr>
          <w:rFonts w:eastAsia="SimSun"/>
          <w:lang w:eastAsia="zh-CN"/>
        </w:rPr>
        <w:t xml:space="preserve">. The Rapporteur of the drafting group, </w:t>
      </w:r>
      <w:r w:rsidRPr="00DD44B9">
        <w:rPr>
          <w:rFonts w:eastAsia="SimSun"/>
          <w:lang w:eastAsia="zh-CN"/>
        </w:rPr>
        <w:t xml:space="preserve">Mr. </w:t>
      </w:r>
      <w:r w:rsidR="00FD1DB7" w:rsidRPr="00DD44B9">
        <w:rPr>
          <w:rFonts w:eastAsia="SimSun"/>
          <w:lang w:eastAsia="zh-CN"/>
        </w:rPr>
        <w:t xml:space="preserve">Imeru Tamrat </w:t>
      </w:r>
      <w:r w:rsidRPr="00DD44B9">
        <w:rPr>
          <w:rFonts w:eastAsia="SimSun"/>
          <w:lang w:eastAsia="zh-CN"/>
        </w:rPr>
        <w:t>Yigezu</w:t>
      </w:r>
      <w:r w:rsidRPr="00581CF1">
        <w:rPr>
          <w:rFonts w:eastAsia="SimSun"/>
          <w:lang w:eastAsia="zh-CN"/>
        </w:rPr>
        <w:t>,</w:t>
      </w:r>
      <w:r w:rsidRPr="00F20C92">
        <w:rPr>
          <w:rFonts w:eastAsia="SimSun"/>
          <w:lang w:eastAsia="zh-CN"/>
        </w:rPr>
        <w:t xml:space="preserve"> presented the draft </w:t>
      </w:r>
      <w:r w:rsidR="00D82182">
        <w:rPr>
          <w:rFonts w:eastAsia="SimSun"/>
          <w:lang w:eastAsia="zh-CN"/>
        </w:rPr>
        <w:t xml:space="preserve">final </w:t>
      </w:r>
      <w:r w:rsidRPr="00F20C92">
        <w:rPr>
          <w:rFonts w:eastAsia="SimSun"/>
          <w:lang w:eastAsia="zh-CN"/>
        </w:rPr>
        <w:t>report (A/HRC/AC/</w:t>
      </w:r>
      <w:r>
        <w:rPr>
          <w:rFonts w:eastAsia="SimSun"/>
          <w:lang w:eastAsia="zh-CN"/>
        </w:rPr>
        <w:t>1</w:t>
      </w:r>
      <w:r w:rsidR="00FD1DB7">
        <w:rPr>
          <w:rFonts w:eastAsia="SimSun"/>
          <w:lang w:eastAsia="zh-CN"/>
        </w:rPr>
        <w:t>8</w:t>
      </w:r>
      <w:r>
        <w:rPr>
          <w:rFonts w:eastAsia="SimSun"/>
          <w:lang w:eastAsia="zh-CN"/>
        </w:rPr>
        <w:t>/CRP.</w:t>
      </w:r>
      <w:r w:rsidR="00FD1DB7">
        <w:rPr>
          <w:rFonts w:eastAsia="SimSun"/>
          <w:lang w:eastAsia="zh-CN"/>
        </w:rPr>
        <w:t>1</w:t>
      </w:r>
      <w:r w:rsidRPr="00F20C92">
        <w:rPr>
          <w:rFonts w:eastAsia="SimSun"/>
          <w:lang w:eastAsia="zh-CN"/>
        </w:rPr>
        <w:t>)</w:t>
      </w:r>
      <w:r w:rsidR="00D82182">
        <w:rPr>
          <w:rFonts w:eastAsia="SimSun"/>
          <w:lang w:eastAsia="zh-CN"/>
        </w:rPr>
        <w:t>, to be submitted to the Council</w:t>
      </w:r>
      <w:r w:rsidR="00502BE3">
        <w:rPr>
          <w:rFonts w:eastAsia="SimSun"/>
          <w:lang w:eastAsia="zh-CN"/>
        </w:rPr>
        <w:t xml:space="preserve"> for consideration</w:t>
      </w:r>
      <w:r w:rsidR="00D82182">
        <w:rPr>
          <w:rFonts w:eastAsia="SimSun"/>
          <w:lang w:eastAsia="zh-CN"/>
        </w:rPr>
        <w:t xml:space="preserve"> at its thirty-fifth session.</w:t>
      </w:r>
      <w:r w:rsidRPr="00F20C92">
        <w:rPr>
          <w:rFonts w:eastAsia="SimSun"/>
          <w:lang w:eastAsia="zh-CN"/>
        </w:rPr>
        <w:t xml:space="preserve"> During the ensuing discussion, statements were made by members of the Advisory </w:t>
      </w:r>
      <w:r w:rsidRPr="00F20C92">
        <w:rPr>
          <w:rFonts w:eastAsia="SimSun"/>
          <w:lang w:eastAsia="zh-CN"/>
        </w:rPr>
        <w:lastRenderedPageBreak/>
        <w:t>Committee</w:t>
      </w:r>
      <w:r w:rsidR="00DD44B9">
        <w:rPr>
          <w:rFonts w:eastAsia="SimSun"/>
          <w:lang w:eastAsia="zh-CN"/>
        </w:rPr>
        <w:t xml:space="preserve">, </w:t>
      </w:r>
      <w:r>
        <w:rPr>
          <w:rFonts w:eastAsia="SimSun"/>
          <w:lang w:eastAsia="zh-CN"/>
        </w:rPr>
        <w:t>observer</w:t>
      </w:r>
      <w:r w:rsidR="0033634D">
        <w:rPr>
          <w:rFonts w:eastAsia="SimSun"/>
          <w:lang w:eastAsia="zh-CN"/>
        </w:rPr>
        <w:t>s</w:t>
      </w:r>
      <w:r>
        <w:rPr>
          <w:rFonts w:eastAsia="SimSun"/>
          <w:lang w:eastAsia="zh-CN"/>
        </w:rPr>
        <w:t xml:space="preserve"> for State</w:t>
      </w:r>
      <w:r w:rsidR="0033634D">
        <w:rPr>
          <w:rFonts w:eastAsia="SimSun"/>
          <w:lang w:eastAsia="zh-CN"/>
        </w:rPr>
        <w:t>s</w:t>
      </w:r>
      <w:r w:rsidR="00DD44B9">
        <w:rPr>
          <w:rFonts w:eastAsia="SimSun"/>
          <w:lang w:eastAsia="zh-CN"/>
        </w:rPr>
        <w:t xml:space="preserve">, and </w:t>
      </w:r>
      <w:r w:rsidR="00CB1F49" w:rsidRPr="0003737E">
        <w:t>observer</w:t>
      </w:r>
      <w:r w:rsidR="00CB1F49">
        <w:t>s</w:t>
      </w:r>
      <w:r w:rsidR="00CB1F49" w:rsidRPr="0003737E">
        <w:t xml:space="preserve"> fo</w:t>
      </w:r>
      <w:r w:rsidR="00CB1F49">
        <w:t>r</w:t>
      </w:r>
      <w:r w:rsidR="00CB1F49" w:rsidRPr="0003737E">
        <w:t xml:space="preserve"> non-governmental organization</w:t>
      </w:r>
      <w:r w:rsidR="00CB1F49">
        <w:t xml:space="preserve">s </w:t>
      </w:r>
      <w:r w:rsidRPr="00F20C92">
        <w:t>(see annex I)</w:t>
      </w:r>
      <w:r w:rsidRPr="00F20C92">
        <w:rPr>
          <w:rFonts w:eastAsia="SimSun"/>
          <w:lang w:eastAsia="zh-CN"/>
        </w:rPr>
        <w:t>. The</w:t>
      </w:r>
      <w:r>
        <w:rPr>
          <w:rFonts w:eastAsia="SimSun"/>
          <w:lang w:eastAsia="zh-CN"/>
        </w:rPr>
        <w:t>reafter, the</w:t>
      </w:r>
      <w:r w:rsidRPr="00F20C92">
        <w:rPr>
          <w:rFonts w:eastAsia="SimSun"/>
          <w:lang w:eastAsia="zh-CN"/>
        </w:rPr>
        <w:t xml:space="preserve"> Rapporteur made concluding remarks.</w:t>
      </w:r>
      <w:r w:rsidRPr="00F20C92">
        <w:t xml:space="preserve"> </w:t>
      </w:r>
    </w:p>
    <w:p w:rsidR="00544E5F" w:rsidRPr="00F20C92" w:rsidRDefault="00544E5F" w:rsidP="00126A6B">
      <w:pPr>
        <w:pStyle w:val="SingleTxtG"/>
        <w:rPr>
          <w:rFonts w:eastAsia="SimSun"/>
          <w:lang w:eastAsia="zh-CN"/>
        </w:rPr>
      </w:pPr>
      <w:r>
        <w:t>1</w:t>
      </w:r>
      <w:r w:rsidR="007D441F">
        <w:t>5</w:t>
      </w:r>
      <w:r>
        <w:t>.</w:t>
      </w:r>
      <w:r>
        <w:tab/>
      </w:r>
      <w:r w:rsidR="00D35198" w:rsidRPr="00296ED9">
        <w:rPr>
          <w:rFonts w:eastAsia="SimSun"/>
          <w:lang w:eastAsia="zh-CN"/>
        </w:rPr>
        <w:t xml:space="preserve">At the </w:t>
      </w:r>
      <w:r w:rsidR="00D35198">
        <w:rPr>
          <w:rFonts w:eastAsia="SimSun"/>
          <w:lang w:eastAsia="zh-CN"/>
        </w:rPr>
        <w:t>9</w:t>
      </w:r>
      <w:r w:rsidR="00D35198" w:rsidRPr="00296ED9">
        <w:rPr>
          <w:rFonts w:eastAsia="SimSun"/>
          <w:lang w:eastAsia="zh-CN"/>
        </w:rPr>
        <w:t>th meeting, on 2</w:t>
      </w:r>
      <w:r w:rsidR="00D35198">
        <w:rPr>
          <w:rFonts w:eastAsia="SimSun"/>
          <w:lang w:eastAsia="zh-CN"/>
        </w:rPr>
        <w:t>4</w:t>
      </w:r>
      <w:r w:rsidR="00D35198" w:rsidRPr="00296ED9">
        <w:rPr>
          <w:rFonts w:eastAsia="SimSun"/>
          <w:lang w:eastAsia="zh-CN"/>
        </w:rPr>
        <w:t xml:space="preserve"> February 201</w:t>
      </w:r>
      <w:r w:rsidR="00D35198">
        <w:rPr>
          <w:rFonts w:eastAsia="SimSun"/>
          <w:lang w:eastAsia="zh-CN"/>
        </w:rPr>
        <w:t>7</w:t>
      </w:r>
      <w:r w:rsidR="00D35198" w:rsidRPr="00296ED9">
        <w:rPr>
          <w:rFonts w:eastAsia="SimSun"/>
          <w:lang w:eastAsia="zh-CN"/>
        </w:rPr>
        <w:t xml:space="preserve">, </w:t>
      </w:r>
      <w:r w:rsidR="00D35198">
        <w:rPr>
          <w:rFonts w:eastAsia="SimSun"/>
          <w:lang w:eastAsia="zh-CN"/>
        </w:rPr>
        <w:t>the</w:t>
      </w:r>
      <w:r w:rsidR="00D35198" w:rsidRPr="00296ED9">
        <w:rPr>
          <w:rFonts w:eastAsia="SimSun"/>
          <w:lang w:eastAsia="zh-CN"/>
        </w:rPr>
        <w:t xml:space="preserve"> Chair of the drafting group on the elimination of discrimination against persons affected by leprosy and their family members, </w:t>
      </w:r>
      <w:r w:rsidR="00D35198">
        <w:rPr>
          <w:rFonts w:eastAsia="SimSun"/>
          <w:lang w:eastAsia="zh-CN"/>
        </w:rPr>
        <w:t>Mr.</w:t>
      </w:r>
      <w:r w:rsidR="00D35198" w:rsidRPr="00296ED9">
        <w:rPr>
          <w:rFonts w:eastAsia="SimSun"/>
          <w:lang w:eastAsia="zh-CN"/>
        </w:rPr>
        <w:t xml:space="preserve"> Obata</w:t>
      </w:r>
      <w:r w:rsidR="00D35198">
        <w:rPr>
          <w:rFonts w:eastAsia="SimSun"/>
          <w:lang w:eastAsia="zh-CN"/>
        </w:rPr>
        <w:t xml:space="preserve">, </w:t>
      </w:r>
      <w:r w:rsidR="00D35198" w:rsidRPr="00296ED9">
        <w:rPr>
          <w:rFonts w:eastAsia="SimSun"/>
          <w:lang w:eastAsia="zh-CN"/>
        </w:rPr>
        <w:t>introduced a draft text (A/HRC/AC/1</w:t>
      </w:r>
      <w:r w:rsidR="00D35198">
        <w:rPr>
          <w:rFonts w:eastAsia="SimSun"/>
          <w:lang w:eastAsia="zh-CN"/>
        </w:rPr>
        <w:t>8</w:t>
      </w:r>
      <w:r w:rsidR="00D35198" w:rsidRPr="00296ED9">
        <w:rPr>
          <w:rFonts w:eastAsia="SimSun"/>
          <w:lang w:eastAsia="zh-CN"/>
        </w:rPr>
        <w:t>/</w:t>
      </w:r>
      <w:r w:rsidR="00D35198" w:rsidRPr="00D35198">
        <w:rPr>
          <w:rFonts w:eastAsia="SimSun"/>
          <w:lang w:eastAsia="zh-CN"/>
        </w:rPr>
        <w:t>L.</w:t>
      </w:r>
      <w:r w:rsidR="00D35198">
        <w:rPr>
          <w:rFonts w:eastAsia="SimSun"/>
          <w:lang w:eastAsia="zh-CN"/>
        </w:rPr>
        <w:t>1</w:t>
      </w:r>
      <w:r w:rsidR="00D35198" w:rsidRPr="00296ED9">
        <w:rPr>
          <w:rFonts w:eastAsia="SimSun"/>
          <w:lang w:eastAsia="zh-CN"/>
        </w:rPr>
        <w:t xml:space="preserve">) sponsored by all </w:t>
      </w:r>
      <w:r w:rsidR="00D35198">
        <w:rPr>
          <w:rFonts w:eastAsia="SimSun"/>
          <w:lang w:eastAsia="zh-CN"/>
        </w:rPr>
        <w:t xml:space="preserve">the </w:t>
      </w:r>
      <w:r w:rsidR="00D35198" w:rsidRPr="00296ED9">
        <w:rPr>
          <w:rFonts w:eastAsia="SimSun"/>
          <w:lang w:eastAsia="zh-CN"/>
        </w:rPr>
        <w:t xml:space="preserve">members of the Advisory Committee. The </w:t>
      </w:r>
      <w:r w:rsidR="00D35198">
        <w:rPr>
          <w:rFonts w:eastAsia="SimSun"/>
          <w:lang w:eastAsia="zh-CN"/>
        </w:rPr>
        <w:t xml:space="preserve">draft text, as orally revised, </w:t>
      </w:r>
      <w:r w:rsidR="00D35198" w:rsidRPr="00296ED9">
        <w:rPr>
          <w:rFonts w:eastAsia="SimSun"/>
          <w:lang w:eastAsia="zh-CN"/>
        </w:rPr>
        <w:t>was adopted without a vote (see sect</w:t>
      </w:r>
      <w:r w:rsidR="00D35198">
        <w:rPr>
          <w:rFonts w:eastAsia="SimSun"/>
          <w:lang w:eastAsia="zh-CN"/>
        </w:rPr>
        <w:t>.</w:t>
      </w:r>
      <w:r w:rsidR="001B04D3">
        <w:rPr>
          <w:rFonts w:eastAsia="SimSun"/>
          <w:lang w:eastAsia="zh-CN"/>
        </w:rPr>
        <w:t xml:space="preserve"> </w:t>
      </w:r>
      <w:r w:rsidR="00A81DC8">
        <w:rPr>
          <w:rFonts w:eastAsia="SimSun"/>
          <w:lang w:eastAsia="zh-CN"/>
        </w:rPr>
        <w:t>I</w:t>
      </w:r>
      <w:r w:rsidR="00D35198" w:rsidRPr="00296ED9">
        <w:rPr>
          <w:rFonts w:eastAsia="SimSun"/>
          <w:lang w:eastAsia="zh-CN"/>
        </w:rPr>
        <w:t>, action 1</w:t>
      </w:r>
      <w:r w:rsidR="00D35198">
        <w:rPr>
          <w:rFonts w:eastAsia="SimSun"/>
          <w:lang w:eastAsia="zh-CN"/>
        </w:rPr>
        <w:t>8</w:t>
      </w:r>
      <w:r w:rsidR="00D35198" w:rsidRPr="00296ED9">
        <w:rPr>
          <w:rFonts w:eastAsia="SimSun"/>
          <w:lang w:eastAsia="zh-CN"/>
        </w:rPr>
        <w:t>/</w:t>
      </w:r>
      <w:r w:rsidR="007D441F">
        <w:rPr>
          <w:rFonts w:eastAsia="SimSun"/>
          <w:lang w:eastAsia="zh-CN"/>
        </w:rPr>
        <w:t>1</w:t>
      </w:r>
      <w:r w:rsidR="00D35198" w:rsidRPr="00296ED9">
        <w:rPr>
          <w:rFonts w:eastAsia="SimSun"/>
          <w:lang w:eastAsia="zh-CN"/>
        </w:rPr>
        <w:t>, above)</w:t>
      </w:r>
    </w:p>
    <w:p w:rsidR="00867BFB" w:rsidRPr="00401EFF" w:rsidRDefault="00867BFB" w:rsidP="00867BFB">
      <w:pPr>
        <w:pStyle w:val="H23G"/>
        <w:rPr>
          <w:rFonts w:eastAsia="SimSun"/>
          <w:lang w:eastAsia="zh-CN"/>
        </w:rPr>
      </w:pPr>
      <w:r>
        <w:tab/>
        <w:t xml:space="preserve">3. </w:t>
      </w:r>
      <w:r w:rsidR="00FB2D0E">
        <w:tab/>
      </w:r>
      <w:r>
        <w:t>R</w:t>
      </w:r>
      <w:r w:rsidRPr="004312FF">
        <w:t>egional arrangements for the promotion</w:t>
      </w:r>
      <w:r>
        <w:t xml:space="preserve"> and protection of human rights</w:t>
      </w:r>
    </w:p>
    <w:p w:rsidR="00867BFB" w:rsidRDefault="00544E5F" w:rsidP="00544E5F">
      <w:pPr>
        <w:pStyle w:val="SingleTxtG"/>
        <w:rPr>
          <w:rFonts w:eastAsia="SimSun"/>
          <w:lang w:eastAsia="zh-CN"/>
        </w:rPr>
      </w:pPr>
      <w:r>
        <w:rPr>
          <w:rFonts w:eastAsia="SimSun"/>
          <w:lang w:eastAsia="zh-CN"/>
        </w:rPr>
        <w:t>1</w:t>
      </w:r>
      <w:r w:rsidR="007D441F">
        <w:rPr>
          <w:rFonts w:eastAsia="SimSun"/>
          <w:lang w:eastAsia="zh-CN"/>
        </w:rPr>
        <w:t>6</w:t>
      </w:r>
      <w:r w:rsidR="00413C67">
        <w:rPr>
          <w:rFonts w:eastAsia="SimSun"/>
          <w:lang w:eastAsia="zh-CN"/>
        </w:rPr>
        <w:t>.</w:t>
      </w:r>
      <w:r>
        <w:rPr>
          <w:rFonts w:eastAsia="SimSun"/>
          <w:lang w:eastAsia="zh-CN"/>
        </w:rPr>
        <w:tab/>
      </w:r>
      <w:r w:rsidR="00867BFB" w:rsidRPr="00794131">
        <w:rPr>
          <w:rFonts w:eastAsia="SimSun"/>
          <w:lang w:eastAsia="zh-CN"/>
        </w:rPr>
        <w:t xml:space="preserve">At its </w:t>
      </w:r>
      <w:r w:rsidR="007A2DFC">
        <w:rPr>
          <w:rFonts w:eastAsia="SimSun"/>
          <w:lang w:eastAsia="zh-CN"/>
        </w:rPr>
        <w:t>3rd</w:t>
      </w:r>
      <w:r w:rsidR="00867BFB" w:rsidRPr="00794131">
        <w:rPr>
          <w:rFonts w:eastAsia="SimSun"/>
          <w:lang w:eastAsia="zh-CN"/>
        </w:rPr>
        <w:t xml:space="preserve"> meeting, on </w:t>
      </w:r>
      <w:r w:rsidR="007A2DFC">
        <w:rPr>
          <w:rFonts w:eastAsia="SimSun"/>
          <w:lang w:eastAsia="zh-CN"/>
        </w:rPr>
        <w:t>21</w:t>
      </w:r>
      <w:r w:rsidR="00867BFB" w:rsidRPr="00794131">
        <w:rPr>
          <w:rFonts w:eastAsia="SimSun"/>
          <w:lang w:eastAsia="zh-CN"/>
        </w:rPr>
        <w:t xml:space="preserve"> </w:t>
      </w:r>
      <w:r w:rsidR="007A2DFC">
        <w:rPr>
          <w:rFonts w:eastAsia="SimSun"/>
          <w:lang w:eastAsia="zh-CN"/>
        </w:rPr>
        <w:t>February</w:t>
      </w:r>
      <w:r w:rsidR="007A2DFC" w:rsidRPr="00794131">
        <w:rPr>
          <w:rFonts w:eastAsia="SimSun"/>
          <w:lang w:eastAsia="zh-CN"/>
        </w:rPr>
        <w:t xml:space="preserve"> </w:t>
      </w:r>
      <w:r w:rsidR="00867BFB" w:rsidRPr="00794131">
        <w:rPr>
          <w:rFonts w:eastAsia="SimSun"/>
          <w:lang w:eastAsia="zh-CN"/>
        </w:rPr>
        <w:t>201</w:t>
      </w:r>
      <w:r w:rsidR="007A2DFC">
        <w:rPr>
          <w:rFonts w:eastAsia="SimSun"/>
          <w:lang w:eastAsia="zh-CN"/>
        </w:rPr>
        <w:t>7</w:t>
      </w:r>
      <w:r w:rsidR="00867BFB" w:rsidRPr="00794131">
        <w:rPr>
          <w:rFonts w:eastAsia="SimSun"/>
          <w:lang w:eastAsia="zh-CN"/>
        </w:rPr>
        <w:t>, the Advisory Committee, pursuant to Human Rights Council decision 32/115, held a discussion on regional arrangements for the promotion and protection of human rights.</w:t>
      </w:r>
      <w:r w:rsidR="005C2688">
        <w:rPr>
          <w:rFonts w:eastAsia="SimSun"/>
          <w:lang w:eastAsia="zh-CN"/>
        </w:rPr>
        <w:t xml:space="preserve"> </w:t>
      </w:r>
      <w:r w:rsidR="0007683B" w:rsidRPr="00F20C92">
        <w:rPr>
          <w:rFonts w:eastAsia="SimSun"/>
          <w:lang w:eastAsia="zh-CN"/>
        </w:rPr>
        <w:t>The Rapporteur of the drafting group</w:t>
      </w:r>
      <w:r w:rsidR="0007683B">
        <w:rPr>
          <w:rFonts w:eastAsia="SimSun"/>
          <w:lang w:eastAsia="zh-CN"/>
        </w:rPr>
        <w:t xml:space="preserve">, </w:t>
      </w:r>
      <w:r w:rsidR="005C2688">
        <w:rPr>
          <w:rFonts w:eastAsia="SimSun"/>
          <w:lang w:eastAsia="zh-CN"/>
        </w:rPr>
        <w:t>Mr. Changrok Soh</w:t>
      </w:r>
      <w:r w:rsidR="0007683B">
        <w:rPr>
          <w:rFonts w:eastAsia="SimSun"/>
          <w:lang w:eastAsia="zh-CN"/>
        </w:rPr>
        <w:t xml:space="preserve">, </w:t>
      </w:r>
      <w:r w:rsidR="005C2688" w:rsidRPr="009C2858">
        <w:rPr>
          <w:rFonts w:eastAsia="SimSun"/>
          <w:lang w:eastAsia="zh-CN"/>
        </w:rPr>
        <w:t>presented the draft</w:t>
      </w:r>
      <w:r w:rsidR="00D6613E">
        <w:rPr>
          <w:rFonts w:eastAsia="SimSun"/>
          <w:lang w:eastAsia="zh-CN"/>
        </w:rPr>
        <w:t xml:space="preserve"> progress</w:t>
      </w:r>
      <w:r w:rsidR="005C2688" w:rsidRPr="009C2858">
        <w:rPr>
          <w:rFonts w:eastAsia="SimSun"/>
          <w:lang w:eastAsia="zh-CN"/>
        </w:rPr>
        <w:t xml:space="preserve"> report (A/HRC/AC/1</w:t>
      </w:r>
      <w:r w:rsidR="005C2688">
        <w:rPr>
          <w:rFonts w:eastAsia="SimSun"/>
          <w:lang w:eastAsia="zh-CN"/>
        </w:rPr>
        <w:t>8</w:t>
      </w:r>
      <w:r w:rsidR="005C2688" w:rsidRPr="009C2858">
        <w:rPr>
          <w:rFonts w:eastAsia="SimSun"/>
          <w:lang w:eastAsia="zh-CN"/>
        </w:rPr>
        <w:t>/CRP.</w:t>
      </w:r>
      <w:r w:rsidR="005C2688">
        <w:rPr>
          <w:rFonts w:eastAsia="SimSun"/>
          <w:lang w:eastAsia="zh-CN"/>
        </w:rPr>
        <w:t>4</w:t>
      </w:r>
      <w:r w:rsidR="005C2688" w:rsidRPr="009C2858">
        <w:rPr>
          <w:rFonts w:eastAsia="SimSun"/>
          <w:lang w:eastAsia="zh-CN"/>
        </w:rPr>
        <w:t>)</w:t>
      </w:r>
      <w:r w:rsidR="0007683B">
        <w:rPr>
          <w:rFonts w:eastAsia="SimSun"/>
          <w:lang w:eastAsia="zh-CN"/>
        </w:rPr>
        <w:t xml:space="preserve">, to be submitted to the Council </w:t>
      </w:r>
      <w:r w:rsidR="00502BE3">
        <w:rPr>
          <w:rFonts w:eastAsia="SimSun"/>
          <w:lang w:eastAsia="zh-CN"/>
        </w:rPr>
        <w:t xml:space="preserve">for consideration </w:t>
      </w:r>
      <w:r w:rsidR="0007683B">
        <w:rPr>
          <w:rFonts w:eastAsia="SimSun"/>
          <w:lang w:eastAsia="zh-CN"/>
        </w:rPr>
        <w:t>at its thirty-</w:t>
      </w:r>
      <w:r w:rsidR="00A81DC8">
        <w:rPr>
          <w:rFonts w:eastAsia="SimSun"/>
          <w:lang w:eastAsia="zh-CN"/>
        </w:rPr>
        <w:t>nin</w:t>
      </w:r>
      <w:r w:rsidR="0007683B">
        <w:rPr>
          <w:rFonts w:eastAsia="SimSun"/>
          <w:lang w:eastAsia="zh-CN"/>
        </w:rPr>
        <w:t xml:space="preserve">th session. </w:t>
      </w:r>
      <w:r w:rsidR="00867BFB" w:rsidRPr="00085BEB">
        <w:rPr>
          <w:rFonts w:eastAsia="SimSun"/>
          <w:lang w:eastAsia="zh-CN"/>
        </w:rPr>
        <w:t xml:space="preserve">In this context, </w:t>
      </w:r>
      <w:r w:rsidR="00502BE3">
        <w:rPr>
          <w:rFonts w:eastAsia="SimSun"/>
          <w:lang w:eastAsia="zh-CN"/>
        </w:rPr>
        <w:t xml:space="preserve">a </w:t>
      </w:r>
      <w:r w:rsidR="00867BFB" w:rsidRPr="00085BEB">
        <w:rPr>
          <w:rFonts w:eastAsia="SimSun"/>
          <w:lang w:eastAsia="zh-CN"/>
        </w:rPr>
        <w:t xml:space="preserve">presentation on the topic </w:t>
      </w:r>
      <w:r w:rsidR="00085BEB">
        <w:rPr>
          <w:rFonts w:eastAsia="SimSun"/>
          <w:lang w:eastAsia="zh-CN"/>
        </w:rPr>
        <w:t>was given by a</w:t>
      </w:r>
      <w:r w:rsidR="00E1252C">
        <w:rPr>
          <w:rFonts w:eastAsia="SimSun"/>
          <w:lang w:eastAsia="zh-CN"/>
        </w:rPr>
        <w:t xml:space="preserve"> </w:t>
      </w:r>
      <w:r w:rsidR="008357E0" w:rsidRPr="00F86361">
        <w:rPr>
          <w:rFonts w:eastAsia="SimSun"/>
          <w:lang w:eastAsia="zh-CN"/>
        </w:rPr>
        <w:t>representative of</w:t>
      </w:r>
      <w:r w:rsidR="00F86361" w:rsidRPr="00F86361">
        <w:rPr>
          <w:rFonts w:eastAsia="SimSun"/>
          <w:lang w:eastAsia="zh-CN"/>
        </w:rPr>
        <w:t xml:space="preserve"> </w:t>
      </w:r>
      <w:r w:rsidR="00B91C28" w:rsidRPr="00F86361">
        <w:rPr>
          <w:rFonts w:eastAsia="SimSun"/>
          <w:lang w:eastAsia="zh-CN"/>
        </w:rPr>
        <w:t>the Office of the High Commissioner for Human Rights</w:t>
      </w:r>
      <w:r w:rsidR="00085BEB" w:rsidRPr="00F86361">
        <w:rPr>
          <w:rFonts w:eastAsia="SimSun"/>
          <w:lang w:eastAsia="zh-CN"/>
        </w:rPr>
        <w:t xml:space="preserve">. </w:t>
      </w:r>
      <w:r w:rsidR="00867BFB" w:rsidRPr="00F86361">
        <w:rPr>
          <w:rFonts w:eastAsia="SimSun"/>
          <w:lang w:eastAsia="zh-CN"/>
        </w:rPr>
        <w:t>During</w:t>
      </w:r>
      <w:r w:rsidR="00867BFB" w:rsidRPr="00085BEB">
        <w:rPr>
          <w:rFonts w:eastAsia="SimSun"/>
          <w:lang w:eastAsia="zh-CN"/>
        </w:rPr>
        <w:t xml:space="preserve"> the ensuing discussion, statements were made by members of the Advisory Committee (see annex I). Thereafter, </w:t>
      </w:r>
      <w:r w:rsidR="00800544">
        <w:rPr>
          <w:rFonts w:eastAsia="SimSun"/>
          <w:lang w:eastAsia="zh-CN"/>
        </w:rPr>
        <w:t>the</w:t>
      </w:r>
      <w:r w:rsidR="00800544" w:rsidRPr="00F20C92">
        <w:rPr>
          <w:rFonts w:eastAsia="SimSun"/>
          <w:lang w:eastAsia="zh-CN"/>
        </w:rPr>
        <w:t xml:space="preserve"> Rapporteur </w:t>
      </w:r>
      <w:r w:rsidR="00867BFB" w:rsidRPr="00085BEB">
        <w:rPr>
          <w:rFonts w:eastAsia="SimSun"/>
          <w:lang w:eastAsia="zh-CN"/>
        </w:rPr>
        <w:t xml:space="preserve">made concluding remarks. </w:t>
      </w:r>
    </w:p>
    <w:p w:rsidR="00544E5F" w:rsidRPr="00085BEB" w:rsidRDefault="00544E5F" w:rsidP="00544E5F">
      <w:pPr>
        <w:pStyle w:val="SingleTxtG"/>
        <w:rPr>
          <w:rFonts w:eastAsia="SimSun"/>
          <w:lang w:eastAsia="zh-CN"/>
        </w:rPr>
      </w:pPr>
      <w:r>
        <w:rPr>
          <w:rFonts w:eastAsia="SimSun"/>
          <w:lang w:eastAsia="zh-CN"/>
        </w:rPr>
        <w:t>1</w:t>
      </w:r>
      <w:r w:rsidR="007D441F">
        <w:rPr>
          <w:rFonts w:eastAsia="SimSun"/>
          <w:lang w:eastAsia="zh-CN"/>
        </w:rPr>
        <w:t>7</w:t>
      </w:r>
      <w:r>
        <w:rPr>
          <w:rFonts w:eastAsia="SimSun"/>
          <w:lang w:eastAsia="zh-CN"/>
        </w:rPr>
        <w:t>.</w:t>
      </w:r>
      <w:r>
        <w:rPr>
          <w:rFonts w:eastAsia="SimSun"/>
          <w:lang w:eastAsia="zh-CN"/>
        </w:rPr>
        <w:tab/>
      </w:r>
      <w:r w:rsidR="000F1A9D" w:rsidRPr="00296ED9">
        <w:rPr>
          <w:rFonts w:eastAsia="SimSun"/>
          <w:lang w:eastAsia="zh-CN"/>
        </w:rPr>
        <w:t xml:space="preserve">At the </w:t>
      </w:r>
      <w:r w:rsidR="000F1A9D">
        <w:rPr>
          <w:rFonts w:eastAsia="SimSun"/>
          <w:lang w:eastAsia="zh-CN"/>
        </w:rPr>
        <w:t>9</w:t>
      </w:r>
      <w:r w:rsidR="000F1A9D" w:rsidRPr="00296ED9">
        <w:rPr>
          <w:rFonts w:eastAsia="SimSun"/>
          <w:lang w:eastAsia="zh-CN"/>
        </w:rPr>
        <w:t>th meeting, on 2</w:t>
      </w:r>
      <w:r w:rsidR="000F1A9D">
        <w:rPr>
          <w:rFonts w:eastAsia="SimSun"/>
          <w:lang w:eastAsia="zh-CN"/>
        </w:rPr>
        <w:t>4</w:t>
      </w:r>
      <w:r w:rsidR="000F1A9D" w:rsidRPr="00296ED9">
        <w:rPr>
          <w:rFonts w:eastAsia="SimSun"/>
          <w:lang w:eastAsia="zh-CN"/>
        </w:rPr>
        <w:t xml:space="preserve"> February 201</w:t>
      </w:r>
      <w:r w:rsidR="000F1A9D">
        <w:rPr>
          <w:rFonts w:eastAsia="SimSun"/>
          <w:lang w:eastAsia="zh-CN"/>
        </w:rPr>
        <w:t>7</w:t>
      </w:r>
      <w:r w:rsidR="000F1A9D" w:rsidRPr="00296ED9">
        <w:rPr>
          <w:rFonts w:eastAsia="SimSun"/>
          <w:lang w:eastAsia="zh-CN"/>
        </w:rPr>
        <w:t xml:space="preserve">, </w:t>
      </w:r>
      <w:r w:rsidR="000F1A9D">
        <w:rPr>
          <w:rFonts w:eastAsia="SimSun"/>
          <w:lang w:eastAsia="zh-CN"/>
        </w:rPr>
        <w:t>the</w:t>
      </w:r>
      <w:r w:rsidR="000F1A9D" w:rsidRPr="00296ED9">
        <w:rPr>
          <w:rFonts w:eastAsia="SimSun"/>
          <w:lang w:eastAsia="zh-CN"/>
        </w:rPr>
        <w:t xml:space="preserve"> Chair of the drafting group on </w:t>
      </w:r>
      <w:r w:rsidR="006D1CBC" w:rsidRPr="00794131">
        <w:rPr>
          <w:rFonts w:eastAsia="SimSun"/>
          <w:lang w:eastAsia="zh-CN"/>
        </w:rPr>
        <w:t>regional arrangements for the promotion and protection of human rights</w:t>
      </w:r>
      <w:r w:rsidR="000F1A9D" w:rsidRPr="00296ED9">
        <w:rPr>
          <w:rFonts w:eastAsia="SimSun"/>
          <w:lang w:eastAsia="zh-CN"/>
        </w:rPr>
        <w:t xml:space="preserve">, </w:t>
      </w:r>
      <w:r w:rsidR="000F1A9D" w:rsidRPr="002E6CA8">
        <w:rPr>
          <w:rFonts w:eastAsia="SimSun"/>
          <w:lang w:eastAsia="zh-CN"/>
        </w:rPr>
        <w:t>Ms</w:t>
      </w:r>
      <w:r w:rsidR="000F1A9D" w:rsidRPr="00713AD5">
        <w:rPr>
          <w:rFonts w:eastAsia="SimSun"/>
          <w:lang w:eastAsia="zh-CN"/>
        </w:rPr>
        <w:t>.</w:t>
      </w:r>
      <w:r w:rsidR="000F1A9D" w:rsidRPr="002E6CA8">
        <w:t xml:space="preserve"> Katharina </w:t>
      </w:r>
      <w:proofErr w:type="spellStart"/>
      <w:r w:rsidR="000F1A9D" w:rsidRPr="002E6CA8">
        <w:t>Pabel</w:t>
      </w:r>
      <w:proofErr w:type="spellEnd"/>
      <w:r w:rsidR="000F1A9D">
        <w:rPr>
          <w:rFonts w:eastAsia="SimSun"/>
          <w:lang w:eastAsia="zh-CN"/>
        </w:rPr>
        <w:t xml:space="preserve">, </w:t>
      </w:r>
      <w:r w:rsidR="000F1A9D" w:rsidRPr="00296ED9">
        <w:rPr>
          <w:rFonts w:eastAsia="SimSun"/>
          <w:lang w:eastAsia="zh-CN"/>
        </w:rPr>
        <w:t>introduced a draft text (A/HRC/AC/1</w:t>
      </w:r>
      <w:r w:rsidR="000F1A9D">
        <w:rPr>
          <w:rFonts w:eastAsia="SimSun"/>
          <w:lang w:eastAsia="zh-CN"/>
        </w:rPr>
        <w:t>8</w:t>
      </w:r>
      <w:r w:rsidR="000F1A9D" w:rsidRPr="00296ED9">
        <w:rPr>
          <w:rFonts w:eastAsia="SimSun"/>
          <w:lang w:eastAsia="zh-CN"/>
        </w:rPr>
        <w:t>/</w:t>
      </w:r>
      <w:r w:rsidR="000F1A9D" w:rsidRPr="00D35198">
        <w:rPr>
          <w:rFonts w:eastAsia="SimSun"/>
          <w:lang w:eastAsia="zh-CN"/>
        </w:rPr>
        <w:t>L.</w:t>
      </w:r>
      <w:r w:rsidR="000F1A9D">
        <w:rPr>
          <w:rFonts w:eastAsia="SimSun"/>
          <w:lang w:eastAsia="zh-CN"/>
        </w:rPr>
        <w:t>2</w:t>
      </w:r>
      <w:r w:rsidR="000F1A9D" w:rsidRPr="00296ED9">
        <w:rPr>
          <w:rFonts w:eastAsia="SimSun"/>
          <w:lang w:eastAsia="zh-CN"/>
        </w:rPr>
        <w:t xml:space="preserve">) sponsored by all </w:t>
      </w:r>
      <w:r w:rsidR="000F1A9D">
        <w:rPr>
          <w:rFonts w:eastAsia="SimSun"/>
          <w:lang w:eastAsia="zh-CN"/>
        </w:rPr>
        <w:t xml:space="preserve">the </w:t>
      </w:r>
      <w:r w:rsidR="000F1A9D" w:rsidRPr="00296ED9">
        <w:rPr>
          <w:rFonts w:eastAsia="SimSun"/>
          <w:lang w:eastAsia="zh-CN"/>
        </w:rPr>
        <w:t xml:space="preserve">members of the Advisory Committee. The </w:t>
      </w:r>
      <w:r w:rsidR="000F1A9D">
        <w:rPr>
          <w:rFonts w:eastAsia="SimSun"/>
          <w:lang w:eastAsia="zh-CN"/>
        </w:rPr>
        <w:t xml:space="preserve">draft text, as orally revised, </w:t>
      </w:r>
      <w:r w:rsidR="000F1A9D" w:rsidRPr="00296ED9">
        <w:rPr>
          <w:rFonts w:eastAsia="SimSun"/>
          <w:lang w:eastAsia="zh-CN"/>
        </w:rPr>
        <w:t>was adopted without a vote (see sect</w:t>
      </w:r>
      <w:r w:rsidR="000F1A9D">
        <w:rPr>
          <w:rFonts w:eastAsia="SimSun"/>
          <w:lang w:eastAsia="zh-CN"/>
        </w:rPr>
        <w:t>.</w:t>
      </w:r>
      <w:r w:rsidR="001B04D3">
        <w:rPr>
          <w:rFonts w:eastAsia="SimSun"/>
          <w:lang w:eastAsia="zh-CN"/>
        </w:rPr>
        <w:t xml:space="preserve"> </w:t>
      </w:r>
      <w:r w:rsidR="00A81DC8">
        <w:rPr>
          <w:rFonts w:eastAsia="SimSun"/>
          <w:lang w:eastAsia="zh-CN"/>
        </w:rPr>
        <w:t>I</w:t>
      </w:r>
      <w:r w:rsidR="000F1A9D" w:rsidRPr="00296ED9">
        <w:rPr>
          <w:rFonts w:eastAsia="SimSun"/>
          <w:lang w:eastAsia="zh-CN"/>
        </w:rPr>
        <w:t>, action 1</w:t>
      </w:r>
      <w:r w:rsidR="000F1A9D">
        <w:rPr>
          <w:rFonts w:eastAsia="SimSun"/>
          <w:lang w:eastAsia="zh-CN"/>
        </w:rPr>
        <w:t>8</w:t>
      </w:r>
      <w:r w:rsidR="000F1A9D" w:rsidRPr="00296ED9">
        <w:rPr>
          <w:rFonts w:eastAsia="SimSun"/>
          <w:lang w:eastAsia="zh-CN"/>
        </w:rPr>
        <w:t>/</w:t>
      </w:r>
      <w:r w:rsidR="007D441F">
        <w:rPr>
          <w:rFonts w:eastAsia="SimSun"/>
          <w:lang w:eastAsia="zh-CN"/>
        </w:rPr>
        <w:t>2</w:t>
      </w:r>
      <w:r w:rsidR="000F1A9D" w:rsidRPr="00296ED9">
        <w:rPr>
          <w:rFonts w:eastAsia="SimSun"/>
          <w:lang w:eastAsia="zh-CN"/>
        </w:rPr>
        <w:t>, above)</w:t>
      </w:r>
    </w:p>
    <w:p w:rsidR="00A36CC6" w:rsidRPr="009C2858" w:rsidRDefault="00132312" w:rsidP="009056D0">
      <w:pPr>
        <w:pStyle w:val="H23G"/>
      </w:pPr>
      <w:r>
        <w:tab/>
        <w:t xml:space="preserve">4. </w:t>
      </w:r>
      <w:r w:rsidR="009056D0">
        <w:tab/>
      </w:r>
      <w:r w:rsidR="0045247E">
        <w:t>G</w:t>
      </w:r>
      <w:r w:rsidR="00432C74">
        <w:t>lobal issue of u</w:t>
      </w:r>
      <w:r w:rsidR="00F34E22" w:rsidRPr="009C2858">
        <w:t>naccompanied migrant children and adolescents</w:t>
      </w:r>
      <w:r>
        <w:t xml:space="preserve"> </w:t>
      </w:r>
      <w:r w:rsidR="00432C74">
        <w:t>and human rights</w:t>
      </w:r>
    </w:p>
    <w:p w:rsidR="00F34E22" w:rsidRDefault="003F543D" w:rsidP="00646669">
      <w:pPr>
        <w:pStyle w:val="SingleTxtG"/>
      </w:pPr>
      <w:r w:rsidRPr="00F34E22">
        <w:t>1</w:t>
      </w:r>
      <w:r w:rsidR="007D441F">
        <w:t>8</w:t>
      </w:r>
      <w:r w:rsidRPr="00F34E22">
        <w:t>.</w:t>
      </w:r>
      <w:r w:rsidRPr="00F34E22">
        <w:tab/>
      </w:r>
      <w:r w:rsidR="00555F28" w:rsidRPr="009C2858">
        <w:t xml:space="preserve">At its </w:t>
      </w:r>
      <w:r w:rsidR="00461B9A">
        <w:t>4</w:t>
      </w:r>
      <w:r w:rsidR="00502BE3">
        <w:t>th</w:t>
      </w:r>
      <w:r w:rsidR="00636E89">
        <w:t xml:space="preserve"> </w:t>
      </w:r>
      <w:r w:rsidR="00244F75" w:rsidRPr="009C2858">
        <w:t>meeting</w:t>
      </w:r>
      <w:r w:rsidR="00555F28" w:rsidRPr="009C2858">
        <w:t>, on 2</w:t>
      </w:r>
      <w:r w:rsidR="00461B9A">
        <w:t>1</w:t>
      </w:r>
      <w:r w:rsidR="00555F28" w:rsidRPr="009C2858">
        <w:t xml:space="preserve"> February 201</w:t>
      </w:r>
      <w:r w:rsidR="00461B9A">
        <w:t>7</w:t>
      </w:r>
      <w:r w:rsidR="0014056F" w:rsidRPr="009C2858">
        <w:t>, the Advisory Committee, pursuant to Human Rights Council resolution</w:t>
      </w:r>
      <w:r w:rsidR="00502BE3">
        <w:t>s</w:t>
      </w:r>
      <w:r w:rsidR="0014056F" w:rsidRPr="009C2858">
        <w:t xml:space="preserve"> 2</w:t>
      </w:r>
      <w:r w:rsidR="009C2858" w:rsidRPr="009C2858">
        <w:t>9</w:t>
      </w:r>
      <w:r w:rsidR="0014056F" w:rsidRPr="009C2858">
        <w:t>/1</w:t>
      </w:r>
      <w:r w:rsidR="009C2858" w:rsidRPr="009C2858">
        <w:t>2</w:t>
      </w:r>
      <w:r w:rsidR="00502BE3">
        <w:t xml:space="preserve"> and 33/7</w:t>
      </w:r>
      <w:r w:rsidR="0014056F" w:rsidRPr="009C2858">
        <w:t>, held a discussion on the</w:t>
      </w:r>
      <w:r w:rsidR="009C2858" w:rsidRPr="009C2858">
        <w:t xml:space="preserve"> global issue of unaccompanied migrant children and adolescents and human rights.</w:t>
      </w:r>
      <w:r w:rsidR="00D6613E">
        <w:t xml:space="preserve"> The</w:t>
      </w:r>
      <w:r w:rsidR="00D6613E" w:rsidRPr="00296ED9">
        <w:t xml:space="preserve"> Chair of the drafting group</w:t>
      </w:r>
      <w:r w:rsidR="00D6613E">
        <w:t>,</w:t>
      </w:r>
      <w:r w:rsidR="00244F75" w:rsidRPr="009C2858">
        <w:t xml:space="preserve"> </w:t>
      </w:r>
      <w:r w:rsidR="00130AAD">
        <w:t>Ms. Anantonia Reyes Prado,</w:t>
      </w:r>
      <w:r w:rsidR="00D6613E">
        <w:t xml:space="preserve"> </w:t>
      </w:r>
      <w:r w:rsidR="00244F75" w:rsidRPr="009C2858">
        <w:rPr>
          <w:rFonts w:eastAsia="SimSun"/>
          <w:lang w:eastAsia="zh-CN"/>
        </w:rPr>
        <w:t xml:space="preserve">presented the </w:t>
      </w:r>
      <w:r w:rsidR="009C2858" w:rsidRPr="009C2858">
        <w:rPr>
          <w:rFonts w:eastAsia="SimSun"/>
          <w:lang w:eastAsia="zh-CN"/>
        </w:rPr>
        <w:t>draft</w:t>
      </w:r>
      <w:r w:rsidR="00D6613E">
        <w:rPr>
          <w:rFonts w:eastAsia="SimSun"/>
          <w:lang w:eastAsia="zh-CN"/>
        </w:rPr>
        <w:t xml:space="preserve"> final</w:t>
      </w:r>
      <w:r w:rsidR="00244F75" w:rsidRPr="009C2858">
        <w:rPr>
          <w:rFonts w:eastAsia="SimSun"/>
          <w:lang w:eastAsia="zh-CN"/>
        </w:rPr>
        <w:t xml:space="preserve"> report (A/HRC/</w:t>
      </w:r>
      <w:r w:rsidR="009C2858" w:rsidRPr="009C2858">
        <w:rPr>
          <w:rFonts w:eastAsia="SimSun"/>
          <w:lang w:eastAsia="zh-CN"/>
        </w:rPr>
        <w:t>AC</w:t>
      </w:r>
      <w:r w:rsidR="00244F75" w:rsidRPr="009C2858">
        <w:rPr>
          <w:rFonts w:eastAsia="SimSun"/>
          <w:lang w:eastAsia="zh-CN"/>
        </w:rPr>
        <w:t>/</w:t>
      </w:r>
      <w:r w:rsidR="009C2858" w:rsidRPr="009C2858">
        <w:rPr>
          <w:rFonts w:eastAsia="SimSun"/>
          <w:lang w:eastAsia="zh-CN"/>
        </w:rPr>
        <w:t>1</w:t>
      </w:r>
      <w:r w:rsidR="00461B9A">
        <w:rPr>
          <w:rFonts w:eastAsia="SimSun"/>
          <w:lang w:eastAsia="zh-CN"/>
        </w:rPr>
        <w:t>8</w:t>
      </w:r>
      <w:r w:rsidR="009C2858" w:rsidRPr="009C2858">
        <w:rPr>
          <w:rFonts w:eastAsia="SimSun"/>
          <w:lang w:eastAsia="zh-CN"/>
        </w:rPr>
        <w:t>/CRP.</w:t>
      </w:r>
      <w:r w:rsidR="00512716">
        <w:rPr>
          <w:rFonts w:eastAsia="SimSun"/>
          <w:lang w:eastAsia="zh-CN"/>
        </w:rPr>
        <w:t>2</w:t>
      </w:r>
      <w:r w:rsidR="00244F75" w:rsidRPr="009C2858">
        <w:rPr>
          <w:rFonts w:eastAsia="SimSun"/>
          <w:lang w:eastAsia="zh-CN"/>
        </w:rPr>
        <w:t>)</w:t>
      </w:r>
      <w:r w:rsidR="00D6613E">
        <w:t>, to be submitted to the Council for consideration at its thirty-sixth session.</w:t>
      </w:r>
      <w:r w:rsidR="00D6613E">
        <w:rPr>
          <w:rFonts w:eastAsia="SimSun"/>
          <w:lang w:eastAsia="zh-CN"/>
        </w:rPr>
        <w:t xml:space="preserve"> </w:t>
      </w:r>
      <w:r w:rsidR="00646669" w:rsidRPr="00085BEB">
        <w:rPr>
          <w:rFonts w:eastAsia="SimSun"/>
          <w:lang w:eastAsia="zh-CN"/>
        </w:rPr>
        <w:t xml:space="preserve">In this context, </w:t>
      </w:r>
      <w:r w:rsidR="00646669">
        <w:rPr>
          <w:rFonts w:eastAsia="SimSun"/>
          <w:lang w:eastAsia="zh-CN"/>
        </w:rPr>
        <w:t xml:space="preserve">presentations on the topic were given </w:t>
      </w:r>
      <w:r w:rsidR="00646669">
        <w:t>via</w:t>
      </w:r>
      <w:r w:rsidR="009824D3" w:rsidRPr="009C2858">
        <w:t xml:space="preserve"> </w:t>
      </w:r>
      <w:r w:rsidR="005C1538">
        <w:t xml:space="preserve">video conference by </w:t>
      </w:r>
      <w:r w:rsidR="00C26FD2">
        <w:t xml:space="preserve">the Vice-chair of the Committee on Migrant Workers, Mr. Pablo </w:t>
      </w:r>
      <w:proofErr w:type="spellStart"/>
      <w:r w:rsidR="00C26FD2">
        <w:t>Ceriani</w:t>
      </w:r>
      <w:proofErr w:type="spellEnd"/>
      <w:r w:rsidR="003A391E">
        <w:t>,</w:t>
      </w:r>
      <w:r w:rsidR="00C26FD2">
        <w:t xml:space="preserve"> and </w:t>
      </w:r>
      <w:r w:rsidR="00250C8D">
        <w:t>a</w:t>
      </w:r>
      <w:r w:rsidR="00C26FD2">
        <w:t xml:space="preserve"> Child Protection Expert at the Office of </w:t>
      </w:r>
      <w:r w:rsidR="00C26FD2" w:rsidRPr="005C1538">
        <w:t xml:space="preserve">the </w:t>
      </w:r>
      <w:r w:rsidR="002228CD" w:rsidRPr="005C1538">
        <w:t>Special</w:t>
      </w:r>
      <w:r w:rsidR="00C26FD2" w:rsidRPr="005C1538">
        <w:t xml:space="preserve"> Representative of the </w:t>
      </w:r>
      <w:r w:rsidR="002228CD" w:rsidRPr="005C1538">
        <w:t>Secretary</w:t>
      </w:r>
      <w:r w:rsidR="00C26FD2" w:rsidRPr="005C1538">
        <w:t xml:space="preserve">-General on Violence against Children, Ms.  Ann-Kristen Vervick. </w:t>
      </w:r>
      <w:r w:rsidR="00082B77" w:rsidRPr="005C1538">
        <w:t xml:space="preserve">The </w:t>
      </w:r>
      <w:r w:rsidR="00824FFF">
        <w:t>S</w:t>
      </w:r>
      <w:r w:rsidR="00082B77" w:rsidRPr="005C1538">
        <w:t xml:space="preserve">ecretary of the </w:t>
      </w:r>
      <w:r w:rsidR="00636A19" w:rsidRPr="005C1538">
        <w:t>C</w:t>
      </w:r>
      <w:r w:rsidR="00082B77" w:rsidRPr="005C1538">
        <w:t xml:space="preserve">ommittee on Migrant Workers of the Office of the High Commissioner for Human Rights </w:t>
      </w:r>
      <w:r w:rsidR="00636A19" w:rsidRPr="005C1538">
        <w:t xml:space="preserve">also </w:t>
      </w:r>
      <w:r w:rsidR="005C1538" w:rsidRPr="005C1538">
        <w:t>gave a presentation on</w:t>
      </w:r>
      <w:r w:rsidR="005C1538" w:rsidRPr="005C1538">
        <w:rPr>
          <w:lang w:val="en-US"/>
        </w:rPr>
        <w:t xml:space="preserve"> </w:t>
      </w:r>
      <w:r w:rsidR="00646669" w:rsidRPr="005C1538">
        <w:rPr>
          <w:lang w:val="en-US"/>
        </w:rPr>
        <w:t>the topic.</w:t>
      </w:r>
      <w:r w:rsidR="00636E89" w:rsidRPr="005C1538">
        <w:t xml:space="preserve"> </w:t>
      </w:r>
      <w:r w:rsidR="003A391E">
        <w:t>During the ensuing discussion, statements were made by m</w:t>
      </w:r>
      <w:r w:rsidR="009824D3" w:rsidRPr="005C1538">
        <w:t>ember</w:t>
      </w:r>
      <w:r w:rsidR="00065788" w:rsidRPr="005C1538">
        <w:t>s</w:t>
      </w:r>
      <w:r w:rsidR="0014056F" w:rsidRPr="005C1538">
        <w:t xml:space="preserve"> of the </w:t>
      </w:r>
      <w:r w:rsidR="009824D3" w:rsidRPr="005C1538">
        <w:t xml:space="preserve">Advisory </w:t>
      </w:r>
      <w:r w:rsidR="0014056F" w:rsidRPr="005C1538">
        <w:t>Committee</w:t>
      </w:r>
      <w:r w:rsidR="00065788" w:rsidRPr="005C1538">
        <w:t xml:space="preserve"> and</w:t>
      </w:r>
      <w:r w:rsidR="00356BEC" w:rsidRPr="005C1538">
        <w:t xml:space="preserve"> </w:t>
      </w:r>
      <w:r w:rsidR="009824D3" w:rsidRPr="005C1538">
        <w:t>observer</w:t>
      </w:r>
      <w:r w:rsidR="008845A6" w:rsidRPr="005C1538">
        <w:t>s</w:t>
      </w:r>
      <w:r w:rsidR="00356BEC" w:rsidRPr="005C1538">
        <w:t xml:space="preserve"> </w:t>
      </w:r>
      <w:r w:rsidR="00AA07B1" w:rsidRPr="005C1538">
        <w:t xml:space="preserve">for </w:t>
      </w:r>
      <w:r w:rsidR="00356BEC" w:rsidRPr="005C1538">
        <w:t>State</w:t>
      </w:r>
      <w:r w:rsidR="008845A6" w:rsidRPr="005C1538">
        <w:t>s</w:t>
      </w:r>
      <w:r w:rsidR="009824D3" w:rsidRPr="005C1538">
        <w:t xml:space="preserve"> </w:t>
      </w:r>
      <w:r w:rsidR="0014056F" w:rsidRPr="005C1538">
        <w:t>(see annex I)</w:t>
      </w:r>
      <w:r w:rsidR="00C26FD2" w:rsidRPr="005C1538">
        <w:t xml:space="preserve">. </w:t>
      </w:r>
      <w:r w:rsidR="00CC07FC" w:rsidRPr="005C1538">
        <w:t>The</w:t>
      </w:r>
      <w:r w:rsidR="00D63EC8" w:rsidRPr="005C1538">
        <w:t>reafter</w:t>
      </w:r>
      <w:r w:rsidR="0045247E" w:rsidRPr="005C1538">
        <w:t>,</w:t>
      </w:r>
      <w:r w:rsidR="00D63EC8" w:rsidRPr="005C1538">
        <w:t xml:space="preserve"> the</w:t>
      </w:r>
      <w:r w:rsidR="00CC07FC" w:rsidRPr="005C1538">
        <w:t xml:space="preserve"> </w:t>
      </w:r>
      <w:r w:rsidR="00FF6E3A" w:rsidRPr="005C1538">
        <w:t xml:space="preserve">Chair </w:t>
      </w:r>
      <w:r w:rsidR="00CC07FC" w:rsidRPr="005C1538">
        <w:t>made concluding remarks.</w:t>
      </w:r>
      <w:r w:rsidR="00F34E22" w:rsidRPr="00F34E22">
        <w:t xml:space="preserve"> </w:t>
      </w:r>
    </w:p>
    <w:p w:rsidR="00544E5F" w:rsidRPr="00646669" w:rsidRDefault="007D441F" w:rsidP="00646669">
      <w:pPr>
        <w:pStyle w:val="SingleTxtG"/>
        <w:rPr>
          <w:highlight w:val="cyan"/>
        </w:rPr>
      </w:pPr>
      <w:r>
        <w:t>19</w:t>
      </w:r>
      <w:r w:rsidR="00544E5F">
        <w:t>.</w:t>
      </w:r>
      <w:r w:rsidR="00544E5F">
        <w:tab/>
      </w:r>
      <w:r w:rsidR="00C65C03" w:rsidRPr="00296ED9">
        <w:rPr>
          <w:rFonts w:eastAsia="SimSun"/>
          <w:lang w:eastAsia="zh-CN"/>
        </w:rPr>
        <w:t xml:space="preserve">At the </w:t>
      </w:r>
      <w:r w:rsidR="00C65C03">
        <w:rPr>
          <w:rFonts w:eastAsia="SimSun"/>
          <w:lang w:eastAsia="zh-CN"/>
        </w:rPr>
        <w:t>9</w:t>
      </w:r>
      <w:r w:rsidR="00C65C03" w:rsidRPr="00296ED9">
        <w:rPr>
          <w:rFonts w:eastAsia="SimSun"/>
          <w:lang w:eastAsia="zh-CN"/>
        </w:rPr>
        <w:t>th meeting, on 2</w:t>
      </w:r>
      <w:r w:rsidR="00C65C03">
        <w:rPr>
          <w:rFonts w:eastAsia="SimSun"/>
          <w:lang w:eastAsia="zh-CN"/>
        </w:rPr>
        <w:t>4</w:t>
      </w:r>
      <w:r w:rsidR="00C65C03" w:rsidRPr="00296ED9">
        <w:rPr>
          <w:rFonts w:eastAsia="SimSun"/>
          <w:lang w:eastAsia="zh-CN"/>
        </w:rPr>
        <w:t xml:space="preserve"> February 201</w:t>
      </w:r>
      <w:r w:rsidR="00C65C03">
        <w:rPr>
          <w:rFonts w:eastAsia="SimSun"/>
          <w:lang w:eastAsia="zh-CN"/>
        </w:rPr>
        <w:t>7</w:t>
      </w:r>
      <w:r w:rsidR="00C65C03" w:rsidRPr="00296ED9">
        <w:rPr>
          <w:rFonts w:eastAsia="SimSun"/>
          <w:lang w:eastAsia="zh-CN"/>
        </w:rPr>
        <w:t xml:space="preserve">, </w:t>
      </w:r>
      <w:r w:rsidR="00C65C03">
        <w:rPr>
          <w:rFonts w:eastAsia="SimSun"/>
          <w:lang w:eastAsia="zh-CN"/>
        </w:rPr>
        <w:t>the</w:t>
      </w:r>
      <w:r w:rsidR="00C65C03" w:rsidRPr="00296ED9">
        <w:rPr>
          <w:rFonts w:eastAsia="SimSun"/>
          <w:lang w:eastAsia="zh-CN"/>
        </w:rPr>
        <w:t xml:space="preserve"> Chair of the drafting group on the</w:t>
      </w:r>
      <w:r w:rsidR="00C65C03" w:rsidRPr="009C2858">
        <w:t xml:space="preserve"> global issue of unaccompanied migrant children and adolescents and human rights</w:t>
      </w:r>
      <w:r w:rsidR="00C65C03" w:rsidRPr="00296ED9">
        <w:rPr>
          <w:rFonts w:eastAsia="SimSun"/>
          <w:lang w:eastAsia="zh-CN"/>
        </w:rPr>
        <w:t xml:space="preserve">, </w:t>
      </w:r>
      <w:r w:rsidR="00C65C03">
        <w:rPr>
          <w:rFonts w:eastAsia="SimSun"/>
          <w:lang w:eastAsia="zh-CN"/>
        </w:rPr>
        <w:t xml:space="preserve">Ms. </w:t>
      </w:r>
      <w:proofErr w:type="spellStart"/>
      <w:r w:rsidR="00C65C03" w:rsidRPr="00DB4855">
        <w:t>Anantonia</w:t>
      </w:r>
      <w:proofErr w:type="spellEnd"/>
      <w:r w:rsidR="00C65C03" w:rsidRPr="00DB4855">
        <w:t xml:space="preserve"> Reyes Prado</w:t>
      </w:r>
      <w:r w:rsidR="00C65C03">
        <w:rPr>
          <w:rFonts w:eastAsia="SimSun"/>
          <w:lang w:eastAsia="zh-CN"/>
        </w:rPr>
        <w:t xml:space="preserve">, </w:t>
      </w:r>
      <w:r w:rsidR="00C65C03" w:rsidRPr="00296ED9">
        <w:rPr>
          <w:rFonts w:eastAsia="SimSun"/>
          <w:lang w:eastAsia="zh-CN"/>
        </w:rPr>
        <w:t>introduced a draft text (A/HRC/AC/1</w:t>
      </w:r>
      <w:r w:rsidR="00C65C03">
        <w:rPr>
          <w:rFonts w:eastAsia="SimSun"/>
          <w:lang w:eastAsia="zh-CN"/>
        </w:rPr>
        <w:t>8</w:t>
      </w:r>
      <w:r w:rsidR="00C65C03" w:rsidRPr="00296ED9">
        <w:rPr>
          <w:rFonts w:eastAsia="SimSun"/>
          <w:lang w:eastAsia="zh-CN"/>
        </w:rPr>
        <w:t>/</w:t>
      </w:r>
      <w:r w:rsidR="00C65C03" w:rsidRPr="00D35198">
        <w:rPr>
          <w:rFonts w:eastAsia="SimSun"/>
          <w:lang w:eastAsia="zh-CN"/>
        </w:rPr>
        <w:t>L.</w:t>
      </w:r>
      <w:r w:rsidR="006869A4">
        <w:rPr>
          <w:rFonts w:eastAsia="SimSun"/>
          <w:lang w:eastAsia="zh-CN"/>
        </w:rPr>
        <w:t>3</w:t>
      </w:r>
      <w:r w:rsidR="00C65C03" w:rsidRPr="00296ED9">
        <w:rPr>
          <w:rFonts w:eastAsia="SimSun"/>
          <w:lang w:eastAsia="zh-CN"/>
        </w:rPr>
        <w:t xml:space="preserve">) sponsored by all </w:t>
      </w:r>
      <w:r w:rsidR="00C65C03">
        <w:rPr>
          <w:rFonts w:eastAsia="SimSun"/>
          <w:lang w:eastAsia="zh-CN"/>
        </w:rPr>
        <w:t xml:space="preserve">the </w:t>
      </w:r>
      <w:r w:rsidR="00C65C03" w:rsidRPr="00296ED9">
        <w:rPr>
          <w:rFonts w:eastAsia="SimSun"/>
          <w:lang w:eastAsia="zh-CN"/>
        </w:rPr>
        <w:t xml:space="preserve">members of the Advisory Committee. The </w:t>
      </w:r>
      <w:r w:rsidR="003E2E06">
        <w:rPr>
          <w:rFonts w:eastAsia="SimSun"/>
          <w:lang w:eastAsia="zh-CN"/>
        </w:rPr>
        <w:t xml:space="preserve">draft text </w:t>
      </w:r>
      <w:r w:rsidR="00C65C03" w:rsidRPr="00296ED9">
        <w:rPr>
          <w:rFonts w:eastAsia="SimSun"/>
          <w:lang w:eastAsia="zh-CN"/>
        </w:rPr>
        <w:t>was adopted without a vote (see sect</w:t>
      </w:r>
      <w:r w:rsidR="00C65C03">
        <w:rPr>
          <w:rFonts w:eastAsia="SimSun"/>
          <w:lang w:eastAsia="zh-CN"/>
        </w:rPr>
        <w:t>.</w:t>
      </w:r>
      <w:r w:rsidR="00A81DC8">
        <w:rPr>
          <w:rFonts w:eastAsia="SimSun"/>
          <w:lang w:eastAsia="zh-CN"/>
        </w:rPr>
        <w:t xml:space="preserve"> I</w:t>
      </w:r>
      <w:r w:rsidR="00C65C03" w:rsidRPr="00296ED9">
        <w:rPr>
          <w:rFonts w:eastAsia="SimSun"/>
          <w:lang w:eastAsia="zh-CN"/>
        </w:rPr>
        <w:t>, action 1</w:t>
      </w:r>
      <w:r w:rsidR="00C65C03">
        <w:rPr>
          <w:rFonts w:eastAsia="SimSun"/>
          <w:lang w:eastAsia="zh-CN"/>
        </w:rPr>
        <w:t>8</w:t>
      </w:r>
      <w:r w:rsidR="00C65C03" w:rsidRPr="00296ED9">
        <w:rPr>
          <w:rFonts w:eastAsia="SimSun"/>
          <w:lang w:eastAsia="zh-CN"/>
        </w:rPr>
        <w:t>/</w:t>
      </w:r>
      <w:r>
        <w:rPr>
          <w:rFonts w:eastAsia="SimSun"/>
          <w:lang w:eastAsia="zh-CN"/>
        </w:rPr>
        <w:t>3</w:t>
      </w:r>
      <w:r w:rsidR="00C65C03" w:rsidRPr="00296ED9">
        <w:rPr>
          <w:rFonts w:eastAsia="SimSun"/>
          <w:lang w:eastAsia="zh-CN"/>
        </w:rPr>
        <w:t>, above)</w:t>
      </w:r>
    </w:p>
    <w:p w:rsidR="00867BFB" w:rsidRPr="00180F1B" w:rsidRDefault="00152F0D" w:rsidP="00867BFB">
      <w:pPr>
        <w:pStyle w:val="H23G"/>
      </w:pPr>
      <w:r w:rsidRPr="009C2858">
        <w:tab/>
      </w:r>
      <w:r w:rsidR="009056D0">
        <w:t>5.</w:t>
      </w:r>
      <w:r w:rsidR="00867BFB">
        <w:tab/>
        <w:t>Negative impact of the non-</w:t>
      </w:r>
      <w:r w:rsidR="00867BFB" w:rsidRPr="00180F1B">
        <w:t>repatriation of funds</w:t>
      </w:r>
      <w:r w:rsidR="00867BFB">
        <w:t xml:space="preserve"> of illicit origin on the enjoyment of human rights</w:t>
      </w:r>
    </w:p>
    <w:p w:rsidR="008669ED" w:rsidRDefault="006B03E5" w:rsidP="00544E5F">
      <w:pPr>
        <w:pStyle w:val="SingleTxtG"/>
        <w:rPr>
          <w:rFonts w:eastAsia="SimSun"/>
          <w:lang w:eastAsia="zh-CN"/>
        </w:rPr>
      </w:pPr>
      <w:r>
        <w:rPr>
          <w:rFonts w:eastAsia="SimSun"/>
          <w:lang w:eastAsia="zh-CN"/>
        </w:rPr>
        <w:t>2</w:t>
      </w:r>
      <w:r w:rsidR="007D441F">
        <w:rPr>
          <w:rFonts w:eastAsia="SimSun"/>
          <w:lang w:eastAsia="zh-CN"/>
        </w:rPr>
        <w:t>0</w:t>
      </w:r>
      <w:r w:rsidR="00413C67">
        <w:rPr>
          <w:rFonts w:eastAsia="SimSun"/>
          <w:lang w:eastAsia="zh-CN"/>
        </w:rPr>
        <w:t>.</w:t>
      </w:r>
      <w:r w:rsidR="00544E5F">
        <w:rPr>
          <w:rFonts w:eastAsia="SimSun"/>
          <w:lang w:eastAsia="zh-CN"/>
        </w:rPr>
        <w:tab/>
      </w:r>
      <w:r w:rsidR="00867BFB" w:rsidRPr="00EA66F1">
        <w:rPr>
          <w:rFonts w:eastAsia="SimSun"/>
          <w:lang w:eastAsia="zh-CN"/>
        </w:rPr>
        <w:t>At its</w:t>
      </w:r>
      <w:r w:rsidR="008669ED">
        <w:rPr>
          <w:rFonts w:eastAsia="SimSun"/>
          <w:vertAlign w:val="superscript"/>
          <w:lang w:eastAsia="zh-CN"/>
        </w:rPr>
        <w:t xml:space="preserve"> </w:t>
      </w:r>
      <w:r w:rsidR="008669ED">
        <w:rPr>
          <w:rFonts w:eastAsia="SimSun"/>
          <w:lang w:eastAsia="zh-CN"/>
        </w:rPr>
        <w:t xml:space="preserve">5th </w:t>
      </w:r>
      <w:r w:rsidR="00867BFB" w:rsidRPr="00EA66F1">
        <w:rPr>
          <w:rFonts w:eastAsia="SimSun"/>
          <w:lang w:eastAsia="zh-CN"/>
        </w:rPr>
        <w:t xml:space="preserve">meeting, on </w:t>
      </w:r>
      <w:r w:rsidR="008669ED">
        <w:rPr>
          <w:rFonts w:eastAsia="SimSun"/>
          <w:lang w:eastAsia="zh-CN"/>
        </w:rPr>
        <w:t>22</w:t>
      </w:r>
      <w:r w:rsidR="00867BFB" w:rsidRPr="00EA66F1">
        <w:rPr>
          <w:rFonts w:eastAsia="SimSun"/>
          <w:lang w:eastAsia="zh-CN"/>
        </w:rPr>
        <w:t xml:space="preserve"> </w:t>
      </w:r>
      <w:r w:rsidR="008669ED">
        <w:rPr>
          <w:rFonts w:eastAsia="SimSun"/>
          <w:lang w:eastAsia="zh-CN"/>
        </w:rPr>
        <w:t>February</w:t>
      </w:r>
      <w:r w:rsidR="008669ED" w:rsidRPr="00EA66F1">
        <w:rPr>
          <w:rFonts w:eastAsia="SimSun"/>
          <w:lang w:eastAsia="zh-CN"/>
        </w:rPr>
        <w:t xml:space="preserve"> </w:t>
      </w:r>
      <w:r w:rsidR="00867BFB" w:rsidRPr="00EA66F1">
        <w:rPr>
          <w:rFonts w:eastAsia="SimSun"/>
          <w:lang w:eastAsia="zh-CN"/>
        </w:rPr>
        <w:t>201</w:t>
      </w:r>
      <w:r w:rsidR="008669ED">
        <w:rPr>
          <w:rFonts w:eastAsia="SimSun"/>
          <w:lang w:eastAsia="zh-CN"/>
        </w:rPr>
        <w:t>7</w:t>
      </w:r>
      <w:r w:rsidR="00867BFB" w:rsidRPr="00EA66F1">
        <w:rPr>
          <w:rFonts w:eastAsia="SimSun"/>
          <w:lang w:eastAsia="zh-CN"/>
        </w:rPr>
        <w:t>, the Advisory Committee</w:t>
      </w:r>
      <w:r w:rsidR="00867BFB" w:rsidRPr="00EA66F1">
        <w:t xml:space="preserve">, pursuant to Human Rights Council resolution 31/22, </w:t>
      </w:r>
      <w:r w:rsidR="00867BFB" w:rsidRPr="00EA66F1">
        <w:rPr>
          <w:rFonts w:eastAsia="SimSun"/>
          <w:lang w:eastAsia="zh-CN"/>
        </w:rPr>
        <w:t xml:space="preserve">held a discussion on the negative impact of the non-repatriation of funds of illicit origin on the enjoyment of human rights. </w:t>
      </w:r>
      <w:r w:rsidR="008669ED">
        <w:rPr>
          <w:rFonts w:eastAsia="SimSun"/>
          <w:lang w:eastAsia="zh-CN"/>
        </w:rPr>
        <w:t xml:space="preserve">The </w:t>
      </w:r>
      <w:r w:rsidR="00250C8D">
        <w:rPr>
          <w:rFonts w:eastAsia="SimSun"/>
          <w:lang w:eastAsia="zh-CN"/>
        </w:rPr>
        <w:t>C</w:t>
      </w:r>
      <w:r w:rsidR="006419EC">
        <w:rPr>
          <w:rFonts w:eastAsia="SimSun"/>
          <w:lang w:eastAsia="zh-CN"/>
        </w:rPr>
        <w:t>o-</w:t>
      </w:r>
      <w:r w:rsidR="008669ED">
        <w:rPr>
          <w:rFonts w:eastAsia="SimSun"/>
          <w:lang w:eastAsia="zh-CN"/>
        </w:rPr>
        <w:t>rapporteurs of the drafting group</w:t>
      </w:r>
      <w:r w:rsidR="00250C8D">
        <w:rPr>
          <w:rFonts w:eastAsia="SimSun"/>
          <w:lang w:eastAsia="zh-CN"/>
        </w:rPr>
        <w:t>,</w:t>
      </w:r>
      <w:r w:rsidR="008669ED">
        <w:rPr>
          <w:rFonts w:eastAsia="SimSun"/>
          <w:lang w:eastAsia="zh-CN"/>
        </w:rPr>
        <w:t xml:space="preserve"> Mr. Obiora Chine</w:t>
      </w:r>
      <w:r w:rsidR="00DC05A3">
        <w:rPr>
          <w:rFonts w:eastAsia="SimSun"/>
          <w:lang w:eastAsia="zh-CN"/>
        </w:rPr>
        <w:t>du Okafor and Mr. Jean Ziegler</w:t>
      </w:r>
      <w:r w:rsidR="00250C8D">
        <w:rPr>
          <w:rFonts w:eastAsia="SimSun"/>
          <w:lang w:eastAsia="zh-CN"/>
        </w:rPr>
        <w:t>,</w:t>
      </w:r>
      <w:r w:rsidR="00DC05A3">
        <w:rPr>
          <w:rFonts w:eastAsia="SimSun"/>
          <w:lang w:eastAsia="zh-CN"/>
        </w:rPr>
        <w:t xml:space="preserve"> </w:t>
      </w:r>
      <w:r w:rsidR="008669ED" w:rsidRPr="009C2858">
        <w:rPr>
          <w:rFonts w:eastAsia="SimSun"/>
          <w:lang w:eastAsia="zh-CN"/>
        </w:rPr>
        <w:t>presented the draft</w:t>
      </w:r>
      <w:r w:rsidR="008669ED">
        <w:rPr>
          <w:rFonts w:eastAsia="SimSun"/>
          <w:lang w:eastAsia="zh-CN"/>
        </w:rPr>
        <w:t xml:space="preserve"> progress</w:t>
      </w:r>
      <w:r w:rsidR="008669ED" w:rsidRPr="009C2858">
        <w:rPr>
          <w:rFonts w:eastAsia="SimSun"/>
          <w:lang w:eastAsia="zh-CN"/>
        </w:rPr>
        <w:t xml:space="preserve"> report (A/HRC/AC/1</w:t>
      </w:r>
      <w:r w:rsidR="008669ED">
        <w:rPr>
          <w:rFonts w:eastAsia="SimSun"/>
          <w:lang w:eastAsia="zh-CN"/>
        </w:rPr>
        <w:t>8</w:t>
      </w:r>
      <w:r w:rsidR="008669ED" w:rsidRPr="009C2858">
        <w:rPr>
          <w:rFonts w:eastAsia="SimSun"/>
          <w:lang w:eastAsia="zh-CN"/>
        </w:rPr>
        <w:t>/CRP.</w:t>
      </w:r>
      <w:r w:rsidR="008669ED">
        <w:rPr>
          <w:rFonts w:eastAsia="SimSun"/>
          <w:lang w:eastAsia="zh-CN"/>
        </w:rPr>
        <w:t>3</w:t>
      </w:r>
      <w:r w:rsidR="008669ED" w:rsidRPr="009C2858">
        <w:rPr>
          <w:rFonts w:eastAsia="SimSun"/>
          <w:lang w:eastAsia="zh-CN"/>
        </w:rPr>
        <w:t>)</w:t>
      </w:r>
      <w:r w:rsidR="008669ED">
        <w:rPr>
          <w:rFonts w:eastAsia="SimSun"/>
          <w:lang w:eastAsia="zh-CN"/>
        </w:rPr>
        <w:t>, to be submitted to the Council</w:t>
      </w:r>
      <w:r w:rsidR="00250C8D">
        <w:rPr>
          <w:rFonts w:eastAsia="SimSun"/>
          <w:lang w:eastAsia="zh-CN"/>
        </w:rPr>
        <w:t xml:space="preserve"> </w:t>
      </w:r>
      <w:r w:rsidR="00250C8D">
        <w:rPr>
          <w:rFonts w:eastAsia="SimSun"/>
          <w:lang w:eastAsia="zh-CN"/>
        </w:rPr>
        <w:lastRenderedPageBreak/>
        <w:t>for consideration</w:t>
      </w:r>
      <w:r w:rsidR="006419EC">
        <w:rPr>
          <w:rFonts w:eastAsia="SimSun"/>
          <w:lang w:eastAsia="zh-CN"/>
        </w:rPr>
        <w:t xml:space="preserve"> at its 36</w:t>
      </w:r>
      <w:r w:rsidR="00250C8D">
        <w:rPr>
          <w:rFonts w:eastAsia="SimSun"/>
          <w:lang w:eastAsia="zh-CN"/>
        </w:rPr>
        <w:t>th</w:t>
      </w:r>
      <w:r w:rsidR="006419EC">
        <w:rPr>
          <w:rFonts w:eastAsia="SimSun"/>
          <w:lang w:eastAsia="zh-CN"/>
        </w:rPr>
        <w:t xml:space="preserve"> session</w:t>
      </w:r>
      <w:r w:rsidR="008669ED">
        <w:rPr>
          <w:rFonts w:eastAsia="SimSun"/>
          <w:lang w:eastAsia="zh-CN"/>
        </w:rPr>
        <w:t>.</w:t>
      </w:r>
      <w:r w:rsidR="00240861">
        <w:rPr>
          <w:rFonts w:eastAsia="SimSun"/>
          <w:lang w:eastAsia="zh-CN"/>
        </w:rPr>
        <w:t xml:space="preserve"> </w:t>
      </w:r>
      <w:r w:rsidR="00240861" w:rsidRPr="00085BEB">
        <w:rPr>
          <w:rFonts w:eastAsia="SimSun"/>
          <w:lang w:eastAsia="zh-CN"/>
        </w:rPr>
        <w:t xml:space="preserve">In this context, </w:t>
      </w:r>
      <w:r w:rsidR="006419EC">
        <w:rPr>
          <w:rFonts w:eastAsia="SimSun"/>
          <w:lang w:eastAsia="zh-CN"/>
        </w:rPr>
        <w:t xml:space="preserve">a </w:t>
      </w:r>
      <w:r w:rsidR="00240861" w:rsidRPr="00085BEB">
        <w:rPr>
          <w:rFonts w:eastAsia="SimSun"/>
          <w:lang w:eastAsia="zh-CN"/>
        </w:rPr>
        <w:t xml:space="preserve">presentation on the topic </w:t>
      </w:r>
      <w:r w:rsidR="00240861">
        <w:rPr>
          <w:rFonts w:eastAsia="SimSun"/>
          <w:lang w:eastAsia="zh-CN"/>
        </w:rPr>
        <w:t xml:space="preserve">was given by a member of the Committee </w:t>
      </w:r>
      <w:r w:rsidR="00DC05A3">
        <w:rPr>
          <w:rFonts w:eastAsia="SimSun"/>
          <w:lang w:eastAsia="zh-CN"/>
        </w:rPr>
        <w:t>against</w:t>
      </w:r>
      <w:r w:rsidR="00240861">
        <w:rPr>
          <w:rFonts w:eastAsia="SimSun"/>
          <w:lang w:eastAsia="zh-CN"/>
        </w:rPr>
        <w:t xml:space="preserve"> Torture, Mr. Abdelwahab Hani. </w:t>
      </w:r>
      <w:r w:rsidR="005725F6" w:rsidRPr="00F20C92">
        <w:rPr>
          <w:rFonts w:eastAsia="SimSun"/>
          <w:lang w:eastAsia="zh-CN"/>
        </w:rPr>
        <w:t>During the ensuing discussion, statements were made by members of the Advisory Committee</w:t>
      </w:r>
      <w:r w:rsidR="005725F6">
        <w:rPr>
          <w:rFonts w:eastAsia="SimSun"/>
          <w:lang w:eastAsia="zh-CN"/>
        </w:rPr>
        <w:t xml:space="preserve"> and observers for States</w:t>
      </w:r>
      <w:r w:rsidR="005725F6" w:rsidRPr="00F20C92">
        <w:rPr>
          <w:rFonts w:eastAsia="SimSun"/>
          <w:lang w:eastAsia="zh-CN"/>
        </w:rPr>
        <w:t xml:space="preserve"> </w:t>
      </w:r>
      <w:r w:rsidR="005725F6" w:rsidRPr="00F20C92">
        <w:t>(see annex I)</w:t>
      </w:r>
      <w:r w:rsidR="005725F6" w:rsidRPr="00F20C92">
        <w:rPr>
          <w:rFonts w:eastAsia="SimSun"/>
          <w:lang w:eastAsia="zh-CN"/>
        </w:rPr>
        <w:t>. The</w:t>
      </w:r>
      <w:r w:rsidR="005725F6">
        <w:rPr>
          <w:rFonts w:eastAsia="SimSun"/>
          <w:lang w:eastAsia="zh-CN"/>
        </w:rPr>
        <w:t>reafter, the</w:t>
      </w:r>
      <w:r w:rsidR="005725F6" w:rsidRPr="00F20C92">
        <w:rPr>
          <w:rFonts w:eastAsia="SimSun"/>
          <w:lang w:eastAsia="zh-CN"/>
        </w:rPr>
        <w:t xml:space="preserve"> </w:t>
      </w:r>
      <w:r w:rsidR="00250C8D">
        <w:rPr>
          <w:rFonts w:eastAsia="SimSun"/>
          <w:lang w:eastAsia="zh-CN"/>
        </w:rPr>
        <w:t>Co-r</w:t>
      </w:r>
      <w:r w:rsidR="005725F6" w:rsidRPr="00F20C92">
        <w:rPr>
          <w:rFonts w:eastAsia="SimSun"/>
          <w:lang w:eastAsia="zh-CN"/>
        </w:rPr>
        <w:t>apporteur</w:t>
      </w:r>
      <w:r w:rsidR="00F92B43">
        <w:rPr>
          <w:rFonts w:eastAsia="SimSun"/>
          <w:lang w:eastAsia="zh-CN"/>
        </w:rPr>
        <w:t>s</w:t>
      </w:r>
      <w:r w:rsidR="005725F6" w:rsidRPr="00F20C92">
        <w:rPr>
          <w:rFonts w:eastAsia="SimSun"/>
          <w:lang w:eastAsia="zh-CN"/>
        </w:rPr>
        <w:t xml:space="preserve"> made concluding remarks.</w:t>
      </w:r>
    </w:p>
    <w:p w:rsidR="006869A4" w:rsidRPr="006869A4" w:rsidRDefault="00544E5F" w:rsidP="006869A4">
      <w:pPr>
        <w:pStyle w:val="SingleTxtG"/>
        <w:rPr>
          <w:b/>
          <w:sz w:val="24"/>
        </w:rPr>
      </w:pPr>
      <w:r>
        <w:rPr>
          <w:rFonts w:eastAsia="SimSun"/>
          <w:lang w:eastAsia="zh-CN"/>
        </w:rPr>
        <w:t>2</w:t>
      </w:r>
      <w:r w:rsidR="007D441F">
        <w:rPr>
          <w:rFonts w:eastAsia="SimSun"/>
          <w:lang w:eastAsia="zh-CN"/>
        </w:rPr>
        <w:t>1</w:t>
      </w:r>
      <w:r>
        <w:rPr>
          <w:rFonts w:eastAsia="SimSun"/>
          <w:lang w:eastAsia="zh-CN"/>
        </w:rPr>
        <w:t>.</w:t>
      </w:r>
      <w:r>
        <w:rPr>
          <w:rFonts w:eastAsia="SimSun"/>
          <w:lang w:eastAsia="zh-CN"/>
        </w:rPr>
        <w:tab/>
      </w:r>
      <w:r w:rsidR="000F1A9D" w:rsidRPr="00C9507F">
        <w:rPr>
          <w:rFonts w:eastAsia="SimSun"/>
          <w:lang w:eastAsia="zh-CN"/>
        </w:rPr>
        <w:t>At its 9</w:t>
      </w:r>
      <w:r w:rsidR="00250C8D">
        <w:rPr>
          <w:rFonts w:eastAsia="SimSun"/>
          <w:lang w:eastAsia="zh-CN"/>
        </w:rPr>
        <w:t>th</w:t>
      </w:r>
      <w:r w:rsidR="000F1A9D">
        <w:rPr>
          <w:rFonts w:eastAsia="SimSun"/>
          <w:lang w:eastAsia="zh-CN"/>
        </w:rPr>
        <w:t xml:space="preserve"> meeting, on 24</w:t>
      </w:r>
      <w:r w:rsidR="000F1A9D" w:rsidRPr="00C9507F">
        <w:rPr>
          <w:rFonts w:eastAsia="SimSun"/>
          <w:lang w:eastAsia="zh-CN"/>
        </w:rPr>
        <w:t xml:space="preserve"> </w:t>
      </w:r>
      <w:r w:rsidR="000F1A9D">
        <w:rPr>
          <w:rFonts w:eastAsia="SimSun"/>
          <w:lang w:eastAsia="zh-CN"/>
        </w:rPr>
        <w:t>February 2017</w:t>
      </w:r>
      <w:r w:rsidR="000F1A9D" w:rsidRPr="00C9507F">
        <w:rPr>
          <w:rFonts w:eastAsia="SimSun"/>
          <w:lang w:eastAsia="zh-CN"/>
        </w:rPr>
        <w:t xml:space="preserve">, </w:t>
      </w:r>
      <w:r w:rsidR="00250C8D">
        <w:rPr>
          <w:rFonts w:eastAsia="SimSun"/>
          <w:lang w:eastAsia="zh-CN"/>
        </w:rPr>
        <w:t>the C</w:t>
      </w:r>
      <w:r w:rsidR="00526730">
        <w:rPr>
          <w:rFonts w:eastAsia="SimSun"/>
          <w:lang w:eastAsia="zh-CN"/>
        </w:rPr>
        <w:t xml:space="preserve">o-rapporteur of the drafting group </w:t>
      </w:r>
      <w:r w:rsidR="000F1A9D" w:rsidRPr="00C9507F">
        <w:rPr>
          <w:rFonts w:eastAsia="SimSun"/>
          <w:lang w:eastAsia="zh-CN"/>
        </w:rPr>
        <w:t>on negative impact of the non-repatriation of funds of illicit origin on the enjoyment of human rights</w:t>
      </w:r>
      <w:r w:rsidR="000F1A9D">
        <w:rPr>
          <w:rFonts w:eastAsia="SimSun"/>
          <w:lang w:eastAsia="zh-CN"/>
        </w:rPr>
        <w:t>,</w:t>
      </w:r>
      <w:r w:rsidR="00526730">
        <w:rPr>
          <w:rFonts w:eastAsia="SimSun"/>
          <w:lang w:eastAsia="zh-CN"/>
        </w:rPr>
        <w:t xml:space="preserve"> Mr. </w:t>
      </w:r>
      <w:proofErr w:type="spellStart"/>
      <w:r w:rsidR="00526730">
        <w:rPr>
          <w:rFonts w:eastAsia="SimSun"/>
          <w:lang w:eastAsia="zh-CN"/>
        </w:rPr>
        <w:t>Obiora</w:t>
      </w:r>
      <w:proofErr w:type="spellEnd"/>
      <w:r w:rsidR="00526730">
        <w:rPr>
          <w:rFonts w:eastAsia="SimSun"/>
          <w:lang w:eastAsia="zh-CN"/>
        </w:rPr>
        <w:t xml:space="preserve"> </w:t>
      </w:r>
      <w:proofErr w:type="spellStart"/>
      <w:r w:rsidR="00526730">
        <w:rPr>
          <w:rFonts w:eastAsia="SimSun"/>
          <w:lang w:eastAsia="zh-CN"/>
        </w:rPr>
        <w:t>Chinedu</w:t>
      </w:r>
      <w:proofErr w:type="spellEnd"/>
      <w:r w:rsidR="009400C7">
        <w:rPr>
          <w:rFonts w:eastAsia="SimSun"/>
          <w:lang w:eastAsia="zh-CN"/>
        </w:rPr>
        <w:t xml:space="preserve"> </w:t>
      </w:r>
      <w:proofErr w:type="spellStart"/>
      <w:r w:rsidR="009400C7">
        <w:rPr>
          <w:rFonts w:eastAsia="SimSun"/>
          <w:lang w:eastAsia="zh-CN"/>
        </w:rPr>
        <w:t>Okafor</w:t>
      </w:r>
      <w:proofErr w:type="spellEnd"/>
      <w:r w:rsidR="000F1A9D">
        <w:rPr>
          <w:rFonts w:eastAsia="SimSun"/>
          <w:lang w:eastAsia="zh-CN"/>
        </w:rPr>
        <w:t xml:space="preserve">, introduced </w:t>
      </w:r>
      <w:r w:rsidR="000F1A9D" w:rsidRPr="00C9507F">
        <w:rPr>
          <w:rFonts w:eastAsia="SimSun"/>
          <w:lang w:eastAsia="zh-CN"/>
        </w:rPr>
        <w:t>a draft text (A/HRC/AC/1</w:t>
      </w:r>
      <w:r w:rsidR="000F1A9D">
        <w:rPr>
          <w:rFonts w:eastAsia="SimSun"/>
          <w:lang w:eastAsia="zh-CN"/>
        </w:rPr>
        <w:t>8</w:t>
      </w:r>
      <w:r w:rsidR="000F1A9D" w:rsidRPr="00C9507F">
        <w:rPr>
          <w:rFonts w:eastAsia="SimSun"/>
          <w:lang w:eastAsia="zh-CN"/>
        </w:rPr>
        <w:t>/L.</w:t>
      </w:r>
      <w:r w:rsidR="000F1A9D">
        <w:rPr>
          <w:rFonts w:eastAsia="SimSun"/>
          <w:lang w:eastAsia="zh-CN"/>
        </w:rPr>
        <w:t>4</w:t>
      </w:r>
      <w:r w:rsidR="000F1A9D" w:rsidRPr="00C9507F">
        <w:rPr>
          <w:rFonts w:eastAsia="SimSun"/>
          <w:lang w:eastAsia="zh-CN"/>
        </w:rPr>
        <w:t>), sponsored by all members of the Advisory Committee. The draft text was adopted without a vote (for the texts as adopted, see sect.</w:t>
      </w:r>
      <w:r w:rsidR="000F1A9D">
        <w:rPr>
          <w:rFonts w:eastAsia="SimSun"/>
          <w:lang w:eastAsia="zh-CN"/>
        </w:rPr>
        <w:t xml:space="preserve"> I, action 18</w:t>
      </w:r>
      <w:r w:rsidR="000F1A9D" w:rsidRPr="00C9507F">
        <w:rPr>
          <w:rFonts w:eastAsia="SimSun"/>
          <w:lang w:eastAsia="zh-CN"/>
        </w:rPr>
        <w:t>/</w:t>
      </w:r>
      <w:r w:rsidR="007D441F">
        <w:rPr>
          <w:rFonts w:eastAsia="SimSun"/>
          <w:lang w:eastAsia="zh-CN"/>
        </w:rPr>
        <w:t>4</w:t>
      </w:r>
      <w:r w:rsidR="000F1A9D" w:rsidRPr="00C9507F">
        <w:rPr>
          <w:rFonts w:eastAsia="SimSun"/>
          <w:lang w:eastAsia="zh-CN"/>
        </w:rPr>
        <w:t>, above).</w:t>
      </w:r>
      <w:r w:rsidR="000F1A9D" w:rsidRPr="00FB2D0E">
        <w:rPr>
          <w:b/>
          <w:sz w:val="24"/>
        </w:rPr>
        <w:t xml:space="preserve"> </w:t>
      </w:r>
    </w:p>
    <w:p w:rsidR="00FB2D0E" w:rsidRPr="00713AD5" w:rsidRDefault="00FB2D0E" w:rsidP="00A15B5B">
      <w:pPr>
        <w:pStyle w:val="SingleTxtG"/>
        <w:spacing w:before="360" w:after="240" w:line="270" w:lineRule="exact"/>
        <w:ind w:left="0" w:firstLine="567"/>
        <w:rPr>
          <w:b/>
          <w:sz w:val="24"/>
        </w:rPr>
      </w:pPr>
      <w:r w:rsidRPr="002E6CA8">
        <w:rPr>
          <w:b/>
          <w:sz w:val="24"/>
        </w:rPr>
        <w:t xml:space="preserve">B. </w:t>
      </w:r>
      <w:r w:rsidR="00392DDF" w:rsidRPr="002E6CA8">
        <w:rPr>
          <w:b/>
          <w:sz w:val="24"/>
        </w:rPr>
        <w:tab/>
      </w:r>
      <w:r w:rsidRPr="002E6CA8">
        <w:rPr>
          <w:b/>
          <w:sz w:val="24"/>
        </w:rPr>
        <w:t>Follow-up to reports submitted to the HRC</w:t>
      </w:r>
    </w:p>
    <w:p w:rsidR="00FB2D0E" w:rsidRPr="002E6CA8" w:rsidRDefault="00FB2D0E" w:rsidP="00FB2D0E">
      <w:pPr>
        <w:pStyle w:val="H23G"/>
      </w:pPr>
      <w:r w:rsidRPr="002E6CA8">
        <w:tab/>
        <w:t>1.</w:t>
      </w:r>
      <w:r w:rsidRPr="002E6CA8">
        <w:tab/>
      </w:r>
      <w:r w:rsidR="00594929" w:rsidRPr="002E6CA8">
        <w:t xml:space="preserve">Local </w:t>
      </w:r>
      <w:r w:rsidR="00A417F3" w:rsidRPr="002E6CA8">
        <w:t>government and human rights</w:t>
      </w:r>
      <w:r w:rsidR="008669ED" w:rsidRPr="002E6CA8">
        <w:t xml:space="preserve"> </w:t>
      </w:r>
    </w:p>
    <w:p w:rsidR="00544E5F" w:rsidRDefault="00544E5F" w:rsidP="00544E5F">
      <w:pPr>
        <w:pStyle w:val="SingleTxtG"/>
        <w:rPr>
          <w:rFonts w:eastAsia="SimSun"/>
          <w:lang w:eastAsia="zh-CN"/>
        </w:rPr>
      </w:pPr>
      <w:r>
        <w:rPr>
          <w:rFonts w:eastAsia="SimSun"/>
          <w:lang w:eastAsia="zh-CN"/>
        </w:rPr>
        <w:t>2</w:t>
      </w:r>
      <w:r w:rsidR="007D441F">
        <w:rPr>
          <w:rFonts w:eastAsia="SimSun"/>
          <w:lang w:eastAsia="zh-CN"/>
        </w:rPr>
        <w:t>2</w:t>
      </w:r>
      <w:r w:rsidR="00413C67">
        <w:rPr>
          <w:rFonts w:eastAsia="SimSun"/>
          <w:lang w:eastAsia="zh-CN"/>
        </w:rPr>
        <w:t>.</w:t>
      </w:r>
      <w:r>
        <w:rPr>
          <w:rFonts w:eastAsia="SimSun"/>
          <w:lang w:eastAsia="zh-CN"/>
        </w:rPr>
        <w:tab/>
      </w:r>
      <w:r w:rsidR="006419EC" w:rsidRPr="002E6CA8">
        <w:rPr>
          <w:rFonts w:eastAsia="SimSun"/>
          <w:lang w:eastAsia="zh-CN"/>
        </w:rPr>
        <w:t>At the 6th meeting,</w:t>
      </w:r>
      <w:r w:rsidR="006419EC" w:rsidRPr="002E6CA8">
        <w:t xml:space="preserve"> </w:t>
      </w:r>
      <w:r w:rsidR="006419EC" w:rsidRPr="002E6CA8">
        <w:rPr>
          <w:rFonts w:eastAsia="SimSun"/>
          <w:lang w:eastAsia="zh-CN"/>
        </w:rPr>
        <w:t xml:space="preserve">on 22 February 2017, the Chair of the Advisory Committee, </w:t>
      </w:r>
      <w:r w:rsidR="006419EC">
        <w:rPr>
          <w:rFonts w:eastAsia="SimSun"/>
          <w:lang w:eastAsia="zh-CN"/>
        </w:rPr>
        <w:t xml:space="preserve">informed the members of the Committee of </w:t>
      </w:r>
      <w:r>
        <w:rPr>
          <w:rFonts w:eastAsia="SimSun"/>
          <w:lang w:eastAsia="zh-CN"/>
        </w:rPr>
        <w:t xml:space="preserve">Human Rights Council </w:t>
      </w:r>
      <w:r w:rsidR="00A4425D">
        <w:rPr>
          <w:rFonts w:eastAsia="SimSun"/>
          <w:lang w:eastAsia="zh-CN"/>
        </w:rPr>
        <w:t>R</w:t>
      </w:r>
      <w:r w:rsidR="00713AD5" w:rsidRPr="002E6CA8">
        <w:rPr>
          <w:rFonts w:eastAsia="SimSun"/>
          <w:lang w:eastAsia="zh-CN"/>
        </w:rPr>
        <w:t xml:space="preserve">esolution 33/8, </w:t>
      </w:r>
      <w:r w:rsidR="00A4425D">
        <w:rPr>
          <w:rFonts w:eastAsia="SimSun"/>
          <w:lang w:eastAsia="zh-CN"/>
        </w:rPr>
        <w:t>which took n</w:t>
      </w:r>
      <w:r w:rsidR="00713AD5" w:rsidRPr="002E6CA8">
        <w:rPr>
          <w:rFonts w:eastAsia="SimSun"/>
          <w:lang w:eastAsia="zh-CN"/>
        </w:rPr>
        <w:t>ote with appreciation of the final report of the Advisory Committee</w:t>
      </w:r>
      <w:r w:rsidR="00A4425D">
        <w:rPr>
          <w:rFonts w:eastAsia="SimSun"/>
          <w:lang w:eastAsia="zh-CN"/>
        </w:rPr>
        <w:t xml:space="preserve"> </w:t>
      </w:r>
      <w:r w:rsidR="003C005B" w:rsidRPr="009C2858">
        <w:rPr>
          <w:rFonts w:eastAsia="SimSun"/>
          <w:lang w:eastAsia="zh-CN"/>
        </w:rPr>
        <w:t>(A/HRC/</w:t>
      </w:r>
      <w:r w:rsidR="003C005B">
        <w:rPr>
          <w:rFonts w:eastAsia="SimSun"/>
          <w:lang w:eastAsia="zh-CN"/>
        </w:rPr>
        <w:t>30</w:t>
      </w:r>
      <w:r w:rsidR="003C005B" w:rsidRPr="009C2858">
        <w:rPr>
          <w:rFonts w:eastAsia="SimSun"/>
          <w:lang w:eastAsia="zh-CN"/>
        </w:rPr>
        <w:t>/</w:t>
      </w:r>
      <w:r w:rsidR="003C005B">
        <w:rPr>
          <w:rFonts w:eastAsia="SimSun"/>
          <w:lang w:eastAsia="zh-CN"/>
        </w:rPr>
        <w:t>49)</w:t>
      </w:r>
      <w:r w:rsidR="00CE7440">
        <w:rPr>
          <w:rFonts w:eastAsia="SimSun"/>
          <w:lang w:eastAsia="zh-CN"/>
        </w:rPr>
        <w:t xml:space="preserve"> and </w:t>
      </w:r>
      <w:r w:rsidR="00713AD5" w:rsidRPr="002E6CA8">
        <w:rPr>
          <w:rFonts w:eastAsia="SimSun"/>
          <w:lang w:eastAsia="zh-CN"/>
        </w:rPr>
        <w:t xml:space="preserve">decided to convene between its thirty-fifth and thirty-sixth sessions a panel discussion on the role of local government in the promotion and protection of human </w:t>
      </w:r>
      <w:r w:rsidR="002F1CFC" w:rsidRPr="002E6CA8">
        <w:rPr>
          <w:rFonts w:eastAsia="SimSun"/>
          <w:lang w:eastAsia="zh-CN"/>
        </w:rPr>
        <w:t>rights</w:t>
      </w:r>
      <w:r w:rsidR="002F1CFC">
        <w:rPr>
          <w:rFonts w:eastAsia="SimSun"/>
          <w:lang w:eastAsia="zh-CN"/>
        </w:rPr>
        <w:t>. The panel</w:t>
      </w:r>
      <w:r w:rsidR="006419EC">
        <w:rPr>
          <w:rFonts w:eastAsia="SimSun"/>
          <w:lang w:eastAsia="zh-CN"/>
        </w:rPr>
        <w:t xml:space="preserve"> discussion</w:t>
      </w:r>
      <w:r w:rsidR="002F1CFC">
        <w:rPr>
          <w:rFonts w:eastAsia="SimSun"/>
          <w:lang w:eastAsia="zh-CN"/>
        </w:rPr>
        <w:t xml:space="preserve"> is</w:t>
      </w:r>
      <w:r w:rsidR="002F1CFC" w:rsidRPr="002E6CA8">
        <w:rPr>
          <w:rFonts w:eastAsia="SimSun"/>
          <w:lang w:eastAsia="zh-CN"/>
        </w:rPr>
        <w:t xml:space="preserve"> scheduled</w:t>
      </w:r>
      <w:r w:rsidR="00713AD5" w:rsidRPr="002E6CA8">
        <w:rPr>
          <w:rFonts w:eastAsia="SimSun"/>
          <w:lang w:eastAsia="zh-CN"/>
        </w:rPr>
        <w:t xml:space="preserve"> for 4 September 2017</w:t>
      </w:r>
      <w:r w:rsidR="002F1CFC">
        <w:rPr>
          <w:rFonts w:eastAsia="SimSun"/>
          <w:lang w:eastAsia="zh-CN"/>
        </w:rPr>
        <w:t xml:space="preserve"> and a report </w:t>
      </w:r>
      <w:r w:rsidR="006419EC">
        <w:rPr>
          <w:rFonts w:eastAsia="SimSun"/>
          <w:lang w:eastAsia="zh-CN"/>
        </w:rPr>
        <w:t>there</w:t>
      </w:r>
      <w:r w:rsidR="002F1CFC">
        <w:rPr>
          <w:rFonts w:eastAsia="SimSun"/>
          <w:lang w:eastAsia="zh-CN"/>
        </w:rPr>
        <w:t>on will be presented by the</w:t>
      </w:r>
      <w:r w:rsidR="00713AD5" w:rsidRPr="002E6CA8">
        <w:rPr>
          <w:rFonts w:eastAsia="SimSun"/>
          <w:lang w:eastAsia="zh-CN"/>
        </w:rPr>
        <w:t xml:space="preserve"> High Commissioner at the thirty-eight</w:t>
      </w:r>
      <w:r w:rsidR="00665CD4">
        <w:rPr>
          <w:rFonts w:eastAsia="SimSun"/>
          <w:lang w:eastAsia="zh-CN"/>
        </w:rPr>
        <w:t>h</w:t>
      </w:r>
      <w:r w:rsidR="00713AD5" w:rsidRPr="002E6CA8">
        <w:rPr>
          <w:rFonts w:eastAsia="SimSun"/>
          <w:lang w:eastAsia="zh-CN"/>
        </w:rPr>
        <w:t xml:space="preserve"> session of the Council.</w:t>
      </w:r>
    </w:p>
    <w:p w:rsidR="00713AD5" w:rsidRPr="00713AD5" w:rsidRDefault="00544E5F" w:rsidP="00F73BCC">
      <w:pPr>
        <w:pStyle w:val="SingleTxtG"/>
        <w:rPr>
          <w:rFonts w:eastAsia="SimSun"/>
          <w:highlight w:val="yellow"/>
          <w:lang w:eastAsia="zh-CN"/>
        </w:rPr>
      </w:pPr>
      <w:r>
        <w:rPr>
          <w:rFonts w:eastAsia="SimSun"/>
          <w:lang w:eastAsia="zh-CN"/>
        </w:rPr>
        <w:t>2</w:t>
      </w:r>
      <w:r w:rsidR="007D441F">
        <w:rPr>
          <w:rFonts w:eastAsia="SimSun"/>
          <w:lang w:eastAsia="zh-CN"/>
        </w:rPr>
        <w:t>3</w:t>
      </w:r>
      <w:r w:rsidR="00413C67">
        <w:rPr>
          <w:rFonts w:eastAsia="SimSun"/>
          <w:lang w:eastAsia="zh-CN"/>
        </w:rPr>
        <w:t>.</w:t>
      </w:r>
      <w:r>
        <w:rPr>
          <w:rFonts w:eastAsia="SimSun"/>
          <w:lang w:eastAsia="zh-CN"/>
        </w:rPr>
        <w:tab/>
      </w:r>
      <w:r w:rsidR="00713AD5" w:rsidRPr="002E6CA8">
        <w:rPr>
          <w:rFonts w:eastAsia="SimSun"/>
          <w:lang w:eastAsia="zh-CN"/>
        </w:rPr>
        <w:t xml:space="preserve">At the </w:t>
      </w:r>
      <w:r w:rsidR="00665CD4">
        <w:rPr>
          <w:rFonts w:eastAsia="SimSun"/>
          <w:lang w:eastAsia="zh-CN"/>
        </w:rPr>
        <w:t xml:space="preserve">same </w:t>
      </w:r>
      <w:r w:rsidR="00713AD5" w:rsidRPr="002E6CA8">
        <w:rPr>
          <w:rFonts w:eastAsia="SimSun"/>
          <w:lang w:eastAsia="zh-CN"/>
        </w:rPr>
        <w:t>meeting,</w:t>
      </w:r>
      <w:r w:rsidR="00713AD5" w:rsidRPr="002E6CA8">
        <w:t xml:space="preserve"> </w:t>
      </w:r>
      <w:r w:rsidR="00F75CEE" w:rsidRPr="002E6CA8">
        <w:rPr>
          <w:rFonts w:eastAsia="SimSun"/>
          <w:lang w:eastAsia="zh-CN"/>
        </w:rPr>
        <w:t>Ms</w:t>
      </w:r>
      <w:r w:rsidR="00713AD5" w:rsidRPr="00713AD5">
        <w:rPr>
          <w:rFonts w:eastAsia="SimSun"/>
          <w:lang w:eastAsia="zh-CN"/>
        </w:rPr>
        <w:t>.</w:t>
      </w:r>
      <w:r w:rsidR="00713AD5" w:rsidRPr="002E6CA8">
        <w:t xml:space="preserve"> Katharina Pabel</w:t>
      </w:r>
      <w:r w:rsidR="00713AD5" w:rsidRPr="002E6CA8">
        <w:rPr>
          <w:rFonts w:eastAsia="SimSun"/>
          <w:lang w:eastAsia="zh-CN"/>
        </w:rPr>
        <w:t xml:space="preserve"> </w:t>
      </w:r>
      <w:r w:rsidR="00665CD4">
        <w:rPr>
          <w:rFonts w:eastAsia="SimSun"/>
          <w:lang w:eastAsia="zh-CN"/>
        </w:rPr>
        <w:t xml:space="preserve">also </w:t>
      </w:r>
      <w:r w:rsidR="00713AD5" w:rsidRPr="002E6CA8">
        <w:rPr>
          <w:rFonts w:eastAsia="SimSun"/>
          <w:lang w:eastAsia="zh-CN"/>
        </w:rPr>
        <w:t>informed the</w:t>
      </w:r>
      <w:r w:rsidR="002E6CA8">
        <w:rPr>
          <w:rFonts w:eastAsia="SimSun"/>
          <w:lang w:eastAsia="zh-CN"/>
        </w:rPr>
        <w:t xml:space="preserve"> Committee of her participation in a conference to present the report of the Committee on the topic. </w:t>
      </w:r>
    </w:p>
    <w:bookmarkEnd w:id="9"/>
    <w:p w:rsidR="00A36CC6" w:rsidRPr="003164FF" w:rsidRDefault="009056D0" w:rsidP="007C5719">
      <w:pPr>
        <w:pStyle w:val="HChG"/>
        <w:rPr>
          <w:rFonts w:eastAsia="MS Mincho"/>
        </w:rPr>
      </w:pPr>
      <w:r>
        <w:tab/>
      </w:r>
      <w:r w:rsidR="00A36CC6" w:rsidRPr="00E75125">
        <w:t>IV.</w:t>
      </w:r>
      <w:r w:rsidR="00A36CC6" w:rsidRPr="00E75125">
        <w:tab/>
      </w:r>
      <w:r w:rsidR="00A36CC6" w:rsidRPr="00E75125">
        <w:rPr>
          <w:rFonts w:eastAsia="MS Mincho"/>
        </w:rPr>
        <w:t>Implementation of se</w:t>
      </w:r>
      <w:r w:rsidR="00830E64" w:rsidRPr="00E75125">
        <w:rPr>
          <w:rFonts w:eastAsia="MS Mincho"/>
        </w:rPr>
        <w:t xml:space="preserve">ctions III and IV of the annex </w:t>
      </w:r>
      <w:r w:rsidR="00A36CC6" w:rsidRPr="00E75125">
        <w:rPr>
          <w:rFonts w:eastAsia="MS Mincho"/>
        </w:rPr>
        <w:t xml:space="preserve">to </w:t>
      </w:r>
      <w:r w:rsidR="009E1336" w:rsidRPr="00E75125">
        <w:rPr>
          <w:rFonts w:eastAsia="MS Mincho"/>
        </w:rPr>
        <w:br/>
      </w:r>
      <w:r w:rsidR="00A36CC6" w:rsidRPr="00E75125">
        <w:rPr>
          <w:rFonts w:eastAsia="MS Mincho"/>
        </w:rPr>
        <w:t>Human Rights Council reso</w:t>
      </w:r>
      <w:r w:rsidR="00830E64" w:rsidRPr="00E75125">
        <w:rPr>
          <w:rFonts w:eastAsia="MS Mincho"/>
        </w:rPr>
        <w:t xml:space="preserve">lution 5/1 of 18 June 2007 </w:t>
      </w:r>
      <w:r w:rsidR="009E1336" w:rsidRPr="00E75125">
        <w:rPr>
          <w:rFonts w:eastAsia="MS Mincho"/>
        </w:rPr>
        <w:br/>
      </w:r>
      <w:r w:rsidR="00830E64" w:rsidRPr="00E75125">
        <w:rPr>
          <w:rFonts w:eastAsia="MS Mincho"/>
        </w:rPr>
        <w:t xml:space="preserve">and </w:t>
      </w:r>
      <w:r w:rsidR="003E62D4">
        <w:rPr>
          <w:rFonts w:eastAsia="MS Mincho"/>
        </w:rPr>
        <w:t xml:space="preserve">of </w:t>
      </w:r>
      <w:r w:rsidR="00A36CC6" w:rsidRPr="00E75125">
        <w:rPr>
          <w:rFonts w:eastAsia="MS Mincho"/>
        </w:rPr>
        <w:t>section III of the annex</w:t>
      </w:r>
      <w:r w:rsidR="00830E64" w:rsidRPr="00E75125">
        <w:rPr>
          <w:rFonts w:eastAsia="MS Mincho"/>
        </w:rPr>
        <w:t xml:space="preserve"> to Council resolution 16/21of </w:t>
      </w:r>
      <w:r w:rsidR="00A36CC6" w:rsidRPr="00E75125">
        <w:rPr>
          <w:rFonts w:eastAsia="MS Mincho"/>
        </w:rPr>
        <w:t>25 March 2011</w:t>
      </w:r>
    </w:p>
    <w:p w:rsidR="00A36CC6" w:rsidRPr="007C5719" w:rsidRDefault="00A36CC6" w:rsidP="007C5719">
      <w:pPr>
        <w:pStyle w:val="H1G"/>
        <w:rPr>
          <w:rFonts w:eastAsia="MS Mincho"/>
        </w:rPr>
      </w:pPr>
      <w:r w:rsidRPr="00E75125">
        <w:tab/>
        <w:t>A.</w:t>
      </w:r>
      <w:r w:rsidRPr="00E75125">
        <w:tab/>
        <w:t>Review of methods of work</w:t>
      </w:r>
    </w:p>
    <w:p w:rsidR="00AD132B" w:rsidRPr="007C5719" w:rsidRDefault="005323D7" w:rsidP="003F543D">
      <w:pPr>
        <w:pStyle w:val="SingleTxtG"/>
      </w:pPr>
      <w:r>
        <w:t>2</w:t>
      </w:r>
      <w:r w:rsidR="007D441F">
        <w:t>4</w:t>
      </w:r>
      <w:r w:rsidR="003F543D" w:rsidRPr="007C5719">
        <w:t>.</w:t>
      </w:r>
      <w:r w:rsidR="003F543D" w:rsidRPr="007C5719">
        <w:tab/>
      </w:r>
      <w:r w:rsidR="00F7368C" w:rsidRPr="00AD132B">
        <w:rPr>
          <w:rFonts w:eastAsia="MS Mincho"/>
        </w:rPr>
        <w:t xml:space="preserve">On </w:t>
      </w:r>
      <w:r w:rsidR="00E01367">
        <w:rPr>
          <w:rFonts w:eastAsia="MS Mincho"/>
        </w:rPr>
        <w:t xml:space="preserve">21 and </w:t>
      </w:r>
      <w:r w:rsidR="00F7368C" w:rsidRPr="00AD132B">
        <w:rPr>
          <w:rFonts w:eastAsia="MS Mincho"/>
        </w:rPr>
        <w:t>2</w:t>
      </w:r>
      <w:r w:rsidR="00C64E80">
        <w:rPr>
          <w:rFonts w:eastAsia="MS Mincho"/>
        </w:rPr>
        <w:t>2</w:t>
      </w:r>
      <w:r w:rsidR="00F7368C" w:rsidRPr="00AD132B">
        <w:rPr>
          <w:rFonts w:eastAsia="MS Mincho"/>
        </w:rPr>
        <w:t xml:space="preserve"> February 201</w:t>
      </w:r>
      <w:r w:rsidR="00C64E80">
        <w:rPr>
          <w:rFonts w:eastAsia="MS Mincho"/>
        </w:rPr>
        <w:t>7</w:t>
      </w:r>
      <w:r w:rsidR="00F7368C" w:rsidRPr="00AD132B">
        <w:rPr>
          <w:rFonts w:eastAsia="MS Mincho"/>
        </w:rPr>
        <w:t xml:space="preserve">, the Advisory Committee held </w:t>
      </w:r>
      <w:r w:rsidR="00AB0F66" w:rsidRPr="00AD132B">
        <w:rPr>
          <w:rFonts w:eastAsia="MS Mincho"/>
        </w:rPr>
        <w:t>closed meeting</w:t>
      </w:r>
      <w:r w:rsidR="00E01367">
        <w:rPr>
          <w:rFonts w:eastAsia="MS Mincho"/>
        </w:rPr>
        <w:t>s</w:t>
      </w:r>
      <w:r w:rsidR="00F7368C" w:rsidRPr="00AD132B">
        <w:rPr>
          <w:rFonts w:eastAsia="MS Mincho"/>
        </w:rPr>
        <w:t xml:space="preserve"> </w:t>
      </w:r>
      <w:r w:rsidR="00AD132B" w:rsidRPr="00AD132B">
        <w:rPr>
          <w:rFonts w:eastAsia="MS Mincho"/>
        </w:rPr>
        <w:t>to discuss its methods of work and ways and means to</w:t>
      </w:r>
      <w:r w:rsidR="00F7368C" w:rsidRPr="00AD132B">
        <w:rPr>
          <w:rFonts w:eastAsia="MS Mincho"/>
        </w:rPr>
        <w:t xml:space="preserve"> improv</w:t>
      </w:r>
      <w:r w:rsidR="00AD132B" w:rsidRPr="00AD132B">
        <w:rPr>
          <w:rFonts w:eastAsia="MS Mincho"/>
        </w:rPr>
        <w:t>e</w:t>
      </w:r>
      <w:r w:rsidR="00F7368C" w:rsidRPr="00AD132B">
        <w:rPr>
          <w:rFonts w:eastAsia="MS Mincho"/>
        </w:rPr>
        <w:t xml:space="preserve"> its procedural efficiency.</w:t>
      </w:r>
      <w:r w:rsidR="00AD132B" w:rsidRPr="00AD132B">
        <w:rPr>
          <w:rFonts w:eastAsia="MS Mincho"/>
        </w:rPr>
        <w:t xml:space="preserve"> </w:t>
      </w:r>
    </w:p>
    <w:p w:rsidR="00A36CC6" w:rsidRPr="003164FF" w:rsidRDefault="00A36CC6" w:rsidP="007C5719">
      <w:pPr>
        <w:pStyle w:val="H1G"/>
      </w:pPr>
      <w:r w:rsidRPr="00E75125">
        <w:tab/>
        <w:t>B.</w:t>
      </w:r>
      <w:r w:rsidRPr="00E75125">
        <w:tab/>
      </w:r>
      <w:r w:rsidRPr="00AD132B">
        <w:t>Agenda and annual programme of work, including new priorities</w:t>
      </w:r>
    </w:p>
    <w:p w:rsidR="00392DDF" w:rsidRPr="00E74A5D" w:rsidRDefault="00392DDF" w:rsidP="00392DDF">
      <w:pPr>
        <w:pStyle w:val="SingleTxtG"/>
        <w:spacing w:line="276" w:lineRule="auto"/>
      </w:pPr>
      <w:r>
        <w:rPr>
          <w:rFonts w:eastAsia="MS Mincho"/>
        </w:rPr>
        <w:t>2</w:t>
      </w:r>
      <w:r w:rsidR="007D441F">
        <w:rPr>
          <w:rFonts w:eastAsia="MS Mincho"/>
        </w:rPr>
        <w:t>5</w:t>
      </w:r>
      <w:r>
        <w:rPr>
          <w:rFonts w:eastAsia="MS Mincho"/>
        </w:rPr>
        <w:t>.</w:t>
      </w:r>
      <w:r>
        <w:rPr>
          <w:rFonts w:eastAsia="MS Mincho"/>
        </w:rPr>
        <w:tab/>
      </w:r>
      <w:r w:rsidRPr="00E74A5D">
        <w:rPr>
          <w:rFonts w:eastAsia="MS Mincho"/>
        </w:rPr>
        <w:t>At its 7</w:t>
      </w:r>
      <w:r w:rsidRPr="00A01CCA">
        <w:rPr>
          <w:rFonts w:eastAsia="MS Mincho"/>
        </w:rPr>
        <w:t>th</w:t>
      </w:r>
      <w:r>
        <w:rPr>
          <w:rFonts w:eastAsia="MS Mincho"/>
        </w:rPr>
        <w:t xml:space="preserve"> </w:t>
      </w:r>
      <w:r w:rsidRPr="00E74A5D">
        <w:rPr>
          <w:rFonts w:eastAsia="MS Mincho"/>
        </w:rPr>
        <w:t>and 8</w:t>
      </w:r>
      <w:r w:rsidRPr="00A01CCA">
        <w:rPr>
          <w:rFonts w:eastAsia="MS Mincho"/>
        </w:rPr>
        <w:t>th</w:t>
      </w:r>
      <w:r>
        <w:rPr>
          <w:rFonts w:eastAsia="MS Mincho"/>
        </w:rPr>
        <w:t xml:space="preserve"> </w:t>
      </w:r>
      <w:r w:rsidRPr="00E74A5D">
        <w:rPr>
          <w:rFonts w:eastAsia="MS Mincho"/>
        </w:rPr>
        <w:t xml:space="preserve">meetings, </w:t>
      </w:r>
      <w:r w:rsidR="003555C1" w:rsidRPr="00E85CF4">
        <w:rPr>
          <w:rFonts w:eastAsia="MS Mincho"/>
        </w:rPr>
        <w:t>on 2</w:t>
      </w:r>
      <w:r w:rsidR="003555C1">
        <w:rPr>
          <w:rFonts w:eastAsia="MS Mincho"/>
        </w:rPr>
        <w:t>3</w:t>
      </w:r>
      <w:r w:rsidR="003555C1" w:rsidRPr="00E85CF4">
        <w:rPr>
          <w:rFonts w:eastAsia="MS Mincho"/>
        </w:rPr>
        <w:t xml:space="preserve"> February 201</w:t>
      </w:r>
      <w:r w:rsidR="003555C1">
        <w:rPr>
          <w:rFonts w:eastAsia="MS Mincho"/>
        </w:rPr>
        <w:t>7</w:t>
      </w:r>
      <w:r w:rsidRPr="00E74A5D">
        <w:rPr>
          <w:rFonts w:eastAsia="MS Mincho"/>
        </w:rPr>
        <w:t>, the Advisory Committee held a discussion on reflection papers and research proposals. Members</w:t>
      </w:r>
      <w:r>
        <w:rPr>
          <w:rFonts w:eastAsia="MS Mincho"/>
        </w:rPr>
        <w:t xml:space="preserve"> of the</w:t>
      </w:r>
      <w:r w:rsidRPr="00E74A5D">
        <w:rPr>
          <w:rFonts w:eastAsia="MS Mincho"/>
        </w:rPr>
        <w:t xml:space="preserve"> Committee presented</w:t>
      </w:r>
      <w:r>
        <w:rPr>
          <w:rFonts w:eastAsia="MS Mincho"/>
        </w:rPr>
        <w:t xml:space="preserve"> the following</w:t>
      </w:r>
      <w:r w:rsidRPr="00E74A5D">
        <w:rPr>
          <w:rFonts w:eastAsia="MS Mincho"/>
        </w:rPr>
        <w:t xml:space="preserve"> draft </w:t>
      </w:r>
      <w:r w:rsidRPr="00E74A5D">
        <w:t xml:space="preserve">reflection papers </w:t>
      </w:r>
      <w:r>
        <w:t>for consideration</w:t>
      </w:r>
      <w:r w:rsidRPr="00E74A5D">
        <w:t xml:space="preserve"> by the Committee:</w:t>
      </w:r>
    </w:p>
    <w:p w:rsidR="00392DDF" w:rsidRDefault="00392DDF" w:rsidP="00413C67">
      <w:pPr>
        <w:pStyle w:val="Bullet1G"/>
      </w:pPr>
      <w:r w:rsidRPr="00E74A5D">
        <w:t>Assessment of the impact of the work of the Advisory Committee and its</w:t>
      </w:r>
      <w:r w:rsidR="0083262A">
        <w:t xml:space="preserve"> </w:t>
      </w:r>
      <w:r w:rsidRPr="00E74A5D">
        <w:t>implementation</w:t>
      </w:r>
      <w:r w:rsidRPr="007E7759">
        <w:t xml:space="preserve"> </w:t>
      </w:r>
      <w:r>
        <w:t>(introduced by Kaoru Obata)</w:t>
      </w:r>
    </w:p>
    <w:p w:rsidR="00392DDF" w:rsidRDefault="00392DDF" w:rsidP="00413C67">
      <w:pPr>
        <w:pStyle w:val="Bullet1G"/>
      </w:pPr>
      <w:r>
        <w:t xml:space="preserve">Access </w:t>
      </w:r>
      <w:r w:rsidRPr="00E74A5D">
        <w:t xml:space="preserve">to </w:t>
      </w:r>
      <w:r>
        <w:t>j</w:t>
      </w:r>
      <w:r w:rsidRPr="00E74A5D">
        <w:t>ustice</w:t>
      </w:r>
      <w:r>
        <w:t>: principles and guidelines (introduced by</w:t>
      </w:r>
      <w:r w:rsidRPr="00765FCE">
        <w:t xml:space="preserve"> </w:t>
      </w:r>
      <w:r w:rsidRPr="00680388">
        <w:t>Mario Luis</w:t>
      </w:r>
      <w:r>
        <w:t>)</w:t>
      </w:r>
    </w:p>
    <w:p w:rsidR="006B3657" w:rsidRDefault="00283434" w:rsidP="00413C67">
      <w:pPr>
        <w:pStyle w:val="Bullet1G"/>
      </w:pPr>
      <w:r w:rsidRPr="00E74A5D">
        <w:t xml:space="preserve">Destruction of cultural heritage and </w:t>
      </w:r>
      <w:r>
        <w:t xml:space="preserve">its effects on the enjoyment of </w:t>
      </w:r>
      <w:r w:rsidRPr="00E74A5D">
        <w:t>economic, social and cultural rights</w:t>
      </w:r>
      <w:r>
        <w:t xml:space="preserve"> (introduced by Jean Ziegler)</w:t>
      </w:r>
    </w:p>
    <w:p w:rsidR="00B117B0" w:rsidRDefault="00D346C5" w:rsidP="00413C67">
      <w:pPr>
        <w:pStyle w:val="Bullet1G"/>
      </w:pPr>
      <w:r>
        <w:t xml:space="preserve">Engagement </w:t>
      </w:r>
      <w:r w:rsidR="005323D7">
        <w:t>with n</w:t>
      </w:r>
      <w:r w:rsidR="005323D7" w:rsidRPr="005323D7">
        <w:t>on-governmental organizations and national</w:t>
      </w:r>
      <w:r w:rsidR="00E01367">
        <w:t xml:space="preserve"> </w:t>
      </w:r>
      <w:r w:rsidR="005323D7" w:rsidRPr="005323D7">
        <w:t xml:space="preserve">human rights institutions </w:t>
      </w:r>
      <w:r>
        <w:t>(introduced by</w:t>
      </w:r>
      <w:r w:rsidRPr="00765FCE">
        <w:t xml:space="preserve"> </w:t>
      </w:r>
      <w:r w:rsidRPr="00680388">
        <w:t>Mario Luis Coriolano</w:t>
      </w:r>
      <w:r w:rsidR="00E01367">
        <w:t>)</w:t>
      </w:r>
    </w:p>
    <w:p w:rsidR="00510EBC" w:rsidRDefault="009522C8" w:rsidP="00413C67">
      <w:pPr>
        <w:pStyle w:val="Bullet1G"/>
      </w:pPr>
      <w:r>
        <w:lastRenderedPageBreak/>
        <w:t>Budget and human rights (introduced by</w:t>
      </w:r>
      <w:r w:rsidRPr="00765FCE">
        <w:t xml:space="preserve"> </w:t>
      </w:r>
      <w:r w:rsidRPr="00680388">
        <w:t xml:space="preserve">Mario Luis </w:t>
      </w:r>
      <w:proofErr w:type="spellStart"/>
      <w:r w:rsidRPr="00680388">
        <w:t>Coriolano</w:t>
      </w:r>
      <w:proofErr w:type="spellEnd"/>
      <w:r>
        <w:t>)</w:t>
      </w:r>
    </w:p>
    <w:p w:rsidR="00501874" w:rsidRDefault="00E01367" w:rsidP="00413C67">
      <w:pPr>
        <w:pStyle w:val="Bullet1G"/>
      </w:pPr>
      <w:r>
        <w:t>The p</w:t>
      </w:r>
      <w:r w:rsidR="00501874">
        <w:t xml:space="preserve">romotion </w:t>
      </w:r>
      <w:r>
        <w:t xml:space="preserve">and protection of intangible social heritage </w:t>
      </w:r>
      <w:r w:rsidR="00501874">
        <w:t xml:space="preserve">(introduced by Mohamed </w:t>
      </w:r>
      <w:r w:rsidR="00501874">
        <w:rPr>
          <w:szCs w:val="22"/>
        </w:rPr>
        <w:t>Bennani)</w:t>
      </w:r>
    </w:p>
    <w:p w:rsidR="00723C5F" w:rsidRDefault="00B117B0" w:rsidP="00B117B0">
      <w:pPr>
        <w:pStyle w:val="SingleTxtG"/>
        <w:spacing w:line="276" w:lineRule="auto"/>
      </w:pPr>
      <w:r>
        <w:t>2</w:t>
      </w:r>
      <w:r w:rsidR="007D441F">
        <w:t>6</w:t>
      </w:r>
      <w:r>
        <w:t>.</w:t>
      </w:r>
      <w:r>
        <w:tab/>
      </w:r>
      <w:r w:rsidR="00C9641F" w:rsidRPr="00C9641F">
        <w:t>In this context, presentations were given by representatives of the OHCHR and via videoconference by the regional representative of the OHCHR Regional Office for South America and Mr. Santiago Canton, Secretary for Human Rights for Buenos Aires. During the ensuing discussions, statements were made by members of the Advisory Committee, observers for States, observers for non-governmental organizations (see annex I).</w:t>
      </w:r>
    </w:p>
    <w:p w:rsidR="004C5309" w:rsidRPr="00E01367" w:rsidRDefault="004C5309" w:rsidP="004C5309">
      <w:pPr>
        <w:pStyle w:val="SingleTxtG"/>
        <w:spacing w:line="276" w:lineRule="auto"/>
      </w:pPr>
      <w:r w:rsidRPr="00E01367">
        <w:t>2</w:t>
      </w:r>
      <w:r w:rsidR="007D441F">
        <w:t>7</w:t>
      </w:r>
      <w:r w:rsidRPr="00E01367">
        <w:t>.</w:t>
      </w:r>
      <w:r w:rsidRPr="00E01367">
        <w:tab/>
      </w:r>
      <w:r w:rsidR="00C9641F">
        <w:t>At its 7</w:t>
      </w:r>
      <w:r w:rsidR="00C9641F" w:rsidRPr="00A01CCA">
        <w:t>th</w:t>
      </w:r>
      <w:r w:rsidR="00C9641F">
        <w:t xml:space="preserve"> meeting, the Advisory Committee decided to submit a new research proposal on d</w:t>
      </w:r>
      <w:r w:rsidR="00C9641F" w:rsidRPr="00E74A5D">
        <w:t xml:space="preserve">estruction of cultural heritage and </w:t>
      </w:r>
      <w:r w:rsidR="00C9641F">
        <w:t xml:space="preserve">its effects on the enjoyment of </w:t>
      </w:r>
      <w:r w:rsidR="00C9641F" w:rsidRPr="00E74A5D">
        <w:t>economic, social and cultural rights</w:t>
      </w:r>
      <w:r w:rsidR="00C9641F">
        <w:t xml:space="preserve"> (s</w:t>
      </w:r>
      <w:r w:rsidR="00C9641F" w:rsidRPr="009F5AF1">
        <w:t>ee annex I</w:t>
      </w:r>
      <w:r w:rsidR="00C9641F">
        <w:t>II</w:t>
      </w:r>
      <w:r w:rsidR="00C9641F" w:rsidRPr="009F5AF1">
        <w:t>)</w:t>
      </w:r>
      <w:r w:rsidR="00C9641F">
        <w:t xml:space="preserve"> to the Human Rights Council for its consideration.</w:t>
      </w:r>
    </w:p>
    <w:p w:rsidR="004C5309" w:rsidRDefault="004C5309" w:rsidP="00765635">
      <w:pPr>
        <w:pStyle w:val="SingleTxtG"/>
        <w:spacing w:line="276" w:lineRule="auto"/>
      </w:pPr>
      <w:r w:rsidRPr="00E01367">
        <w:t>2</w:t>
      </w:r>
      <w:r w:rsidR="007D441F">
        <w:t>8</w:t>
      </w:r>
      <w:r w:rsidRPr="00E01367">
        <w:t>.</w:t>
      </w:r>
      <w:r w:rsidRPr="00E01367">
        <w:tab/>
      </w:r>
      <w:r w:rsidR="00C9641F" w:rsidRPr="00E01367">
        <w:t>At the 8th meeting, the Advisory Committee decided to continue consideration of the remaining reflection papers at its 19th session, in August 2017.</w:t>
      </w:r>
    </w:p>
    <w:p w:rsidR="00723C5F" w:rsidRDefault="00413C67" w:rsidP="00723C5F">
      <w:pPr>
        <w:pStyle w:val="HChG"/>
        <w:tabs>
          <w:tab w:val="clear" w:pos="851"/>
          <w:tab w:val="right" w:pos="0"/>
        </w:tabs>
        <w:ind w:left="0" w:firstLine="0"/>
      </w:pPr>
      <w:r>
        <w:tab/>
      </w:r>
      <w:r w:rsidR="00723C5F" w:rsidRPr="005A6004">
        <w:t>V.</w:t>
      </w:r>
      <w:r w:rsidR="00723C5F" w:rsidRPr="005A6004">
        <w:tab/>
      </w:r>
      <w:r w:rsidR="00723C5F" w:rsidRPr="00723C5F">
        <w:rPr>
          <w:rFonts w:eastAsia="MS Mincho"/>
        </w:rPr>
        <w:t xml:space="preserve">Report of the Advisory Committee on its </w:t>
      </w:r>
      <w:r w:rsidR="00940826">
        <w:rPr>
          <w:rFonts w:eastAsia="MS Mincho"/>
        </w:rPr>
        <w:t>eighteenth</w:t>
      </w:r>
      <w:r w:rsidR="00940826" w:rsidRPr="00723C5F">
        <w:rPr>
          <w:rFonts w:eastAsia="MS Mincho"/>
        </w:rPr>
        <w:t xml:space="preserve"> </w:t>
      </w:r>
      <w:r w:rsidR="00723C5F" w:rsidRPr="00723C5F">
        <w:rPr>
          <w:rFonts w:eastAsia="MS Mincho"/>
        </w:rPr>
        <w:t>session</w:t>
      </w:r>
    </w:p>
    <w:p w:rsidR="00BB2271" w:rsidRPr="007C5719" w:rsidRDefault="007D441F" w:rsidP="00BB2271">
      <w:pPr>
        <w:pStyle w:val="SingleTxtG"/>
      </w:pPr>
      <w:r>
        <w:t>29</w:t>
      </w:r>
      <w:r w:rsidR="00723C5F" w:rsidRPr="00723C5F">
        <w:t>.</w:t>
      </w:r>
      <w:r w:rsidR="00723C5F" w:rsidRPr="009056D0">
        <w:tab/>
      </w:r>
      <w:r w:rsidR="00BB2271" w:rsidRPr="00432C74">
        <w:rPr>
          <w:rFonts w:eastAsia="SimSun"/>
        </w:rPr>
        <w:t xml:space="preserve">At the </w:t>
      </w:r>
      <w:r w:rsidR="00BB2271">
        <w:rPr>
          <w:rFonts w:eastAsia="SimSun"/>
        </w:rPr>
        <w:t>9</w:t>
      </w:r>
      <w:r w:rsidR="00BB2271" w:rsidRPr="00432C74">
        <w:rPr>
          <w:rFonts w:eastAsia="SimSun"/>
        </w:rPr>
        <w:t xml:space="preserve">th </w:t>
      </w:r>
      <w:r w:rsidR="00BB2271" w:rsidRPr="00F7368C">
        <w:rPr>
          <w:rFonts w:eastAsia="SimSun"/>
        </w:rPr>
        <w:t>meeting, on 2</w:t>
      </w:r>
      <w:r w:rsidR="00BB2271">
        <w:rPr>
          <w:rFonts w:eastAsia="SimSun"/>
        </w:rPr>
        <w:t>4</w:t>
      </w:r>
      <w:r w:rsidR="00BB2271" w:rsidRPr="00F7368C">
        <w:rPr>
          <w:rFonts w:eastAsia="SimSun"/>
        </w:rPr>
        <w:t xml:space="preserve"> February 201</w:t>
      </w:r>
      <w:r w:rsidR="00BB2271">
        <w:rPr>
          <w:rFonts w:eastAsia="SimSun"/>
        </w:rPr>
        <w:t>7</w:t>
      </w:r>
      <w:r w:rsidR="00BB2271" w:rsidRPr="00F7368C">
        <w:rPr>
          <w:rFonts w:eastAsia="SimSun"/>
        </w:rPr>
        <w:t xml:space="preserve">, </w:t>
      </w:r>
      <w:r w:rsidR="00BB2271">
        <w:t>the</w:t>
      </w:r>
      <w:r w:rsidR="00BB2271" w:rsidRPr="00F7368C">
        <w:rPr>
          <w:rFonts w:eastAsia="SimSun"/>
        </w:rPr>
        <w:t xml:space="preserve"> Rapporteur of the Advisory Committee presented the draft report on the </w:t>
      </w:r>
      <w:r w:rsidR="00655870">
        <w:rPr>
          <w:rFonts w:eastAsia="SimSun"/>
        </w:rPr>
        <w:t>eigh</w:t>
      </w:r>
      <w:r w:rsidR="00BB2271" w:rsidRPr="00F7368C">
        <w:rPr>
          <w:rFonts w:eastAsia="SimSun"/>
        </w:rPr>
        <w:t xml:space="preserve">teenth session of the Committee. The Committee adopted the draft report </w:t>
      </w:r>
      <w:r w:rsidR="00BB2271" w:rsidRPr="007C5719">
        <w:rPr>
          <w:rFonts w:eastAsia="SimSun"/>
          <w:iCs/>
        </w:rPr>
        <w:t>ad referendum</w:t>
      </w:r>
      <w:r w:rsidR="00BB2271" w:rsidRPr="00F7368C">
        <w:rPr>
          <w:rFonts w:eastAsia="SimSun"/>
        </w:rPr>
        <w:t xml:space="preserve"> and </w:t>
      </w:r>
      <w:r w:rsidR="00BB2271" w:rsidRPr="00F7368C">
        <w:rPr>
          <w:rFonts w:eastAsia="MS Mincho"/>
        </w:rPr>
        <w:t>decided</w:t>
      </w:r>
      <w:r w:rsidR="00BB2271" w:rsidRPr="00F7368C">
        <w:rPr>
          <w:rFonts w:eastAsia="SimSun"/>
        </w:rPr>
        <w:t xml:space="preserve"> to entrust the Rapporteur with its finalization.</w:t>
      </w:r>
    </w:p>
    <w:p w:rsidR="00BB2271" w:rsidRPr="007C5719" w:rsidRDefault="00BB2271" w:rsidP="00A37E81">
      <w:pPr>
        <w:pStyle w:val="SingleTxtG"/>
      </w:pPr>
      <w:r>
        <w:t>3</w:t>
      </w:r>
      <w:r w:rsidR="007D441F">
        <w:t>0</w:t>
      </w:r>
      <w:r w:rsidRPr="007C5719">
        <w:t>.</w:t>
      </w:r>
      <w:r w:rsidRPr="007C5719">
        <w:tab/>
      </w:r>
      <w:r w:rsidRPr="00296ED9">
        <w:rPr>
          <w:rFonts w:eastAsia="SimSun"/>
          <w:lang w:eastAsia="zh-CN"/>
        </w:rPr>
        <w:t xml:space="preserve">At the </w:t>
      </w:r>
      <w:r w:rsidRPr="00023C0B">
        <w:rPr>
          <w:rFonts w:eastAsia="SimSun"/>
          <w:lang w:eastAsia="zh-CN"/>
        </w:rPr>
        <w:t xml:space="preserve">same meeting, Mr. </w:t>
      </w:r>
      <w:r w:rsidRPr="00023C0B">
        <w:t xml:space="preserve">Mohamed </w:t>
      </w:r>
      <w:proofErr w:type="spellStart"/>
      <w:r w:rsidRPr="00023C0B">
        <w:rPr>
          <w:szCs w:val="22"/>
        </w:rPr>
        <w:t>Bennani</w:t>
      </w:r>
      <w:proofErr w:type="spellEnd"/>
      <w:r w:rsidRPr="00023C0B">
        <w:rPr>
          <w:szCs w:val="22"/>
        </w:rPr>
        <w:t>,</w:t>
      </w:r>
      <w:r w:rsidRPr="00023C0B">
        <w:rPr>
          <w:rFonts w:eastAsia="SimSun"/>
          <w:lang w:eastAsia="zh-CN"/>
        </w:rPr>
        <w:t xml:space="preserve"> Ms. </w:t>
      </w:r>
      <w:proofErr w:type="spellStart"/>
      <w:r w:rsidRPr="00023C0B">
        <w:rPr>
          <w:rFonts w:eastAsia="SimSun"/>
          <w:lang w:eastAsia="zh-CN"/>
        </w:rPr>
        <w:t>Boisson</w:t>
      </w:r>
      <w:proofErr w:type="spellEnd"/>
      <w:r w:rsidRPr="00023C0B">
        <w:rPr>
          <w:rFonts w:eastAsia="SimSun"/>
          <w:lang w:eastAsia="zh-CN"/>
        </w:rPr>
        <w:t xml:space="preserve"> de </w:t>
      </w:r>
      <w:proofErr w:type="spellStart"/>
      <w:r w:rsidRPr="00023C0B">
        <w:rPr>
          <w:rFonts w:eastAsia="SimSun"/>
          <w:lang w:eastAsia="zh-CN"/>
        </w:rPr>
        <w:t>Chazournes</w:t>
      </w:r>
      <w:proofErr w:type="spellEnd"/>
      <w:r w:rsidRPr="00023C0B">
        <w:rPr>
          <w:rFonts w:eastAsia="SimSun"/>
          <w:lang w:eastAsia="zh-CN"/>
        </w:rPr>
        <w:t xml:space="preserve">, </w:t>
      </w:r>
      <w:r w:rsidR="00655870">
        <w:rPr>
          <w:rFonts w:eastAsia="SimSun"/>
          <w:lang w:eastAsia="zh-CN"/>
        </w:rPr>
        <w:t xml:space="preserve">Mr. </w:t>
      </w:r>
      <w:proofErr w:type="spellStart"/>
      <w:r w:rsidR="00023C0B" w:rsidRPr="006B45CD">
        <w:t>Xinsheng</w:t>
      </w:r>
      <w:proofErr w:type="spellEnd"/>
      <w:r w:rsidR="00023C0B" w:rsidRPr="006B45CD">
        <w:t xml:space="preserve"> Liu,</w:t>
      </w:r>
      <w:r w:rsidR="00D32D05">
        <w:t xml:space="preserve"> Ms. </w:t>
      </w:r>
      <w:r w:rsidR="00D32D05" w:rsidRPr="006B45CD">
        <w:t>Mona Omar</w:t>
      </w:r>
      <w:r w:rsidR="00D32D05">
        <w:t>,</w:t>
      </w:r>
      <w:r w:rsidRPr="00023C0B">
        <w:t xml:space="preserve"> </w:t>
      </w:r>
      <w:r w:rsidRPr="00023C0B">
        <w:rPr>
          <w:rFonts w:eastAsia="SimSun"/>
          <w:lang w:eastAsia="zh-CN"/>
        </w:rPr>
        <w:t xml:space="preserve">Ms. </w:t>
      </w:r>
      <w:proofErr w:type="spellStart"/>
      <w:r w:rsidRPr="00023C0B">
        <w:t>Anantonia</w:t>
      </w:r>
      <w:proofErr w:type="spellEnd"/>
      <w:r w:rsidRPr="00023C0B">
        <w:t xml:space="preserve"> Reyes Prado</w:t>
      </w:r>
      <w:r w:rsidRPr="00023C0B">
        <w:rPr>
          <w:rFonts w:eastAsia="SimSun"/>
          <w:lang w:eastAsia="zh-CN"/>
        </w:rPr>
        <w:t>,</w:t>
      </w:r>
      <w:r w:rsidR="00023C0B" w:rsidRPr="00023C0B">
        <w:rPr>
          <w:rFonts w:eastAsia="SimSun"/>
          <w:lang w:eastAsia="zh-CN"/>
        </w:rPr>
        <w:t xml:space="preserve"> and</w:t>
      </w:r>
      <w:r w:rsidRPr="00023C0B">
        <w:rPr>
          <w:rFonts w:eastAsia="SimSun"/>
          <w:lang w:eastAsia="zh-CN"/>
        </w:rPr>
        <w:t xml:space="preserve"> Mr. </w:t>
      </w:r>
      <w:proofErr w:type="spellStart"/>
      <w:r w:rsidR="009C758E">
        <w:rPr>
          <w:rFonts w:eastAsia="SimSun"/>
          <w:lang w:eastAsia="zh-CN"/>
        </w:rPr>
        <w:t>Changrok</w:t>
      </w:r>
      <w:proofErr w:type="spellEnd"/>
      <w:r w:rsidR="009C758E">
        <w:rPr>
          <w:rFonts w:eastAsia="SimSun"/>
          <w:lang w:eastAsia="zh-CN"/>
        </w:rPr>
        <w:t xml:space="preserve"> </w:t>
      </w:r>
      <w:proofErr w:type="spellStart"/>
      <w:r w:rsidRPr="00023C0B">
        <w:rPr>
          <w:rFonts w:eastAsia="SimSun"/>
          <w:lang w:eastAsia="zh-CN"/>
        </w:rPr>
        <w:t>Soh</w:t>
      </w:r>
      <w:proofErr w:type="spellEnd"/>
      <w:r w:rsidRPr="00023C0B">
        <w:rPr>
          <w:rFonts w:eastAsia="SimSun"/>
          <w:lang w:eastAsia="zh-CN"/>
        </w:rPr>
        <w:t xml:space="preserve"> made closing statements. </w:t>
      </w:r>
      <w:r w:rsidR="00A37E81">
        <w:rPr>
          <w:rFonts w:eastAsia="SimSun"/>
          <w:lang w:eastAsia="zh-CN"/>
        </w:rPr>
        <w:t xml:space="preserve">An </w:t>
      </w:r>
      <w:r w:rsidR="000B2165" w:rsidRPr="00E01367">
        <w:t>observer for</w:t>
      </w:r>
      <w:r w:rsidR="00A37E81">
        <w:t xml:space="preserve"> a</w:t>
      </w:r>
      <w:r w:rsidR="000B2165" w:rsidRPr="00E01367">
        <w:t xml:space="preserve"> non-govern</w:t>
      </w:r>
      <w:r w:rsidR="000B2165">
        <w:t>mental organization</w:t>
      </w:r>
      <w:r w:rsidR="00BC68A2">
        <w:t xml:space="preserve">, </w:t>
      </w:r>
      <w:proofErr w:type="spellStart"/>
      <w:r w:rsidR="00BC68A2">
        <w:t>iuventum</w:t>
      </w:r>
      <w:proofErr w:type="spellEnd"/>
      <w:r w:rsidR="00BC68A2">
        <w:t>,</w:t>
      </w:r>
      <w:r w:rsidR="00A37E81">
        <w:t xml:space="preserve"> also made</w:t>
      </w:r>
      <w:r w:rsidR="00BC68A2">
        <w:t xml:space="preserve"> a</w:t>
      </w:r>
      <w:r w:rsidR="00A37E81">
        <w:t xml:space="preserve"> statement. </w:t>
      </w:r>
      <w:r w:rsidRPr="00023C0B">
        <w:rPr>
          <w:rFonts w:eastAsia="SimSun"/>
          <w:lang w:eastAsia="zh-CN"/>
        </w:rPr>
        <w:t>Following the usual exchange of courtesies, the Chair made final remarks and declared the eighteenth session of the Advisory Committee closed.</w:t>
      </w:r>
    </w:p>
    <w:p w:rsidR="00A36CC6" w:rsidRPr="00C10731" w:rsidRDefault="00A36CC6" w:rsidP="00200A2E">
      <w:pPr>
        <w:pStyle w:val="SingleTxtG"/>
      </w:pPr>
    </w:p>
    <w:p w:rsidR="00EB400B" w:rsidRPr="00C10731" w:rsidRDefault="00EB400B" w:rsidP="00EB400B">
      <w:pPr>
        <w:pStyle w:val="SingleTxtG"/>
        <w:rPr>
          <w:highlight w:val="yellow"/>
        </w:rPr>
        <w:sectPr w:rsidR="00EB400B" w:rsidRPr="00C10731" w:rsidSect="004A62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411" w:gutter="0"/>
          <w:cols w:space="720"/>
          <w:titlePg/>
          <w:docGrid w:linePitch="272"/>
        </w:sectPr>
      </w:pPr>
    </w:p>
    <w:p w:rsidR="00DC05A3" w:rsidRDefault="00EB400B" w:rsidP="007C5719">
      <w:pPr>
        <w:pStyle w:val="HChG"/>
      </w:pPr>
      <w:r w:rsidRPr="00E75125">
        <w:lastRenderedPageBreak/>
        <w:t>Annex I</w:t>
      </w:r>
    </w:p>
    <w:p w:rsidR="00EB400B" w:rsidRPr="00563703" w:rsidRDefault="00691F5B" w:rsidP="007C5719">
      <w:pPr>
        <w:pStyle w:val="HChG"/>
      </w:pPr>
      <w:r w:rsidRPr="00E75125">
        <w:rPr>
          <w:i/>
        </w:rPr>
        <w:tab/>
      </w:r>
      <w:r w:rsidR="00EB400B" w:rsidRPr="00E75125">
        <w:t>List of speakers</w:t>
      </w:r>
    </w:p>
    <w:tbl>
      <w:tblPr>
        <w:tblW w:w="12359" w:type="dxa"/>
        <w:tblInd w:w="2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20" w:firstRow="1" w:lastRow="0" w:firstColumn="0" w:lastColumn="0" w:noHBand="0" w:noVBand="1"/>
      </w:tblPr>
      <w:tblGrid>
        <w:gridCol w:w="3035"/>
        <w:gridCol w:w="2835"/>
        <w:gridCol w:w="2126"/>
        <w:gridCol w:w="4363"/>
      </w:tblGrid>
      <w:tr w:rsidR="00EB400B" w:rsidRPr="00E75125" w:rsidTr="00744504">
        <w:trPr>
          <w:cantSplit/>
          <w:tblHeader/>
        </w:trPr>
        <w:tc>
          <w:tcPr>
            <w:tcW w:w="5870" w:type="dxa"/>
            <w:gridSpan w:val="2"/>
            <w:tcBorders>
              <w:top w:val="single" w:sz="2" w:space="0" w:color="auto"/>
              <w:left w:val="nil"/>
              <w:bottom w:val="single" w:sz="12" w:space="0" w:color="auto"/>
              <w:right w:val="nil"/>
            </w:tcBorders>
            <w:shd w:val="clear" w:color="auto" w:fill="auto"/>
            <w:tcMar>
              <w:left w:w="57" w:type="dxa"/>
              <w:right w:w="57" w:type="dxa"/>
            </w:tcMar>
            <w:vAlign w:val="bottom"/>
          </w:tcPr>
          <w:p w:rsidR="00EB400B" w:rsidRPr="00E75125" w:rsidRDefault="00EB400B" w:rsidP="00691F5B">
            <w:pPr>
              <w:suppressAutoHyphens w:val="0"/>
              <w:spacing w:before="80" w:after="80" w:line="200" w:lineRule="exact"/>
              <w:ind w:right="113"/>
              <w:rPr>
                <w:i/>
                <w:sz w:val="16"/>
                <w:highlight w:val="yellow"/>
              </w:rPr>
            </w:pPr>
            <w:r w:rsidRPr="004771AE">
              <w:rPr>
                <w:i/>
                <w:sz w:val="16"/>
              </w:rPr>
              <w:t>Agenda item</w:t>
            </w:r>
          </w:p>
        </w:tc>
        <w:tc>
          <w:tcPr>
            <w:tcW w:w="2126" w:type="dxa"/>
            <w:tcBorders>
              <w:top w:val="single" w:sz="2" w:space="0" w:color="auto"/>
              <w:left w:val="nil"/>
              <w:bottom w:val="single" w:sz="12" w:space="0" w:color="auto"/>
              <w:right w:val="nil"/>
            </w:tcBorders>
            <w:shd w:val="clear" w:color="auto" w:fill="auto"/>
            <w:tcMar>
              <w:left w:w="57" w:type="dxa"/>
              <w:right w:w="57" w:type="dxa"/>
            </w:tcMar>
            <w:vAlign w:val="bottom"/>
          </w:tcPr>
          <w:p w:rsidR="00EB400B" w:rsidRPr="004771AE" w:rsidRDefault="00EB400B" w:rsidP="00691F5B">
            <w:pPr>
              <w:suppressAutoHyphens w:val="0"/>
              <w:spacing w:before="80" w:after="80" w:line="200" w:lineRule="exact"/>
              <w:ind w:right="113"/>
              <w:rPr>
                <w:i/>
                <w:sz w:val="16"/>
              </w:rPr>
            </w:pPr>
            <w:r w:rsidRPr="004771AE">
              <w:rPr>
                <w:i/>
                <w:sz w:val="16"/>
              </w:rPr>
              <w:t>Meeting and date</w:t>
            </w:r>
          </w:p>
        </w:tc>
        <w:tc>
          <w:tcPr>
            <w:tcW w:w="4363" w:type="dxa"/>
            <w:tcBorders>
              <w:top w:val="single" w:sz="2" w:space="0" w:color="auto"/>
              <w:left w:val="nil"/>
              <w:bottom w:val="single" w:sz="12" w:space="0" w:color="auto"/>
              <w:right w:val="nil"/>
            </w:tcBorders>
            <w:shd w:val="clear" w:color="auto" w:fill="auto"/>
            <w:tcMar>
              <w:left w:w="57" w:type="dxa"/>
              <w:right w:w="57" w:type="dxa"/>
            </w:tcMar>
            <w:vAlign w:val="bottom"/>
          </w:tcPr>
          <w:p w:rsidR="00EB400B" w:rsidRPr="004771AE" w:rsidRDefault="00EB400B" w:rsidP="00691F5B">
            <w:pPr>
              <w:suppressAutoHyphens w:val="0"/>
              <w:spacing w:before="80" w:after="80" w:line="200" w:lineRule="exact"/>
              <w:ind w:right="113"/>
              <w:rPr>
                <w:i/>
                <w:sz w:val="16"/>
              </w:rPr>
            </w:pPr>
            <w:r w:rsidRPr="004771AE">
              <w:rPr>
                <w:i/>
                <w:sz w:val="16"/>
              </w:rPr>
              <w:t>Speakers</w:t>
            </w:r>
          </w:p>
        </w:tc>
      </w:tr>
      <w:tr w:rsidR="00EB400B" w:rsidRPr="00E75125" w:rsidTr="00744504">
        <w:trPr>
          <w:cantSplit/>
        </w:trPr>
        <w:tc>
          <w:tcPr>
            <w:tcW w:w="3035" w:type="dxa"/>
            <w:tcBorders>
              <w:left w:val="nil"/>
              <w:bottom w:val="nil"/>
              <w:right w:val="nil"/>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r w:rsidRPr="004771AE">
              <w:t>3.</w:t>
            </w:r>
            <w:r w:rsidRPr="004771AE">
              <w:tab/>
              <w:t xml:space="preserve">Requests </w:t>
            </w:r>
            <w:r w:rsidR="0075284F" w:rsidRPr="004771AE">
              <w:t xml:space="preserve">addressed </w:t>
            </w:r>
            <w:r w:rsidRPr="004771AE">
              <w:t>to the Advisory Committee stemming from Human Rights Council resolutions</w:t>
            </w:r>
          </w:p>
        </w:tc>
        <w:tc>
          <w:tcPr>
            <w:tcW w:w="2835" w:type="dxa"/>
            <w:tcBorders>
              <w:left w:val="nil"/>
              <w:bottom w:val="nil"/>
              <w:right w:val="nil"/>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c>
          <w:tcPr>
            <w:tcW w:w="2126" w:type="dxa"/>
            <w:tcBorders>
              <w:left w:val="nil"/>
              <w:bottom w:val="nil"/>
              <w:right w:val="nil"/>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c>
          <w:tcPr>
            <w:tcW w:w="4363" w:type="dxa"/>
            <w:tcBorders>
              <w:left w:val="nil"/>
              <w:bottom w:val="nil"/>
              <w:right w:val="nil"/>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r>
      <w:tr w:rsidR="00EB400B" w:rsidRPr="00E75125" w:rsidTr="00744504">
        <w:trPr>
          <w:cantSplit/>
        </w:trPr>
        <w:tc>
          <w:tcPr>
            <w:tcW w:w="3035" w:type="dxa"/>
            <w:tcBorders>
              <w:top w:val="nil"/>
              <w:left w:val="nil"/>
              <w:bottom w:val="nil"/>
              <w:right w:val="nil"/>
            </w:tcBorders>
            <w:shd w:val="clear" w:color="auto" w:fill="auto"/>
            <w:tcMar>
              <w:left w:w="57" w:type="dxa"/>
              <w:right w:w="57" w:type="dxa"/>
            </w:tcMar>
          </w:tcPr>
          <w:p w:rsidR="00EB400B" w:rsidRPr="004771AE" w:rsidRDefault="00EB400B" w:rsidP="00691F5B">
            <w:pPr>
              <w:suppressAutoHyphens w:val="0"/>
              <w:spacing w:before="40" w:after="120"/>
              <w:ind w:right="113"/>
              <w:rPr>
                <w:rFonts w:eastAsia="MS Mincho"/>
              </w:rPr>
            </w:pPr>
            <w:r w:rsidRPr="004771AE">
              <w:t>(a)</w:t>
            </w:r>
            <w:r w:rsidRPr="004771AE">
              <w:tab/>
              <w:t>Requests currently under consideration by the Committee</w:t>
            </w:r>
          </w:p>
        </w:tc>
        <w:tc>
          <w:tcPr>
            <w:tcW w:w="2835" w:type="dxa"/>
            <w:tcBorders>
              <w:top w:val="nil"/>
              <w:left w:val="nil"/>
              <w:bottom w:val="nil"/>
              <w:right w:val="nil"/>
            </w:tcBorders>
            <w:shd w:val="clear" w:color="auto" w:fill="auto"/>
            <w:tcMar>
              <w:left w:w="57" w:type="dxa"/>
              <w:right w:w="57" w:type="dxa"/>
            </w:tcMar>
          </w:tcPr>
          <w:p w:rsidR="00EB400B" w:rsidRPr="004771AE" w:rsidRDefault="00EB400B" w:rsidP="000D4572">
            <w:pPr>
              <w:suppressAutoHyphens w:val="0"/>
              <w:spacing w:before="40" w:after="120"/>
              <w:ind w:right="113"/>
            </w:pPr>
            <w:r w:rsidRPr="004771AE">
              <w:t>(i)</w:t>
            </w:r>
            <w:r w:rsidRPr="004771AE">
              <w:tab/>
            </w:r>
            <w:r w:rsidR="000D4572">
              <w:rPr>
                <w:lang w:val="x-none"/>
              </w:rPr>
              <w:t>Integration of a gender perspective</w:t>
            </w:r>
            <w:r w:rsidR="000D4572" w:rsidRPr="004A50EA" w:rsidDel="000D4572">
              <w:t xml:space="preserve"> </w:t>
            </w:r>
          </w:p>
        </w:tc>
        <w:tc>
          <w:tcPr>
            <w:tcW w:w="2126" w:type="dxa"/>
            <w:tcBorders>
              <w:top w:val="nil"/>
              <w:left w:val="nil"/>
              <w:bottom w:val="nil"/>
              <w:right w:val="nil"/>
            </w:tcBorders>
            <w:shd w:val="clear" w:color="auto" w:fill="auto"/>
            <w:tcMar>
              <w:left w:w="57" w:type="dxa"/>
              <w:right w:w="57" w:type="dxa"/>
            </w:tcMar>
          </w:tcPr>
          <w:p w:rsidR="00EB400B" w:rsidRPr="004771AE" w:rsidRDefault="004771AE" w:rsidP="00502A26">
            <w:pPr>
              <w:suppressAutoHyphens w:val="0"/>
              <w:spacing w:before="40" w:after="120"/>
              <w:ind w:right="113"/>
            </w:pPr>
            <w:r w:rsidRPr="004771AE">
              <w:t>1st</w:t>
            </w:r>
            <w:r w:rsidR="00461EBD" w:rsidRPr="004771AE">
              <w:t xml:space="preserve"> meeting</w:t>
            </w:r>
            <w:r w:rsidR="00461EBD" w:rsidRPr="004771AE">
              <w:br/>
              <w:t>2</w:t>
            </w:r>
            <w:r w:rsidR="00502A26">
              <w:t>0</w:t>
            </w:r>
            <w:r w:rsidR="00461EBD" w:rsidRPr="004771AE">
              <w:t xml:space="preserve"> February 201</w:t>
            </w:r>
            <w:r w:rsidR="00502A26">
              <w:t>7</w:t>
            </w:r>
          </w:p>
        </w:tc>
        <w:tc>
          <w:tcPr>
            <w:tcW w:w="4363" w:type="dxa"/>
            <w:tcBorders>
              <w:top w:val="nil"/>
              <w:left w:val="nil"/>
              <w:bottom w:val="nil"/>
              <w:right w:val="nil"/>
            </w:tcBorders>
            <w:shd w:val="clear" w:color="auto" w:fill="auto"/>
            <w:tcMar>
              <w:left w:w="57" w:type="dxa"/>
              <w:right w:w="57" w:type="dxa"/>
            </w:tcMar>
          </w:tcPr>
          <w:p w:rsidR="00DB4855" w:rsidRDefault="00EB400B" w:rsidP="000D4572">
            <w:pPr>
              <w:suppressAutoHyphens w:val="0"/>
              <w:spacing w:before="40" w:after="120"/>
              <w:ind w:right="113"/>
            </w:pPr>
            <w:r w:rsidRPr="004771AE">
              <w:t xml:space="preserve">Members: </w:t>
            </w:r>
            <w:proofErr w:type="spellStart"/>
            <w:r w:rsidR="00DB4855" w:rsidRPr="00DB4855">
              <w:t>Lazhari</w:t>
            </w:r>
            <w:proofErr w:type="spellEnd"/>
            <w:r w:rsidR="00DB4855" w:rsidRPr="00DB4855">
              <w:t xml:space="preserve"> </w:t>
            </w:r>
            <w:proofErr w:type="spellStart"/>
            <w:r w:rsidR="00DB4855" w:rsidRPr="00DB4855">
              <w:t>Bouzid</w:t>
            </w:r>
            <w:proofErr w:type="spellEnd"/>
            <w:r w:rsidR="00DB4855">
              <w:t xml:space="preserve">, </w:t>
            </w:r>
            <w:r w:rsidR="00DB4855" w:rsidRPr="00773701">
              <w:t xml:space="preserve">Mikhail </w:t>
            </w:r>
            <w:proofErr w:type="spellStart"/>
            <w:r w:rsidR="00DB4855" w:rsidRPr="00773701">
              <w:t>Lebedev</w:t>
            </w:r>
            <w:proofErr w:type="spellEnd"/>
            <w:r w:rsidR="00F1271D">
              <w:t>,</w:t>
            </w:r>
            <w:r w:rsidR="006B45CD">
              <w:t xml:space="preserve"> </w:t>
            </w:r>
            <w:r w:rsidR="00DB4855" w:rsidRPr="00DB4855">
              <w:t>Mona Omar</w:t>
            </w:r>
            <w:r w:rsidR="00DB4855">
              <w:t xml:space="preserve">, </w:t>
            </w:r>
            <w:r w:rsidR="00DB4855" w:rsidRPr="00DB4855">
              <w:t>Katharina Pabel</w:t>
            </w:r>
            <w:r w:rsidR="00DB4855">
              <w:t>,</w:t>
            </w:r>
            <w:r w:rsidR="00DB4855" w:rsidRPr="00DB4855">
              <w:t xml:space="preserve"> Anantonia Reyes Prado</w:t>
            </w:r>
            <w:r w:rsidR="00DB4855">
              <w:t xml:space="preserve">, </w:t>
            </w:r>
            <w:r w:rsidR="00DB4855" w:rsidRPr="00DB4855">
              <w:t>Imeru Tamrat Yigezu</w:t>
            </w:r>
          </w:p>
          <w:p w:rsidR="00EB400B" w:rsidRPr="004771AE" w:rsidRDefault="001F5B0B" w:rsidP="0083262A">
            <w:pPr>
              <w:suppressAutoHyphens w:val="0"/>
              <w:spacing w:before="40" w:after="120"/>
              <w:ind w:right="113"/>
            </w:pPr>
            <w:r w:rsidRPr="004771AE">
              <w:t xml:space="preserve">State </w:t>
            </w:r>
            <w:r w:rsidR="00EB400B" w:rsidRPr="004771AE">
              <w:t>ob</w:t>
            </w:r>
            <w:r w:rsidR="00461EBD" w:rsidRPr="004771AE">
              <w:t>server</w:t>
            </w:r>
            <w:r w:rsidR="00EB400B" w:rsidRPr="004771AE">
              <w:t>:</w:t>
            </w:r>
            <w:r w:rsidR="00D42EF5">
              <w:t xml:space="preserve"> </w:t>
            </w:r>
            <w:r w:rsidR="00FD1DB7">
              <w:t>Egypt</w:t>
            </w:r>
          </w:p>
        </w:tc>
      </w:tr>
      <w:tr w:rsidR="009F6B32" w:rsidRPr="00A20C56" w:rsidTr="00744504">
        <w:trPr>
          <w:cantSplit/>
        </w:trPr>
        <w:tc>
          <w:tcPr>
            <w:tcW w:w="3035" w:type="dxa"/>
            <w:tcBorders>
              <w:top w:val="nil"/>
              <w:left w:val="nil"/>
              <w:bottom w:val="nil"/>
              <w:right w:val="nil"/>
            </w:tcBorders>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p>
        </w:tc>
        <w:tc>
          <w:tcPr>
            <w:tcW w:w="2835" w:type="dxa"/>
            <w:tcBorders>
              <w:top w:val="nil"/>
              <w:left w:val="nil"/>
              <w:bottom w:val="nil"/>
              <w:right w:val="nil"/>
            </w:tcBorders>
            <w:shd w:val="clear" w:color="auto" w:fill="auto"/>
            <w:tcMar>
              <w:left w:w="57" w:type="dxa"/>
              <w:right w:w="57" w:type="dxa"/>
            </w:tcMar>
          </w:tcPr>
          <w:p w:rsidR="009F6B32" w:rsidRPr="00E75125" w:rsidRDefault="009F6B32" w:rsidP="007C5719">
            <w:pPr>
              <w:suppressAutoHyphens w:val="0"/>
              <w:spacing w:before="40" w:after="120"/>
              <w:ind w:right="113"/>
              <w:rPr>
                <w:b/>
                <w:sz w:val="28"/>
                <w:highlight w:val="yellow"/>
              </w:rPr>
            </w:pPr>
            <w:r w:rsidRPr="00BD0215">
              <w:t>(</w:t>
            </w:r>
            <w:r w:rsidR="000D4572">
              <w:t>i</w:t>
            </w:r>
            <w:r w:rsidRPr="00BD0215">
              <w:t>v)</w:t>
            </w:r>
            <w:r w:rsidRPr="00BD0215">
              <w:tab/>
            </w:r>
            <w:r w:rsidR="000D4572" w:rsidRPr="004A50EA">
              <w:t>Elimination of discrimination against persons affected by leprosy and their family members</w:t>
            </w:r>
          </w:p>
        </w:tc>
        <w:tc>
          <w:tcPr>
            <w:tcW w:w="2126" w:type="dxa"/>
            <w:tcBorders>
              <w:top w:val="nil"/>
              <w:left w:val="nil"/>
              <w:bottom w:val="nil"/>
              <w:right w:val="nil"/>
            </w:tcBorders>
            <w:shd w:val="clear" w:color="auto" w:fill="auto"/>
            <w:tcMar>
              <w:left w:w="57" w:type="dxa"/>
              <w:right w:w="57" w:type="dxa"/>
            </w:tcMar>
          </w:tcPr>
          <w:p w:rsidR="009F6B32" w:rsidRPr="00502A26" w:rsidRDefault="000021F5" w:rsidP="00502A26">
            <w:pPr>
              <w:suppressAutoHyphens w:val="0"/>
              <w:spacing w:before="40" w:after="120"/>
              <w:ind w:right="113"/>
            </w:pPr>
            <w:r w:rsidRPr="000021F5">
              <w:t>2nd meeting</w:t>
            </w:r>
            <w:r w:rsidRPr="000021F5">
              <w:br/>
              <w:t>2</w:t>
            </w:r>
            <w:r w:rsidR="00502A26">
              <w:t>0</w:t>
            </w:r>
            <w:r w:rsidR="009F6B32" w:rsidRPr="000021F5">
              <w:t xml:space="preserve"> </w:t>
            </w:r>
            <w:r w:rsidRPr="000021F5">
              <w:t>February 201</w:t>
            </w:r>
            <w:r w:rsidR="00502A26">
              <w:t>7</w:t>
            </w:r>
          </w:p>
        </w:tc>
        <w:tc>
          <w:tcPr>
            <w:tcW w:w="4363" w:type="dxa"/>
            <w:tcBorders>
              <w:top w:val="nil"/>
              <w:left w:val="nil"/>
              <w:bottom w:val="nil"/>
              <w:right w:val="nil"/>
            </w:tcBorders>
            <w:shd w:val="clear" w:color="auto" w:fill="auto"/>
            <w:tcMar>
              <w:left w:w="57" w:type="dxa"/>
              <w:right w:w="57" w:type="dxa"/>
            </w:tcMar>
          </w:tcPr>
          <w:p w:rsidR="009F6B32" w:rsidRPr="006B45CD" w:rsidRDefault="009F6B32" w:rsidP="00A20C56">
            <w:pPr>
              <w:suppressAutoHyphens w:val="0"/>
              <w:spacing w:before="40" w:after="120"/>
              <w:ind w:right="113"/>
            </w:pPr>
            <w:r w:rsidRPr="006B45CD">
              <w:t>Members:</w:t>
            </w:r>
            <w:r w:rsidR="000021F5" w:rsidRPr="006B45CD">
              <w:t xml:space="preserve"> </w:t>
            </w:r>
            <w:r w:rsidR="00A67177" w:rsidRPr="006B45CD">
              <w:t xml:space="preserve">Lazhari Bouzid, </w:t>
            </w:r>
            <w:r w:rsidR="00911A7F" w:rsidRPr="006B45CD">
              <w:t xml:space="preserve">Mario Luis Coriolano, </w:t>
            </w:r>
            <w:r w:rsidR="006B45CD" w:rsidRPr="006B45CD">
              <w:t xml:space="preserve">Xinsheng Liu, </w:t>
            </w:r>
            <w:r w:rsidR="009D22F7" w:rsidRPr="006B45CD">
              <w:t xml:space="preserve">Kaoru Obata, </w:t>
            </w:r>
            <w:r w:rsidR="00911A7F" w:rsidRPr="006B45CD">
              <w:t xml:space="preserve"> Obiora Chinedu </w:t>
            </w:r>
            <w:proofErr w:type="spellStart"/>
            <w:r w:rsidR="00911A7F" w:rsidRPr="006B45CD">
              <w:t>Okafor</w:t>
            </w:r>
            <w:proofErr w:type="spellEnd"/>
            <w:r w:rsidR="00911A7F" w:rsidRPr="006B45CD">
              <w:t xml:space="preserve">, </w:t>
            </w:r>
            <w:r w:rsidR="009D22F7" w:rsidRPr="006B45CD">
              <w:t xml:space="preserve">Mona Omar, </w:t>
            </w:r>
            <w:proofErr w:type="spellStart"/>
            <w:r w:rsidR="00F1271D">
              <w:t>Anantonia</w:t>
            </w:r>
            <w:proofErr w:type="spellEnd"/>
            <w:r w:rsidR="00F1271D">
              <w:t xml:space="preserve"> Reyes Prado</w:t>
            </w:r>
            <w:r w:rsidR="009970CC" w:rsidRPr="006B45CD">
              <w:t xml:space="preserve">, </w:t>
            </w:r>
            <w:proofErr w:type="spellStart"/>
            <w:r w:rsidR="009D22F7" w:rsidRPr="006B45CD">
              <w:t>Ahmer</w:t>
            </w:r>
            <w:proofErr w:type="spellEnd"/>
            <w:r w:rsidR="009D22F7" w:rsidRPr="006B45CD">
              <w:t xml:space="preserve"> Bilal </w:t>
            </w:r>
            <w:proofErr w:type="spellStart"/>
            <w:r w:rsidR="009D22F7" w:rsidRPr="006B45CD">
              <w:t>Soofi</w:t>
            </w:r>
            <w:proofErr w:type="spellEnd"/>
          </w:p>
          <w:p w:rsidR="00BD0215" w:rsidRDefault="00BD0215" w:rsidP="000D4572">
            <w:pPr>
              <w:suppressAutoHyphens w:val="0"/>
              <w:spacing w:before="40" w:after="120"/>
              <w:ind w:right="113"/>
            </w:pPr>
            <w:r>
              <w:t xml:space="preserve">State observers: </w:t>
            </w:r>
            <w:r w:rsidR="009970CC">
              <w:t xml:space="preserve">Brazil, </w:t>
            </w:r>
            <w:r w:rsidR="009D22F7">
              <w:t>Ethiopia</w:t>
            </w:r>
          </w:p>
          <w:p w:rsidR="00911A7F" w:rsidRPr="00A20C56" w:rsidRDefault="00911A7F" w:rsidP="000D4572">
            <w:pPr>
              <w:suppressAutoHyphens w:val="0"/>
              <w:spacing w:before="40" w:after="120"/>
              <w:ind w:right="113"/>
              <w:rPr>
                <w:highlight w:val="yellow"/>
              </w:rPr>
            </w:pPr>
            <w:r>
              <w:t>N</w:t>
            </w:r>
            <w:r w:rsidRPr="00A15D19">
              <w:t>on-governmental organization</w:t>
            </w:r>
            <w:r w:rsidR="00DD44B9">
              <w:t>s</w:t>
            </w:r>
            <w:r w:rsidRPr="00A15D19">
              <w:t>:</w:t>
            </w:r>
            <w:r>
              <w:t xml:space="preserve"> </w:t>
            </w:r>
            <w:r w:rsidR="001E2167">
              <w:t>The Nippon Foundation</w:t>
            </w:r>
            <w:r w:rsidR="00AC52F3">
              <w:t xml:space="preserve">, </w:t>
            </w:r>
            <w:r w:rsidR="00AC52F3" w:rsidRPr="00AC52F3">
              <w:t>International Federation of Anti-Leprosy Associations</w:t>
            </w:r>
            <w:r w:rsidR="00AC52F3">
              <w:t xml:space="preserve"> (ILEP)</w:t>
            </w:r>
          </w:p>
        </w:tc>
      </w:tr>
      <w:tr w:rsidR="009F6B32" w:rsidRPr="00E75125" w:rsidTr="00744504">
        <w:trPr>
          <w:cantSplit/>
        </w:trPr>
        <w:tc>
          <w:tcPr>
            <w:tcW w:w="3035" w:type="dxa"/>
            <w:tcBorders>
              <w:top w:val="nil"/>
              <w:left w:val="nil"/>
              <w:bottom w:val="nil"/>
              <w:right w:val="nil"/>
            </w:tcBorders>
            <w:shd w:val="clear" w:color="auto" w:fill="auto"/>
            <w:tcMar>
              <w:left w:w="57" w:type="dxa"/>
              <w:right w:w="57" w:type="dxa"/>
            </w:tcMar>
          </w:tcPr>
          <w:p w:rsidR="009F6B32" w:rsidRPr="00A20C56" w:rsidRDefault="009F6B32" w:rsidP="00691F5B">
            <w:pPr>
              <w:suppressAutoHyphens w:val="0"/>
              <w:spacing w:before="40" w:after="120"/>
              <w:ind w:right="113"/>
              <w:rPr>
                <w:rFonts w:eastAsia="MS Mincho"/>
                <w:highlight w:val="yellow"/>
              </w:rPr>
            </w:pPr>
          </w:p>
        </w:tc>
        <w:tc>
          <w:tcPr>
            <w:tcW w:w="2835" w:type="dxa"/>
            <w:tcBorders>
              <w:top w:val="nil"/>
              <w:left w:val="nil"/>
              <w:bottom w:val="nil"/>
              <w:right w:val="nil"/>
            </w:tcBorders>
            <w:shd w:val="clear" w:color="auto" w:fill="auto"/>
            <w:tcMar>
              <w:left w:w="57" w:type="dxa"/>
              <w:right w:w="57" w:type="dxa"/>
            </w:tcMar>
          </w:tcPr>
          <w:p w:rsidR="009F6B32" w:rsidRPr="00E75125" w:rsidRDefault="0082212C" w:rsidP="000D4572">
            <w:pPr>
              <w:suppressAutoHyphens w:val="0"/>
              <w:spacing w:before="40" w:after="120"/>
              <w:ind w:right="113"/>
              <w:rPr>
                <w:highlight w:val="yellow"/>
              </w:rPr>
            </w:pPr>
            <w:r w:rsidRPr="0082212C">
              <w:t>(v</w:t>
            </w:r>
            <w:r w:rsidR="000D4572">
              <w:t>i</w:t>
            </w:r>
            <w:r w:rsidR="001A023D">
              <w:t>i</w:t>
            </w:r>
            <w:r w:rsidR="009F6B32" w:rsidRPr="0082212C">
              <w:t>)</w:t>
            </w:r>
            <w:r w:rsidR="009F6B32" w:rsidRPr="0082212C">
              <w:tab/>
            </w:r>
            <w:r w:rsidR="000D4572">
              <w:t xml:space="preserve">Regional arrangements </w:t>
            </w:r>
            <w:r w:rsidR="000D4572" w:rsidRPr="004312FF">
              <w:t>for the promotion</w:t>
            </w:r>
            <w:r w:rsidR="000D4572">
              <w:t xml:space="preserve"> and protection of human rights</w:t>
            </w:r>
          </w:p>
        </w:tc>
        <w:tc>
          <w:tcPr>
            <w:tcW w:w="2126" w:type="dxa"/>
            <w:tcBorders>
              <w:top w:val="nil"/>
              <w:left w:val="nil"/>
              <w:bottom w:val="nil"/>
              <w:right w:val="nil"/>
            </w:tcBorders>
            <w:shd w:val="clear" w:color="auto" w:fill="auto"/>
            <w:tcMar>
              <w:left w:w="57" w:type="dxa"/>
              <w:right w:w="57" w:type="dxa"/>
            </w:tcMar>
          </w:tcPr>
          <w:p w:rsidR="009F6B32" w:rsidRPr="00502A26" w:rsidRDefault="00502A26" w:rsidP="00502A26">
            <w:pPr>
              <w:suppressAutoHyphens w:val="0"/>
              <w:spacing w:before="40" w:after="120"/>
              <w:ind w:right="113"/>
            </w:pPr>
            <w:r>
              <w:t>3rd</w:t>
            </w:r>
            <w:r w:rsidR="009F6B32" w:rsidRPr="004A50EA">
              <w:t xml:space="preserve"> meeting</w:t>
            </w:r>
            <w:r w:rsidR="009F6B32" w:rsidRPr="004A50EA">
              <w:br/>
              <w:t>2</w:t>
            </w:r>
            <w:r>
              <w:t>1</w:t>
            </w:r>
            <w:r w:rsidR="009F6B32" w:rsidRPr="004A50EA">
              <w:t xml:space="preserve"> February 201</w:t>
            </w:r>
            <w:r>
              <w:t>7</w:t>
            </w:r>
          </w:p>
        </w:tc>
        <w:tc>
          <w:tcPr>
            <w:tcW w:w="4363" w:type="dxa"/>
            <w:tcBorders>
              <w:top w:val="nil"/>
              <w:left w:val="nil"/>
              <w:bottom w:val="nil"/>
              <w:right w:val="nil"/>
            </w:tcBorders>
            <w:shd w:val="clear" w:color="auto" w:fill="auto"/>
            <w:tcMar>
              <w:left w:w="57" w:type="dxa"/>
              <w:right w:w="57" w:type="dxa"/>
            </w:tcMar>
          </w:tcPr>
          <w:p w:rsidR="009F6B32" w:rsidRPr="00236735" w:rsidRDefault="009F6B32" w:rsidP="0070262B">
            <w:pPr>
              <w:suppressAutoHyphens w:val="0"/>
              <w:spacing w:before="40" w:after="120"/>
              <w:ind w:right="113"/>
              <w:rPr>
                <w:highlight w:val="yellow"/>
              </w:rPr>
            </w:pPr>
            <w:r w:rsidRPr="00236735">
              <w:t xml:space="preserve">Members: </w:t>
            </w:r>
            <w:r w:rsidR="009F26CE">
              <w:t xml:space="preserve">Mohamed </w:t>
            </w:r>
            <w:r w:rsidR="009F26CE">
              <w:rPr>
                <w:szCs w:val="22"/>
              </w:rPr>
              <w:t>Bennani</w:t>
            </w:r>
            <w:r w:rsidR="009F26CE">
              <w:t xml:space="preserve">, </w:t>
            </w:r>
            <w:r w:rsidR="0036034A" w:rsidRPr="006B45CD">
              <w:t xml:space="preserve">Lazhari Bouzid, Mario Luis Coriolano, </w:t>
            </w:r>
            <w:r w:rsidR="008372C9" w:rsidRPr="00773701">
              <w:t>Mikhail Lebedev</w:t>
            </w:r>
            <w:r w:rsidR="008372C9">
              <w:t xml:space="preserve">, </w:t>
            </w:r>
            <w:r w:rsidR="0036034A" w:rsidRPr="006B45CD">
              <w:t xml:space="preserve">Xinsheng Liu, Kaoru Obata,  Obiora Chinedu Okafor, Mona Omar, </w:t>
            </w:r>
            <w:r w:rsidR="0036034A" w:rsidRPr="00DB4855">
              <w:t xml:space="preserve">Katharina </w:t>
            </w:r>
            <w:proofErr w:type="spellStart"/>
            <w:r w:rsidR="0036034A" w:rsidRPr="00DB4855">
              <w:t>Pabel</w:t>
            </w:r>
            <w:proofErr w:type="spellEnd"/>
            <w:r w:rsidR="0036034A">
              <w:t xml:space="preserve">, </w:t>
            </w:r>
            <w:proofErr w:type="spellStart"/>
            <w:r w:rsidR="00F1271D">
              <w:t>Anantonia</w:t>
            </w:r>
            <w:proofErr w:type="spellEnd"/>
            <w:r w:rsidR="00F1271D">
              <w:t xml:space="preserve"> Reyes Prado</w:t>
            </w:r>
            <w:r w:rsidR="0036034A" w:rsidRPr="006B45CD">
              <w:t xml:space="preserve">, </w:t>
            </w:r>
            <w:proofErr w:type="spellStart"/>
            <w:r w:rsidR="0036034A" w:rsidRPr="006B45CD">
              <w:t>Ahmer</w:t>
            </w:r>
            <w:proofErr w:type="spellEnd"/>
            <w:r w:rsidR="0036034A" w:rsidRPr="006B45CD">
              <w:t xml:space="preserve"> Bilal </w:t>
            </w:r>
            <w:proofErr w:type="spellStart"/>
            <w:r w:rsidR="0036034A" w:rsidRPr="006B45CD">
              <w:t>Soofi</w:t>
            </w:r>
            <w:proofErr w:type="spellEnd"/>
            <w:r w:rsidR="0036034A">
              <w:t xml:space="preserve">, </w:t>
            </w:r>
            <w:proofErr w:type="spellStart"/>
            <w:r w:rsidR="0036034A" w:rsidRPr="00DB4855">
              <w:t>Imeru</w:t>
            </w:r>
            <w:proofErr w:type="spellEnd"/>
            <w:r w:rsidR="0036034A" w:rsidRPr="00DB4855">
              <w:t xml:space="preserve"> Tamrat Yigezu</w:t>
            </w:r>
          </w:p>
          <w:p w:rsidR="00226FBB" w:rsidRPr="00E75125" w:rsidRDefault="00226FBB" w:rsidP="000D4572">
            <w:pPr>
              <w:suppressAutoHyphens w:val="0"/>
              <w:spacing w:before="40" w:after="120"/>
              <w:ind w:right="113"/>
              <w:rPr>
                <w:highlight w:val="yellow"/>
              </w:rPr>
            </w:pPr>
          </w:p>
        </w:tc>
      </w:tr>
      <w:tr w:rsidR="00226FBB" w:rsidRPr="00C67622" w:rsidTr="00744504">
        <w:trPr>
          <w:cantSplit/>
        </w:trPr>
        <w:tc>
          <w:tcPr>
            <w:tcW w:w="3035" w:type="dxa"/>
            <w:tcBorders>
              <w:top w:val="nil"/>
              <w:left w:val="nil"/>
              <w:bottom w:val="nil"/>
              <w:right w:val="nil"/>
            </w:tcBorders>
            <w:shd w:val="clear" w:color="auto" w:fill="auto"/>
            <w:tcMar>
              <w:left w:w="57" w:type="dxa"/>
              <w:right w:w="57" w:type="dxa"/>
            </w:tcMar>
          </w:tcPr>
          <w:p w:rsidR="00226FBB" w:rsidRPr="00A20C56" w:rsidRDefault="00226FBB" w:rsidP="00691F5B">
            <w:pPr>
              <w:suppressAutoHyphens w:val="0"/>
              <w:spacing w:before="40" w:after="120"/>
              <w:ind w:right="113"/>
              <w:rPr>
                <w:rFonts w:eastAsia="MS Mincho"/>
                <w:highlight w:val="yellow"/>
              </w:rPr>
            </w:pPr>
          </w:p>
        </w:tc>
        <w:tc>
          <w:tcPr>
            <w:tcW w:w="2835" w:type="dxa"/>
            <w:tcBorders>
              <w:top w:val="nil"/>
              <w:left w:val="nil"/>
              <w:bottom w:val="nil"/>
              <w:right w:val="nil"/>
            </w:tcBorders>
            <w:shd w:val="clear" w:color="auto" w:fill="auto"/>
            <w:tcMar>
              <w:left w:w="57" w:type="dxa"/>
              <w:right w:w="57" w:type="dxa"/>
            </w:tcMar>
          </w:tcPr>
          <w:p w:rsidR="00226FBB" w:rsidRPr="0082212C" w:rsidRDefault="000D4572" w:rsidP="004A50EA">
            <w:pPr>
              <w:suppressAutoHyphens w:val="0"/>
              <w:spacing w:before="40" w:after="120"/>
              <w:ind w:right="113"/>
            </w:pPr>
            <w:r w:rsidRPr="0082212C">
              <w:t>(v)</w:t>
            </w:r>
            <w:r w:rsidR="00402F0E">
              <w:tab/>
            </w:r>
            <w:r>
              <w:t>U</w:t>
            </w:r>
            <w:r w:rsidRPr="000021F5">
              <w:t>naccompanied migrant children and adolescents and human rights</w:t>
            </w:r>
          </w:p>
        </w:tc>
        <w:tc>
          <w:tcPr>
            <w:tcW w:w="2126" w:type="dxa"/>
            <w:tcBorders>
              <w:top w:val="nil"/>
              <w:left w:val="nil"/>
              <w:bottom w:val="nil"/>
              <w:right w:val="nil"/>
            </w:tcBorders>
            <w:shd w:val="clear" w:color="auto" w:fill="auto"/>
            <w:tcMar>
              <w:left w:w="57" w:type="dxa"/>
              <w:right w:w="57" w:type="dxa"/>
            </w:tcMar>
          </w:tcPr>
          <w:p w:rsidR="00502A26" w:rsidRPr="004A50EA" w:rsidRDefault="00744504" w:rsidP="00744504">
            <w:pPr>
              <w:suppressAutoHyphens w:val="0"/>
              <w:spacing w:before="40" w:after="120"/>
              <w:ind w:right="113"/>
            </w:pPr>
            <w:r>
              <w:t>4th</w:t>
            </w:r>
            <w:r w:rsidRPr="004A50EA">
              <w:t xml:space="preserve"> meeting</w:t>
            </w:r>
            <w:r w:rsidRPr="004A50EA">
              <w:br/>
              <w:t>2</w:t>
            </w:r>
            <w:r>
              <w:t>1</w:t>
            </w:r>
            <w:r w:rsidRPr="004A50EA">
              <w:t xml:space="preserve"> February 201</w:t>
            </w:r>
            <w:r>
              <w:t>7</w:t>
            </w:r>
          </w:p>
        </w:tc>
        <w:tc>
          <w:tcPr>
            <w:tcW w:w="4363" w:type="dxa"/>
            <w:tcBorders>
              <w:top w:val="nil"/>
              <w:left w:val="nil"/>
              <w:bottom w:val="nil"/>
              <w:right w:val="nil"/>
            </w:tcBorders>
            <w:shd w:val="clear" w:color="auto" w:fill="auto"/>
            <w:tcMar>
              <w:left w:w="57" w:type="dxa"/>
              <w:right w:w="57" w:type="dxa"/>
            </w:tcMar>
          </w:tcPr>
          <w:p w:rsidR="000D4572" w:rsidRPr="004B3136" w:rsidRDefault="000D4572" w:rsidP="000D4572">
            <w:pPr>
              <w:suppressAutoHyphens w:val="0"/>
              <w:spacing w:before="40" w:after="120"/>
              <w:ind w:right="113"/>
              <w:rPr>
                <w:highlight w:val="yellow"/>
                <w:lang w:val="es-ES"/>
              </w:rPr>
            </w:pPr>
            <w:proofErr w:type="spellStart"/>
            <w:r w:rsidRPr="004B3136">
              <w:rPr>
                <w:lang w:val="es-ES"/>
              </w:rPr>
              <w:t>Members</w:t>
            </w:r>
            <w:proofErr w:type="spellEnd"/>
            <w:r w:rsidRPr="004B3136">
              <w:rPr>
                <w:lang w:val="es-ES"/>
              </w:rPr>
              <w:t xml:space="preserve">: </w:t>
            </w:r>
            <w:proofErr w:type="spellStart"/>
            <w:r w:rsidR="00F1271D">
              <w:rPr>
                <w:lang w:val="es-ES"/>
              </w:rPr>
              <w:t>Lazhari</w:t>
            </w:r>
            <w:proofErr w:type="spellEnd"/>
            <w:r w:rsidR="00F1271D">
              <w:rPr>
                <w:lang w:val="es-ES"/>
              </w:rPr>
              <w:t xml:space="preserve"> </w:t>
            </w:r>
            <w:proofErr w:type="spellStart"/>
            <w:r w:rsidR="00F1271D">
              <w:rPr>
                <w:lang w:val="es-ES"/>
              </w:rPr>
              <w:t>Bouzid</w:t>
            </w:r>
            <w:proofErr w:type="spellEnd"/>
            <w:r w:rsidR="00CC6441" w:rsidRPr="004B3136">
              <w:rPr>
                <w:lang w:val="es-ES"/>
              </w:rPr>
              <w:t xml:space="preserve">, </w:t>
            </w:r>
            <w:r w:rsidR="0090719F" w:rsidRPr="004B3136">
              <w:rPr>
                <w:lang w:val="es-ES"/>
              </w:rPr>
              <w:t xml:space="preserve">Mario Luis </w:t>
            </w:r>
            <w:proofErr w:type="spellStart"/>
            <w:r w:rsidR="0090719F" w:rsidRPr="004B3136">
              <w:rPr>
                <w:lang w:val="es-ES"/>
              </w:rPr>
              <w:t>Coriolano</w:t>
            </w:r>
            <w:proofErr w:type="spellEnd"/>
            <w:r w:rsidR="0090719F" w:rsidRPr="004B3136">
              <w:rPr>
                <w:lang w:val="es-ES"/>
              </w:rPr>
              <w:t xml:space="preserve">, </w:t>
            </w:r>
            <w:r w:rsidR="00646F38" w:rsidRPr="004B3136">
              <w:rPr>
                <w:lang w:val="es-ES"/>
              </w:rPr>
              <w:t>Mona Omar</w:t>
            </w:r>
          </w:p>
          <w:p w:rsidR="00226FBB" w:rsidRPr="00D86647" w:rsidRDefault="000D4572" w:rsidP="004563D8">
            <w:pPr>
              <w:suppressAutoHyphens w:val="0"/>
              <w:spacing w:before="40" w:after="120"/>
              <w:ind w:right="113"/>
              <w:rPr>
                <w:lang w:val="es-ES"/>
              </w:rPr>
            </w:pPr>
            <w:r w:rsidRPr="00402F0E">
              <w:t>State observer</w:t>
            </w:r>
            <w:r w:rsidR="0083262A">
              <w:t>s</w:t>
            </w:r>
            <w:r w:rsidRPr="00402F0E">
              <w:t>:</w:t>
            </w:r>
            <w:r w:rsidR="006A1ACA" w:rsidRPr="00402F0E">
              <w:t xml:space="preserve"> El Salvador, Greece, Hon</w:t>
            </w:r>
            <w:r w:rsidR="006A1ACA" w:rsidRPr="00D86647">
              <w:rPr>
                <w:lang w:val="es-ES"/>
              </w:rPr>
              <w:t>duras, Italy, Libya,</w:t>
            </w:r>
            <w:r w:rsidR="004563D8">
              <w:rPr>
                <w:lang w:val="es-ES"/>
              </w:rPr>
              <w:t xml:space="preserve"> </w:t>
            </w:r>
            <w:r w:rsidR="004563D8" w:rsidRPr="004563D8">
              <w:rPr>
                <w:lang w:val="es-ES"/>
              </w:rPr>
              <w:t>Bolivarian Republic of Venezuela</w:t>
            </w:r>
          </w:p>
        </w:tc>
      </w:tr>
      <w:tr w:rsidR="00226FBB" w:rsidRPr="00E75125" w:rsidTr="00744504">
        <w:trPr>
          <w:cantSplit/>
        </w:trPr>
        <w:tc>
          <w:tcPr>
            <w:tcW w:w="3035" w:type="dxa"/>
            <w:tcBorders>
              <w:top w:val="nil"/>
              <w:left w:val="nil"/>
              <w:bottom w:val="nil"/>
              <w:right w:val="nil"/>
            </w:tcBorders>
            <w:shd w:val="clear" w:color="auto" w:fill="auto"/>
            <w:tcMar>
              <w:left w:w="57" w:type="dxa"/>
              <w:right w:w="57" w:type="dxa"/>
            </w:tcMar>
          </w:tcPr>
          <w:p w:rsidR="00226FBB" w:rsidRPr="00D86647" w:rsidRDefault="00226FBB" w:rsidP="00691F5B">
            <w:pPr>
              <w:suppressAutoHyphens w:val="0"/>
              <w:spacing w:before="40" w:after="120"/>
              <w:ind w:right="113"/>
              <w:rPr>
                <w:rFonts w:eastAsia="MS Mincho"/>
                <w:highlight w:val="yellow"/>
                <w:lang w:val="es-ES"/>
              </w:rPr>
            </w:pPr>
          </w:p>
        </w:tc>
        <w:tc>
          <w:tcPr>
            <w:tcW w:w="2835" w:type="dxa"/>
            <w:tcBorders>
              <w:top w:val="nil"/>
              <w:left w:val="nil"/>
              <w:bottom w:val="nil"/>
              <w:right w:val="nil"/>
            </w:tcBorders>
            <w:shd w:val="clear" w:color="auto" w:fill="auto"/>
            <w:tcMar>
              <w:left w:w="57" w:type="dxa"/>
              <w:right w:w="57" w:type="dxa"/>
            </w:tcMar>
          </w:tcPr>
          <w:p w:rsidR="00226FBB" w:rsidRPr="0082212C" w:rsidRDefault="000D4572" w:rsidP="00402F0E">
            <w:pPr>
              <w:suppressAutoHyphens w:val="0"/>
              <w:spacing w:before="40" w:after="120"/>
              <w:ind w:right="113"/>
            </w:pPr>
            <w:r w:rsidRPr="0082212C">
              <w:t>(v</w:t>
            </w:r>
            <w:r>
              <w:t>i</w:t>
            </w:r>
            <w:r w:rsidRPr="0082212C">
              <w:t>)</w:t>
            </w:r>
            <w:r>
              <w:t xml:space="preserve"> </w:t>
            </w:r>
            <w:r w:rsidR="00402F0E">
              <w:tab/>
            </w:r>
            <w:r w:rsidRPr="000D4572">
              <w:t>Negative impact of the non-repatriation of funds of illicit origin on the enjoyment of human rights</w:t>
            </w:r>
          </w:p>
        </w:tc>
        <w:tc>
          <w:tcPr>
            <w:tcW w:w="2126" w:type="dxa"/>
            <w:tcBorders>
              <w:top w:val="nil"/>
              <w:left w:val="nil"/>
              <w:bottom w:val="nil"/>
              <w:right w:val="nil"/>
            </w:tcBorders>
            <w:shd w:val="clear" w:color="auto" w:fill="auto"/>
            <w:tcMar>
              <w:left w:w="57" w:type="dxa"/>
              <w:right w:w="57" w:type="dxa"/>
            </w:tcMar>
          </w:tcPr>
          <w:p w:rsidR="00502A26" w:rsidRPr="004A50EA" w:rsidRDefault="00744504" w:rsidP="004A50EA">
            <w:pPr>
              <w:suppressAutoHyphens w:val="0"/>
              <w:spacing w:before="40" w:after="120"/>
              <w:ind w:right="113"/>
            </w:pPr>
            <w:r>
              <w:t>5th</w:t>
            </w:r>
            <w:r w:rsidRPr="004A50EA">
              <w:t xml:space="preserve"> meeting</w:t>
            </w:r>
            <w:r w:rsidRPr="004A50EA">
              <w:br/>
              <w:t>2</w:t>
            </w:r>
            <w:r>
              <w:t>2</w:t>
            </w:r>
            <w:r w:rsidRPr="004A50EA">
              <w:t xml:space="preserve"> February 201</w:t>
            </w:r>
            <w:r>
              <w:t>7</w:t>
            </w:r>
          </w:p>
        </w:tc>
        <w:tc>
          <w:tcPr>
            <w:tcW w:w="4363" w:type="dxa"/>
            <w:tcBorders>
              <w:top w:val="nil"/>
              <w:left w:val="nil"/>
              <w:bottom w:val="nil"/>
              <w:right w:val="nil"/>
            </w:tcBorders>
            <w:shd w:val="clear" w:color="auto" w:fill="auto"/>
            <w:tcMar>
              <w:left w:w="57" w:type="dxa"/>
              <w:right w:w="57" w:type="dxa"/>
            </w:tcMar>
          </w:tcPr>
          <w:p w:rsidR="000D4572" w:rsidRPr="005219CC" w:rsidRDefault="000D4572" w:rsidP="000D4572">
            <w:pPr>
              <w:suppressAutoHyphens w:val="0"/>
              <w:spacing w:before="40" w:after="120"/>
              <w:ind w:right="113"/>
              <w:rPr>
                <w:highlight w:val="yellow"/>
              </w:rPr>
            </w:pPr>
            <w:r w:rsidRPr="005219CC">
              <w:t xml:space="preserve">Members: </w:t>
            </w:r>
            <w:r w:rsidR="005219CC" w:rsidRPr="005219CC">
              <w:t xml:space="preserve">Lazhari Bouzid, Mario Luis Coriolano, </w:t>
            </w:r>
            <w:r w:rsidR="00795503" w:rsidRPr="00773701">
              <w:t>Mikhail Lebedev</w:t>
            </w:r>
            <w:r w:rsidR="00247639">
              <w:t xml:space="preserve">, </w:t>
            </w:r>
            <w:r w:rsidR="005219CC" w:rsidRPr="005219CC">
              <w:t xml:space="preserve">Mona Omar, </w:t>
            </w:r>
            <w:r w:rsidR="00E823B1" w:rsidRPr="005219CC">
              <w:t>Ahmer Bilal Soofi</w:t>
            </w:r>
            <w:r w:rsidR="005219CC" w:rsidRPr="005219CC">
              <w:t xml:space="preserve">, </w:t>
            </w:r>
            <w:r w:rsidR="005219CC" w:rsidRPr="00DB4855">
              <w:t>Imeru Tamrat Yigezu</w:t>
            </w:r>
          </w:p>
          <w:p w:rsidR="00226FBB" w:rsidRPr="00236735" w:rsidRDefault="000D4572" w:rsidP="000D4572">
            <w:pPr>
              <w:suppressAutoHyphens w:val="0"/>
              <w:spacing w:before="40" w:after="120"/>
              <w:ind w:right="113"/>
            </w:pPr>
            <w:r w:rsidRPr="00236735">
              <w:t xml:space="preserve">State </w:t>
            </w:r>
            <w:r>
              <w:t>observer</w:t>
            </w:r>
            <w:r w:rsidR="0083262A">
              <w:t>s</w:t>
            </w:r>
            <w:r w:rsidRPr="00236735">
              <w:t>:</w:t>
            </w:r>
            <w:r w:rsidR="005219CC">
              <w:t xml:space="preserve"> </w:t>
            </w:r>
            <w:r w:rsidR="00057DCE" w:rsidRPr="00057DCE">
              <w:t>Bolivia (Plurinational State of)</w:t>
            </w:r>
            <w:r w:rsidR="00FA185E">
              <w:t>, Egypt,</w:t>
            </w:r>
            <w:r w:rsidR="00057DCE">
              <w:t xml:space="preserve"> </w:t>
            </w:r>
            <w:r w:rsidR="00FA185E" w:rsidRPr="00FA185E">
              <w:t>Syrian Arab Republic</w:t>
            </w:r>
            <w:r w:rsidR="00FA185E">
              <w:t>, Tunisia</w:t>
            </w:r>
          </w:p>
        </w:tc>
      </w:tr>
      <w:tr w:rsidR="005C3353" w:rsidRPr="00E75125" w:rsidTr="00C67622">
        <w:trPr>
          <w:cantSplit/>
        </w:trPr>
        <w:tc>
          <w:tcPr>
            <w:tcW w:w="3035" w:type="dxa"/>
            <w:tcBorders>
              <w:top w:val="nil"/>
              <w:left w:val="nil"/>
              <w:bottom w:val="nil"/>
              <w:right w:val="nil"/>
            </w:tcBorders>
            <w:shd w:val="clear" w:color="auto" w:fill="auto"/>
            <w:tcMar>
              <w:left w:w="57" w:type="dxa"/>
              <w:right w:w="57" w:type="dxa"/>
            </w:tcMar>
          </w:tcPr>
          <w:p w:rsidR="005C3353" w:rsidRPr="005C3353" w:rsidRDefault="005C3353" w:rsidP="005C3353">
            <w:pPr>
              <w:suppressAutoHyphens w:val="0"/>
              <w:spacing w:before="40" w:after="120"/>
              <w:ind w:right="113"/>
              <w:rPr>
                <w:rFonts w:eastAsia="MS Mincho"/>
                <w:highlight w:val="yellow"/>
              </w:rPr>
            </w:pPr>
            <w:r w:rsidRPr="0058782E">
              <w:t>(b)</w:t>
            </w:r>
            <w:r w:rsidRPr="0058782E">
              <w:tab/>
            </w:r>
            <w:r>
              <w:t>Follow-up to reports submitted to the Human Rights Council</w:t>
            </w:r>
          </w:p>
        </w:tc>
        <w:tc>
          <w:tcPr>
            <w:tcW w:w="2835" w:type="dxa"/>
            <w:tcBorders>
              <w:top w:val="nil"/>
              <w:left w:val="nil"/>
              <w:bottom w:val="nil"/>
              <w:right w:val="nil"/>
            </w:tcBorders>
            <w:shd w:val="clear" w:color="auto" w:fill="auto"/>
            <w:tcMar>
              <w:left w:w="57" w:type="dxa"/>
              <w:right w:w="57" w:type="dxa"/>
            </w:tcMar>
          </w:tcPr>
          <w:p w:rsidR="005C3353" w:rsidRPr="0082212C" w:rsidRDefault="005C3353" w:rsidP="00402F0E">
            <w:pPr>
              <w:suppressAutoHyphens w:val="0"/>
              <w:spacing w:before="40" w:after="120"/>
              <w:ind w:right="113"/>
            </w:pPr>
            <w:r>
              <w:t>(i</w:t>
            </w:r>
            <w:r w:rsidRPr="0082212C">
              <w:t>)</w:t>
            </w:r>
            <w:r w:rsidR="00402F0E">
              <w:tab/>
            </w:r>
            <w:r>
              <w:t>Local Government and hum</w:t>
            </w:r>
            <w:r w:rsidRPr="000D4572">
              <w:t>an rights</w:t>
            </w:r>
          </w:p>
        </w:tc>
        <w:tc>
          <w:tcPr>
            <w:tcW w:w="2126" w:type="dxa"/>
            <w:tcBorders>
              <w:top w:val="nil"/>
              <w:left w:val="nil"/>
              <w:bottom w:val="nil"/>
              <w:right w:val="nil"/>
            </w:tcBorders>
            <w:shd w:val="clear" w:color="auto" w:fill="auto"/>
            <w:tcMar>
              <w:left w:w="57" w:type="dxa"/>
              <w:right w:w="57" w:type="dxa"/>
            </w:tcMar>
          </w:tcPr>
          <w:p w:rsidR="005C3353" w:rsidRDefault="00744504" w:rsidP="004A50EA">
            <w:pPr>
              <w:suppressAutoHyphens w:val="0"/>
              <w:spacing w:before="40" w:after="120"/>
              <w:ind w:right="113"/>
            </w:pPr>
            <w:r>
              <w:t>6th</w:t>
            </w:r>
            <w:r w:rsidRPr="004A50EA">
              <w:t xml:space="preserve"> meeting</w:t>
            </w:r>
            <w:r w:rsidRPr="004A50EA">
              <w:br/>
              <w:t>2</w:t>
            </w:r>
            <w:r>
              <w:t>2</w:t>
            </w:r>
            <w:r w:rsidRPr="004A50EA">
              <w:t xml:space="preserve"> February 201</w:t>
            </w:r>
            <w:r>
              <w:t>7</w:t>
            </w:r>
          </w:p>
        </w:tc>
        <w:tc>
          <w:tcPr>
            <w:tcW w:w="4363" w:type="dxa"/>
            <w:tcBorders>
              <w:top w:val="nil"/>
              <w:left w:val="nil"/>
              <w:bottom w:val="nil"/>
              <w:right w:val="nil"/>
            </w:tcBorders>
            <w:shd w:val="clear" w:color="auto" w:fill="auto"/>
            <w:tcMar>
              <w:left w:w="57" w:type="dxa"/>
              <w:right w:w="57" w:type="dxa"/>
            </w:tcMar>
          </w:tcPr>
          <w:p w:rsidR="005C3353" w:rsidRPr="005219CC" w:rsidRDefault="005C3353" w:rsidP="005C3353">
            <w:pPr>
              <w:suppressAutoHyphens w:val="0"/>
              <w:spacing w:before="40" w:after="120"/>
              <w:ind w:right="113"/>
              <w:rPr>
                <w:highlight w:val="yellow"/>
              </w:rPr>
            </w:pPr>
            <w:r w:rsidRPr="005219CC">
              <w:t>Members: Lazhari Bouzid</w:t>
            </w:r>
            <w:r>
              <w:t xml:space="preserve">, </w:t>
            </w:r>
            <w:r w:rsidRPr="006B45CD">
              <w:t>Kaoru Obata</w:t>
            </w:r>
            <w:r>
              <w:t xml:space="preserve">, </w:t>
            </w:r>
            <w:r w:rsidRPr="006B45CD">
              <w:t>Anantonia Reyes Prado</w:t>
            </w:r>
            <w:r>
              <w:t xml:space="preserve">, </w:t>
            </w:r>
            <w:r w:rsidRPr="008A7C8A">
              <w:t>Changrok</w:t>
            </w:r>
            <w:r w:rsidRPr="0036134D">
              <w:t xml:space="preserve"> </w:t>
            </w:r>
            <w:r w:rsidRPr="0036134D">
              <w:rPr>
                <w:szCs w:val="22"/>
              </w:rPr>
              <w:t>Soh</w:t>
            </w:r>
          </w:p>
          <w:p w:rsidR="005C3353" w:rsidRPr="005219CC" w:rsidRDefault="005C3353" w:rsidP="005C3353">
            <w:pPr>
              <w:suppressAutoHyphens w:val="0"/>
              <w:spacing w:before="40" w:after="120"/>
              <w:ind w:right="113"/>
            </w:pPr>
            <w:r w:rsidRPr="00236735">
              <w:t xml:space="preserve">State </w:t>
            </w:r>
            <w:r>
              <w:t>observer</w:t>
            </w:r>
            <w:r w:rsidRPr="00236735">
              <w:t>:</w:t>
            </w:r>
            <w:r>
              <w:t xml:space="preserve"> Republic of Korea</w:t>
            </w:r>
          </w:p>
        </w:tc>
      </w:tr>
      <w:tr w:rsidR="009F6B32" w:rsidRPr="00E75125" w:rsidTr="00744504">
        <w:trPr>
          <w:cantSplit/>
        </w:trPr>
        <w:tc>
          <w:tcPr>
            <w:tcW w:w="3035" w:type="dxa"/>
            <w:tcBorders>
              <w:top w:val="nil"/>
              <w:left w:val="nil"/>
              <w:bottom w:val="nil"/>
              <w:right w:val="nil"/>
            </w:tcBorders>
            <w:shd w:val="clear" w:color="auto" w:fill="auto"/>
            <w:tcMar>
              <w:left w:w="57" w:type="dxa"/>
              <w:right w:w="57" w:type="dxa"/>
            </w:tcMar>
          </w:tcPr>
          <w:p w:rsidR="009F6B32" w:rsidRPr="00E75125" w:rsidRDefault="009F6B32" w:rsidP="00301FAC">
            <w:pPr>
              <w:keepNext/>
              <w:suppressAutoHyphens w:val="0"/>
              <w:spacing w:before="40" w:after="120"/>
              <w:ind w:right="113"/>
              <w:rPr>
                <w:highlight w:val="yellow"/>
              </w:rPr>
            </w:pPr>
            <w:r w:rsidRPr="0058782E">
              <w:t>4.</w:t>
            </w:r>
            <w:r w:rsidRPr="0058782E">
              <w:tab/>
              <w:t xml:space="preserve">Implementation of sections III and IV of the annex to Human Rights Council resolution 5/1 of 18 June 2007 and </w:t>
            </w:r>
            <w:r w:rsidR="003E62D4">
              <w:t xml:space="preserve">of </w:t>
            </w:r>
            <w:r w:rsidRPr="0058782E">
              <w:t>section III of the annex to</w:t>
            </w:r>
            <w:r w:rsidR="00691F5B" w:rsidRPr="0058782E">
              <w:t xml:space="preserve"> Council resolution 16/21 of 25 </w:t>
            </w:r>
            <w:r w:rsidRPr="0058782E">
              <w:t>March 2011</w:t>
            </w:r>
          </w:p>
        </w:tc>
        <w:tc>
          <w:tcPr>
            <w:tcW w:w="2835" w:type="dxa"/>
            <w:tcBorders>
              <w:top w:val="nil"/>
              <w:left w:val="nil"/>
              <w:bottom w:val="nil"/>
              <w:right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c>
          <w:tcPr>
            <w:tcW w:w="2126" w:type="dxa"/>
            <w:tcBorders>
              <w:top w:val="nil"/>
              <w:left w:val="nil"/>
              <w:bottom w:val="nil"/>
              <w:right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c>
          <w:tcPr>
            <w:tcW w:w="4363" w:type="dxa"/>
            <w:tcBorders>
              <w:top w:val="nil"/>
              <w:left w:val="nil"/>
              <w:bottom w:val="nil"/>
              <w:right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r>
      <w:tr w:rsidR="009F6B32" w:rsidRPr="00E75125" w:rsidTr="00744504">
        <w:trPr>
          <w:cantSplit/>
        </w:trPr>
        <w:tc>
          <w:tcPr>
            <w:tcW w:w="3035" w:type="dxa"/>
            <w:tcBorders>
              <w:top w:val="nil"/>
              <w:left w:val="nil"/>
              <w:bottom w:val="nil"/>
              <w:right w:val="nil"/>
            </w:tcBorders>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r w:rsidRPr="0058782E">
              <w:t>(b)</w:t>
            </w:r>
            <w:r w:rsidRPr="0058782E">
              <w:tab/>
              <w:t>Agenda and annual programme of work, including new priorities</w:t>
            </w:r>
          </w:p>
        </w:tc>
        <w:tc>
          <w:tcPr>
            <w:tcW w:w="2835" w:type="dxa"/>
            <w:tcBorders>
              <w:top w:val="nil"/>
              <w:left w:val="nil"/>
              <w:bottom w:val="nil"/>
              <w:right w:val="nil"/>
            </w:tcBorders>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p>
        </w:tc>
        <w:tc>
          <w:tcPr>
            <w:tcW w:w="2126" w:type="dxa"/>
            <w:tcBorders>
              <w:top w:val="nil"/>
              <w:left w:val="nil"/>
              <w:bottom w:val="nil"/>
              <w:right w:val="nil"/>
            </w:tcBorders>
            <w:shd w:val="clear" w:color="auto" w:fill="auto"/>
            <w:tcMar>
              <w:left w:w="57" w:type="dxa"/>
              <w:right w:w="57" w:type="dxa"/>
            </w:tcMar>
          </w:tcPr>
          <w:p w:rsidR="008948D1" w:rsidRPr="000B20FC" w:rsidRDefault="000B20FC" w:rsidP="00DC05A3">
            <w:pPr>
              <w:suppressAutoHyphens w:val="0"/>
              <w:spacing w:before="40" w:after="120"/>
              <w:ind w:right="113"/>
            </w:pPr>
            <w:r>
              <w:t>7th and 8</w:t>
            </w:r>
            <w:r w:rsidR="00F02F6E">
              <w:t xml:space="preserve">th </w:t>
            </w:r>
            <w:r w:rsidR="004B4C6B">
              <w:t>meeting</w:t>
            </w:r>
            <w:r w:rsidR="00DC05A3">
              <w:br/>
            </w:r>
            <w:r w:rsidR="00974FEE">
              <w:t>22 February 2017</w:t>
            </w:r>
          </w:p>
        </w:tc>
        <w:tc>
          <w:tcPr>
            <w:tcW w:w="4363" w:type="dxa"/>
            <w:tcBorders>
              <w:top w:val="nil"/>
              <w:left w:val="nil"/>
              <w:bottom w:val="nil"/>
              <w:right w:val="nil"/>
            </w:tcBorders>
            <w:shd w:val="clear" w:color="auto" w:fill="auto"/>
            <w:tcMar>
              <w:left w:w="57" w:type="dxa"/>
              <w:right w:w="57" w:type="dxa"/>
            </w:tcMar>
          </w:tcPr>
          <w:p w:rsidR="00283434" w:rsidRPr="00744504" w:rsidRDefault="009F6B32" w:rsidP="00283434">
            <w:pPr>
              <w:suppressAutoHyphens w:val="0"/>
              <w:spacing w:before="40" w:after="120"/>
              <w:ind w:right="113"/>
            </w:pPr>
            <w:r w:rsidRPr="00A43E47">
              <w:t xml:space="preserve">Members: </w:t>
            </w:r>
            <w:r w:rsidR="00283434" w:rsidRPr="00744504">
              <w:t xml:space="preserve">Mohamed </w:t>
            </w:r>
            <w:proofErr w:type="spellStart"/>
            <w:r w:rsidR="00283434" w:rsidRPr="00744504">
              <w:rPr>
                <w:szCs w:val="22"/>
              </w:rPr>
              <w:t>Bennani</w:t>
            </w:r>
            <w:proofErr w:type="spellEnd"/>
            <w:r w:rsidR="00283434" w:rsidRPr="00744504">
              <w:t xml:space="preserve">,  </w:t>
            </w:r>
            <w:r w:rsidR="00345F76" w:rsidRPr="00A43E47">
              <w:t>Laurence</w:t>
            </w:r>
            <w:r w:rsidR="00345F76" w:rsidRPr="00744504">
              <w:t xml:space="preserve"> </w:t>
            </w:r>
            <w:proofErr w:type="spellStart"/>
            <w:r w:rsidR="00345F76" w:rsidRPr="00744504">
              <w:t>Boisson</w:t>
            </w:r>
            <w:proofErr w:type="spellEnd"/>
            <w:r w:rsidR="00345F76" w:rsidRPr="00744504">
              <w:t xml:space="preserve"> de Chazournes, </w:t>
            </w:r>
            <w:r w:rsidR="001170CB" w:rsidRPr="00744504">
              <w:t>Lazhari Bouzid</w:t>
            </w:r>
            <w:r w:rsidR="001170CB">
              <w:t xml:space="preserve">, </w:t>
            </w:r>
            <w:r w:rsidR="00283434" w:rsidRPr="00744504">
              <w:t>Mario Luis Coriolano, Mikhail Lebed</w:t>
            </w:r>
            <w:r w:rsidR="00B4055A">
              <w:t xml:space="preserve">ev, Xinsheng Liu, Kaoru Obata, </w:t>
            </w:r>
            <w:proofErr w:type="spellStart"/>
            <w:r w:rsidR="00283434" w:rsidRPr="00744504">
              <w:t>Obiora</w:t>
            </w:r>
            <w:proofErr w:type="spellEnd"/>
            <w:r w:rsidR="00283434" w:rsidRPr="00744504">
              <w:t xml:space="preserve"> </w:t>
            </w:r>
            <w:proofErr w:type="spellStart"/>
            <w:r w:rsidR="00283434" w:rsidRPr="00744504">
              <w:t>Chinedu</w:t>
            </w:r>
            <w:proofErr w:type="spellEnd"/>
            <w:r w:rsidR="00283434" w:rsidRPr="00744504">
              <w:t xml:space="preserve"> </w:t>
            </w:r>
            <w:proofErr w:type="spellStart"/>
            <w:r w:rsidR="00283434" w:rsidRPr="00744504">
              <w:t>Oka</w:t>
            </w:r>
            <w:r w:rsidR="00F1271D">
              <w:t>for</w:t>
            </w:r>
            <w:proofErr w:type="spellEnd"/>
            <w:r w:rsidR="00F1271D">
              <w:t xml:space="preserve">, Mona Omar, Katharina </w:t>
            </w:r>
            <w:proofErr w:type="spellStart"/>
            <w:r w:rsidR="00F1271D">
              <w:t>Pabel</w:t>
            </w:r>
            <w:proofErr w:type="spellEnd"/>
            <w:r w:rsidR="00F1271D">
              <w:t xml:space="preserve">, </w:t>
            </w:r>
            <w:proofErr w:type="spellStart"/>
            <w:r w:rsidR="00F1271D">
              <w:t>Anantonia</w:t>
            </w:r>
            <w:proofErr w:type="spellEnd"/>
            <w:r w:rsidR="00F1271D">
              <w:t xml:space="preserve"> Reyes Prado</w:t>
            </w:r>
            <w:r w:rsidR="00283434" w:rsidRPr="00744504">
              <w:t xml:space="preserve">, </w:t>
            </w:r>
            <w:proofErr w:type="spellStart"/>
            <w:r w:rsidR="00A43E47" w:rsidRPr="00A43E47">
              <w:t>Changrok</w:t>
            </w:r>
            <w:proofErr w:type="spellEnd"/>
            <w:r w:rsidR="00A43E47" w:rsidRPr="00744504">
              <w:t xml:space="preserve"> </w:t>
            </w:r>
            <w:proofErr w:type="spellStart"/>
            <w:r w:rsidR="00A43E47" w:rsidRPr="00744504">
              <w:rPr>
                <w:szCs w:val="22"/>
              </w:rPr>
              <w:t>Soh</w:t>
            </w:r>
            <w:proofErr w:type="spellEnd"/>
            <w:r w:rsidR="00A43E47" w:rsidRPr="00744504">
              <w:t xml:space="preserve">, </w:t>
            </w:r>
            <w:proofErr w:type="spellStart"/>
            <w:r w:rsidR="00283434" w:rsidRPr="00744504">
              <w:t>Ahmer</w:t>
            </w:r>
            <w:proofErr w:type="spellEnd"/>
            <w:r w:rsidR="00283434" w:rsidRPr="00744504">
              <w:t xml:space="preserve"> Bilal </w:t>
            </w:r>
            <w:proofErr w:type="spellStart"/>
            <w:r w:rsidR="00283434" w:rsidRPr="00744504">
              <w:t>Soofi</w:t>
            </w:r>
            <w:proofErr w:type="spellEnd"/>
            <w:r w:rsidR="00283434" w:rsidRPr="00744504">
              <w:t xml:space="preserve">, </w:t>
            </w:r>
            <w:proofErr w:type="spellStart"/>
            <w:r w:rsidR="00283434" w:rsidRPr="00744504">
              <w:t>Imeru</w:t>
            </w:r>
            <w:proofErr w:type="spellEnd"/>
            <w:r w:rsidR="00283434" w:rsidRPr="00744504">
              <w:t xml:space="preserve"> </w:t>
            </w:r>
            <w:proofErr w:type="spellStart"/>
            <w:r w:rsidR="00283434" w:rsidRPr="00744504">
              <w:t>Tamrat</w:t>
            </w:r>
            <w:proofErr w:type="spellEnd"/>
            <w:r w:rsidR="00283434" w:rsidRPr="00744504">
              <w:t xml:space="preserve"> </w:t>
            </w:r>
            <w:proofErr w:type="spellStart"/>
            <w:r w:rsidR="00283434" w:rsidRPr="00744504">
              <w:t>Yigezu</w:t>
            </w:r>
            <w:proofErr w:type="spellEnd"/>
          </w:p>
          <w:p w:rsidR="008948D1" w:rsidRPr="00E75125" w:rsidRDefault="004847C0" w:rsidP="00526FD4">
            <w:pPr>
              <w:suppressAutoHyphens w:val="0"/>
              <w:spacing w:before="40" w:after="120"/>
              <w:ind w:right="113"/>
              <w:rPr>
                <w:highlight w:val="yellow"/>
              </w:rPr>
            </w:pPr>
            <w:r w:rsidRPr="00D81511">
              <w:t>State observers</w:t>
            </w:r>
            <w:r w:rsidR="00E52676" w:rsidRPr="00D81511">
              <w:t xml:space="preserve">: </w:t>
            </w:r>
            <w:r w:rsidR="000B20FC" w:rsidRPr="00D81511">
              <w:t>Argentina,</w:t>
            </w:r>
            <w:r w:rsidR="00D81511" w:rsidRPr="00D81511">
              <w:t xml:space="preserve"> Bhutan, Cabo Verde</w:t>
            </w:r>
            <w:r w:rsidR="00526FD4">
              <w:t>,</w:t>
            </w:r>
            <w:r w:rsidR="000B20FC" w:rsidRPr="00D81511">
              <w:t xml:space="preserve"> </w:t>
            </w:r>
            <w:r w:rsidR="00D81511" w:rsidRPr="00D81511">
              <w:t>Djibouti, France, Haiti, Jamaica, Marshall Islands, Micronesia</w:t>
            </w:r>
            <w:r w:rsidR="00526FD4">
              <w:t xml:space="preserve"> (</w:t>
            </w:r>
            <w:r w:rsidR="00526FD4" w:rsidRPr="00D81511">
              <w:t>Federated States of</w:t>
            </w:r>
            <w:r w:rsidR="00526FD4">
              <w:t>)</w:t>
            </w:r>
            <w:r w:rsidR="00D81511" w:rsidRPr="00D81511">
              <w:t>, Myanmar,</w:t>
            </w:r>
            <w:r w:rsidR="00526FD4">
              <w:t xml:space="preserve"> </w:t>
            </w:r>
            <w:r w:rsidR="00D81511" w:rsidRPr="00D81511">
              <w:t>Papua New Guinea, Peru</w:t>
            </w:r>
            <w:r w:rsidR="00D81511">
              <w:t xml:space="preserve">, </w:t>
            </w:r>
            <w:r w:rsidR="00D81511" w:rsidRPr="00D81511">
              <w:t>Senegal</w:t>
            </w:r>
            <w:r w:rsidR="00D81511">
              <w:t>,</w:t>
            </w:r>
            <w:r w:rsidR="00526FD4">
              <w:t xml:space="preserve"> </w:t>
            </w:r>
            <w:r w:rsidR="000B20FC" w:rsidRPr="00D81511">
              <w:t>Serbia,</w:t>
            </w:r>
            <w:r w:rsidR="00D81511">
              <w:t xml:space="preserve"> Switzerland,</w:t>
            </w:r>
            <w:r w:rsidR="000B20FC" w:rsidRPr="00D81511">
              <w:t xml:space="preserve"> </w:t>
            </w:r>
            <w:r w:rsidR="00D81511" w:rsidRPr="00D81511">
              <w:t>Timor-Leste, Tonga, and Trinidad and Tobago</w:t>
            </w:r>
          </w:p>
        </w:tc>
      </w:tr>
      <w:tr w:rsidR="00D81511" w:rsidRPr="00E75125" w:rsidTr="00744504">
        <w:trPr>
          <w:cantSplit/>
        </w:trPr>
        <w:tc>
          <w:tcPr>
            <w:tcW w:w="3035" w:type="dxa"/>
            <w:tcBorders>
              <w:top w:val="nil"/>
              <w:left w:val="nil"/>
              <w:bottom w:val="nil"/>
              <w:right w:val="nil"/>
            </w:tcBorders>
            <w:shd w:val="clear" w:color="auto" w:fill="auto"/>
            <w:tcMar>
              <w:left w:w="57" w:type="dxa"/>
              <w:right w:w="57" w:type="dxa"/>
            </w:tcMar>
          </w:tcPr>
          <w:p w:rsidR="00D81511" w:rsidRPr="0058782E" w:rsidRDefault="00D81511" w:rsidP="00691F5B">
            <w:pPr>
              <w:suppressAutoHyphens w:val="0"/>
              <w:spacing w:before="40" w:after="120"/>
              <w:ind w:right="113"/>
            </w:pPr>
          </w:p>
        </w:tc>
        <w:tc>
          <w:tcPr>
            <w:tcW w:w="2835" w:type="dxa"/>
            <w:tcBorders>
              <w:top w:val="nil"/>
              <w:left w:val="nil"/>
              <w:bottom w:val="nil"/>
              <w:right w:val="nil"/>
            </w:tcBorders>
            <w:shd w:val="clear" w:color="auto" w:fill="auto"/>
            <w:tcMar>
              <w:left w:w="57" w:type="dxa"/>
              <w:right w:w="57" w:type="dxa"/>
            </w:tcMar>
          </w:tcPr>
          <w:p w:rsidR="00D81511" w:rsidRPr="00E75125" w:rsidRDefault="00D81511" w:rsidP="00691F5B">
            <w:pPr>
              <w:suppressAutoHyphens w:val="0"/>
              <w:spacing w:before="40" w:after="120"/>
              <w:ind w:right="113"/>
              <w:rPr>
                <w:rFonts w:eastAsia="MS Mincho"/>
                <w:highlight w:val="yellow"/>
              </w:rPr>
            </w:pPr>
          </w:p>
        </w:tc>
        <w:tc>
          <w:tcPr>
            <w:tcW w:w="2126" w:type="dxa"/>
            <w:tcBorders>
              <w:top w:val="nil"/>
              <w:left w:val="nil"/>
              <w:bottom w:val="nil"/>
              <w:right w:val="nil"/>
            </w:tcBorders>
            <w:shd w:val="clear" w:color="auto" w:fill="auto"/>
            <w:tcMar>
              <w:left w:w="57" w:type="dxa"/>
              <w:right w:w="57" w:type="dxa"/>
            </w:tcMar>
          </w:tcPr>
          <w:p w:rsidR="00D81511" w:rsidRDefault="00D81511" w:rsidP="00CC1A93">
            <w:pPr>
              <w:suppressAutoHyphens w:val="0"/>
              <w:spacing w:before="40" w:after="120"/>
              <w:ind w:right="113"/>
            </w:pPr>
          </w:p>
        </w:tc>
        <w:tc>
          <w:tcPr>
            <w:tcW w:w="4363" w:type="dxa"/>
            <w:tcBorders>
              <w:top w:val="nil"/>
              <w:left w:val="nil"/>
              <w:bottom w:val="nil"/>
              <w:right w:val="nil"/>
            </w:tcBorders>
            <w:shd w:val="clear" w:color="auto" w:fill="auto"/>
            <w:tcMar>
              <w:left w:w="57" w:type="dxa"/>
              <w:right w:w="57" w:type="dxa"/>
            </w:tcMar>
          </w:tcPr>
          <w:p w:rsidR="00D81511" w:rsidRPr="00A43E47" w:rsidRDefault="00D81511" w:rsidP="00526FD4">
            <w:pPr>
              <w:suppressAutoHyphens w:val="0"/>
              <w:spacing w:before="40" w:after="120"/>
              <w:ind w:right="113"/>
            </w:pPr>
            <w:r>
              <w:t>Inter</w:t>
            </w:r>
            <w:r w:rsidRPr="00A15D19">
              <w:t>governmental organization:</w:t>
            </w:r>
            <w:r w:rsidR="00526FD4">
              <w:t xml:space="preserve"> </w:t>
            </w:r>
            <w:r>
              <w:t xml:space="preserve"> </w:t>
            </w:r>
            <w:r w:rsidR="00526FD4" w:rsidRPr="00526FD4">
              <w:t>Convention Against Torture Legislative</w:t>
            </w:r>
          </w:p>
        </w:tc>
      </w:tr>
    </w:tbl>
    <w:p w:rsidR="00EB400B" w:rsidRPr="00E75125" w:rsidRDefault="00EB400B" w:rsidP="00EB400B">
      <w:pPr>
        <w:pStyle w:val="SingleTxtG"/>
        <w:rPr>
          <w:i/>
          <w:highlight w:val="yellow"/>
        </w:rPr>
        <w:sectPr w:rsidR="00EB400B" w:rsidRPr="00E75125" w:rsidSect="00E75125">
          <w:headerReference w:type="even" r:id="rId14"/>
          <w:headerReference w:type="default" r:id="rId15"/>
          <w:footerReference w:type="even" r:id="rId16"/>
          <w:footerReference w:type="default" r:id="rId17"/>
          <w:endnotePr>
            <w:numFmt w:val="decimal"/>
          </w:endnotePr>
          <w:pgSz w:w="16840" w:h="11907" w:orient="landscape" w:code="9"/>
          <w:pgMar w:top="1134" w:right="1701" w:bottom="1134" w:left="2268" w:header="567" w:footer="567" w:gutter="0"/>
          <w:cols w:space="720"/>
          <w:docGrid w:linePitch="272"/>
        </w:sectPr>
      </w:pPr>
    </w:p>
    <w:p w:rsidR="00EB400B" w:rsidRPr="00E75125" w:rsidRDefault="003B4B74" w:rsidP="00200A2E">
      <w:pPr>
        <w:pStyle w:val="HChG"/>
      </w:pPr>
      <w:r>
        <w:lastRenderedPageBreak/>
        <w:tab/>
      </w:r>
      <w:r w:rsidR="00EB400B" w:rsidRPr="00E75125">
        <w:t>Annex II</w:t>
      </w:r>
    </w:p>
    <w:p w:rsidR="00EB400B" w:rsidRPr="00064051" w:rsidRDefault="00EB400B">
      <w:pPr>
        <w:pStyle w:val="HChG"/>
      </w:pPr>
      <w:r w:rsidRPr="00E75125">
        <w:tab/>
      </w:r>
      <w:r w:rsidRPr="00E75125">
        <w:tab/>
        <w:t xml:space="preserve">List of documents issued for the </w:t>
      </w:r>
      <w:r w:rsidR="00F1271D">
        <w:t>eigh</w:t>
      </w:r>
      <w:r w:rsidR="00397D7C" w:rsidRPr="00E75125">
        <w:t>teen</w:t>
      </w:r>
      <w:r w:rsidR="00DA31AC" w:rsidRPr="00E75125">
        <w:t>th session</w:t>
      </w:r>
      <w:r w:rsidRPr="00E75125">
        <w:br/>
        <w:t>of the Advisory Committee</w:t>
      </w:r>
    </w:p>
    <w:p w:rsidR="00EB400B" w:rsidRPr="00E75125" w:rsidRDefault="00EB400B" w:rsidP="00200A2E">
      <w:pPr>
        <w:pStyle w:val="H23G"/>
      </w:pPr>
      <w:r w:rsidRPr="00E75125">
        <w:tab/>
      </w:r>
      <w:r w:rsidRPr="00E75125">
        <w:tab/>
        <w:t xml:space="preserve">Documents </w:t>
      </w:r>
      <w:r w:rsidR="00143848">
        <w:t>for</w:t>
      </w:r>
      <w:r w:rsidRPr="00E75125">
        <w:t xml:space="preserve"> general </w:t>
      </w:r>
      <w:r w:rsidR="00143848">
        <w:t>distribution</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EB400B" w:rsidRPr="00E75125" w:rsidTr="00B973CA">
        <w:trPr>
          <w:tblHeader/>
        </w:trPr>
        <w:tc>
          <w:tcPr>
            <w:tcW w:w="2268" w:type="dxa"/>
            <w:tcBorders>
              <w:top w:val="single" w:sz="4" w:space="0" w:color="auto"/>
              <w:bottom w:val="single" w:sz="12" w:space="0" w:color="auto"/>
            </w:tcBorders>
            <w:shd w:val="clear" w:color="auto" w:fill="auto"/>
            <w:vAlign w:val="bottom"/>
          </w:tcPr>
          <w:p w:rsidR="00EB400B" w:rsidRPr="00F2552A" w:rsidRDefault="00EB400B" w:rsidP="00B973CA">
            <w:pPr>
              <w:suppressAutoHyphens w:val="0"/>
              <w:spacing w:before="80" w:after="80" w:line="200" w:lineRule="exact"/>
              <w:ind w:right="113"/>
              <w:rPr>
                <w:i/>
                <w:sz w:val="16"/>
              </w:rPr>
            </w:pPr>
            <w:r w:rsidRPr="00F2552A">
              <w:rPr>
                <w:i/>
                <w:sz w:val="16"/>
              </w:rPr>
              <w:t>Symbol</w:t>
            </w:r>
          </w:p>
        </w:tc>
        <w:tc>
          <w:tcPr>
            <w:tcW w:w="1134"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Agenda item</w:t>
            </w:r>
          </w:p>
        </w:tc>
        <w:tc>
          <w:tcPr>
            <w:tcW w:w="3969"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p>
        </w:tc>
      </w:tr>
      <w:tr w:rsidR="00EB400B" w:rsidRPr="00F2552A" w:rsidTr="00B973CA">
        <w:tc>
          <w:tcPr>
            <w:tcW w:w="2268" w:type="dxa"/>
            <w:tcBorders>
              <w:top w:val="single" w:sz="12" w:space="0" w:color="auto"/>
            </w:tcBorders>
            <w:shd w:val="clear" w:color="auto" w:fill="auto"/>
          </w:tcPr>
          <w:p w:rsidR="00EB400B" w:rsidRPr="00F2552A" w:rsidRDefault="00F2552A" w:rsidP="00D42EF5">
            <w:pPr>
              <w:suppressAutoHyphens w:val="0"/>
              <w:spacing w:before="40" w:after="120" w:line="220" w:lineRule="exact"/>
              <w:ind w:right="113"/>
              <w:rPr>
                <w:iCs/>
              </w:rPr>
            </w:pPr>
            <w:r w:rsidRPr="00F2552A">
              <w:rPr>
                <w:iCs/>
              </w:rPr>
              <w:t>A/HRC/AC/1</w:t>
            </w:r>
            <w:r w:rsidR="00D42EF5">
              <w:rPr>
                <w:iCs/>
              </w:rPr>
              <w:t>8</w:t>
            </w:r>
            <w:r w:rsidR="00EB400B" w:rsidRPr="00F2552A">
              <w:rPr>
                <w:iCs/>
              </w:rPr>
              <w:t>/1</w:t>
            </w:r>
          </w:p>
        </w:tc>
        <w:tc>
          <w:tcPr>
            <w:tcW w:w="1134" w:type="dxa"/>
            <w:tcBorders>
              <w:top w:val="single" w:sz="12" w:space="0" w:color="auto"/>
            </w:tcBorders>
            <w:shd w:val="clear" w:color="auto" w:fill="auto"/>
          </w:tcPr>
          <w:p w:rsidR="00EB400B" w:rsidRPr="00F2552A" w:rsidRDefault="00AF5F56" w:rsidP="004426A7">
            <w:pPr>
              <w:suppressAutoHyphens w:val="0"/>
              <w:spacing w:before="40" w:after="120" w:line="220" w:lineRule="exact"/>
              <w:ind w:right="113"/>
              <w:rPr>
                <w:iCs/>
              </w:rPr>
            </w:pPr>
            <w:r>
              <w:rPr>
                <w:iCs/>
              </w:rPr>
              <w:t>2</w:t>
            </w:r>
          </w:p>
        </w:tc>
        <w:tc>
          <w:tcPr>
            <w:tcW w:w="3969" w:type="dxa"/>
            <w:tcBorders>
              <w:top w:val="single" w:sz="12" w:space="0" w:color="auto"/>
            </w:tcBorders>
            <w:shd w:val="clear" w:color="auto" w:fill="auto"/>
          </w:tcPr>
          <w:p w:rsidR="00EB400B" w:rsidRPr="00F2552A" w:rsidRDefault="00EB400B" w:rsidP="004426A7">
            <w:pPr>
              <w:suppressAutoHyphens w:val="0"/>
              <w:spacing w:before="40" w:after="120" w:line="220" w:lineRule="exact"/>
              <w:ind w:right="113"/>
              <w:rPr>
                <w:iCs/>
              </w:rPr>
            </w:pPr>
            <w:r w:rsidRPr="00F2552A">
              <w:rPr>
                <w:iCs/>
              </w:rPr>
              <w:t>Provisional agenda</w:t>
            </w:r>
          </w:p>
        </w:tc>
      </w:tr>
      <w:tr w:rsidR="00EB400B" w:rsidRPr="00F2552A" w:rsidTr="00B973CA">
        <w:tc>
          <w:tcPr>
            <w:tcW w:w="2268" w:type="dxa"/>
            <w:shd w:val="clear" w:color="auto" w:fill="auto"/>
          </w:tcPr>
          <w:p w:rsidR="00EB400B" w:rsidRPr="00F2552A" w:rsidRDefault="00F2552A" w:rsidP="00D42EF5">
            <w:pPr>
              <w:suppressAutoHyphens w:val="0"/>
              <w:spacing w:before="40" w:after="120" w:line="220" w:lineRule="exact"/>
              <w:ind w:right="113"/>
              <w:rPr>
                <w:iCs/>
              </w:rPr>
            </w:pPr>
            <w:r w:rsidRPr="00F2552A">
              <w:rPr>
                <w:iCs/>
              </w:rPr>
              <w:t>A/HRC/AC/1</w:t>
            </w:r>
            <w:r w:rsidR="00D42EF5">
              <w:rPr>
                <w:iCs/>
              </w:rPr>
              <w:t>8</w:t>
            </w:r>
            <w:r w:rsidR="00DA31AC" w:rsidRPr="00F2552A">
              <w:rPr>
                <w:iCs/>
              </w:rPr>
              <w:t>/1/Add.1</w:t>
            </w:r>
          </w:p>
        </w:tc>
        <w:tc>
          <w:tcPr>
            <w:tcW w:w="1134" w:type="dxa"/>
            <w:shd w:val="clear" w:color="auto" w:fill="auto"/>
          </w:tcPr>
          <w:p w:rsidR="00EB400B" w:rsidRPr="00F2552A" w:rsidRDefault="00AF5F56" w:rsidP="004426A7">
            <w:pPr>
              <w:suppressAutoHyphens w:val="0"/>
              <w:spacing w:before="40" w:after="120" w:line="220" w:lineRule="exact"/>
              <w:ind w:right="113"/>
              <w:rPr>
                <w:iCs/>
              </w:rPr>
            </w:pPr>
            <w:r>
              <w:rPr>
                <w:iCs/>
              </w:rPr>
              <w:t>2</w:t>
            </w:r>
          </w:p>
        </w:tc>
        <w:tc>
          <w:tcPr>
            <w:tcW w:w="3969" w:type="dxa"/>
            <w:shd w:val="clear" w:color="auto" w:fill="auto"/>
          </w:tcPr>
          <w:p w:rsidR="00EB400B" w:rsidRPr="00F2552A" w:rsidRDefault="00EB400B" w:rsidP="004426A7">
            <w:pPr>
              <w:suppressAutoHyphens w:val="0"/>
              <w:spacing w:before="40" w:after="120" w:line="220" w:lineRule="exact"/>
              <w:ind w:right="113"/>
              <w:rPr>
                <w:iCs/>
              </w:rPr>
            </w:pPr>
            <w:r w:rsidRPr="00F2552A">
              <w:rPr>
                <w:iCs/>
              </w:rPr>
              <w:t>Annotations to the provisional agenda</w:t>
            </w:r>
          </w:p>
        </w:tc>
      </w:tr>
      <w:tr w:rsidR="00EB400B" w:rsidRPr="00E75125" w:rsidTr="00B973CA">
        <w:tc>
          <w:tcPr>
            <w:tcW w:w="2268" w:type="dxa"/>
            <w:shd w:val="clear" w:color="auto" w:fill="auto"/>
          </w:tcPr>
          <w:p w:rsidR="00EB400B" w:rsidRPr="00F2552A" w:rsidRDefault="00F2552A" w:rsidP="00D42EF5">
            <w:pPr>
              <w:suppressAutoHyphens w:val="0"/>
              <w:spacing w:before="40" w:after="120" w:line="220" w:lineRule="exact"/>
              <w:ind w:right="113"/>
              <w:rPr>
                <w:iCs/>
              </w:rPr>
            </w:pPr>
            <w:r w:rsidRPr="00F2552A">
              <w:rPr>
                <w:iCs/>
              </w:rPr>
              <w:t>A/HRC/AC/1</w:t>
            </w:r>
            <w:r w:rsidR="00D42EF5">
              <w:rPr>
                <w:iCs/>
              </w:rPr>
              <w:t>8</w:t>
            </w:r>
            <w:r w:rsidR="00EB400B" w:rsidRPr="00F2552A">
              <w:rPr>
                <w:iCs/>
              </w:rPr>
              <w:t>/2</w:t>
            </w:r>
          </w:p>
        </w:tc>
        <w:tc>
          <w:tcPr>
            <w:tcW w:w="1134" w:type="dxa"/>
            <w:shd w:val="clear" w:color="auto" w:fill="auto"/>
          </w:tcPr>
          <w:p w:rsidR="00EB400B" w:rsidRPr="00F2552A" w:rsidRDefault="00057971" w:rsidP="004426A7">
            <w:pPr>
              <w:suppressAutoHyphens w:val="0"/>
              <w:spacing w:before="40" w:after="120" w:line="220" w:lineRule="exact"/>
              <w:ind w:right="113"/>
              <w:rPr>
                <w:iCs/>
              </w:rPr>
            </w:pPr>
            <w:r w:rsidRPr="00F2552A">
              <w:rPr>
                <w:iCs/>
              </w:rPr>
              <w:t>5</w:t>
            </w:r>
          </w:p>
        </w:tc>
        <w:tc>
          <w:tcPr>
            <w:tcW w:w="3969" w:type="dxa"/>
            <w:shd w:val="clear" w:color="auto" w:fill="auto"/>
          </w:tcPr>
          <w:p w:rsidR="00EB400B" w:rsidRPr="00F2552A" w:rsidRDefault="00EB400B" w:rsidP="00CB6987">
            <w:pPr>
              <w:suppressAutoHyphens w:val="0"/>
              <w:spacing w:before="40" w:after="120" w:line="220" w:lineRule="exact"/>
              <w:ind w:right="113"/>
              <w:rPr>
                <w:iCs/>
              </w:rPr>
            </w:pPr>
            <w:r w:rsidRPr="00F2552A">
              <w:rPr>
                <w:iCs/>
              </w:rPr>
              <w:t>Report of the Advisory Committee</w:t>
            </w:r>
            <w:r w:rsidR="00691F5B" w:rsidRPr="00F2552A">
              <w:rPr>
                <w:iCs/>
              </w:rPr>
              <w:br/>
            </w:r>
            <w:r w:rsidRPr="00F2552A">
              <w:rPr>
                <w:iCs/>
              </w:rPr>
              <w:t xml:space="preserve">on its </w:t>
            </w:r>
            <w:r w:rsidR="00CB6987">
              <w:rPr>
                <w:iCs/>
              </w:rPr>
              <w:t>eighteenth</w:t>
            </w:r>
            <w:r w:rsidR="00CB6987" w:rsidRPr="00F2552A">
              <w:rPr>
                <w:iCs/>
              </w:rPr>
              <w:t xml:space="preserve"> </w:t>
            </w:r>
            <w:r w:rsidRPr="00F2552A">
              <w:rPr>
                <w:iCs/>
              </w:rPr>
              <w:t>session</w:t>
            </w:r>
          </w:p>
        </w:tc>
      </w:tr>
    </w:tbl>
    <w:p w:rsidR="00EB400B" w:rsidRPr="00F2552A" w:rsidRDefault="00EB400B" w:rsidP="00200A2E">
      <w:pPr>
        <w:pStyle w:val="H23G"/>
      </w:pPr>
      <w:r w:rsidRPr="00F2552A">
        <w:tab/>
      </w:r>
      <w:r w:rsidRPr="00F2552A">
        <w:tab/>
        <w:t xml:space="preserve">Documents </w:t>
      </w:r>
      <w:r w:rsidR="00143848">
        <w:t>for</w:t>
      </w:r>
      <w:r w:rsidRPr="00F2552A">
        <w:t xml:space="preserve"> limited </w:t>
      </w:r>
      <w:r w:rsidR="00143848">
        <w:t>dis</w:t>
      </w:r>
      <w:r w:rsidR="00756DB7">
        <w:t>t</w:t>
      </w:r>
      <w:r w:rsidR="00143848">
        <w:t>ribution</w:t>
      </w:r>
    </w:p>
    <w:tbl>
      <w:tblPr>
        <w:tblW w:w="0" w:type="auto"/>
        <w:tblInd w:w="1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EB400B" w:rsidRPr="00E75125" w:rsidTr="007066C0">
        <w:trPr>
          <w:tblHeader/>
        </w:trPr>
        <w:tc>
          <w:tcPr>
            <w:tcW w:w="2268" w:type="dxa"/>
            <w:tcBorders>
              <w:top w:val="single" w:sz="2" w:space="0" w:color="auto"/>
              <w:left w:val="nil"/>
              <w:bottom w:val="single" w:sz="12" w:space="0" w:color="auto"/>
              <w:right w:val="nil"/>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Symbol</w:t>
            </w:r>
          </w:p>
        </w:tc>
        <w:tc>
          <w:tcPr>
            <w:tcW w:w="1134" w:type="dxa"/>
            <w:tcBorders>
              <w:top w:val="single" w:sz="2" w:space="0" w:color="auto"/>
              <w:left w:val="nil"/>
              <w:bottom w:val="single" w:sz="12" w:space="0" w:color="auto"/>
              <w:right w:val="nil"/>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Agenda item</w:t>
            </w:r>
          </w:p>
        </w:tc>
        <w:tc>
          <w:tcPr>
            <w:tcW w:w="3969" w:type="dxa"/>
            <w:tcBorders>
              <w:top w:val="single" w:sz="2" w:space="0" w:color="auto"/>
              <w:left w:val="nil"/>
              <w:bottom w:val="single" w:sz="12" w:space="0" w:color="auto"/>
              <w:right w:val="nil"/>
            </w:tcBorders>
            <w:shd w:val="clear" w:color="auto" w:fill="auto"/>
            <w:vAlign w:val="bottom"/>
          </w:tcPr>
          <w:p w:rsidR="00EB400B" w:rsidRPr="00F2552A" w:rsidRDefault="00EB400B" w:rsidP="004426A7">
            <w:pPr>
              <w:suppressAutoHyphens w:val="0"/>
              <w:spacing w:before="80" w:after="80" w:line="200" w:lineRule="exact"/>
              <w:ind w:right="113"/>
              <w:rPr>
                <w:i/>
                <w:sz w:val="16"/>
              </w:rPr>
            </w:pPr>
          </w:p>
        </w:tc>
      </w:tr>
      <w:tr w:rsidR="00EB400B" w:rsidRPr="00E75125" w:rsidTr="007066C0">
        <w:tc>
          <w:tcPr>
            <w:tcW w:w="2268" w:type="dxa"/>
            <w:tcBorders>
              <w:top w:val="single" w:sz="12" w:space="0" w:color="auto"/>
              <w:left w:val="nil"/>
              <w:bottom w:val="nil"/>
              <w:right w:val="nil"/>
            </w:tcBorders>
            <w:shd w:val="clear" w:color="auto" w:fill="auto"/>
          </w:tcPr>
          <w:p w:rsidR="00EB400B" w:rsidRPr="000D3F96" w:rsidRDefault="00F7761D" w:rsidP="00D42EF5">
            <w:pPr>
              <w:suppressAutoHyphens w:val="0"/>
              <w:spacing w:before="40" w:after="120" w:line="220" w:lineRule="exact"/>
              <w:ind w:right="113"/>
              <w:rPr>
                <w:iCs/>
              </w:rPr>
            </w:pPr>
            <w:r w:rsidRPr="000D3F96">
              <w:rPr>
                <w:iCs/>
              </w:rPr>
              <w:t>A/HRC/AC/1</w:t>
            </w:r>
            <w:r w:rsidR="00D42EF5">
              <w:rPr>
                <w:iCs/>
              </w:rPr>
              <w:t>8</w:t>
            </w:r>
            <w:r w:rsidR="00EB400B" w:rsidRPr="000D3F96">
              <w:rPr>
                <w:iCs/>
              </w:rPr>
              <w:t>/L.1</w:t>
            </w:r>
          </w:p>
        </w:tc>
        <w:tc>
          <w:tcPr>
            <w:tcW w:w="1134" w:type="dxa"/>
            <w:tcBorders>
              <w:top w:val="single" w:sz="12" w:space="0" w:color="auto"/>
              <w:left w:val="nil"/>
              <w:bottom w:val="nil"/>
              <w:right w:val="nil"/>
            </w:tcBorders>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r w:rsidR="001573AB">
              <w:rPr>
                <w:iCs/>
              </w:rPr>
              <w:t xml:space="preserve"> (a) (</w:t>
            </w:r>
            <w:r w:rsidR="00CB6987">
              <w:rPr>
                <w:iCs/>
              </w:rPr>
              <w:t>i</w:t>
            </w:r>
            <w:r w:rsidR="001573AB">
              <w:rPr>
                <w:iCs/>
              </w:rPr>
              <w:t>v)</w:t>
            </w:r>
          </w:p>
        </w:tc>
        <w:tc>
          <w:tcPr>
            <w:tcW w:w="3969" w:type="dxa"/>
            <w:tcBorders>
              <w:top w:val="single" w:sz="12" w:space="0" w:color="auto"/>
              <w:left w:val="nil"/>
              <w:bottom w:val="nil"/>
              <w:right w:val="nil"/>
            </w:tcBorders>
            <w:shd w:val="clear" w:color="auto" w:fill="auto"/>
          </w:tcPr>
          <w:p w:rsidR="00EB400B" w:rsidRPr="000D3F96" w:rsidRDefault="00CB6987" w:rsidP="008D2810">
            <w:pPr>
              <w:suppressAutoHyphens w:val="0"/>
              <w:spacing w:before="40" w:after="120" w:line="220" w:lineRule="exact"/>
              <w:ind w:right="113"/>
              <w:rPr>
                <w:iCs/>
              </w:rPr>
            </w:pPr>
            <w:r>
              <w:rPr>
                <w:iCs/>
              </w:rPr>
              <w:t>E</w:t>
            </w:r>
            <w:r w:rsidRPr="000D3F96">
              <w:rPr>
                <w:iCs/>
              </w:rPr>
              <w:t>limination of discrimination against persons affected by leprosy and their family members</w:t>
            </w:r>
          </w:p>
        </w:tc>
      </w:tr>
      <w:tr w:rsidR="00EB400B" w:rsidRPr="00E75125" w:rsidTr="007066C0">
        <w:trPr>
          <w:trHeight w:val="148"/>
        </w:trPr>
        <w:tc>
          <w:tcPr>
            <w:tcW w:w="2268" w:type="dxa"/>
            <w:tcBorders>
              <w:top w:val="nil"/>
              <w:left w:val="nil"/>
              <w:bottom w:val="nil"/>
              <w:right w:val="nil"/>
            </w:tcBorders>
            <w:shd w:val="clear" w:color="auto" w:fill="auto"/>
          </w:tcPr>
          <w:p w:rsidR="00EB400B" w:rsidRPr="000D3F96" w:rsidRDefault="00F7761D" w:rsidP="00D42EF5">
            <w:pPr>
              <w:suppressAutoHyphens w:val="0"/>
              <w:spacing w:before="40" w:after="120" w:line="220" w:lineRule="exact"/>
              <w:ind w:right="113"/>
              <w:rPr>
                <w:iCs/>
              </w:rPr>
            </w:pPr>
            <w:r w:rsidRPr="000D3F96">
              <w:rPr>
                <w:iCs/>
              </w:rPr>
              <w:t>A/HRC/AC/1</w:t>
            </w:r>
            <w:r w:rsidR="00D42EF5">
              <w:rPr>
                <w:iCs/>
              </w:rPr>
              <w:t>8</w:t>
            </w:r>
            <w:r w:rsidR="00EB400B" w:rsidRPr="000D3F96">
              <w:rPr>
                <w:iCs/>
              </w:rPr>
              <w:t>/L.2</w:t>
            </w:r>
          </w:p>
        </w:tc>
        <w:tc>
          <w:tcPr>
            <w:tcW w:w="1134" w:type="dxa"/>
            <w:tcBorders>
              <w:top w:val="nil"/>
              <w:left w:val="nil"/>
              <w:bottom w:val="nil"/>
              <w:right w:val="nil"/>
            </w:tcBorders>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r w:rsidR="001573AB">
              <w:rPr>
                <w:iCs/>
              </w:rPr>
              <w:t xml:space="preserve"> (a) (v</w:t>
            </w:r>
            <w:r w:rsidR="00F1271D">
              <w:rPr>
                <w:iCs/>
              </w:rPr>
              <w:t>ii</w:t>
            </w:r>
            <w:r w:rsidR="001573AB">
              <w:rPr>
                <w:iCs/>
              </w:rPr>
              <w:t>)</w:t>
            </w:r>
          </w:p>
        </w:tc>
        <w:tc>
          <w:tcPr>
            <w:tcW w:w="3969" w:type="dxa"/>
            <w:tcBorders>
              <w:top w:val="nil"/>
              <w:left w:val="nil"/>
              <w:bottom w:val="nil"/>
              <w:right w:val="nil"/>
            </w:tcBorders>
            <w:shd w:val="clear" w:color="auto" w:fill="auto"/>
          </w:tcPr>
          <w:p w:rsidR="00EB400B" w:rsidRPr="000D3F96" w:rsidRDefault="00F1271D" w:rsidP="00F1271D">
            <w:pPr>
              <w:suppressAutoHyphens w:val="0"/>
              <w:spacing w:before="40" w:after="120" w:line="220" w:lineRule="exact"/>
              <w:ind w:right="113"/>
              <w:rPr>
                <w:iCs/>
              </w:rPr>
            </w:pPr>
            <w:r w:rsidRPr="00CB6987">
              <w:rPr>
                <w:iCs/>
              </w:rPr>
              <w:t>Regional arrangements for the promotion and protection of human rights</w:t>
            </w:r>
            <w:r w:rsidRPr="00F1271D">
              <w:rPr>
                <w:iCs/>
              </w:rPr>
              <w:t xml:space="preserve"> </w:t>
            </w:r>
          </w:p>
        </w:tc>
      </w:tr>
      <w:tr w:rsidR="00EB400B" w:rsidRPr="00E75125" w:rsidTr="007066C0">
        <w:trPr>
          <w:trHeight w:val="148"/>
        </w:trPr>
        <w:tc>
          <w:tcPr>
            <w:tcW w:w="2268" w:type="dxa"/>
            <w:tcBorders>
              <w:top w:val="nil"/>
              <w:left w:val="nil"/>
              <w:bottom w:val="nil"/>
              <w:right w:val="nil"/>
            </w:tcBorders>
            <w:shd w:val="clear" w:color="auto" w:fill="auto"/>
          </w:tcPr>
          <w:p w:rsidR="00EB400B" w:rsidRPr="000D3F96" w:rsidRDefault="00EB400B" w:rsidP="00D42EF5">
            <w:pPr>
              <w:suppressAutoHyphens w:val="0"/>
              <w:spacing w:before="40" w:after="120" w:line="220" w:lineRule="exact"/>
              <w:ind w:right="113"/>
              <w:rPr>
                <w:iCs/>
              </w:rPr>
            </w:pPr>
            <w:r w:rsidRPr="000D3F96">
              <w:rPr>
                <w:iCs/>
              </w:rPr>
              <w:t>A/HRC</w:t>
            </w:r>
            <w:r w:rsidR="00F7761D" w:rsidRPr="000D3F96">
              <w:rPr>
                <w:iCs/>
              </w:rPr>
              <w:t>/AC/1</w:t>
            </w:r>
            <w:r w:rsidR="00D42EF5">
              <w:rPr>
                <w:iCs/>
              </w:rPr>
              <w:t>8</w:t>
            </w:r>
            <w:r w:rsidRPr="000D3F96">
              <w:rPr>
                <w:iCs/>
              </w:rPr>
              <w:t>/L.3</w:t>
            </w:r>
          </w:p>
        </w:tc>
        <w:tc>
          <w:tcPr>
            <w:tcW w:w="1134" w:type="dxa"/>
            <w:tcBorders>
              <w:top w:val="nil"/>
              <w:left w:val="nil"/>
              <w:bottom w:val="nil"/>
              <w:right w:val="nil"/>
            </w:tcBorders>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r w:rsidR="001573AB">
              <w:rPr>
                <w:iCs/>
              </w:rPr>
              <w:t xml:space="preserve"> (a) (v)</w:t>
            </w:r>
          </w:p>
        </w:tc>
        <w:tc>
          <w:tcPr>
            <w:tcW w:w="3969" w:type="dxa"/>
            <w:tcBorders>
              <w:top w:val="nil"/>
              <w:left w:val="nil"/>
              <w:bottom w:val="nil"/>
              <w:right w:val="nil"/>
            </w:tcBorders>
            <w:shd w:val="clear" w:color="auto" w:fill="auto"/>
          </w:tcPr>
          <w:p w:rsidR="00EB400B" w:rsidRPr="000D3F96" w:rsidRDefault="00F1271D" w:rsidP="00F1271D">
            <w:pPr>
              <w:suppressAutoHyphens w:val="0"/>
              <w:spacing w:before="40" w:after="120" w:line="220" w:lineRule="exact"/>
              <w:ind w:right="113"/>
              <w:rPr>
                <w:iCs/>
              </w:rPr>
            </w:pPr>
            <w:r>
              <w:rPr>
                <w:iCs/>
              </w:rPr>
              <w:t>U</w:t>
            </w:r>
            <w:r w:rsidRPr="000D3F96">
              <w:rPr>
                <w:iCs/>
              </w:rPr>
              <w:t>naccompanied migrant children and adolescents and human rights</w:t>
            </w:r>
          </w:p>
        </w:tc>
      </w:tr>
      <w:tr w:rsidR="00CB6987" w:rsidRPr="00E75125" w:rsidTr="007066C0">
        <w:trPr>
          <w:trHeight w:val="148"/>
        </w:trPr>
        <w:tc>
          <w:tcPr>
            <w:tcW w:w="2268" w:type="dxa"/>
            <w:tcBorders>
              <w:top w:val="nil"/>
              <w:left w:val="nil"/>
              <w:bottom w:val="nil"/>
              <w:right w:val="nil"/>
            </w:tcBorders>
            <w:shd w:val="clear" w:color="auto" w:fill="auto"/>
          </w:tcPr>
          <w:p w:rsidR="00CB6987" w:rsidRPr="000D3F96" w:rsidRDefault="00CB6987" w:rsidP="00D42EF5">
            <w:pPr>
              <w:suppressAutoHyphens w:val="0"/>
              <w:spacing w:before="40" w:after="120" w:line="220" w:lineRule="exact"/>
              <w:ind w:right="113"/>
              <w:rPr>
                <w:iCs/>
              </w:rPr>
            </w:pPr>
            <w:r w:rsidRPr="000D3F96">
              <w:rPr>
                <w:iCs/>
              </w:rPr>
              <w:t>A/HRC/AC/1</w:t>
            </w:r>
            <w:r>
              <w:rPr>
                <w:iCs/>
              </w:rPr>
              <w:t>8</w:t>
            </w:r>
            <w:r w:rsidRPr="000D3F96">
              <w:rPr>
                <w:iCs/>
              </w:rPr>
              <w:t>/L.</w:t>
            </w:r>
            <w:r>
              <w:rPr>
                <w:iCs/>
              </w:rPr>
              <w:t>4</w:t>
            </w:r>
          </w:p>
        </w:tc>
        <w:tc>
          <w:tcPr>
            <w:tcW w:w="1134" w:type="dxa"/>
            <w:tcBorders>
              <w:top w:val="nil"/>
              <w:left w:val="nil"/>
              <w:bottom w:val="nil"/>
              <w:right w:val="nil"/>
            </w:tcBorders>
            <w:shd w:val="clear" w:color="auto" w:fill="auto"/>
          </w:tcPr>
          <w:p w:rsidR="00CB6987" w:rsidRPr="000D3F96" w:rsidRDefault="00CB6987" w:rsidP="004426A7">
            <w:pPr>
              <w:suppressAutoHyphens w:val="0"/>
              <w:spacing w:before="40" w:after="120" w:line="220" w:lineRule="exact"/>
              <w:ind w:right="113"/>
              <w:rPr>
                <w:iCs/>
              </w:rPr>
            </w:pPr>
            <w:r w:rsidRPr="000D3F96">
              <w:rPr>
                <w:iCs/>
              </w:rPr>
              <w:t>3</w:t>
            </w:r>
            <w:r w:rsidR="00F1271D">
              <w:rPr>
                <w:iCs/>
              </w:rPr>
              <w:t xml:space="preserve"> (a) (vi</w:t>
            </w:r>
            <w:r>
              <w:rPr>
                <w:iCs/>
              </w:rPr>
              <w:t>)</w:t>
            </w:r>
          </w:p>
        </w:tc>
        <w:tc>
          <w:tcPr>
            <w:tcW w:w="3969" w:type="dxa"/>
            <w:tcBorders>
              <w:top w:val="nil"/>
              <w:left w:val="nil"/>
              <w:bottom w:val="nil"/>
              <w:right w:val="nil"/>
            </w:tcBorders>
            <w:shd w:val="clear" w:color="auto" w:fill="auto"/>
          </w:tcPr>
          <w:p w:rsidR="00CB6987" w:rsidRDefault="00F1271D" w:rsidP="008D2810">
            <w:pPr>
              <w:suppressAutoHyphens w:val="0"/>
              <w:spacing w:before="40" w:after="120" w:line="220" w:lineRule="exact"/>
              <w:ind w:right="113"/>
              <w:rPr>
                <w:iCs/>
              </w:rPr>
            </w:pPr>
            <w:r w:rsidRPr="00F1271D">
              <w:rPr>
                <w:iCs/>
              </w:rPr>
              <w:t>Negative impact of the non-repatriation of funds of illicit origin on the enjoyment of human rights</w:t>
            </w:r>
          </w:p>
        </w:tc>
      </w:tr>
    </w:tbl>
    <w:p w:rsidR="00D346C5" w:rsidRDefault="00D346C5" w:rsidP="00D346C5">
      <w:pPr>
        <w:pStyle w:val="H23G"/>
      </w:pPr>
      <w:r>
        <w:tab/>
      </w:r>
      <w:r>
        <w:tab/>
      </w:r>
      <w:r w:rsidRPr="0087305B">
        <w:t>Documents issued in the non-governmental organizations series</w:t>
      </w:r>
    </w:p>
    <w:tbl>
      <w:tblPr>
        <w:tblW w:w="0" w:type="auto"/>
        <w:tblInd w:w="1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D31611" w:rsidRPr="00E75125" w:rsidTr="001C65DD">
        <w:trPr>
          <w:tblHeader/>
        </w:trPr>
        <w:tc>
          <w:tcPr>
            <w:tcW w:w="2268" w:type="dxa"/>
            <w:tcBorders>
              <w:top w:val="single" w:sz="2" w:space="0" w:color="auto"/>
              <w:left w:val="nil"/>
              <w:bottom w:val="single" w:sz="12" w:space="0" w:color="auto"/>
              <w:right w:val="nil"/>
            </w:tcBorders>
            <w:shd w:val="clear" w:color="auto" w:fill="auto"/>
            <w:vAlign w:val="bottom"/>
          </w:tcPr>
          <w:p w:rsidR="00D31611" w:rsidRPr="00F2552A" w:rsidRDefault="00D31611" w:rsidP="001C65DD">
            <w:pPr>
              <w:suppressAutoHyphens w:val="0"/>
              <w:spacing w:before="80" w:after="80" w:line="200" w:lineRule="exact"/>
              <w:ind w:right="113"/>
              <w:rPr>
                <w:i/>
                <w:sz w:val="16"/>
              </w:rPr>
            </w:pPr>
            <w:r w:rsidRPr="00F2552A">
              <w:rPr>
                <w:i/>
                <w:sz w:val="16"/>
              </w:rPr>
              <w:t>Symbol</w:t>
            </w:r>
          </w:p>
        </w:tc>
        <w:tc>
          <w:tcPr>
            <w:tcW w:w="1134" w:type="dxa"/>
            <w:tcBorders>
              <w:top w:val="single" w:sz="2" w:space="0" w:color="auto"/>
              <w:left w:val="nil"/>
              <w:bottom w:val="single" w:sz="12" w:space="0" w:color="auto"/>
              <w:right w:val="nil"/>
            </w:tcBorders>
            <w:shd w:val="clear" w:color="auto" w:fill="auto"/>
            <w:vAlign w:val="bottom"/>
          </w:tcPr>
          <w:p w:rsidR="00D31611" w:rsidRPr="00F2552A" w:rsidRDefault="00D31611" w:rsidP="001C65DD">
            <w:pPr>
              <w:suppressAutoHyphens w:val="0"/>
              <w:spacing w:before="80" w:after="80" w:line="200" w:lineRule="exact"/>
              <w:ind w:right="113"/>
              <w:rPr>
                <w:i/>
                <w:sz w:val="16"/>
              </w:rPr>
            </w:pPr>
            <w:r w:rsidRPr="00F2552A">
              <w:rPr>
                <w:i/>
                <w:sz w:val="16"/>
              </w:rPr>
              <w:t>Agenda item</w:t>
            </w:r>
          </w:p>
        </w:tc>
        <w:tc>
          <w:tcPr>
            <w:tcW w:w="3969" w:type="dxa"/>
            <w:tcBorders>
              <w:top w:val="single" w:sz="2" w:space="0" w:color="auto"/>
              <w:left w:val="nil"/>
              <w:bottom w:val="single" w:sz="12" w:space="0" w:color="auto"/>
              <w:right w:val="nil"/>
            </w:tcBorders>
            <w:shd w:val="clear" w:color="auto" w:fill="auto"/>
            <w:vAlign w:val="bottom"/>
          </w:tcPr>
          <w:p w:rsidR="00D31611" w:rsidRPr="00F2552A" w:rsidRDefault="00D31611" w:rsidP="001C65DD">
            <w:pPr>
              <w:suppressAutoHyphens w:val="0"/>
              <w:spacing w:before="80" w:after="80" w:line="200" w:lineRule="exact"/>
              <w:ind w:right="113"/>
              <w:rPr>
                <w:i/>
                <w:sz w:val="16"/>
              </w:rPr>
            </w:pPr>
          </w:p>
        </w:tc>
      </w:tr>
      <w:tr w:rsidR="00D31611" w:rsidRPr="00E75125" w:rsidTr="00A3082F">
        <w:tc>
          <w:tcPr>
            <w:tcW w:w="2268" w:type="dxa"/>
            <w:tcBorders>
              <w:top w:val="single" w:sz="12" w:space="0" w:color="auto"/>
              <w:left w:val="nil"/>
              <w:bottom w:val="nil"/>
              <w:right w:val="nil"/>
            </w:tcBorders>
            <w:shd w:val="clear" w:color="auto" w:fill="auto"/>
            <w:vAlign w:val="bottom"/>
          </w:tcPr>
          <w:p w:rsidR="00D31611" w:rsidRPr="00D05E89" w:rsidRDefault="00D31611" w:rsidP="00D31611">
            <w:pPr>
              <w:suppressAutoHyphens w:val="0"/>
              <w:spacing w:before="40" w:after="120" w:line="220" w:lineRule="exact"/>
              <w:ind w:right="113"/>
              <w:rPr>
                <w:iCs/>
              </w:rPr>
            </w:pPr>
            <w:r w:rsidRPr="00D05E89">
              <w:rPr>
                <w:iCs/>
              </w:rPr>
              <w:t>A/HRC/AC/18/</w:t>
            </w:r>
            <w:r>
              <w:rPr>
                <w:iCs/>
              </w:rPr>
              <w:t>NGO/1</w:t>
            </w:r>
          </w:p>
        </w:tc>
        <w:tc>
          <w:tcPr>
            <w:tcW w:w="1134" w:type="dxa"/>
            <w:tcBorders>
              <w:top w:val="single" w:sz="12" w:space="0" w:color="auto"/>
              <w:left w:val="nil"/>
              <w:bottom w:val="nil"/>
              <w:right w:val="nil"/>
            </w:tcBorders>
            <w:shd w:val="clear" w:color="auto" w:fill="auto"/>
            <w:vAlign w:val="bottom"/>
          </w:tcPr>
          <w:p w:rsidR="00D31611" w:rsidRPr="00D05E89" w:rsidRDefault="00D31611" w:rsidP="001C65DD">
            <w:pPr>
              <w:suppressAutoHyphens w:val="0"/>
              <w:spacing w:before="40" w:after="120" w:line="220" w:lineRule="exact"/>
              <w:ind w:right="113"/>
              <w:rPr>
                <w:iCs/>
              </w:rPr>
            </w:pPr>
            <w:r w:rsidRPr="00D05E89">
              <w:rPr>
                <w:iCs/>
              </w:rPr>
              <w:t>3 (a) (iv)</w:t>
            </w:r>
          </w:p>
        </w:tc>
        <w:tc>
          <w:tcPr>
            <w:tcW w:w="3969" w:type="dxa"/>
            <w:tcBorders>
              <w:top w:val="single" w:sz="12" w:space="0" w:color="auto"/>
              <w:left w:val="nil"/>
              <w:bottom w:val="nil"/>
              <w:right w:val="nil"/>
            </w:tcBorders>
            <w:shd w:val="clear" w:color="auto" w:fill="auto"/>
            <w:vAlign w:val="bottom"/>
          </w:tcPr>
          <w:p w:rsidR="00D31611" w:rsidRPr="00D05E89" w:rsidRDefault="00D31611" w:rsidP="001C65DD">
            <w:pPr>
              <w:spacing w:before="80" w:after="80" w:line="200" w:lineRule="exact"/>
              <w:ind w:right="113"/>
              <w:rPr>
                <w:i/>
                <w:sz w:val="16"/>
              </w:rPr>
            </w:pPr>
            <w:r>
              <w:rPr>
                <w:iCs/>
              </w:rPr>
              <w:t>W</w:t>
            </w:r>
            <w:r w:rsidRPr="00B973CA">
              <w:rPr>
                <w:iCs/>
              </w:rPr>
              <w:t>ritten statement</w:t>
            </w:r>
            <w:r>
              <w:rPr>
                <w:iCs/>
              </w:rPr>
              <w:t xml:space="preserve"> </w:t>
            </w:r>
            <w:r w:rsidRPr="00B973CA">
              <w:rPr>
                <w:iCs/>
              </w:rPr>
              <w:t>submitted by</w:t>
            </w:r>
            <w:r>
              <w:rPr>
                <w:iCs/>
              </w:rPr>
              <w:t xml:space="preserve"> </w:t>
            </w:r>
            <w:r>
              <w:t>The Nippon Foundation</w:t>
            </w:r>
            <w:r w:rsidRPr="00B973CA">
              <w:rPr>
                <w:iCs/>
              </w:rPr>
              <w:t>, a</w:t>
            </w:r>
            <w:r>
              <w:rPr>
                <w:iCs/>
              </w:rPr>
              <w:t>n NGO</w:t>
            </w:r>
            <w:r w:rsidRPr="00B973CA">
              <w:rPr>
                <w:iCs/>
              </w:rPr>
              <w:t xml:space="preserve"> </w:t>
            </w:r>
            <w:r>
              <w:rPr>
                <w:iCs/>
              </w:rPr>
              <w:t>with</w:t>
            </w:r>
            <w:r w:rsidRPr="00B973CA">
              <w:rPr>
                <w:iCs/>
              </w:rPr>
              <w:t xml:space="preserve"> special consultative status</w:t>
            </w:r>
          </w:p>
        </w:tc>
      </w:tr>
    </w:tbl>
    <w:p w:rsidR="00385B98" w:rsidRDefault="00385B98">
      <w:pPr>
        <w:suppressAutoHyphens w:val="0"/>
        <w:spacing w:line="240" w:lineRule="auto"/>
        <w:rPr>
          <w:i/>
          <w:u w:val="single"/>
        </w:rPr>
      </w:pPr>
      <w:r>
        <w:rPr>
          <w:i/>
          <w:u w:val="single"/>
        </w:rPr>
        <w:br w:type="page"/>
      </w:r>
    </w:p>
    <w:p w:rsidR="00385B98" w:rsidRPr="00064051" w:rsidRDefault="003B4B74" w:rsidP="00200A2E">
      <w:pPr>
        <w:pStyle w:val="HChG"/>
      </w:pPr>
      <w:r>
        <w:lastRenderedPageBreak/>
        <w:tab/>
      </w:r>
      <w:r w:rsidR="00385B98" w:rsidRPr="00E75125">
        <w:t>Annex I</w:t>
      </w:r>
      <w:r w:rsidR="00143848">
        <w:t>II</w:t>
      </w:r>
    </w:p>
    <w:p w:rsidR="00BD1031" w:rsidRPr="007C5719" w:rsidRDefault="009056D0" w:rsidP="00510EBC">
      <w:pPr>
        <w:pStyle w:val="HChG"/>
        <w:rPr>
          <w:b w:val="0"/>
        </w:rPr>
      </w:pPr>
      <w:r>
        <w:tab/>
      </w:r>
      <w:r>
        <w:tab/>
      </w:r>
      <w:r w:rsidR="00BD1031" w:rsidRPr="00BD1031">
        <w:t>Research proposals</w:t>
      </w:r>
    </w:p>
    <w:p w:rsidR="00BD1031" w:rsidRPr="00BD1031" w:rsidRDefault="00BD1031" w:rsidP="00510EBC">
      <w:pPr>
        <w:pStyle w:val="H1G"/>
      </w:pPr>
      <w:r w:rsidRPr="00BD1031">
        <w:tab/>
        <w:t>A.</w:t>
      </w:r>
      <w:r w:rsidRPr="00BD1031">
        <w:tab/>
      </w:r>
      <w:r w:rsidR="001618FC" w:rsidRPr="00E74A5D">
        <w:t xml:space="preserve">Destruction of cultural heritage and </w:t>
      </w:r>
      <w:r w:rsidR="001618FC">
        <w:t xml:space="preserve">its effects on the enjoyment of </w:t>
      </w:r>
      <w:r w:rsidR="001618FC" w:rsidRPr="00E74A5D">
        <w:t>economic, social and cultural rights</w:t>
      </w:r>
    </w:p>
    <w:p w:rsidR="00594789" w:rsidRDefault="001618FC" w:rsidP="00594789">
      <w:pPr>
        <w:pStyle w:val="SingleTxtG"/>
      </w:pPr>
      <w:r>
        <w:t>1</w:t>
      </w:r>
      <w:r w:rsidRPr="00B44D92">
        <w:t>.</w:t>
      </w:r>
      <w:r w:rsidRPr="00B44D92">
        <w:tab/>
      </w:r>
      <w:r w:rsidR="00594789">
        <w:t>Acts of intentional destruction</w:t>
      </w:r>
      <w:r w:rsidR="00594789" w:rsidRPr="00562454">
        <w:rPr>
          <w:rStyle w:val="FootnoteReference"/>
        </w:rPr>
        <w:footnoteReference w:id="11"/>
      </w:r>
      <w:r w:rsidR="00594789">
        <w:t xml:space="preserve"> of cultural heritage continue to spread across multiple regions of the world. Existing armed conflict and post-conflict </w:t>
      </w:r>
      <w:r w:rsidR="00594789" w:rsidRPr="00C50FA3">
        <w:t>situations are the breeding ground for acts of pillage, looting and acts of vandalism against cultural property.</w:t>
      </w:r>
      <w:r w:rsidR="00594789">
        <w:t xml:space="preserve"> Despite recent visible and openly declared acts against cultural heritage have been broadly condemned</w:t>
      </w:r>
      <w:r w:rsidR="00594789" w:rsidRPr="00562454">
        <w:rPr>
          <w:rStyle w:val="FootnoteReference"/>
        </w:rPr>
        <w:footnoteReference w:id="12"/>
      </w:r>
      <w:r w:rsidR="00594789">
        <w:t xml:space="preserve">, if no corrective action is urgently taken, there is a risk that such violations </w:t>
      </w:r>
      <w:r w:rsidR="00571DD7">
        <w:t xml:space="preserve">will progressively </w:t>
      </w:r>
      <w:r w:rsidR="00594789">
        <w:t>be tolerated as an unavoidable consequence of armed hostilities and, ultimately, end up going unnoticed to public opinion</w:t>
      </w:r>
      <w:r w:rsidR="00594789">
        <w:rPr>
          <w:rStyle w:val="FootnoteReference"/>
        </w:rPr>
        <w:footnoteReference w:id="13"/>
      </w:r>
      <w:r w:rsidR="00594789">
        <w:t>. As it has been observed, “cultural heritage is not a weapon: it is an issue concerning universal human rights. We must come together to defend the heritage of all, for all”</w:t>
      </w:r>
      <w:r w:rsidR="00594789">
        <w:rPr>
          <w:rStyle w:val="FootnoteReference"/>
        </w:rPr>
        <w:footnoteReference w:id="14"/>
      </w:r>
      <w:r w:rsidR="00594789">
        <w:t>.</w:t>
      </w:r>
    </w:p>
    <w:p w:rsidR="00594789" w:rsidRDefault="00594789" w:rsidP="00594789">
      <w:pPr>
        <w:pStyle w:val="SingleTxtG"/>
      </w:pPr>
      <w:r>
        <w:t xml:space="preserve">2. </w:t>
      </w:r>
      <w:r>
        <w:tab/>
        <w:t xml:space="preserve">In January 2017 the UN Security Council </w:t>
      </w:r>
      <w:r w:rsidR="00571DD7">
        <w:t xml:space="preserve">(SC) </w:t>
      </w:r>
      <w:r>
        <w:t xml:space="preserve">issued a new public statement to express its alarm </w:t>
      </w:r>
      <w:r w:rsidR="00571DD7">
        <w:t>at</w:t>
      </w:r>
      <w:r w:rsidRPr="0014075B">
        <w:t xml:space="preserve"> reports of the destruction of cultural heritage in Palmyra, Syria</w:t>
      </w:r>
      <w:r w:rsidRPr="000A5073">
        <w:t xml:space="preserve"> </w:t>
      </w:r>
      <w:r w:rsidRPr="0014075B">
        <w:t>by ISIL/Da’esh, including the tetr</w:t>
      </w:r>
      <w:r>
        <w:t>apylon and parts of the theatre.</w:t>
      </w:r>
      <w:r w:rsidRPr="0014075B">
        <w:t xml:space="preserve"> The </w:t>
      </w:r>
      <w:r>
        <w:t xml:space="preserve">SC’s </w:t>
      </w:r>
      <w:r w:rsidRPr="0014075B">
        <w:t>members reiterated their condemnation of the destruction of cultural heritage including targeted destruction of religious sites and objects</w:t>
      </w:r>
      <w:r>
        <w:rPr>
          <w:rStyle w:val="FootnoteReference"/>
        </w:rPr>
        <w:footnoteReference w:id="15"/>
      </w:r>
      <w:r w:rsidRPr="0014075B">
        <w:t>.</w:t>
      </w:r>
      <w:r>
        <w:t xml:space="preserve"> They</w:t>
      </w:r>
      <w:r w:rsidRPr="0014075B">
        <w:t xml:space="preserve"> noted with concern that ISIL and other individuals, groups, undertakings and entities associated with Al-Qaida have generated income from engaging directly or indirectly in the looting and smuggling of cultural heritage items from archaeological sites, museums, libraries, ar</w:t>
      </w:r>
      <w:r>
        <w:t>chives and other sites in Syria</w:t>
      </w:r>
      <w:r>
        <w:rPr>
          <w:rStyle w:val="FootnoteReference"/>
        </w:rPr>
        <w:footnoteReference w:id="16"/>
      </w:r>
      <w:r>
        <w:t>. Such funds are</w:t>
      </w:r>
      <w:r w:rsidRPr="0014075B">
        <w:t xml:space="preserve"> being used to support their recruitment efforts and to strengthen their operational capability to organize a</w:t>
      </w:r>
      <w:r>
        <w:t>nd carry out terrorist attacks.</w:t>
      </w:r>
      <w:r w:rsidRPr="0014075B">
        <w:t xml:space="preserve"> The members of the Security Council underlined the need to bring perpetrators of these acts to justice.</w:t>
      </w:r>
    </w:p>
    <w:p w:rsidR="00594789" w:rsidRDefault="00594789" w:rsidP="00594789">
      <w:pPr>
        <w:pStyle w:val="SingleTxtG"/>
      </w:pPr>
      <w:r>
        <w:t xml:space="preserve">3. </w:t>
      </w:r>
      <w:r>
        <w:tab/>
        <w:t xml:space="preserve">These are not isolated acts. It is well known that the </w:t>
      </w:r>
      <w:r w:rsidRPr="00562454">
        <w:t xml:space="preserve">terrorist organization ‘State Islamic’ (Daesh) is systematically destroying monuments dating back to the pre-Islamic times in the territory under its control notably in Iraq, Syria, Libya and Mali. Two particularly striking examples are the destruction of the Palmyra’s ancient Temple of </w:t>
      </w:r>
      <w:r w:rsidRPr="00562454">
        <w:rPr>
          <w:i/>
        </w:rPr>
        <w:lastRenderedPageBreak/>
        <w:t>Baalshamin</w:t>
      </w:r>
      <w:r w:rsidRPr="00562454">
        <w:t xml:space="preserve"> in Syria and more recently of Sabrata and Leptis Magna in Libya</w:t>
      </w:r>
      <w:r w:rsidR="006B03E5">
        <w:rPr>
          <w:rStyle w:val="FootnoteReference"/>
        </w:rPr>
        <w:footnoteReference w:id="17"/>
      </w:r>
      <w:r w:rsidRPr="00562454">
        <w:t xml:space="preserve">. Such strategy is </w:t>
      </w:r>
      <w:r>
        <w:t xml:space="preserve">not only </w:t>
      </w:r>
      <w:r w:rsidRPr="00562454">
        <w:t>carried out to obtain an economic support by se</w:t>
      </w:r>
      <w:r>
        <w:t>lling</w:t>
      </w:r>
      <w:r w:rsidRPr="00562454">
        <w:t xml:space="preserve"> in the international market objects of art such as sculptures, rituals objects and others, looted from the t</w:t>
      </w:r>
      <w:r>
        <w:t>erritories under their control</w:t>
      </w:r>
      <w:r>
        <w:rPr>
          <w:rStyle w:val="FootnoteReference"/>
        </w:rPr>
        <w:footnoteReference w:id="18"/>
      </w:r>
      <w:r>
        <w:t>; it also tend</w:t>
      </w:r>
      <w:r w:rsidRPr="00562454">
        <w:t xml:space="preserve"> to eradicate those pieces of art that feed the memory of the humanity and populations</w:t>
      </w:r>
      <w:r>
        <w:t>.</w:t>
      </w:r>
      <w:r w:rsidRPr="00562454">
        <w:t xml:space="preserve"> </w:t>
      </w:r>
      <w:r>
        <w:t>I fact, there are many examples which are believed to be part of a kind of “cultural engineering” practiced by these extremist groups with the aim of transforming tradition and history, which implies. Such is a very concerning trend considering that its ultimate goal is erasing memory and whatever does not accord with their vision to create new historical narratives without affording any alternatives to them</w:t>
      </w:r>
      <w:r>
        <w:rPr>
          <w:rStyle w:val="FootnoteReference"/>
        </w:rPr>
        <w:footnoteReference w:id="19"/>
      </w:r>
      <w:r w:rsidR="009056D0">
        <w:t>.</w:t>
      </w:r>
    </w:p>
    <w:p w:rsidR="00594789" w:rsidRDefault="00594789" w:rsidP="00594789">
      <w:pPr>
        <w:pStyle w:val="SingleTxtG"/>
      </w:pPr>
      <w:r>
        <w:t>4.</w:t>
      </w:r>
      <w:r>
        <w:tab/>
      </w:r>
      <w:r w:rsidRPr="00562454">
        <w:t xml:space="preserve">To erase pre-Islamic history, </w:t>
      </w:r>
      <w:r>
        <w:t>ISIS</w:t>
      </w:r>
      <w:r w:rsidRPr="00562454">
        <w:t xml:space="preserve"> has employed sledgehammers and drills at a museum in Mosul, explosives at Palmyra, and all of these weapons, plus jackhammers, power saws, and bulldozers, at Nimrud. As the conflict progresses, the trade of antiquities has become the source of a significant revenue for </w:t>
      </w:r>
      <w:r>
        <w:t>the terrorist group</w:t>
      </w:r>
      <w:r w:rsidRPr="00562454">
        <w:t xml:space="preserve">. Investigations </w:t>
      </w:r>
      <w:r>
        <w:t xml:space="preserve">not only </w:t>
      </w:r>
      <w:r w:rsidRPr="00562454">
        <w:t xml:space="preserve">confirm that </w:t>
      </w:r>
      <w:r>
        <w:t xml:space="preserve">ISIS </w:t>
      </w:r>
      <w:r w:rsidRPr="00562454">
        <w:t>profits from loot and regulates black market profits</w:t>
      </w:r>
      <w:r>
        <w:t>, but also that</w:t>
      </w:r>
      <w:r w:rsidRPr="00562454">
        <w:t xml:space="preserve"> </w:t>
      </w:r>
      <w:r>
        <w:t xml:space="preserve">such </w:t>
      </w:r>
      <w:r w:rsidRPr="00562454">
        <w:t xml:space="preserve">illicit goods </w:t>
      </w:r>
      <w:r>
        <w:t xml:space="preserve">are traded </w:t>
      </w:r>
      <w:r w:rsidRPr="00562454">
        <w:t>on the markets in Europe and the United States</w:t>
      </w:r>
      <w:r>
        <w:rPr>
          <w:rStyle w:val="FootnoteReference"/>
        </w:rPr>
        <w:footnoteReference w:id="20"/>
      </w:r>
      <w:r w:rsidRPr="00562454">
        <w:t xml:space="preserve">. </w:t>
      </w:r>
    </w:p>
    <w:p w:rsidR="00594789" w:rsidRDefault="00594789" w:rsidP="00594789">
      <w:pPr>
        <w:pStyle w:val="SingleTxtG"/>
      </w:pPr>
      <w:r>
        <w:t>5.</w:t>
      </w:r>
      <w:r>
        <w:tab/>
      </w:r>
      <w:r w:rsidRPr="00562454">
        <w:t xml:space="preserve">There are clear evidences that this strategy benefits from the lack of clear regulation, monitoring and sensitization of those involved in arts market is contributing to the pillage of ancient sites, as the illicit trade of artefacts is fuelled by demand. According to US customs, between 2011 and 2013 alone, there has been a 145% increase in imports of Syrian cultural property and 61% increase in imports of Iraqi cultural property. These numbers suggest that illicit trade is </w:t>
      </w:r>
      <w:r>
        <w:t>piggybacking on the legal trade</w:t>
      </w:r>
      <w:r w:rsidRPr="00562454">
        <w:rPr>
          <w:rStyle w:val="FootnoteReference"/>
        </w:rPr>
        <w:footnoteReference w:id="21"/>
      </w:r>
      <w:r>
        <w:t>.</w:t>
      </w:r>
      <w:r w:rsidRPr="00562454">
        <w:t xml:space="preserve">  </w:t>
      </w:r>
    </w:p>
    <w:p w:rsidR="00594789" w:rsidRDefault="009056D0" w:rsidP="00594789">
      <w:pPr>
        <w:pStyle w:val="SingleTxtG"/>
      </w:pPr>
      <w:r>
        <w:t>6.</w:t>
      </w:r>
      <w:r w:rsidR="00594789">
        <w:tab/>
        <w:t>Against this background, the Special Rapporteur in the field of cultural rights has recalled that “the obligation to stop looting must be viewed as a collective one which includes not only the States where looting takes place but also those powerful countries that offer the lucrative markets for looted objects. If they do not reduce market demand, there will be further incentive for looting and for intentional destruction, and more funding for groups engaging in it”</w:t>
      </w:r>
      <w:r w:rsidR="00594789">
        <w:rPr>
          <w:rStyle w:val="FootnoteReference"/>
        </w:rPr>
        <w:footnoteReference w:id="22"/>
      </w:r>
      <w:r>
        <w:t>.</w:t>
      </w:r>
    </w:p>
    <w:p w:rsidR="00594789" w:rsidRDefault="00594789" w:rsidP="00594789">
      <w:pPr>
        <w:pStyle w:val="SingleTxtG"/>
      </w:pPr>
      <w:r>
        <w:t>7.</w:t>
      </w:r>
      <w:r>
        <w:tab/>
      </w:r>
      <w:r w:rsidRPr="00C3080F">
        <w:t xml:space="preserve">Disrespect demonstrated by States involved in hostilities </w:t>
      </w:r>
      <w:r w:rsidRPr="00C3080F">
        <w:rPr>
          <w:i/>
        </w:rPr>
        <w:t>vis-a-vis</w:t>
      </w:r>
      <w:r w:rsidRPr="00C3080F">
        <w:t xml:space="preserve"> the added value for humanity of protecting cultural heritage from destruction, exacerbates this situation.</w:t>
      </w:r>
      <w:r>
        <w:t xml:space="preserve"> There are clamorous evidences of unnecessary or disproportionate attacks against cultural property which are nevertheless officially justified on the basis of military necessity</w:t>
      </w:r>
      <w:r>
        <w:rPr>
          <w:rStyle w:val="FootnoteReference"/>
        </w:rPr>
        <w:footnoteReference w:id="23"/>
      </w:r>
      <w:r>
        <w:t>. It is a disconcerting fact to admit, but there are clear evidences that</w:t>
      </w:r>
      <w:r w:rsidRPr="00562454">
        <w:rPr>
          <w:bCs/>
          <w:lang w:val="en-US"/>
        </w:rPr>
        <w:t xml:space="preserve"> </w:t>
      </w:r>
      <w:r w:rsidRPr="00562454">
        <w:t>cultural heritage is clearly being targeted “</w:t>
      </w:r>
      <w:r>
        <w:t xml:space="preserve">not </w:t>
      </w:r>
      <w:r w:rsidRPr="00562454">
        <w:t xml:space="preserve">in spite of the prohibitions on attacking cultural heritage and </w:t>
      </w:r>
      <w:r w:rsidRPr="00562454">
        <w:lastRenderedPageBreak/>
        <w:t>notwithstanding the value of the objects in question, but precisely because of that value and those no</w:t>
      </w:r>
      <w:r>
        <w:t>rms”</w:t>
      </w:r>
      <w:r w:rsidRPr="00562454">
        <w:rPr>
          <w:rStyle w:val="FootnoteReference"/>
        </w:rPr>
        <w:footnoteReference w:id="24"/>
      </w:r>
      <w:r>
        <w:t>.</w:t>
      </w:r>
    </w:p>
    <w:p w:rsidR="00594789" w:rsidRDefault="00594789" w:rsidP="00594789">
      <w:pPr>
        <w:pStyle w:val="SingleTxtG"/>
        <w:rPr>
          <w:lang w:val="en-US"/>
        </w:rPr>
      </w:pPr>
      <w:r>
        <w:t>8.</w:t>
      </w:r>
      <w:r>
        <w:tab/>
        <w:t>The prohibition of acts of deliberate destruction of cultural heritage is a norm of general international law, also applicable to non-state actors</w:t>
      </w:r>
      <w:r>
        <w:rPr>
          <w:rStyle w:val="FootnoteReference"/>
        </w:rPr>
        <w:footnoteReference w:id="25"/>
      </w:r>
      <w:r>
        <w:t xml:space="preserve">. </w:t>
      </w:r>
      <w:r w:rsidRPr="00562454">
        <w:t>The destruction of cultural heritage constitutes a war crime under</w:t>
      </w:r>
      <w:r>
        <w:t xml:space="preserve"> Article 8 of</w:t>
      </w:r>
      <w:r w:rsidRPr="00562454">
        <w:t xml:space="preserve"> the Internati</w:t>
      </w:r>
      <w:r>
        <w:t>onal Criminal Court’s Statute. In 2016 t</w:t>
      </w:r>
      <w:r w:rsidRPr="00562454">
        <w:t xml:space="preserve">he </w:t>
      </w:r>
      <w:r>
        <w:t>C</w:t>
      </w:r>
      <w:r w:rsidRPr="00562454">
        <w:t>ourt</w:t>
      </w:r>
      <w:r>
        <w:t>,</w:t>
      </w:r>
      <w:r w:rsidRPr="00562454">
        <w:t xml:space="preserve"> </w:t>
      </w:r>
      <w:r>
        <w:t xml:space="preserve">for the </w:t>
      </w:r>
      <w:r w:rsidRPr="00562454">
        <w:t xml:space="preserve">first </w:t>
      </w:r>
      <w:r>
        <w:t xml:space="preserve">time, condemned on this basis an individual </w:t>
      </w:r>
      <w:r w:rsidRPr="00562454">
        <w:t xml:space="preserve">for </w:t>
      </w:r>
      <w:r>
        <w:t xml:space="preserve">the </w:t>
      </w:r>
      <w:r w:rsidRPr="00562454">
        <w:t>destruction of cultural monuments</w:t>
      </w:r>
      <w:r>
        <w:t xml:space="preserve"> in the case</w:t>
      </w:r>
      <w:r w:rsidRPr="00562454">
        <w:t xml:space="preserve"> against a jihadi leader accused of demolishing ancient </w:t>
      </w:r>
      <w:r>
        <w:t>mausoleums in Timbuktu (Mali)</w:t>
      </w:r>
      <w:r w:rsidRPr="00562454">
        <w:rPr>
          <w:rStyle w:val="FootnoteReference"/>
        </w:rPr>
        <w:footnoteReference w:id="26"/>
      </w:r>
      <w:r>
        <w:t xml:space="preserve">. </w:t>
      </w:r>
      <w:r w:rsidRPr="00562454">
        <w:t xml:space="preserve">Increasingly, </w:t>
      </w:r>
      <w:r>
        <w:t xml:space="preserve">it is acknowledged that </w:t>
      </w:r>
      <w:r w:rsidRPr="00562454">
        <w:rPr>
          <w:lang w:val="en-US"/>
        </w:rPr>
        <w:t>acts of intentional destruction may under certain circumstances constitute “cultural cleansing”</w:t>
      </w:r>
      <w:r>
        <w:rPr>
          <w:lang w:val="en-US"/>
        </w:rPr>
        <w:t xml:space="preserve"> since</w:t>
      </w:r>
      <w:r w:rsidRPr="00562454">
        <w:rPr>
          <w:lang w:val="en-US"/>
        </w:rPr>
        <w:t xml:space="preserve"> they take the terrorization of a population to a new level by attacking even its history</w:t>
      </w:r>
      <w:r>
        <w:rPr>
          <w:lang w:val="en-US"/>
        </w:rPr>
        <w:t xml:space="preserve">. Such cases </w:t>
      </w:r>
      <w:r w:rsidRPr="00562454">
        <w:rPr>
          <w:lang w:val="en-US"/>
        </w:rPr>
        <w:t xml:space="preserve">represent an urgent challenge to cultural rights, </w:t>
      </w:r>
      <w:r>
        <w:rPr>
          <w:lang w:val="en-US"/>
        </w:rPr>
        <w:t xml:space="preserve">and calls for a </w:t>
      </w:r>
      <w:r w:rsidRPr="00562454">
        <w:rPr>
          <w:lang w:val="en-US"/>
        </w:rPr>
        <w:t>rapid and thoughtful inter</w:t>
      </w:r>
      <w:r>
        <w:rPr>
          <w:lang w:val="en-US"/>
        </w:rPr>
        <w:t>national response</w:t>
      </w:r>
      <w:r w:rsidRPr="00562454">
        <w:rPr>
          <w:rStyle w:val="FootnoteReference"/>
          <w:lang w:val="en-US"/>
        </w:rPr>
        <w:footnoteReference w:id="27"/>
      </w:r>
      <w:r>
        <w:rPr>
          <w:lang w:val="en-US"/>
        </w:rPr>
        <w:t>.</w:t>
      </w:r>
    </w:p>
    <w:p w:rsidR="00594789" w:rsidRDefault="00594789" w:rsidP="00594789">
      <w:pPr>
        <w:pStyle w:val="SingleTxtG"/>
      </w:pPr>
      <w:r>
        <w:rPr>
          <w:lang w:val="en-US"/>
        </w:rPr>
        <w:t>9.</w:t>
      </w:r>
      <w:r>
        <w:rPr>
          <w:lang w:val="en-US"/>
        </w:rPr>
        <w:tab/>
      </w:r>
      <w:r>
        <w:t>Destruction of cultural heritage is most often irreversible and is motivated by the desire of annihilating the identity of a group and erasing its collective memory. International community cannot remain impassive before such evidence. Time is of the essence. States are unequivocally instructed to prevent, avoid, stop and suppress intentional destructions, whenever such heritage is located</w:t>
      </w:r>
      <w:r>
        <w:rPr>
          <w:rStyle w:val="FootnoteReference"/>
        </w:rPr>
        <w:footnoteReference w:id="28"/>
      </w:r>
      <w:r>
        <w:t>. They are particularly called to refrain from any military use or targeting of cultural property in compliance with IHL and complementary human rights applicable norms. Enhanced cooperation is also needed to prevent and combat the looting, smuggling and illicit trafficking in cultural objects. UN bodies should also enhance coordination to strengthen the implementation of the international legal framework</w:t>
      </w:r>
      <w:r>
        <w:rPr>
          <w:rStyle w:val="FootnoteReference"/>
        </w:rPr>
        <w:footnoteReference w:id="29"/>
      </w:r>
      <w:r w:rsidR="00DC05A3">
        <w:t>.</w:t>
      </w:r>
    </w:p>
    <w:p w:rsidR="00594789" w:rsidRDefault="00594789" w:rsidP="00594789">
      <w:pPr>
        <w:pStyle w:val="SingleTxtG"/>
      </w:pPr>
      <w:r>
        <w:t>10.</w:t>
      </w:r>
      <w:r>
        <w:tab/>
      </w:r>
      <w:r w:rsidRPr="00562454">
        <w:t xml:space="preserve">By Resolution 2199 (2015) the </w:t>
      </w:r>
      <w:r>
        <w:t xml:space="preserve">Security Council </w:t>
      </w:r>
      <w:r w:rsidRPr="00562454">
        <w:t xml:space="preserve">condemned the destruction of cultural heritage in Iraq and Syria particularly by ISIL and ANF “including targeted destruction of religious sites and objects” regardless </w:t>
      </w:r>
      <w:r>
        <w:t>incidental or deliberate</w:t>
      </w:r>
      <w:r>
        <w:rPr>
          <w:rStyle w:val="FootnoteReference"/>
        </w:rPr>
        <w:footnoteReference w:id="30"/>
      </w:r>
      <w:r>
        <w:t xml:space="preserve">. It called upon to Member States </w:t>
      </w:r>
      <w:r w:rsidRPr="00562454">
        <w:t xml:space="preserve">to take </w:t>
      </w:r>
      <w:r>
        <w:t xml:space="preserve">all </w:t>
      </w:r>
      <w:r w:rsidRPr="00562454">
        <w:t>appropriate steps to</w:t>
      </w:r>
      <w:r>
        <w:t>:</w:t>
      </w:r>
      <w:r w:rsidRPr="00562454">
        <w:t xml:space="preserve"> </w:t>
      </w:r>
      <w:r>
        <w:t xml:space="preserve">1) </w:t>
      </w:r>
      <w:r w:rsidRPr="00562454">
        <w:t>prevent the trade in Iraqi and Syrian cultural property and other items of archaeological, historical, cultural, rare scientific and religious importance illegally removed from Iraq and Syria, including by prohibiting cr</w:t>
      </w:r>
      <w:r>
        <w:t xml:space="preserve">oss-border trade in such items; 2) restoring looted or trafficked cultural properties </w:t>
      </w:r>
      <w:r w:rsidRPr="00562454">
        <w:t xml:space="preserve">to the Iraqi and Syrian people and calls upon the </w:t>
      </w:r>
      <w:r>
        <w:t>UNESCO</w:t>
      </w:r>
      <w:r w:rsidRPr="00562454">
        <w:t>, Interpol, and other international organizations, as appr</w:t>
      </w:r>
      <w:r>
        <w:t>opriate, to assist in this task</w:t>
      </w:r>
      <w:r>
        <w:rPr>
          <w:rStyle w:val="FootnoteReference"/>
        </w:rPr>
        <w:footnoteReference w:id="31"/>
      </w:r>
      <w:r w:rsidRPr="00562454">
        <w:t xml:space="preserve">. </w:t>
      </w:r>
    </w:p>
    <w:p w:rsidR="00594789" w:rsidRDefault="00594789" w:rsidP="00594789">
      <w:pPr>
        <w:pStyle w:val="SingleTxtG"/>
        <w:rPr>
          <w:lang w:val="en-US"/>
        </w:rPr>
      </w:pPr>
      <w:r>
        <w:t>11.</w:t>
      </w:r>
      <w:r>
        <w:tab/>
      </w:r>
      <w:r w:rsidRPr="00A85BC0">
        <w:t>According the 2003 UNESCO Declaration concerning the Intentional Destruction of Cultural Heritage</w:t>
      </w:r>
      <w:r w:rsidRPr="00562454">
        <w:t xml:space="preserve"> intentional destruction of cultural heritage “may have adverse </w:t>
      </w:r>
      <w:r w:rsidRPr="00562454">
        <w:lastRenderedPageBreak/>
        <w:t>consequences on human dignity and human rights”</w:t>
      </w:r>
      <w:r w:rsidRPr="00562454">
        <w:rPr>
          <w:rStyle w:val="FootnoteReference"/>
        </w:rPr>
        <w:footnoteReference w:id="32"/>
      </w:r>
      <w:r w:rsidRPr="00562454">
        <w:t xml:space="preserve">. </w:t>
      </w:r>
      <w:r>
        <w:t xml:space="preserve">Building on this statement, a human </w:t>
      </w:r>
      <w:r w:rsidRPr="00562454">
        <w:t>rights</w:t>
      </w:r>
      <w:r>
        <w:t xml:space="preserve"> perspective has been increasingly introduced in the debate. In fact, is increasingly believed that such approach would allow going beyond in the protection of cultural heritage, by bringing into the discussion the rights of individuals and groups “to connect cultural heritage with its source of production”</w:t>
      </w:r>
      <w:r>
        <w:rPr>
          <w:rStyle w:val="FootnoteReference"/>
        </w:rPr>
        <w:footnoteReference w:id="33"/>
      </w:r>
      <w:r>
        <w:t>. Existing connections between tangible and intangible heritage should be further emphasized, as t</w:t>
      </w:r>
      <w:r>
        <w:rPr>
          <w:lang w:val="en-US"/>
        </w:rPr>
        <w:t>he</w:t>
      </w:r>
      <w:r w:rsidRPr="00562454">
        <w:t xml:space="preserve"> Committee on Economic, Social and Cultural Rights’ States’ </w:t>
      </w:r>
      <w:r>
        <w:t xml:space="preserve">has stated, </w:t>
      </w:r>
      <w:r w:rsidRPr="00562454">
        <w:t>the obligations to respect and to protect freedoms, cultural heritage and cultural diversity are interconnected. It is impossible to separate a people’s cultural heritage from the people itself and their rights</w:t>
      </w:r>
      <w:r w:rsidRPr="00562454">
        <w:rPr>
          <w:rStyle w:val="FootnoteReference"/>
        </w:rPr>
        <w:footnoteReference w:id="34"/>
      </w:r>
      <w:r>
        <w:t xml:space="preserve">. As the ICJ Judge Cançado Trindade has observed, the </w:t>
      </w:r>
      <w:r w:rsidRPr="00562454">
        <w:t>ultimate titulaires of the right to the safeguard and preservation of their cultural and spiritual heritage are the collectivities of human beings concerned</w:t>
      </w:r>
      <w:r>
        <w:t>, or else humankind as a whole”</w:t>
      </w:r>
      <w:r w:rsidRPr="00562454">
        <w:rPr>
          <w:rStyle w:val="FootnoteReference"/>
          <w:lang w:val="en-US"/>
        </w:rPr>
        <w:footnoteReference w:id="35"/>
      </w:r>
      <w:r>
        <w:rPr>
          <w:lang w:val="en-US"/>
        </w:rPr>
        <w:t>.</w:t>
      </w:r>
    </w:p>
    <w:p w:rsidR="00594789" w:rsidRDefault="00594789" w:rsidP="00594789">
      <w:pPr>
        <w:pStyle w:val="SingleTxtG"/>
      </w:pPr>
      <w:r>
        <w:rPr>
          <w:lang w:val="en-US"/>
        </w:rPr>
        <w:t>12.</w:t>
      </w:r>
      <w:r>
        <w:rPr>
          <w:lang w:val="en-US"/>
        </w:rPr>
        <w:tab/>
      </w:r>
      <w:r>
        <w:t xml:space="preserve">The Human Rights Council should take a more pro-active stance before this concerning trend and contribute to the debate to the intentional destruction of cultural heritage by highlighting the human rights related concerns and issues which are involved. Resolution 33/20 on the </w:t>
      </w:r>
      <w:r w:rsidRPr="008E3CB6">
        <w:t>Cultural rights and the protection of cultural heritage</w:t>
      </w:r>
      <w:r>
        <w:t xml:space="preserve"> adopted by consensus on September 2016 constitutes an important step in this direction. The HRC r</w:t>
      </w:r>
      <w:r w:rsidRPr="008E3CB6">
        <w:t>ecogniz</w:t>
      </w:r>
      <w:r>
        <w:t>ed that “</w:t>
      </w:r>
      <w:r w:rsidRPr="008E3CB6">
        <w:t>addressing</w:t>
      </w:r>
      <w:r>
        <w:t xml:space="preserve"> </w:t>
      </w:r>
      <w:r w:rsidRPr="008E3CB6">
        <w:t>the destruction of tangible and intangible cultural heritage needs to be holistic, encompassing all regions, contemplating both prevention and accountability, focusing on acts by State and non-State actors in both conflict and non-conflict situations,</w:t>
      </w:r>
      <w:r>
        <w:t xml:space="preserve"> </w:t>
      </w:r>
      <w:r w:rsidRPr="008E3CB6">
        <w:t>and</w:t>
      </w:r>
      <w:r>
        <w:t xml:space="preserve"> terrorist acts”. It further </w:t>
      </w:r>
      <w:r w:rsidRPr="00CC4B9A">
        <w:t>decided to convene, before the thirty-sixth session, a one-day intersessional seminar on ways to prevent, contain and/or mitigate the detrimental impact of</w:t>
      </w:r>
      <w:r>
        <w:t xml:space="preserve"> </w:t>
      </w:r>
      <w:r w:rsidRPr="00CC4B9A">
        <w:t>the damage to or destruction of cultural heritage on</w:t>
      </w:r>
      <w:r>
        <w:t xml:space="preserve"> </w:t>
      </w:r>
      <w:r w:rsidRPr="00CC4B9A">
        <w:t>the enjoyment of human rights, including cultural rights by all,</w:t>
      </w:r>
      <w:r>
        <w:t xml:space="preserve"> </w:t>
      </w:r>
      <w:r w:rsidRPr="00CC4B9A">
        <w:t>and on</w:t>
      </w:r>
      <w:r>
        <w:t xml:space="preserve"> best practices in this regard and to present a summary report</w:t>
      </w:r>
      <w:r w:rsidRPr="00CC4B9A">
        <w:t xml:space="preserve"> at its thirty-seventh session</w:t>
      </w:r>
      <w:r>
        <w:t xml:space="preserve">. </w:t>
      </w:r>
    </w:p>
    <w:p w:rsidR="00594789" w:rsidRDefault="00594789" w:rsidP="001618FC">
      <w:pPr>
        <w:pStyle w:val="SingleTxtG"/>
      </w:pPr>
      <w:r>
        <w:t>13.</w:t>
      </w:r>
      <w:r>
        <w:tab/>
        <w:t xml:space="preserve">A holistic approach is therefore needed to unify the different policies, strategies and positions that have been put forward by the different actors. To that end, the </w:t>
      </w:r>
      <w:r w:rsidRPr="00562454">
        <w:t xml:space="preserve">Advisory Committee </w:t>
      </w:r>
      <w:r>
        <w:t xml:space="preserve">could be mandated to develop a desk-study focussing </w:t>
      </w:r>
      <w:r w:rsidRPr="00562454">
        <w:t xml:space="preserve">on the </w:t>
      </w:r>
      <w:r>
        <w:t xml:space="preserve">negative impact of the destruction of cultural heritage on the </w:t>
      </w:r>
      <w:r w:rsidRPr="00562454">
        <w:t>en</w:t>
      </w:r>
      <w:r>
        <w:t>joyment of economic, social and</w:t>
      </w:r>
      <w:r w:rsidRPr="00562454">
        <w:t xml:space="preserve"> cultural rights</w:t>
      </w:r>
      <w:r>
        <w:t xml:space="preserve">, and the right to development. More specifically, the Advisory Committee’s research study would aim at supporting the implementation of </w:t>
      </w:r>
      <w:r w:rsidR="00F35754">
        <w:t>Council r</w:t>
      </w:r>
      <w:r>
        <w:t>esolution 33/20 as well as the mandate of the Special Rapporteur in the field of cultural rights by: a) taking stock of the existing international initiatives, rules and good practices</w:t>
      </w:r>
      <w:r w:rsidRPr="00B70516">
        <w:t xml:space="preserve"> </w:t>
      </w:r>
      <w:r>
        <w:t xml:space="preserve">both at national and international level; b) identifying the main human rights issues which are at stake; c) addressing illegal </w:t>
      </w:r>
      <w:r w:rsidRPr="00562454">
        <w:t>trade</w:t>
      </w:r>
      <w:r>
        <w:t xml:space="preserve"> in cultural property and failures of current policies to tackle this problem; d) making recommendations for actions to States, IOs, NGOs and other stakeholders</w:t>
      </w:r>
      <w:r w:rsidRPr="002649A6">
        <w:t xml:space="preserve"> </w:t>
      </w:r>
      <w:r>
        <w:t xml:space="preserve">to strengthening a human-rights based approach. </w:t>
      </w:r>
    </w:p>
    <w:p w:rsidR="0046556B" w:rsidRPr="00222B2C" w:rsidRDefault="0046556B" w:rsidP="004A62B2">
      <w:pPr>
        <w:spacing w:before="240"/>
        <w:jc w:val="center"/>
        <w:rPr>
          <w:u w:val="single"/>
        </w:rPr>
      </w:pPr>
      <w:r>
        <w:rPr>
          <w:u w:val="single"/>
        </w:rPr>
        <w:tab/>
      </w:r>
      <w:r>
        <w:rPr>
          <w:u w:val="single"/>
        </w:rPr>
        <w:tab/>
      </w:r>
      <w:r>
        <w:rPr>
          <w:u w:val="single"/>
        </w:rPr>
        <w:tab/>
      </w:r>
    </w:p>
    <w:sectPr w:rsidR="0046556B" w:rsidRPr="00222B2C" w:rsidSect="00EB400B">
      <w:headerReference w:type="even" r:id="rId18"/>
      <w:headerReference w:type="default" r:id="rId19"/>
      <w:footerReference w:type="even" r:id="rId20"/>
      <w:footerReference w:type="default" r:id="rId2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6E" w:rsidRDefault="00F02F6E"/>
  </w:endnote>
  <w:endnote w:type="continuationSeparator" w:id="0">
    <w:p w:rsidR="00F02F6E" w:rsidRDefault="00F02F6E"/>
  </w:endnote>
  <w:endnote w:type="continuationNotice" w:id="1">
    <w:p w:rsidR="00F02F6E" w:rsidRDefault="00F02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044525" w:rsidRDefault="00F02F6E" w:rsidP="00044525">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6</w:t>
    </w:r>
    <w:r w:rsidRPr="000445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044525" w:rsidRDefault="00F02F6E" w:rsidP="00044525">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7</w:t>
    </w:r>
    <w:r w:rsidRPr="000445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F02F6E" w:rsidTr="00870FA6">
      <w:tc>
        <w:tcPr>
          <w:tcW w:w="3758" w:type="dxa"/>
          <w:shd w:val="clear" w:color="auto" w:fill="auto"/>
        </w:tcPr>
        <w:p w:rsidR="00F02F6E" w:rsidRPr="004A62B2" w:rsidRDefault="00F02F6E" w:rsidP="004A62B2">
          <w:pPr>
            <w:pStyle w:val="Footer"/>
            <w:rPr>
              <w:rFonts w:ascii="Barcode 3 of 9 by request" w:hAnsi="Barcode 3 of 9 by request"/>
              <w:sz w:val="24"/>
            </w:rPr>
          </w:pPr>
        </w:p>
      </w:tc>
      <w:tc>
        <w:tcPr>
          <w:tcW w:w="4632" w:type="dxa"/>
          <w:shd w:val="clear" w:color="auto" w:fill="auto"/>
        </w:tcPr>
        <w:p w:rsidR="00F02F6E" w:rsidRDefault="00F02F6E" w:rsidP="004A62B2">
          <w:pPr>
            <w:pStyle w:val="Footer"/>
            <w:spacing w:line="240" w:lineRule="atLeast"/>
            <w:jc w:val="right"/>
            <w:rPr>
              <w:sz w:val="20"/>
            </w:rPr>
          </w:pPr>
        </w:p>
      </w:tc>
    </w:tr>
  </w:tbl>
  <w:p w:rsidR="00F02F6E" w:rsidRPr="004A62B2" w:rsidRDefault="00F02F6E" w:rsidP="004A62B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Footer"/>
      <w:tabs>
        <w:tab w:val="right" w:pos="9598"/>
      </w:tabs>
      <w:rPr>
        <w:b/>
        <w:sz w:val="18"/>
      </w:rPr>
    </w:pPr>
    <w:r w:rsidRPr="00EB400B">
      <w:rPr>
        <w:b/>
        <w:sz w:val="18"/>
      </w:rPr>
      <w:fldChar w:fldCharType="begin"/>
    </w:r>
    <w:r w:rsidRPr="00EB400B">
      <w:rPr>
        <w:b/>
        <w:sz w:val="18"/>
      </w:rPr>
      <w:instrText xml:space="preserve"> PAGE  \* MERGEFORMAT </w:instrText>
    </w:r>
    <w:r w:rsidRPr="00EB400B">
      <w:rPr>
        <w:b/>
        <w:sz w:val="18"/>
      </w:rPr>
      <w:fldChar w:fldCharType="separate"/>
    </w:r>
    <w:r w:rsidR="00011D9A">
      <w:rPr>
        <w:b/>
        <w:noProof/>
        <w:sz w:val="18"/>
      </w:rPr>
      <w:t>18</w:t>
    </w:r>
    <w:r w:rsidRPr="00EB400B">
      <w:rPr>
        <w:b/>
        <w:sz w:val="18"/>
      </w:rPr>
      <w:fldChar w:fldCharType="end"/>
    </w:r>
    <w:r>
      <w:rPr>
        <w:b/>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Footer"/>
      <w:tabs>
        <w:tab w:val="right" w:pos="9598"/>
      </w:tabs>
      <w:rPr>
        <w:b/>
        <w:sz w:val="18"/>
      </w:rPr>
    </w:pPr>
    <w:r>
      <w:tab/>
    </w:r>
    <w:r w:rsidRPr="00EB400B">
      <w:rPr>
        <w:b/>
        <w:sz w:val="18"/>
      </w:rPr>
      <w:fldChar w:fldCharType="begin"/>
    </w:r>
    <w:r w:rsidRPr="00EB400B">
      <w:rPr>
        <w:b/>
        <w:sz w:val="18"/>
      </w:rPr>
      <w:instrText xml:space="preserve"> PAGE  \* MERGEFORMAT </w:instrText>
    </w:r>
    <w:r w:rsidRPr="00EB400B">
      <w:rPr>
        <w:b/>
        <w:sz w:val="18"/>
      </w:rPr>
      <w:fldChar w:fldCharType="separate"/>
    </w:r>
    <w:r w:rsidR="00011D9A">
      <w:rPr>
        <w:b/>
        <w:noProof/>
        <w:sz w:val="18"/>
      </w:rPr>
      <w:t>17</w:t>
    </w:r>
    <w:r w:rsidRPr="00EB400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6E" w:rsidRDefault="00F02F6E">
      <w:pPr>
        <w:tabs>
          <w:tab w:val="right" w:pos="2155"/>
        </w:tabs>
        <w:spacing w:after="80"/>
        <w:ind w:left="680"/>
        <w:rPr>
          <w:u w:val="single"/>
        </w:rPr>
      </w:pPr>
      <w:r>
        <w:rPr>
          <w:u w:val="single"/>
        </w:rPr>
        <w:tab/>
      </w:r>
    </w:p>
  </w:footnote>
  <w:footnote w:type="continuationSeparator" w:id="0">
    <w:p w:rsidR="00F02F6E" w:rsidRDefault="00F02F6E">
      <w:pPr>
        <w:tabs>
          <w:tab w:val="left" w:pos="2155"/>
        </w:tabs>
        <w:spacing w:after="80"/>
        <w:ind w:left="680"/>
        <w:rPr>
          <w:u w:val="single"/>
        </w:rPr>
      </w:pPr>
      <w:r>
        <w:rPr>
          <w:u w:val="single"/>
        </w:rPr>
        <w:tab/>
      </w:r>
    </w:p>
  </w:footnote>
  <w:footnote w:type="continuationNotice" w:id="1">
    <w:p w:rsidR="00F02F6E" w:rsidRDefault="00F02F6E"/>
  </w:footnote>
  <w:footnote w:id="2">
    <w:p w:rsidR="00F02F6E" w:rsidRPr="004039CC" w:rsidRDefault="00F02F6E" w:rsidP="006F0857">
      <w:pPr>
        <w:pStyle w:val="FootnoteText"/>
      </w:pPr>
      <w:r>
        <w:tab/>
      </w:r>
      <w:r w:rsidRPr="007C5719">
        <w:rPr>
          <w:rStyle w:val="FootnoteReference"/>
          <w:sz w:val="20"/>
          <w:vertAlign w:val="baseline"/>
        </w:rPr>
        <w:t>*</w:t>
      </w:r>
      <w:r w:rsidRPr="00A2258D">
        <w:rPr>
          <w:sz w:val="20"/>
        </w:rPr>
        <w:tab/>
      </w:r>
      <w:r>
        <w:rPr>
          <w:sz w:val="20"/>
        </w:rPr>
        <w:t xml:space="preserve">The </w:t>
      </w:r>
      <w:r>
        <w:t>a</w:t>
      </w:r>
      <w:r w:rsidRPr="00EE5563">
        <w:t xml:space="preserve">nnexes to the present report are </w:t>
      </w:r>
      <w:r w:rsidRPr="00EE5563">
        <w:rPr>
          <w:lang w:eastAsia="en-GB"/>
        </w:rPr>
        <w:t>circulated in the language of submission only.</w:t>
      </w:r>
    </w:p>
  </w:footnote>
  <w:footnote w:id="3">
    <w:p w:rsidR="00C23BDE" w:rsidRDefault="00C23BDE" w:rsidP="00C23BDE">
      <w:pPr>
        <w:pStyle w:val="FootnoteText"/>
        <w:widowControl w:val="0"/>
        <w:rPr>
          <w:rFonts w:eastAsia="Times New Roman"/>
          <w:lang w:eastAsia="en-US"/>
        </w:rPr>
      </w:pPr>
      <w:r>
        <w:tab/>
      </w:r>
      <w:r>
        <w:rPr>
          <w:rStyle w:val="FootnoteReference"/>
        </w:rPr>
        <w:footnoteRef/>
      </w:r>
      <w:r>
        <w:tab/>
      </w:r>
      <w:r>
        <w:rPr>
          <w:iCs/>
        </w:rPr>
        <w:t>A/HRC/AC/17/CRP.1</w:t>
      </w:r>
      <w:r>
        <w:t>.</w:t>
      </w:r>
    </w:p>
  </w:footnote>
  <w:footnote w:id="4">
    <w:p w:rsidR="00C23BDE" w:rsidRDefault="00C23BDE" w:rsidP="00C23BDE">
      <w:pPr>
        <w:pStyle w:val="FootnoteText"/>
        <w:widowControl w:val="0"/>
      </w:pPr>
      <w:r>
        <w:tab/>
      </w:r>
      <w:r>
        <w:rPr>
          <w:rStyle w:val="FootnoteReference"/>
        </w:rPr>
        <w:footnoteRef/>
      </w:r>
      <w:r>
        <w:tab/>
      </w:r>
      <w:r>
        <w:rPr>
          <w:iCs/>
        </w:rPr>
        <w:t>A/HRC/AC/18/CRP.1</w:t>
      </w:r>
      <w:r>
        <w:t>.</w:t>
      </w:r>
    </w:p>
  </w:footnote>
  <w:footnote w:id="5">
    <w:p w:rsidR="00C23BDE" w:rsidRDefault="00C23BDE" w:rsidP="00C23BDE">
      <w:pPr>
        <w:pStyle w:val="FootnoteText"/>
        <w:widowControl w:val="0"/>
      </w:pPr>
      <w:r>
        <w:tab/>
      </w:r>
      <w:r>
        <w:rPr>
          <w:rStyle w:val="FootnoteReference"/>
        </w:rPr>
        <w:footnoteRef/>
      </w:r>
      <w:r>
        <w:tab/>
        <w:t>A/HRC/AC/18/CRP.4.</w:t>
      </w:r>
    </w:p>
  </w:footnote>
  <w:footnote w:id="6">
    <w:p w:rsidR="00C23BDE" w:rsidRDefault="00C23BDE" w:rsidP="00C23BDE">
      <w:pPr>
        <w:pStyle w:val="FootnoteText"/>
        <w:widowControl w:val="0"/>
      </w:pPr>
      <w:r>
        <w:tab/>
      </w:r>
      <w:r>
        <w:rPr>
          <w:rStyle w:val="FootnoteReference"/>
        </w:rPr>
        <w:footnoteRef/>
      </w:r>
      <w:r>
        <w:tab/>
      </w:r>
      <w:proofErr w:type="gramStart"/>
      <w:r>
        <w:t>A/HRC/33/53.</w:t>
      </w:r>
      <w:proofErr w:type="gramEnd"/>
    </w:p>
  </w:footnote>
  <w:footnote w:id="7">
    <w:p w:rsidR="00C23BDE" w:rsidRDefault="00C23BDE" w:rsidP="00C23BDE">
      <w:pPr>
        <w:pStyle w:val="FootnoteText"/>
        <w:widowControl w:val="0"/>
      </w:pPr>
      <w:r>
        <w:tab/>
      </w:r>
      <w:r>
        <w:rPr>
          <w:rStyle w:val="FootnoteReference"/>
        </w:rPr>
        <w:footnoteRef/>
      </w:r>
      <w:r>
        <w:tab/>
        <w:t>A/HRC/AC/18/CRP.2.</w:t>
      </w:r>
    </w:p>
  </w:footnote>
  <w:footnote w:id="8">
    <w:p w:rsidR="00C23BDE" w:rsidRDefault="00C23BDE" w:rsidP="00C23BDE">
      <w:pPr>
        <w:pStyle w:val="FootnoteText"/>
        <w:widowControl w:val="0"/>
      </w:pPr>
      <w:r>
        <w:tab/>
      </w:r>
      <w:r>
        <w:rPr>
          <w:rStyle w:val="FootnoteReference"/>
        </w:rPr>
        <w:footnoteRef/>
      </w:r>
      <w:r>
        <w:tab/>
        <w:t>A/HRC/AC/18/CRP.3.</w:t>
      </w:r>
    </w:p>
  </w:footnote>
  <w:footnote w:id="9">
    <w:p w:rsidR="00F02F6E" w:rsidRPr="003A12C9" w:rsidRDefault="009056D0" w:rsidP="009056D0">
      <w:pPr>
        <w:pStyle w:val="FootnoteText"/>
        <w:widowControl w:val="0"/>
        <w:rPr>
          <w:lang w:val="en-GB"/>
        </w:rPr>
      </w:pPr>
      <w:r>
        <w:tab/>
      </w:r>
      <w:r w:rsidR="00F02F6E">
        <w:rPr>
          <w:rStyle w:val="FootnoteReference"/>
        </w:rPr>
        <w:footnoteRef/>
      </w:r>
      <w:r>
        <w:tab/>
      </w:r>
      <w:r w:rsidR="00413C67">
        <w:t>O</w:t>
      </w:r>
      <w:r w:rsidR="00313123" w:rsidRPr="00313123">
        <w:t>ne seat is vacant for a member from Eastern European States and will be filled by the Human Rights Council at its thirty-fourth session in March 2017.</w:t>
      </w:r>
    </w:p>
  </w:footnote>
  <w:footnote w:id="10">
    <w:p w:rsidR="00F02F6E" w:rsidRPr="00490AF6" w:rsidRDefault="00F02F6E" w:rsidP="00FB16FC">
      <w:pPr>
        <w:pStyle w:val="FootnoteText"/>
        <w:widowControl w:val="0"/>
        <w:tabs>
          <w:tab w:val="clear" w:pos="1021"/>
          <w:tab w:val="right" w:pos="1020"/>
        </w:tabs>
      </w:pPr>
      <w:r>
        <w:tab/>
      </w:r>
      <w:r>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11">
    <w:p w:rsidR="00594789" w:rsidRPr="001B1FF1" w:rsidRDefault="009056D0" w:rsidP="009056D0">
      <w:pPr>
        <w:pStyle w:val="FootnoteText"/>
        <w:widowControl w:val="0"/>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“Intentional destruction” is defined as “an act intended to destroy in whole or in part cultural heritage, thus</w:t>
      </w:r>
      <w:r w:rsidR="00F2784D">
        <w:rPr>
          <w:szCs w:val="18"/>
          <w:lang w:val="en-GB"/>
        </w:rPr>
        <w:t xml:space="preserve"> </w:t>
      </w:r>
      <w:r w:rsidR="00594789" w:rsidRPr="001B1FF1">
        <w:rPr>
          <w:szCs w:val="18"/>
          <w:lang w:val="en-GB"/>
        </w:rPr>
        <w:t>compromising its integrity, in a manner which constitutes a violation of international law or an unjustifiable offence to the principles of humanity and dictates of public conscience”.</w:t>
      </w:r>
    </w:p>
  </w:footnote>
  <w:footnote w:id="12">
    <w:p w:rsidR="00594789" w:rsidRPr="001B1FF1" w:rsidRDefault="009056D0" w:rsidP="009056D0">
      <w:pPr>
        <w:pStyle w:val="FootnoteText"/>
        <w:widowControl w:val="0"/>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The UNESCO is at the forefront in publicly denouncing and strongly condemning any acts of destruction of World</w:t>
      </w:r>
      <w:r>
        <w:rPr>
          <w:szCs w:val="18"/>
          <w:lang w:val="en-GB"/>
        </w:rPr>
        <w:t xml:space="preserve"> </w:t>
      </w:r>
      <w:r w:rsidR="00594789" w:rsidRPr="001B1FF1">
        <w:rPr>
          <w:szCs w:val="18"/>
          <w:lang w:val="en-GB"/>
        </w:rPr>
        <w:t xml:space="preserve">Heritage sites. In relation with the destruction of an iconic part of the Syrian site of Palmyra, the Director-General of </w:t>
      </w:r>
      <w:r>
        <w:rPr>
          <w:szCs w:val="18"/>
          <w:lang w:val="en-GB"/>
        </w:rPr>
        <w:t xml:space="preserve"> </w:t>
      </w:r>
      <w:r w:rsidR="00594789" w:rsidRPr="001B1FF1">
        <w:rPr>
          <w:szCs w:val="18"/>
          <w:lang w:val="en-GB"/>
        </w:rPr>
        <w:t xml:space="preserve">the organization said that ‘the systematic destruction of cultural symbols embodying Syrian cultural diversity reveals the true intent of such attacks, which is to deprive the Syrian people of its knowledge, its identity and history’. ‘Director-General Irina Bokova firmly condemns the destruction of Palmyra’s ancient temple of Baalshamin, Syria; </w:t>
      </w:r>
      <w:hyperlink r:id="rId1" w:history="1">
        <w:r w:rsidRPr="00C010C2">
          <w:rPr>
            <w:rStyle w:val="Hyperlink"/>
            <w:szCs w:val="18"/>
            <w:lang w:val="en-GB"/>
          </w:rPr>
          <w:t>http://en.unesco.org/news/director-general-irina-bokova-firmly-condemns-destruction-palmyra-s-ancient-temple-baalshamin</w:t>
        </w:r>
      </w:hyperlink>
    </w:p>
  </w:footnote>
  <w:footnote w:id="13">
    <w:p w:rsidR="00594789" w:rsidRPr="009056D0" w:rsidRDefault="009056D0" w:rsidP="009056D0">
      <w:pPr>
        <w:pStyle w:val="FootnoteText"/>
        <w:widowControl w:val="0"/>
        <w:rPr>
          <w:szCs w:val="18"/>
          <w:lang w:val="en-GB"/>
        </w:rPr>
      </w:pPr>
      <w:r>
        <w:rPr>
          <w:lang w:val="en-GB"/>
        </w:rPr>
        <w:tab/>
      </w:r>
      <w:r w:rsidR="00594789">
        <w:rPr>
          <w:rStyle w:val="FootnoteReference"/>
        </w:rPr>
        <w:footnoteRef/>
      </w:r>
      <w:r>
        <w:rPr>
          <w:lang w:val="en-GB"/>
        </w:rPr>
        <w:tab/>
      </w:r>
      <w:r w:rsidR="00C67622" w:rsidRPr="001B1FF1">
        <w:rPr>
          <w:szCs w:val="18"/>
          <w:lang w:val="en-GB"/>
        </w:rPr>
        <w:t xml:space="preserve">The </w:t>
      </w:r>
      <w:r w:rsidR="00C67622">
        <w:rPr>
          <w:szCs w:val="18"/>
          <w:lang w:val="en-GB"/>
        </w:rPr>
        <w:t>action</w:t>
      </w:r>
      <w:r w:rsidR="00C67622" w:rsidRPr="001B1FF1">
        <w:rPr>
          <w:szCs w:val="18"/>
          <w:lang w:val="en-GB"/>
        </w:rPr>
        <w:t xml:space="preserve"> of UNESCO, the UN Special Rapporteur in the field of cultural rights and international civil society,</w:t>
      </w:r>
      <w:r w:rsidR="00C67622">
        <w:rPr>
          <w:szCs w:val="18"/>
          <w:lang w:val="en-GB"/>
        </w:rPr>
        <w:t xml:space="preserve"> </w:t>
      </w:r>
      <w:r w:rsidR="00C67622" w:rsidRPr="001B1FF1">
        <w:rPr>
          <w:szCs w:val="18"/>
          <w:lang w:val="en-GB"/>
        </w:rPr>
        <w:t>such as the L’Association Mondiale ‘Patrimoine Vivant’, continues to be crucial in denouncing actions intentionally</w:t>
      </w:r>
      <w:r w:rsidR="00C67622">
        <w:rPr>
          <w:szCs w:val="18"/>
          <w:lang w:val="en-GB"/>
        </w:rPr>
        <w:t xml:space="preserve"> </w:t>
      </w:r>
      <w:r w:rsidR="00C67622" w:rsidRPr="001B1FF1">
        <w:rPr>
          <w:szCs w:val="18"/>
          <w:lang w:val="en-GB"/>
        </w:rPr>
        <w:t>aimed at devastating the cultural heritage as violations of cultural rights.</w:t>
      </w:r>
    </w:p>
  </w:footnote>
  <w:footnote w:id="14">
    <w:p w:rsidR="00594789" w:rsidRPr="005C33FD" w:rsidRDefault="009056D0" w:rsidP="009056D0">
      <w:pPr>
        <w:pStyle w:val="FootnoteText"/>
        <w:widowControl w:val="0"/>
        <w:rPr>
          <w:szCs w:val="18"/>
          <w:lang w:val="es-ES"/>
        </w:rPr>
      </w:pPr>
      <w:r w:rsidRPr="009056D0">
        <w:rPr>
          <w:szCs w:val="18"/>
          <w:lang w:val="en-GB"/>
        </w:rPr>
        <w:tab/>
      </w:r>
      <w:r w:rsidR="00594789" w:rsidRPr="001B1FF1">
        <w:rPr>
          <w:rStyle w:val="FootnoteReference"/>
          <w:szCs w:val="18"/>
        </w:rPr>
        <w:footnoteRef/>
      </w:r>
      <w:r>
        <w:rPr>
          <w:szCs w:val="18"/>
          <w:lang w:val="es-ES"/>
        </w:rPr>
        <w:tab/>
      </w:r>
      <w:r w:rsidR="00594789" w:rsidRPr="005C33FD">
        <w:rPr>
          <w:szCs w:val="18"/>
          <w:lang w:val="es-ES"/>
        </w:rPr>
        <w:t xml:space="preserve">A/71/317, para. 9. </w:t>
      </w:r>
    </w:p>
  </w:footnote>
  <w:footnote w:id="15">
    <w:p w:rsidR="00594789" w:rsidRPr="004B3136" w:rsidRDefault="009056D0" w:rsidP="009056D0">
      <w:pPr>
        <w:pStyle w:val="FootnoteText"/>
        <w:widowControl w:val="0"/>
        <w:rPr>
          <w:szCs w:val="18"/>
          <w:lang w:val="es-ES"/>
        </w:rPr>
      </w:pPr>
      <w:r>
        <w:rPr>
          <w:szCs w:val="18"/>
          <w:lang w:val="es-ES"/>
        </w:rPr>
        <w:tab/>
      </w:r>
      <w:r w:rsidR="00594789" w:rsidRPr="001B1FF1">
        <w:rPr>
          <w:rStyle w:val="FootnoteReference"/>
          <w:szCs w:val="18"/>
        </w:rPr>
        <w:footnoteRef/>
      </w:r>
      <w:r w:rsidRPr="004B3136">
        <w:rPr>
          <w:szCs w:val="18"/>
          <w:lang w:val="es-ES"/>
        </w:rPr>
        <w:tab/>
      </w:r>
      <w:r w:rsidR="00594789" w:rsidRPr="004B3136">
        <w:rPr>
          <w:szCs w:val="18"/>
          <w:lang w:val="es-ES"/>
        </w:rPr>
        <w:t>https://www.un.org/press/en/2017/sc12690.doc.htm</w:t>
      </w:r>
    </w:p>
  </w:footnote>
  <w:footnote w:id="16">
    <w:p w:rsidR="00594789" w:rsidRPr="001B1FF1" w:rsidRDefault="009056D0" w:rsidP="009056D0">
      <w:pPr>
        <w:pStyle w:val="FootnoteText"/>
        <w:widowControl w:val="0"/>
        <w:rPr>
          <w:szCs w:val="18"/>
          <w:lang w:val="en-GB"/>
        </w:rPr>
      </w:pPr>
      <w:r w:rsidRPr="004B3136">
        <w:rPr>
          <w:szCs w:val="18"/>
          <w:lang w:val="es-ES"/>
        </w:rPr>
        <w:tab/>
      </w:r>
      <w:r w:rsidR="00594789" w:rsidRPr="001B1FF1">
        <w:rPr>
          <w:rStyle w:val="FootnoteReference"/>
          <w:szCs w:val="18"/>
        </w:rPr>
        <w:footnoteRef/>
      </w:r>
      <w:r>
        <w:rPr>
          <w:szCs w:val="18"/>
          <w:lang w:val="en-GB"/>
        </w:rPr>
        <w:tab/>
      </w:r>
      <w:r w:rsidR="00594789">
        <w:rPr>
          <w:szCs w:val="18"/>
          <w:lang w:val="en-GB"/>
        </w:rPr>
        <w:t>See</w:t>
      </w:r>
      <w:r w:rsidR="00594789" w:rsidRPr="001B1FF1">
        <w:rPr>
          <w:szCs w:val="18"/>
          <w:lang w:val="en-GB"/>
        </w:rPr>
        <w:t xml:space="preserve">: </w:t>
      </w:r>
      <w:r w:rsidR="00594789" w:rsidRPr="001B1FF1">
        <w:rPr>
          <w:rStyle w:val="st"/>
          <w:szCs w:val="18"/>
          <w:lang w:val="en-GB"/>
        </w:rPr>
        <w:t>S/RES/</w:t>
      </w:r>
      <w:r w:rsidR="00594789" w:rsidRPr="00692284">
        <w:rPr>
          <w:rStyle w:val="Emphasis"/>
          <w:szCs w:val="18"/>
        </w:rPr>
        <w:t>2199</w:t>
      </w:r>
      <w:r w:rsidR="00594789" w:rsidRPr="00692284">
        <w:rPr>
          <w:rStyle w:val="st"/>
          <w:i/>
          <w:szCs w:val="18"/>
          <w:lang w:val="en-GB"/>
        </w:rPr>
        <w:t xml:space="preserve"> (</w:t>
      </w:r>
      <w:r w:rsidR="00594789" w:rsidRPr="00692284">
        <w:rPr>
          <w:rStyle w:val="Emphasis"/>
          <w:szCs w:val="18"/>
        </w:rPr>
        <w:t>2015</w:t>
      </w:r>
      <w:r w:rsidR="00594789" w:rsidRPr="00692284">
        <w:rPr>
          <w:rStyle w:val="st"/>
          <w:i/>
          <w:szCs w:val="18"/>
          <w:lang w:val="en-GB"/>
        </w:rPr>
        <w:t>).</w:t>
      </w:r>
      <w:r w:rsidR="00594789" w:rsidRPr="001B1FF1">
        <w:rPr>
          <w:rStyle w:val="st"/>
          <w:szCs w:val="18"/>
          <w:lang w:val="en-GB"/>
        </w:rPr>
        <w:t xml:space="preserve"> </w:t>
      </w:r>
    </w:p>
  </w:footnote>
  <w:footnote w:id="17">
    <w:p w:rsidR="005728D7" w:rsidRDefault="005728D7" w:rsidP="005728D7">
      <w:pPr>
        <w:pStyle w:val="FootnoteText"/>
        <w:widowControl w:val="0"/>
        <w:rPr>
          <w:szCs w:val="18"/>
          <w:lang w:val="en-GB"/>
        </w:rPr>
      </w:pPr>
      <w:r>
        <w:tab/>
      </w:r>
      <w:r w:rsidR="006B03E5">
        <w:rPr>
          <w:rStyle w:val="FootnoteReference"/>
        </w:rPr>
        <w:footnoteRef/>
      </w:r>
      <w:r w:rsidR="006B03E5">
        <w:t xml:space="preserve"> </w:t>
      </w:r>
      <w:r>
        <w:tab/>
      </w:r>
      <w:r w:rsidR="00C67622">
        <w:rPr>
          <w:szCs w:val="18"/>
          <w:lang w:val="en-GB"/>
        </w:rPr>
        <w:t>See:</w:t>
      </w:r>
      <w:r w:rsidR="00C67622" w:rsidRPr="001B1FF1">
        <w:rPr>
          <w:szCs w:val="18"/>
          <w:lang w:val="en-GB"/>
        </w:rPr>
        <w:t>Ch. Doppelhofer,</w:t>
      </w:r>
      <w:r w:rsidR="00C67622">
        <w:rPr>
          <w:szCs w:val="18"/>
          <w:lang w:val="en-GB"/>
        </w:rPr>
        <w:t xml:space="preserve"> ‘Will  Palmyra  rise  again?</w:t>
      </w:r>
      <w:r w:rsidRPr="001B1FF1">
        <w:rPr>
          <w:szCs w:val="18"/>
          <w:lang w:val="en-GB"/>
        </w:rPr>
        <w:t>War  Crimes  against Cultural Heritage and Post-war</w:t>
      </w:r>
      <w:r>
        <w:rPr>
          <w:szCs w:val="18"/>
          <w:lang w:val="en-GB"/>
        </w:rPr>
        <w:t xml:space="preserve"> reconstruction’;</w:t>
      </w:r>
    </w:p>
    <w:p w:rsidR="006B03E5" w:rsidRPr="004B3136" w:rsidRDefault="005728D7" w:rsidP="005728D7">
      <w:pPr>
        <w:pStyle w:val="FootnoteText"/>
        <w:widowControl w:val="0"/>
        <w:rPr>
          <w:szCs w:val="18"/>
          <w:lang w:val="en-GB"/>
        </w:rPr>
      </w:pPr>
      <w:r>
        <w:rPr>
          <w:szCs w:val="18"/>
          <w:lang w:val="en-GB"/>
        </w:rPr>
        <w:tab/>
      </w:r>
      <w:r>
        <w:rPr>
          <w:szCs w:val="18"/>
          <w:lang w:val="en-GB"/>
        </w:rPr>
        <w:tab/>
      </w:r>
      <w:hyperlink r:id="rId2" w:history="1">
        <w:r w:rsidRPr="009056D0">
          <w:rPr>
            <w:rStyle w:val="Hyperlink"/>
            <w:szCs w:val="18"/>
            <w:lang w:val="en-GB"/>
          </w:rPr>
          <w:t>http://www.ohchr.org/EN/Issues/CulturalRights/Pages/IntentionalDestruction.aspx</w:t>
        </w:r>
      </w:hyperlink>
    </w:p>
  </w:footnote>
  <w:footnote w:id="18">
    <w:p w:rsidR="00594789" w:rsidRPr="001B1FF1" w:rsidRDefault="009056D0" w:rsidP="00DC05A3">
      <w:pPr>
        <w:pStyle w:val="FootnoteText"/>
        <w:widowControl w:val="0"/>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 xml:space="preserve">Reportedly, ISIS maintains a marginally profitable “antiquities division”; See: B. Taub, ‘The real value of ISIS antiquities trade’, </w:t>
      </w:r>
      <w:r w:rsidR="00594789" w:rsidRPr="001B1FF1">
        <w:rPr>
          <w:i/>
          <w:szCs w:val="18"/>
          <w:lang w:val="en-GB"/>
        </w:rPr>
        <w:t>The New Yorker</w:t>
      </w:r>
      <w:r w:rsidR="00594789" w:rsidRPr="001B1FF1">
        <w:rPr>
          <w:szCs w:val="18"/>
          <w:lang w:val="en-GB"/>
        </w:rPr>
        <w:t xml:space="preserve">, 4 December 2015; at: </w:t>
      </w:r>
      <w:hyperlink r:id="rId3" w:history="1">
        <w:r w:rsidR="006D5797" w:rsidRPr="003E1061">
          <w:rPr>
            <w:rStyle w:val="Hyperlink"/>
            <w:szCs w:val="18"/>
            <w:lang w:val="en-GB"/>
          </w:rPr>
          <w:t>http://www.newyorker.com/news/news-desk/the-real-value-</w:t>
        </w:r>
      </w:hyperlink>
      <w:r w:rsidR="00594789" w:rsidRPr="001B1FF1">
        <w:rPr>
          <w:szCs w:val="18"/>
          <w:lang w:val="en-GB"/>
        </w:rPr>
        <w:t>of-the-isis-antiquities-trade</w:t>
      </w:r>
    </w:p>
  </w:footnote>
  <w:footnote w:id="19">
    <w:p w:rsidR="00594789" w:rsidRPr="001B1FF1" w:rsidRDefault="00DC05A3" w:rsidP="00594789">
      <w:pPr>
        <w:pStyle w:val="FootnoteText"/>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A/71/317, par</w:t>
      </w:r>
      <w:r w:rsidR="00594789">
        <w:rPr>
          <w:szCs w:val="18"/>
          <w:lang w:val="en-GB"/>
        </w:rPr>
        <w:t>a</w:t>
      </w:r>
      <w:r w:rsidR="00594789" w:rsidRPr="001B1FF1">
        <w:rPr>
          <w:szCs w:val="18"/>
          <w:lang w:val="en-GB"/>
        </w:rPr>
        <w:t xml:space="preserve">. 36. </w:t>
      </w:r>
    </w:p>
  </w:footnote>
  <w:footnote w:id="20">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 xml:space="preserve">Reportedly, ISIS maintains a marginally profitable “antiquities division”; See: B. Taub, ‘The real value of ISIS antiquities trade’, </w:t>
      </w:r>
      <w:r w:rsidR="00594789" w:rsidRPr="001B1FF1">
        <w:rPr>
          <w:i/>
          <w:szCs w:val="18"/>
          <w:lang w:val="en-GB"/>
        </w:rPr>
        <w:t>The New Yorker</w:t>
      </w:r>
      <w:r w:rsidR="00594789" w:rsidRPr="001B1FF1">
        <w:rPr>
          <w:szCs w:val="18"/>
          <w:lang w:val="en-GB"/>
        </w:rPr>
        <w:t xml:space="preserve">, 4 December 2015; at: </w:t>
      </w:r>
      <w:hyperlink r:id="rId4" w:history="1">
        <w:r w:rsidR="006D5797" w:rsidRPr="003E1061">
          <w:rPr>
            <w:rStyle w:val="Hyperlink"/>
            <w:szCs w:val="18"/>
            <w:lang w:val="en-GB"/>
          </w:rPr>
          <w:t>http://www.newyorker.com/news/news-desk/the-real-value-</w:t>
        </w:r>
      </w:hyperlink>
      <w:r>
        <w:rPr>
          <w:szCs w:val="18"/>
          <w:lang w:val="en-GB"/>
        </w:rPr>
        <w:t xml:space="preserve"> </w:t>
      </w:r>
      <w:r w:rsidR="00594789" w:rsidRPr="001B1FF1">
        <w:rPr>
          <w:szCs w:val="18"/>
          <w:lang w:val="en-GB"/>
        </w:rPr>
        <w:t>of-the-isis-antiquities-trade</w:t>
      </w:r>
    </w:p>
  </w:footnote>
  <w:footnote w:id="21">
    <w:p w:rsidR="00594789" w:rsidRPr="001B1FF1" w:rsidRDefault="00DC05A3" w:rsidP="009056D0">
      <w:pPr>
        <w:pStyle w:val="FootnoteText"/>
        <w:widowControl w:val="0"/>
        <w:rPr>
          <w:szCs w:val="18"/>
          <w:lang w:val="en-GB"/>
        </w:rPr>
      </w:pPr>
      <w:r>
        <w:rPr>
          <w:szCs w:val="18"/>
          <w:lang w:val="en-GB"/>
        </w:rPr>
        <w:tab/>
      </w:r>
      <w:r w:rsidR="00594789" w:rsidRPr="001B1FF1">
        <w:rPr>
          <w:rStyle w:val="FootnoteReference"/>
          <w:szCs w:val="18"/>
        </w:rPr>
        <w:footnoteRef/>
      </w:r>
      <w:r>
        <w:rPr>
          <w:szCs w:val="18"/>
          <w:lang w:val="en-GB"/>
        </w:rPr>
        <w:tab/>
      </w:r>
      <w:r w:rsidR="00594789" w:rsidRPr="001B1FF1">
        <w:rPr>
          <w:szCs w:val="18"/>
          <w:lang w:val="en-GB"/>
        </w:rPr>
        <w:t xml:space="preserve">L. Amineddoleh, ‘How western art collectors are helping to fund Isis’, </w:t>
      </w:r>
      <w:r w:rsidR="00594789" w:rsidRPr="00692284">
        <w:rPr>
          <w:i/>
          <w:szCs w:val="18"/>
          <w:lang w:val="en-GB"/>
        </w:rPr>
        <w:t>The Guardian</w:t>
      </w:r>
      <w:r w:rsidR="00594789" w:rsidRPr="001B1FF1">
        <w:rPr>
          <w:szCs w:val="18"/>
          <w:lang w:val="en-GB"/>
        </w:rPr>
        <w:t xml:space="preserve">, 26 February 2016. </w:t>
      </w:r>
    </w:p>
  </w:footnote>
  <w:footnote w:id="22">
    <w:p w:rsidR="00594789" w:rsidRPr="005C33FD" w:rsidRDefault="00DC05A3" w:rsidP="00594789">
      <w:pPr>
        <w:pStyle w:val="FootnoteText"/>
        <w:rPr>
          <w:szCs w:val="18"/>
          <w:lang w:val="es-ES"/>
        </w:rPr>
      </w:pPr>
      <w:r w:rsidRPr="004B3136">
        <w:rPr>
          <w:szCs w:val="18"/>
          <w:lang w:val="en-GB"/>
        </w:rPr>
        <w:tab/>
      </w:r>
      <w:r w:rsidR="00594789" w:rsidRPr="001B1FF1">
        <w:rPr>
          <w:rStyle w:val="FootnoteReference"/>
          <w:szCs w:val="18"/>
        </w:rPr>
        <w:footnoteRef/>
      </w:r>
      <w:r>
        <w:rPr>
          <w:szCs w:val="18"/>
          <w:lang w:val="es-ES"/>
        </w:rPr>
        <w:tab/>
      </w:r>
      <w:r w:rsidR="00594789" w:rsidRPr="005C33FD">
        <w:rPr>
          <w:szCs w:val="18"/>
          <w:lang w:val="es-ES"/>
        </w:rPr>
        <w:t xml:space="preserve">A/71/317, para. 31. </w:t>
      </w:r>
    </w:p>
  </w:footnote>
  <w:footnote w:id="23">
    <w:p w:rsidR="00594789" w:rsidRPr="004B3136" w:rsidRDefault="00DC05A3" w:rsidP="00594789">
      <w:pPr>
        <w:pStyle w:val="FootnoteText"/>
        <w:rPr>
          <w:szCs w:val="18"/>
          <w:lang w:val="en-GB"/>
        </w:rPr>
      </w:pPr>
      <w:r>
        <w:rPr>
          <w:szCs w:val="18"/>
          <w:lang w:val="es-ES"/>
        </w:rPr>
        <w:tab/>
      </w:r>
      <w:r w:rsidR="00594789" w:rsidRPr="001B1FF1">
        <w:rPr>
          <w:rStyle w:val="FootnoteReference"/>
          <w:szCs w:val="18"/>
        </w:rPr>
        <w:footnoteRef/>
      </w:r>
      <w:r>
        <w:rPr>
          <w:szCs w:val="18"/>
          <w:lang w:val="es-ES"/>
        </w:rPr>
        <w:tab/>
      </w:r>
      <w:r w:rsidR="00594789" w:rsidRPr="005C33FD">
        <w:rPr>
          <w:szCs w:val="18"/>
          <w:lang w:val="es-ES"/>
        </w:rPr>
        <w:t xml:space="preserve">See : A/71/317, paras. </w:t>
      </w:r>
      <w:r w:rsidR="00594789" w:rsidRPr="004B3136">
        <w:rPr>
          <w:szCs w:val="18"/>
          <w:lang w:val="en-GB"/>
        </w:rPr>
        <w:t xml:space="preserve">37, 47-51 and 59-67. </w:t>
      </w:r>
    </w:p>
  </w:footnote>
  <w:footnote w:id="24">
    <w:p w:rsidR="00594789" w:rsidRPr="001B1FF1" w:rsidRDefault="00DC05A3" w:rsidP="00DC05A3">
      <w:pPr>
        <w:pStyle w:val="FootnoteText"/>
        <w:widowControl w:val="0"/>
        <w:rPr>
          <w:szCs w:val="18"/>
          <w:lang w:val="en-GB"/>
        </w:rPr>
      </w:pPr>
      <w:r w:rsidRPr="004B3136">
        <w:rPr>
          <w:szCs w:val="18"/>
          <w:lang w:val="en-GB"/>
        </w:rPr>
        <w:tab/>
      </w:r>
      <w:r w:rsidR="00594789" w:rsidRPr="001B1FF1">
        <w:rPr>
          <w:rStyle w:val="FootnoteReference"/>
          <w:szCs w:val="18"/>
        </w:rPr>
        <w:footnoteRef/>
      </w:r>
      <w:r w:rsidRPr="00DC05A3">
        <w:rPr>
          <w:szCs w:val="18"/>
          <w:lang w:val="en-GB"/>
        </w:rPr>
        <w:tab/>
      </w:r>
      <w:r w:rsidR="00594789" w:rsidRPr="00DC05A3">
        <w:rPr>
          <w:szCs w:val="18"/>
          <w:lang w:val="en-GB"/>
        </w:rPr>
        <w:t xml:space="preserve"> UN Doc. </w:t>
      </w:r>
      <w:r w:rsidR="00594789" w:rsidRPr="001B1FF1">
        <w:rPr>
          <w:szCs w:val="18"/>
          <w:lang w:val="en-GB"/>
        </w:rPr>
        <w:t>A/HRC/31/59, 3 February 2016, ‘Report of the Special Rapporteur in the field of cultural rights’, par</w:t>
      </w:r>
      <w:r w:rsidR="00594789">
        <w:rPr>
          <w:szCs w:val="18"/>
          <w:lang w:val="en-GB"/>
        </w:rPr>
        <w:t>as</w:t>
      </w:r>
      <w:r w:rsidR="00594789" w:rsidRPr="001B1FF1">
        <w:rPr>
          <w:szCs w:val="18"/>
          <w:lang w:val="en-GB"/>
        </w:rPr>
        <w:t xml:space="preserve">. 66 and 45. </w:t>
      </w:r>
    </w:p>
  </w:footnote>
  <w:footnote w:id="25">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 xml:space="preserve">See: </w:t>
      </w:r>
      <w:hyperlink r:id="rId5" w:history="1">
        <w:r w:rsidR="00594789" w:rsidRPr="001B1FF1">
          <w:rPr>
            <w:rStyle w:val="Hyperlink"/>
            <w:szCs w:val="18"/>
            <w:lang w:val="en-GB"/>
          </w:rPr>
          <w:t>https://ihl-databases.icrc.org/customary-ihl/eng/docs/v1_rul_rule40</w:t>
        </w:r>
      </w:hyperlink>
      <w:r w:rsidR="00594789" w:rsidRPr="001B1FF1">
        <w:rPr>
          <w:szCs w:val="18"/>
          <w:lang w:val="en-GB"/>
        </w:rPr>
        <w:t xml:space="preserve">; </w:t>
      </w:r>
      <w:r w:rsidR="00594789">
        <w:rPr>
          <w:szCs w:val="18"/>
          <w:lang w:val="en-GB"/>
        </w:rPr>
        <w:t xml:space="preserve">A/71/317, </w:t>
      </w:r>
      <w:r w:rsidR="00594789" w:rsidRPr="001B1FF1">
        <w:rPr>
          <w:szCs w:val="18"/>
          <w:lang w:val="en-GB"/>
        </w:rPr>
        <w:t>par</w:t>
      </w:r>
      <w:r w:rsidR="00594789">
        <w:rPr>
          <w:szCs w:val="18"/>
          <w:lang w:val="en-GB"/>
        </w:rPr>
        <w:t>a</w:t>
      </w:r>
      <w:r w:rsidR="00594789" w:rsidRPr="001B1FF1">
        <w:rPr>
          <w:szCs w:val="18"/>
          <w:lang w:val="en-GB"/>
        </w:rPr>
        <w:t>. 60.</w:t>
      </w:r>
    </w:p>
  </w:footnote>
  <w:footnote w:id="26">
    <w:p w:rsidR="006D5797"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hyperlink r:id="rId6" w:history="1">
        <w:r w:rsidR="00594789" w:rsidRPr="001B1FF1">
          <w:rPr>
            <w:rStyle w:val="Hyperlink"/>
            <w:szCs w:val="18"/>
            <w:lang w:val="en-GB"/>
          </w:rPr>
          <w:t>https://www.icc-cpi.int/mali/al-mahdi</w:t>
        </w:r>
      </w:hyperlink>
      <w:r w:rsidR="00594789" w:rsidRPr="001B1FF1">
        <w:rPr>
          <w:szCs w:val="18"/>
          <w:lang w:val="en-GB"/>
        </w:rPr>
        <w:t xml:space="preserve">; ‘ICC's first cultural destruction trial to open in The Hague’, </w:t>
      </w:r>
      <w:r w:rsidR="00594789" w:rsidRPr="001B1FF1">
        <w:rPr>
          <w:i/>
          <w:szCs w:val="18"/>
          <w:lang w:val="en-GB"/>
        </w:rPr>
        <w:t>The Guardian</w:t>
      </w:r>
      <w:r w:rsidR="00594789" w:rsidRPr="001B1FF1">
        <w:rPr>
          <w:szCs w:val="18"/>
          <w:lang w:val="en-GB"/>
        </w:rPr>
        <w:t xml:space="preserve">, 28 February 2016; </w:t>
      </w:r>
      <w:r w:rsidR="00594789" w:rsidRPr="006D5797">
        <w:rPr>
          <w:rStyle w:val="Hyperlink"/>
        </w:rPr>
        <w:t>http://www.theguardian.com/law/2016/feb/28/iccs-first-cultural-destruction-trial-to-open-in-the-hague</w:t>
      </w:r>
    </w:p>
  </w:footnote>
  <w:footnote w:id="27">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A/HRC/31/59, par</w:t>
      </w:r>
      <w:r w:rsidR="00594789">
        <w:rPr>
          <w:szCs w:val="18"/>
          <w:lang w:val="en-GB"/>
        </w:rPr>
        <w:t>a</w:t>
      </w:r>
      <w:r w:rsidR="00594789" w:rsidRPr="001B1FF1">
        <w:rPr>
          <w:szCs w:val="18"/>
          <w:lang w:val="en-GB"/>
        </w:rPr>
        <w:t xml:space="preserve">. 67. </w:t>
      </w:r>
    </w:p>
  </w:footnote>
  <w:footnote w:id="28">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 xml:space="preserve">See the 2003 UNESCO Declaration concerning the Intentional Destruction of Cultural Heritage. </w:t>
      </w:r>
    </w:p>
  </w:footnote>
  <w:footnote w:id="29">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A/71/317, par</w:t>
      </w:r>
      <w:r w:rsidR="00594789">
        <w:rPr>
          <w:szCs w:val="18"/>
          <w:lang w:val="en-GB"/>
        </w:rPr>
        <w:t>a</w:t>
      </w:r>
      <w:r w:rsidR="00594789" w:rsidRPr="001B1FF1">
        <w:rPr>
          <w:szCs w:val="18"/>
          <w:lang w:val="en-GB"/>
        </w:rPr>
        <w:t xml:space="preserve">. 2. </w:t>
      </w:r>
    </w:p>
  </w:footnote>
  <w:footnote w:id="30">
    <w:p w:rsidR="00594789" w:rsidRPr="001B1FF1" w:rsidRDefault="00DC05A3" w:rsidP="00DC05A3">
      <w:pPr>
        <w:pStyle w:val="FootnoteText"/>
        <w:widowControl w:val="0"/>
        <w:rPr>
          <w:szCs w:val="18"/>
        </w:rPr>
      </w:pPr>
      <w:r>
        <w:rPr>
          <w:szCs w:val="18"/>
        </w:rPr>
        <w:tab/>
      </w:r>
      <w:r w:rsidR="00594789" w:rsidRPr="001B1FF1">
        <w:rPr>
          <w:rStyle w:val="FootnoteReference"/>
          <w:szCs w:val="18"/>
        </w:rPr>
        <w:footnoteRef/>
      </w:r>
      <w:r w:rsidR="00594789" w:rsidRPr="001B1FF1">
        <w:rPr>
          <w:szCs w:val="18"/>
        </w:rPr>
        <w:t xml:space="preserve"> </w:t>
      </w:r>
      <w:r>
        <w:rPr>
          <w:szCs w:val="18"/>
        </w:rPr>
        <w:tab/>
      </w:r>
      <w:r w:rsidR="00594789" w:rsidRPr="001B1FF1">
        <w:rPr>
          <w:szCs w:val="18"/>
        </w:rPr>
        <w:t>The SC noted with concern that those terrorist organizations and other individuals, groups, undertakings and entities associated with Al-Qaida “are generating income from engaging directly or indirectly in the looting and smuggling of cultural heritage items from archaeological sites, museums, libraries, archives, and other sites… which is being used to support their recruitment efforts and strengthen their operational capability to organize and carry out terrorist attacks”.</w:t>
      </w:r>
    </w:p>
  </w:footnote>
  <w:footnote w:id="31">
    <w:p w:rsidR="006D5797" w:rsidRPr="007D37DF" w:rsidRDefault="00DC05A3" w:rsidP="00DC05A3">
      <w:pPr>
        <w:pStyle w:val="FootnoteText"/>
        <w:widowControl w:val="0"/>
        <w:rPr>
          <w:szCs w:val="18"/>
          <w:lang w:val="en-GB"/>
        </w:rPr>
      </w:pPr>
      <w:r>
        <w:rPr>
          <w:szCs w:val="18"/>
          <w:lang w:val="en-GB"/>
        </w:rPr>
        <w:tab/>
      </w:r>
      <w:r w:rsidR="00594789" w:rsidRPr="007D37DF">
        <w:rPr>
          <w:rStyle w:val="FootnoteReference"/>
          <w:szCs w:val="18"/>
        </w:rPr>
        <w:footnoteRef/>
      </w:r>
      <w:r w:rsidR="00594789" w:rsidRPr="007D37DF">
        <w:rPr>
          <w:szCs w:val="18"/>
          <w:lang w:val="en-GB"/>
        </w:rPr>
        <w:t xml:space="preserve"> </w:t>
      </w:r>
      <w:r>
        <w:rPr>
          <w:szCs w:val="18"/>
          <w:lang w:val="en-GB"/>
        </w:rPr>
        <w:tab/>
      </w:r>
      <w:r w:rsidR="00594789" w:rsidRPr="007D37DF">
        <w:rPr>
          <w:szCs w:val="18"/>
          <w:lang w:val="en-GB"/>
        </w:rPr>
        <w:t xml:space="preserve">In implementing this mandate, the UNESCO has developed a strategy to strengthen its capacity to respond urgently </w:t>
      </w:r>
      <w:r>
        <w:rPr>
          <w:szCs w:val="18"/>
          <w:lang w:val="en-GB"/>
        </w:rPr>
        <w:t xml:space="preserve">to cultural emergencies; See: </w:t>
      </w:r>
      <w:hyperlink r:id="rId7" w:history="1">
        <w:r w:rsidR="006D5797" w:rsidRPr="003E1061">
          <w:rPr>
            <w:rStyle w:val="Hyperlink"/>
            <w:szCs w:val="18"/>
            <w:lang w:val="en-GB"/>
          </w:rPr>
          <w:t>http://en.unesco.org/system/files/unesco_clt_strategy_en.pdf</w:t>
        </w:r>
      </w:hyperlink>
    </w:p>
  </w:footnote>
  <w:footnote w:id="32">
    <w:p w:rsidR="00594789" w:rsidRPr="007D37DF" w:rsidRDefault="00DC05A3" w:rsidP="00DC05A3">
      <w:pPr>
        <w:pStyle w:val="FootnoteText"/>
        <w:widowControl w:val="0"/>
        <w:rPr>
          <w:szCs w:val="18"/>
          <w:lang w:val="en-GB"/>
        </w:rPr>
      </w:pPr>
      <w:r>
        <w:rPr>
          <w:szCs w:val="18"/>
          <w:lang w:val="en-GB"/>
        </w:rPr>
        <w:tab/>
      </w:r>
      <w:r w:rsidR="00594789" w:rsidRPr="007D37DF">
        <w:rPr>
          <w:rStyle w:val="FootnoteReference"/>
          <w:szCs w:val="18"/>
        </w:rPr>
        <w:footnoteRef/>
      </w:r>
      <w:r w:rsidR="00594789" w:rsidRPr="007D37DF">
        <w:rPr>
          <w:szCs w:val="18"/>
          <w:lang w:val="en-GB"/>
        </w:rPr>
        <w:t xml:space="preserve"> </w:t>
      </w:r>
      <w:r>
        <w:rPr>
          <w:szCs w:val="18"/>
          <w:lang w:val="en-GB"/>
        </w:rPr>
        <w:tab/>
      </w:r>
      <w:r w:rsidR="00594789" w:rsidRPr="00A85BC0">
        <w:rPr>
          <w:szCs w:val="18"/>
          <w:lang w:val="en-GB"/>
        </w:rPr>
        <w:t>The Declaration also stresses that cultural heritage constitutes “an important component of cultural identity and of</w:t>
      </w:r>
      <w:r w:rsidR="006D5797">
        <w:rPr>
          <w:szCs w:val="18"/>
          <w:lang w:val="en-GB"/>
        </w:rPr>
        <w:t xml:space="preserve"> </w:t>
      </w:r>
      <w:r w:rsidR="00594789" w:rsidRPr="00A85BC0">
        <w:rPr>
          <w:szCs w:val="18"/>
          <w:lang w:val="en-GB"/>
        </w:rPr>
        <w:t>social cohesion”.</w:t>
      </w:r>
    </w:p>
  </w:footnote>
  <w:footnote w:id="33">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A/71/317, par</w:t>
      </w:r>
      <w:r w:rsidR="00594789">
        <w:rPr>
          <w:szCs w:val="18"/>
          <w:lang w:val="en-GB"/>
        </w:rPr>
        <w:t>a</w:t>
      </w:r>
      <w:r w:rsidR="00594789" w:rsidRPr="001B1FF1">
        <w:rPr>
          <w:szCs w:val="18"/>
          <w:lang w:val="en-GB"/>
        </w:rPr>
        <w:t xml:space="preserve">. 53 and A/HRC/17/38 and Corr. 1 para. 2. </w:t>
      </w:r>
    </w:p>
  </w:footnote>
  <w:footnote w:id="34">
    <w:p w:rsidR="00594789" w:rsidRPr="001B1FF1" w:rsidRDefault="00DC05A3" w:rsidP="00DC05A3">
      <w:pPr>
        <w:pStyle w:val="FootnoteText"/>
        <w:widowControl w:val="0"/>
        <w:rPr>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lang w:val="en-GB"/>
        </w:rPr>
        <w:t>See: General Comment No. 21, para. 50. Under article 15 of the International Covenant on Economic, Social and Cultural Rights includes the obligation to respect and protect cultural heritage in all its forms and of all groups.</w:t>
      </w:r>
    </w:p>
  </w:footnote>
  <w:footnote w:id="35">
    <w:p w:rsidR="00594789" w:rsidRPr="00DC05A3" w:rsidRDefault="00DC05A3" w:rsidP="00DC05A3">
      <w:pPr>
        <w:pStyle w:val="FootnoteText"/>
        <w:widowControl w:val="0"/>
        <w:rPr>
          <w:i/>
          <w:szCs w:val="18"/>
          <w:lang w:val="en-GB"/>
        </w:rPr>
      </w:pPr>
      <w:r>
        <w:rPr>
          <w:szCs w:val="18"/>
          <w:lang w:val="en-GB"/>
        </w:rPr>
        <w:tab/>
      </w:r>
      <w:r w:rsidR="00594789" w:rsidRPr="001B1FF1">
        <w:rPr>
          <w:rStyle w:val="FootnoteReference"/>
          <w:szCs w:val="18"/>
        </w:rPr>
        <w:footnoteRef/>
      </w:r>
      <w:r w:rsidR="00594789" w:rsidRPr="001B1FF1">
        <w:rPr>
          <w:szCs w:val="18"/>
          <w:lang w:val="en-GB"/>
        </w:rPr>
        <w:t xml:space="preserve"> </w:t>
      </w:r>
      <w:r>
        <w:rPr>
          <w:szCs w:val="18"/>
          <w:lang w:val="en-GB"/>
        </w:rPr>
        <w:tab/>
      </w:r>
      <w:r w:rsidR="00594789" w:rsidRPr="001B1FF1">
        <w:rPr>
          <w:szCs w:val="18"/>
        </w:rPr>
        <w:t>Request</w:t>
      </w:r>
      <w:r w:rsidR="00594789" w:rsidRPr="001B1FF1">
        <w:rPr>
          <w:szCs w:val="18"/>
          <w:lang w:val="en-GB"/>
        </w:rPr>
        <w:t xml:space="preserve"> for Interpretation of the Judgement of 15 June 1962 in the </w:t>
      </w:r>
      <w:r w:rsidR="00594789" w:rsidRPr="001B1FF1">
        <w:rPr>
          <w:i/>
          <w:szCs w:val="18"/>
          <w:lang w:val="en-GB"/>
        </w:rPr>
        <w:t>Case Concerning the Temple of Preah Vihear (</w:t>
      </w:r>
      <w:r w:rsidR="00594789" w:rsidRPr="001B1FF1">
        <w:rPr>
          <w:i/>
          <w:iCs/>
          <w:szCs w:val="18"/>
          <w:lang w:val="en-GB"/>
        </w:rPr>
        <w:t>Cambodia v. Thailand</w:t>
      </w:r>
      <w:r w:rsidR="00594789" w:rsidRPr="001B1FF1">
        <w:rPr>
          <w:i/>
          <w:szCs w:val="18"/>
          <w:lang w:val="en-GB"/>
        </w:rPr>
        <w:t>)</w:t>
      </w:r>
      <w:r w:rsidR="00594789" w:rsidRPr="001B1FF1">
        <w:rPr>
          <w:szCs w:val="18"/>
          <w:lang w:val="en-GB"/>
        </w:rPr>
        <w:t xml:space="preserve">, Separate Opinion of Judge Cançado Trindade, </w:t>
      </w:r>
      <w:r w:rsidR="00594789" w:rsidRPr="001B1FF1">
        <w:rPr>
          <w:i/>
          <w:szCs w:val="18"/>
          <w:lang w:val="en-GB"/>
        </w:rPr>
        <w:t>ICJ Reports 2013</w:t>
      </w:r>
      <w:r w:rsidR="00594789" w:rsidRPr="001B1FF1">
        <w:rPr>
          <w:szCs w:val="18"/>
          <w:lang w:val="en-GB"/>
        </w:rPr>
        <w:t xml:space="preserve">, p. 606, para. 114.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044525" w:rsidRDefault="00F02F6E" w:rsidP="00044525">
    <w:pPr>
      <w:pStyle w:val="Header"/>
    </w:pPr>
    <w:r>
      <w:t>A/HRC/AC/18</w:t>
    </w:r>
    <w:r w:rsidRPr="000445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044525" w:rsidRDefault="00F02F6E" w:rsidP="00044525">
    <w:pPr>
      <w:pStyle w:val="Header"/>
      <w:jc w:val="right"/>
    </w:pPr>
    <w:r>
      <w:t>A/HRC/AC/18</w:t>
    </w:r>
    <w:r w:rsidRPr="0004452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4797035E" wp14:editId="0768FC34">
              <wp:simplePos x="0" y="0"/>
              <wp:positionH relativeFrom="page">
                <wp:posOffset>1057910</wp:posOffset>
              </wp:positionH>
              <wp:positionV relativeFrom="page">
                <wp:posOffset>719455</wp:posOffset>
              </wp:positionV>
              <wp:extent cx="222885" cy="6120130"/>
              <wp:effectExtent l="63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F6E" w:rsidRPr="00044525" w:rsidRDefault="00F02F6E"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12</w:t>
                          </w:r>
                          <w:r w:rsidRPr="00044525">
                            <w:rPr>
                              <w:b/>
                              <w:sz w:val="18"/>
                            </w:rPr>
                            <w:fldChar w:fldCharType="end"/>
                          </w:r>
                          <w:r>
                            <w:rPr>
                              <w:sz w:val="18"/>
                            </w:rPr>
                            <w:tab/>
                          </w:r>
                        </w:p>
                        <w:p w:rsidR="00F02F6E" w:rsidRDefault="00F02F6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F02F6E" w:rsidRPr="00044525" w:rsidRDefault="00F02F6E"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12</w:t>
                    </w:r>
                    <w:r w:rsidRPr="00044525">
                      <w:rPr>
                        <w:b/>
                        <w:sz w:val="18"/>
                      </w:rPr>
                      <w:fldChar w:fldCharType="end"/>
                    </w:r>
                    <w:r>
                      <w:rPr>
                        <w:sz w:val="18"/>
                      </w:rPr>
                      <w:tab/>
                    </w:r>
                  </w:p>
                  <w:p w:rsidR="00F02F6E" w:rsidRDefault="00F02F6E"/>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619FFC34" wp14:editId="519B4243">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F6E" w:rsidRDefault="00F02F6E" w:rsidP="00EB400B">
                          <w:pPr>
                            <w:pStyle w:val="Header"/>
                          </w:pPr>
                          <w:r>
                            <w:t>A/HRC/AC/18</w:t>
                          </w:r>
                          <w:r w:rsidRPr="00044525">
                            <w:t>/2</w:t>
                          </w:r>
                        </w:p>
                        <w:p w:rsidR="00F02F6E" w:rsidRPr="00044525" w:rsidRDefault="00F02F6E" w:rsidP="00EB400B">
                          <w:pPr>
                            <w:pStyle w:val="Header"/>
                          </w:pPr>
                        </w:p>
                        <w:p w:rsidR="00F02F6E" w:rsidRDefault="00F02F6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F02F6E" w:rsidRDefault="00F02F6E" w:rsidP="00EB400B">
                    <w:pPr>
                      <w:pStyle w:val="Header"/>
                    </w:pPr>
                    <w:r>
                      <w:t>A/HRC/AC/18</w:t>
                    </w:r>
                    <w:r w:rsidRPr="00044525">
                      <w:t>/2</w:t>
                    </w:r>
                  </w:p>
                  <w:p w:rsidR="00F02F6E" w:rsidRPr="00044525" w:rsidRDefault="00F02F6E" w:rsidP="00EB400B">
                    <w:pPr>
                      <w:pStyle w:val="Header"/>
                    </w:pPr>
                  </w:p>
                  <w:p w:rsidR="00F02F6E" w:rsidRDefault="00F02F6E"/>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634AE0">
    <w:pPr>
      <w:pStyle w:val="Header"/>
      <w:pBdr>
        <w:bottom w:val="none" w:sz="0" w:space="0" w:color="auto"/>
      </w:pBdr>
      <w:tabs>
        <w:tab w:val="right" w:pos="12871"/>
      </w:tabs>
    </w:pPr>
    <w:r>
      <w:rPr>
        <w:noProof/>
        <w:lang w:eastAsia="en-GB"/>
      </w:rPr>
      <mc:AlternateContent>
        <mc:Choice Requires="wps">
          <w:drawing>
            <wp:anchor distT="0" distB="0" distL="114300" distR="114300" simplePos="0" relativeHeight="251658752" behindDoc="0" locked="1" layoutInCell="1" allowOverlap="1" wp14:anchorId="4C49E958" wp14:editId="4A89A91D">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F6E" w:rsidRPr="00044525" w:rsidRDefault="00F02F6E"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13</w:t>
                          </w:r>
                          <w:r w:rsidRPr="00044525">
                            <w:rPr>
                              <w:b/>
                              <w:sz w:val="18"/>
                            </w:rPr>
                            <w:fldChar w:fldCharType="end"/>
                          </w:r>
                        </w:p>
                        <w:p w:rsidR="00F02F6E" w:rsidRDefault="00F02F6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F02F6E" w:rsidRPr="00044525" w:rsidRDefault="00F02F6E"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011D9A">
                      <w:rPr>
                        <w:b/>
                        <w:noProof/>
                        <w:sz w:val="18"/>
                      </w:rPr>
                      <w:t>13</w:t>
                    </w:r>
                    <w:r w:rsidRPr="00044525">
                      <w:rPr>
                        <w:b/>
                        <w:sz w:val="18"/>
                      </w:rPr>
                      <w:fldChar w:fldCharType="end"/>
                    </w:r>
                  </w:p>
                  <w:p w:rsidR="00F02F6E" w:rsidRDefault="00F02F6E"/>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14:anchorId="1E2996B4" wp14:editId="3C8730B6">
              <wp:simplePos x="0" y="0"/>
              <wp:positionH relativeFrom="page">
                <wp:posOffset>9755505</wp:posOffset>
              </wp:positionH>
              <wp:positionV relativeFrom="page">
                <wp:posOffset>719455</wp:posOffset>
              </wp:positionV>
              <wp:extent cx="222885" cy="6120130"/>
              <wp:effectExtent l="1905"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F6E" w:rsidRPr="00044525" w:rsidRDefault="00F02F6E" w:rsidP="00EB400B">
                          <w:pPr>
                            <w:pStyle w:val="Header"/>
                            <w:jc w:val="right"/>
                          </w:pPr>
                          <w:r>
                            <w:t>A/HRC/AC/18</w:t>
                          </w:r>
                          <w:r w:rsidRPr="00044525">
                            <w:t>/2</w:t>
                          </w:r>
                        </w:p>
                        <w:p w:rsidR="00F02F6E" w:rsidRDefault="00F02F6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F02F6E" w:rsidRPr="00044525" w:rsidRDefault="00F02F6E" w:rsidP="00EB400B">
                    <w:pPr>
                      <w:pStyle w:val="Header"/>
                      <w:jc w:val="right"/>
                    </w:pPr>
                    <w:r>
                      <w:t>A/HRC/AC/18</w:t>
                    </w:r>
                    <w:r w:rsidRPr="00044525">
                      <w:t>/2</w:t>
                    </w:r>
                  </w:p>
                  <w:p w:rsidR="00F02F6E" w:rsidRDefault="00F02F6E"/>
                </w:txbxContent>
              </v:textbox>
              <w10:wrap anchorx="page" anchory="page"/>
              <w10:anchorlock/>
            </v:shape>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Header"/>
    </w:pPr>
    <w:r>
      <w:t>A/HRC/AC/1</w:t>
    </w:r>
    <w:r w:rsidR="00BC1D0E">
      <w:t>8</w:t>
    </w: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6E" w:rsidRPr="00EB400B" w:rsidRDefault="00F02F6E" w:rsidP="00EB400B">
    <w:pPr>
      <w:pStyle w:val="Header"/>
      <w:jc w:val="right"/>
    </w:pPr>
    <w:r>
      <w:t>A/HRC/AC/18/2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263A"/>
    <w:multiLevelType w:val="hybridMultilevel"/>
    <w:tmpl w:val="69F42964"/>
    <w:lvl w:ilvl="0" w:tplc="30963F26">
      <w:start w:val="1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8957E47"/>
    <w:multiLevelType w:val="hybridMultilevel"/>
    <w:tmpl w:val="6ADE580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F1571"/>
    <w:multiLevelType w:val="hybridMultilevel"/>
    <w:tmpl w:val="5DA27490"/>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701"/>
        </w:tabs>
        <w:ind w:left="1134" w:firstLine="0"/>
      </w:pPr>
      <w:rPr>
        <w:rFonts w:hint="default"/>
      </w:rPr>
    </w:lvl>
    <w:lvl w:ilvl="3" w:tplc="08090001">
      <w:start w:val="1"/>
      <w:numFmt w:val="bullet"/>
      <w:lvlText w:val=""/>
      <w:lvlJc w:val="left"/>
      <w:pPr>
        <w:ind w:left="19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FC6498"/>
    <w:multiLevelType w:val="hybridMultilevel"/>
    <w:tmpl w:val="3A94AD38"/>
    <w:lvl w:ilvl="0" w:tplc="8BC21AA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0C53C0"/>
    <w:multiLevelType w:val="hybridMultilevel"/>
    <w:tmpl w:val="81C62712"/>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0963F26">
      <w:start w:val="1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9">
    <w:nsid w:val="2BD37BB6"/>
    <w:multiLevelType w:val="hybridMultilevel"/>
    <w:tmpl w:val="E19EF77C"/>
    <w:lvl w:ilvl="0" w:tplc="61E278B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nsid w:val="2D6D5EA4"/>
    <w:multiLevelType w:val="hybridMultilevel"/>
    <w:tmpl w:val="2B0E01E0"/>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2E0A78F5"/>
    <w:multiLevelType w:val="hybridMultilevel"/>
    <w:tmpl w:val="401CCBE2"/>
    <w:lvl w:ilvl="0" w:tplc="7C5C35F4">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26643D"/>
    <w:multiLevelType w:val="hybridMultilevel"/>
    <w:tmpl w:val="059A3AF2"/>
    <w:lvl w:ilvl="0" w:tplc="1F126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A40124"/>
    <w:multiLevelType w:val="hybridMultilevel"/>
    <w:tmpl w:val="E8AC9B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36EE0969"/>
    <w:multiLevelType w:val="hybridMultilevel"/>
    <w:tmpl w:val="7754780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nsid w:val="407B6D59"/>
    <w:multiLevelType w:val="hybridMultilevel"/>
    <w:tmpl w:val="5B7C09EA"/>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65FE1BC6">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2C95F0D"/>
    <w:multiLevelType w:val="multilevel"/>
    <w:tmpl w:val="AE8806D8"/>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B230E1"/>
    <w:multiLevelType w:val="hybridMultilevel"/>
    <w:tmpl w:val="015A113E"/>
    <w:lvl w:ilvl="0" w:tplc="65FE1BC6">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7641ADE"/>
    <w:multiLevelType w:val="hybridMultilevel"/>
    <w:tmpl w:val="B4768168"/>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803826"/>
    <w:multiLevelType w:val="hybridMultilevel"/>
    <w:tmpl w:val="B08EE870"/>
    <w:lvl w:ilvl="0" w:tplc="FE604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331B16"/>
    <w:multiLevelType w:val="multilevel"/>
    <w:tmpl w:val="810C461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D805B7B"/>
    <w:multiLevelType w:val="hybridMultilevel"/>
    <w:tmpl w:val="6C0ECF60"/>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560"/>
        </w:tabs>
        <w:ind w:left="993"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BD0BB8"/>
    <w:multiLevelType w:val="hybridMultilevel"/>
    <w:tmpl w:val="7BB65288"/>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E97AAE"/>
    <w:multiLevelType w:val="hybridMultilevel"/>
    <w:tmpl w:val="F4E23142"/>
    <w:lvl w:ilvl="0" w:tplc="F8AA52B2">
      <w:numFmt w:val="bullet"/>
      <w:lvlText w:val="•"/>
      <w:lvlJc w:val="left"/>
      <w:pPr>
        <w:ind w:left="990" w:hanging="99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924535"/>
    <w:multiLevelType w:val="hybridMultilevel"/>
    <w:tmpl w:val="7090DE04"/>
    <w:lvl w:ilvl="0" w:tplc="30963F26">
      <w:start w:val="10"/>
      <w:numFmt w:val="bullet"/>
      <w:lvlText w:val="-"/>
      <w:lvlJc w:val="left"/>
      <w:pPr>
        <w:ind w:left="5256" w:hanging="360"/>
      </w:pPr>
      <w:rPr>
        <w:rFonts w:ascii="Times New Roman" w:eastAsia="Times New Roman" w:hAnsi="Times New Roman" w:cs="Times New Roman"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28">
    <w:nsid w:val="59072D9D"/>
    <w:multiLevelType w:val="hybridMultilevel"/>
    <w:tmpl w:val="244AA8B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nsid w:val="59A96600"/>
    <w:multiLevelType w:val="hybridMultilevel"/>
    <w:tmpl w:val="12E6487E"/>
    <w:lvl w:ilvl="0" w:tplc="24BEDF10">
      <w:start w:val="1"/>
      <w:numFmt w:val="upperLetter"/>
      <w:lvlText w:val="%1."/>
      <w:lvlJc w:val="left"/>
      <w:pPr>
        <w:ind w:left="1857" w:hanging="360"/>
      </w:pPr>
      <w:rPr>
        <w:rFonts w:hint="default"/>
      </w:r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12928DB"/>
    <w:multiLevelType w:val="hybridMultilevel"/>
    <w:tmpl w:val="47564412"/>
    <w:lvl w:ilvl="0" w:tplc="872E649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nsid w:val="67283905"/>
    <w:multiLevelType w:val="hybridMultilevel"/>
    <w:tmpl w:val="D1BEF8A0"/>
    <w:lvl w:ilvl="0" w:tplc="67CA1188">
      <w:start w:val="1"/>
      <w:numFmt w:val="decimal"/>
      <w:lvlText w:val="%1."/>
      <w:lvlJc w:val="left"/>
      <w:pPr>
        <w:ind w:left="1710" w:hanging="576"/>
      </w:pPr>
      <w:rPr>
        <w:rFonts w:eastAsia="MS Minch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nsid w:val="694D766A"/>
    <w:multiLevelType w:val="hybridMultilevel"/>
    <w:tmpl w:val="2CCCD7C0"/>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4">
    <w:nsid w:val="6B39291B"/>
    <w:multiLevelType w:val="hybridMultilevel"/>
    <w:tmpl w:val="45BCC53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70B7782F"/>
    <w:multiLevelType w:val="hybridMultilevel"/>
    <w:tmpl w:val="0F581AB6"/>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7">
    <w:nsid w:val="7EAB406A"/>
    <w:multiLevelType w:val="hybridMultilevel"/>
    <w:tmpl w:val="B9962FE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30"/>
  </w:num>
  <w:num w:numId="4">
    <w:abstractNumId w:val="4"/>
  </w:num>
  <w:num w:numId="5">
    <w:abstractNumId w:val="0"/>
  </w:num>
  <w:num w:numId="6">
    <w:abstractNumId w:val="8"/>
  </w:num>
  <w:num w:numId="7">
    <w:abstractNumId w:val="36"/>
  </w:num>
  <w:num w:numId="8">
    <w:abstractNumId w:val="16"/>
  </w:num>
  <w:num w:numId="9">
    <w:abstractNumId w:val="20"/>
  </w:num>
  <w:num w:numId="10">
    <w:abstractNumId w:val="28"/>
  </w:num>
  <w:num w:numId="11">
    <w:abstractNumId w:val="15"/>
  </w:num>
  <w:num w:numId="12">
    <w:abstractNumId w:val="34"/>
  </w:num>
  <w:num w:numId="13">
    <w:abstractNumId w:val="14"/>
  </w:num>
  <w:num w:numId="14">
    <w:abstractNumId w:val="13"/>
  </w:num>
  <w:num w:numId="15">
    <w:abstractNumId w:val="2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23"/>
  </w:num>
  <w:num w:numId="20">
    <w:abstractNumId w:val="31"/>
  </w:num>
  <w:num w:numId="21">
    <w:abstractNumId w:val="2"/>
  </w:num>
  <w:num w:numId="22">
    <w:abstractNumId w:val="21"/>
  </w:num>
  <w:num w:numId="23">
    <w:abstractNumId w:val="37"/>
  </w:num>
  <w:num w:numId="24">
    <w:abstractNumId w:val="26"/>
  </w:num>
  <w:num w:numId="25">
    <w:abstractNumId w:val="11"/>
  </w:num>
  <w:num w:numId="26">
    <w:abstractNumId w:val="19"/>
  </w:num>
  <w:num w:numId="27">
    <w:abstractNumId w:val="1"/>
  </w:num>
  <w:num w:numId="28">
    <w:abstractNumId w:val="5"/>
  </w:num>
  <w:num w:numId="29">
    <w:abstractNumId w:val="27"/>
  </w:num>
  <w:num w:numId="30">
    <w:abstractNumId w:val="9"/>
  </w:num>
  <w:num w:numId="31">
    <w:abstractNumId w:val="25"/>
  </w:num>
  <w:num w:numId="32">
    <w:abstractNumId w:val="7"/>
  </w:num>
  <w:num w:numId="33">
    <w:abstractNumId w:val="10"/>
  </w:num>
  <w:num w:numId="34">
    <w:abstractNumId w:val="17"/>
  </w:num>
  <w:num w:numId="35">
    <w:abstractNumId w:val="33"/>
  </w:num>
  <w:num w:numId="36">
    <w:abstractNumId w:val="35"/>
  </w:num>
  <w:num w:numId="37">
    <w:abstractNumId w:val="3"/>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08"/>
    <w:rsid w:val="000021F5"/>
    <w:rsid w:val="00004CAE"/>
    <w:rsid w:val="00005386"/>
    <w:rsid w:val="00006F08"/>
    <w:rsid w:val="00011D9A"/>
    <w:rsid w:val="00012632"/>
    <w:rsid w:val="000144E8"/>
    <w:rsid w:val="00014CAC"/>
    <w:rsid w:val="00017963"/>
    <w:rsid w:val="00023372"/>
    <w:rsid w:val="00023915"/>
    <w:rsid w:val="00023C0B"/>
    <w:rsid w:val="000250FC"/>
    <w:rsid w:val="0002517A"/>
    <w:rsid w:val="00026B62"/>
    <w:rsid w:val="0002725C"/>
    <w:rsid w:val="00031B9B"/>
    <w:rsid w:val="00037230"/>
    <w:rsid w:val="0004151D"/>
    <w:rsid w:val="000416A6"/>
    <w:rsid w:val="000432F5"/>
    <w:rsid w:val="0004341A"/>
    <w:rsid w:val="00043642"/>
    <w:rsid w:val="00044525"/>
    <w:rsid w:val="00047182"/>
    <w:rsid w:val="00047D10"/>
    <w:rsid w:val="0005020C"/>
    <w:rsid w:val="00053555"/>
    <w:rsid w:val="00057971"/>
    <w:rsid w:val="00057DCE"/>
    <w:rsid w:val="000609F2"/>
    <w:rsid w:val="00064051"/>
    <w:rsid w:val="00065788"/>
    <w:rsid w:val="00070667"/>
    <w:rsid w:val="000767C6"/>
    <w:rsid w:val="0007683B"/>
    <w:rsid w:val="00077BE9"/>
    <w:rsid w:val="00082B77"/>
    <w:rsid w:val="000846E8"/>
    <w:rsid w:val="000854A4"/>
    <w:rsid w:val="00085BEB"/>
    <w:rsid w:val="00092C65"/>
    <w:rsid w:val="00095524"/>
    <w:rsid w:val="00097AC9"/>
    <w:rsid w:val="000A15B6"/>
    <w:rsid w:val="000A38F9"/>
    <w:rsid w:val="000A4D99"/>
    <w:rsid w:val="000B05FE"/>
    <w:rsid w:val="000B1ECE"/>
    <w:rsid w:val="000B20FC"/>
    <w:rsid w:val="000B2165"/>
    <w:rsid w:val="000B2592"/>
    <w:rsid w:val="000B2ED3"/>
    <w:rsid w:val="000C2CD5"/>
    <w:rsid w:val="000C57C5"/>
    <w:rsid w:val="000D0BC3"/>
    <w:rsid w:val="000D260A"/>
    <w:rsid w:val="000D3F96"/>
    <w:rsid w:val="000D4572"/>
    <w:rsid w:val="000D5827"/>
    <w:rsid w:val="000E0251"/>
    <w:rsid w:val="000E268F"/>
    <w:rsid w:val="000E2FEF"/>
    <w:rsid w:val="000E36EE"/>
    <w:rsid w:val="000E6CA9"/>
    <w:rsid w:val="000E6D51"/>
    <w:rsid w:val="000E6E95"/>
    <w:rsid w:val="000E703E"/>
    <w:rsid w:val="000F1A9D"/>
    <w:rsid w:val="000F3499"/>
    <w:rsid w:val="001029B8"/>
    <w:rsid w:val="001049F6"/>
    <w:rsid w:val="00107AF8"/>
    <w:rsid w:val="001107FF"/>
    <w:rsid w:val="00111405"/>
    <w:rsid w:val="001170CB"/>
    <w:rsid w:val="0012072A"/>
    <w:rsid w:val="00121492"/>
    <w:rsid w:val="00122028"/>
    <w:rsid w:val="001250EC"/>
    <w:rsid w:val="00126A6B"/>
    <w:rsid w:val="00126D95"/>
    <w:rsid w:val="00130AAD"/>
    <w:rsid w:val="00132312"/>
    <w:rsid w:val="0014056F"/>
    <w:rsid w:val="00141A03"/>
    <w:rsid w:val="00143746"/>
    <w:rsid w:val="00143848"/>
    <w:rsid w:val="00146ACA"/>
    <w:rsid w:val="00150132"/>
    <w:rsid w:val="00152F0D"/>
    <w:rsid w:val="001572D1"/>
    <w:rsid w:val="001573AB"/>
    <w:rsid w:val="001618FC"/>
    <w:rsid w:val="001633D1"/>
    <w:rsid w:val="00164DF8"/>
    <w:rsid w:val="00165325"/>
    <w:rsid w:val="0017016D"/>
    <w:rsid w:val="00170AB7"/>
    <w:rsid w:val="0017606A"/>
    <w:rsid w:val="00180753"/>
    <w:rsid w:val="00184DF6"/>
    <w:rsid w:val="00185C7D"/>
    <w:rsid w:val="00186A1C"/>
    <w:rsid w:val="0019545B"/>
    <w:rsid w:val="00195E4A"/>
    <w:rsid w:val="001A023D"/>
    <w:rsid w:val="001A09FA"/>
    <w:rsid w:val="001A146D"/>
    <w:rsid w:val="001A2775"/>
    <w:rsid w:val="001B04D3"/>
    <w:rsid w:val="001B5502"/>
    <w:rsid w:val="001B5A6C"/>
    <w:rsid w:val="001B64F5"/>
    <w:rsid w:val="001C4EDD"/>
    <w:rsid w:val="001C571F"/>
    <w:rsid w:val="001C60F6"/>
    <w:rsid w:val="001C641F"/>
    <w:rsid w:val="001C6ED8"/>
    <w:rsid w:val="001D2402"/>
    <w:rsid w:val="001D587A"/>
    <w:rsid w:val="001E2167"/>
    <w:rsid w:val="001F3924"/>
    <w:rsid w:val="001F4E06"/>
    <w:rsid w:val="001F5B0B"/>
    <w:rsid w:val="00200A2E"/>
    <w:rsid w:val="00203F13"/>
    <w:rsid w:val="00210331"/>
    <w:rsid w:val="002147EE"/>
    <w:rsid w:val="00215E30"/>
    <w:rsid w:val="002206EE"/>
    <w:rsid w:val="002228CD"/>
    <w:rsid w:val="00224307"/>
    <w:rsid w:val="0022555C"/>
    <w:rsid w:val="00226FBB"/>
    <w:rsid w:val="00227DDC"/>
    <w:rsid w:val="002333B4"/>
    <w:rsid w:val="00234BB6"/>
    <w:rsid w:val="00235871"/>
    <w:rsid w:val="00236735"/>
    <w:rsid w:val="00240861"/>
    <w:rsid w:val="00243895"/>
    <w:rsid w:val="00244F75"/>
    <w:rsid w:val="002473FD"/>
    <w:rsid w:val="00247639"/>
    <w:rsid w:val="00250C8D"/>
    <w:rsid w:val="00251413"/>
    <w:rsid w:val="00252588"/>
    <w:rsid w:val="00252801"/>
    <w:rsid w:val="00253ED1"/>
    <w:rsid w:val="002553E1"/>
    <w:rsid w:val="00262DD5"/>
    <w:rsid w:val="00264137"/>
    <w:rsid w:val="002674A1"/>
    <w:rsid w:val="00272938"/>
    <w:rsid w:val="00272F50"/>
    <w:rsid w:val="002800BF"/>
    <w:rsid w:val="00281E04"/>
    <w:rsid w:val="00281FD0"/>
    <w:rsid w:val="00283434"/>
    <w:rsid w:val="00286952"/>
    <w:rsid w:val="0029071A"/>
    <w:rsid w:val="0029098A"/>
    <w:rsid w:val="00294AA7"/>
    <w:rsid w:val="00295796"/>
    <w:rsid w:val="00296ED9"/>
    <w:rsid w:val="002A2295"/>
    <w:rsid w:val="002A23E9"/>
    <w:rsid w:val="002A3BC0"/>
    <w:rsid w:val="002A485F"/>
    <w:rsid w:val="002C19CE"/>
    <w:rsid w:val="002C22CD"/>
    <w:rsid w:val="002C52D1"/>
    <w:rsid w:val="002C58D3"/>
    <w:rsid w:val="002D12E6"/>
    <w:rsid w:val="002D1659"/>
    <w:rsid w:val="002D1872"/>
    <w:rsid w:val="002D1C96"/>
    <w:rsid w:val="002D3E7E"/>
    <w:rsid w:val="002E6CA8"/>
    <w:rsid w:val="002F1CFC"/>
    <w:rsid w:val="002F1EA0"/>
    <w:rsid w:val="002F5060"/>
    <w:rsid w:val="00301FAC"/>
    <w:rsid w:val="00306FD1"/>
    <w:rsid w:val="00310119"/>
    <w:rsid w:val="00313123"/>
    <w:rsid w:val="00313380"/>
    <w:rsid w:val="003164FF"/>
    <w:rsid w:val="0031748E"/>
    <w:rsid w:val="0032563A"/>
    <w:rsid w:val="003268A1"/>
    <w:rsid w:val="003312E1"/>
    <w:rsid w:val="00333EFD"/>
    <w:rsid w:val="003355CB"/>
    <w:rsid w:val="0033634D"/>
    <w:rsid w:val="003372B5"/>
    <w:rsid w:val="00341D9C"/>
    <w:rsid w:val="00345F76"/>
    <w:rsid w:val="003475D8"/>
    <w:rsid w:val="00351870"/>
    <w:rsid w:val="003555C1"/>
    <w:rsid w:val="00355632"/>
    <w:rsid w:val="00356BEC"/>
    <w:rsid w:val="0036034A"/>
    <w:rsid w:val="003603AC"/>
    <w:rsid w:val="00361CBC"/>
    <w:rsid w:val="00363163"/>
    <w:rsid w:val="00363B72"/>
    <w:rsid w:val="0036572B"/>
    <w:rsid w:val="003665BD"/>
    <w:rsid w:val="00366B1A"/>
    <w:rsid w:val="00372773"/>
    <w:rsid w:val="003735DF"/>
    <w:rsid w:val="003745A9"/>
    <w:rsid w:val="00376BE3"/>
    <w:rsid w:val="003806E3"/>
    <w:rsid w:val="00385B98"/>
    <w:rsid w:val="00390432"/>
    <w:rsid w:val="003918DF"/>
    <w:rsid w:val="0039197D"/>
    <w:rsid w:val="00392DDF"/>
    <w:rsid w:val="00395177"/>
    <w:rsid w:val="0039546F"/>
    <w:rsid w:val="00397D7C"/>
    <w:rsid w:val="003A0997"/>
    <w:rsid w:val="003A0C8F"/>
    <w:rsid w:val="003A12C9"/>
    <w:rsid w:val="003A305B"/>
    <w:rsid w:val="003A391E"/>
    <w:rsid w:val="003A3DF2"/>
    <w:rsid w:val="003A7E5B"/>
    <w:rsid w:val="003B221C"/>
    <w:rsid w:val="003B3DE7"/>
    <w:rsid w:val="003B4B74"/>
    <w:rsid w:val="003B52FE"/>
    <w:rsid w:val="003C005B"/>
    <w:rsid w:val="003C1F24"/>
    <w:rsid w:val="003C2FD8"/>
    <w:rsid w:val="003C3244"/>
    <w:rsid w:val="003C6E41"/>
    <w:rsid w:val="003C7168"/>
    <w:rsid w:val="003D1724"/>
    <w:rsid w:val="003D228C"/>
    <w:rsid w:val="003D4E7E"/>
    <w:rsid w:val="003D7039"/>
    <w:rsid w:val="003E01FE"/>
    <w:rsid w:val="003E0DEB"/>
    <w:rsid w:val="003E2E06"/>
    <w:rsid w:val="003E4DF3"/>
    <w:rsid w:val="003E62D4"/>
    <w:rsid w:val="003F2841"/>
    <w:rsid w:val="003F543D"/>
    <w:rsid w:val="00401B2F"/>
    <w:rsid w:val="00402F0E"/>
    <w:rsid w:val="00403725"/>
    <w:rsid w:val="004039CC"/>
    <w:rsid w:val="00404805"/>
    <w:rsid w:val="00404D2B"/>
    <w:rsid w:val="00407DF6"/>
    <w:rsid w:val="004119AD"/>
    <w:rsid w:val="00413C67"/>
    <w:rsid w:val="0041502E"/>
    <w:rsid w:val="00417283"/>
    <w:rsid w:val="00421D59"/>
    <w:rsid w:val="00422060"/>
    <w:rsid w:val="00422B29"/>
    <w:rsid w:val="00422F19"/>
    <w:rsid w:val="00431A81"/>
    <w:rsid w:val="00432010"/>
    <w:rsid w:val="0043289A"/>
    <w:rsid w:val="00432A84"/>
    <w:rsid w:val="00432C74"/>
    <w:rsid w:val="00433C7F"/>
    <w:rsid w:val="00441AA8"/>
    <w:rsid w:val="004426A7"/>
    <w:rsid w:val="00446030"/>
    <w:rsid w:val="0045247E"/>
    <w:rsid w:val="004563D8"/>
    <w:rsid w:val="0045671C"/>
    <w:rsid w:val="004571EE"/>
    <w:rsid w:val="00457570"/>
    <w:rsid w:val="004575D7"/>
    <w:rsid w:val="00457D8F"/>
    <w:rsid w:val="00461B9A"/>
    <w:rsid w:val="00461EBD"/>
    <w:rsid w:val="004633F8"/>
    <w:rsid w:val="00463B5F"/>
    <w:rsid w:val="0046556B"/>
    <w:rsid w:val="00465724"/>
    <w:rsid w:val="00465B41"/>
    <w:rsid w:val="0047620D"/>
    <w:rsid w:val="004769DB"/>
    <w:rsid w:val="004771AE"/>
    <w:rsid w:val="00480E87"/>
    <w:rsid w:val="004847C0"/>
    <w:rsid w:val="00494335"/>
    <w:rsid w:val="004A0E92"/>
    <w:rsid w:val="004A50EA"/>
    <w:rsid w:val="004A62B2"/>
    <w:rsid w:val="004A7132"/>
    <w:rsid w:val="004B14C7"/>
    <w:rsid w:val="004B3136"/>
    <w:rsid w:val="004B3517"/>
    <w:rsid w:val="004B3756"/>
    <w:rsid w:val="004B470F"/>
    <w:rsid w:val="004B4C6B"/>
    <w:rsid w:val="004B52EB"/>
    <w:rsid w:val="004C04CB"/>
    <w:rsid w:val="004C103E"/>
    <w:rsid w:val="004C31A3"/>
    <w:rsid w:val="004C4F95"/>
    <w:rsid w:val="004C5309"/>
    <w:rsid w:val="004C62B2"/>
    <w:rsid w:val="004D17D1"/>
    <w:rsid w:val="004D198A"/>
    <w:rsid w:val="004E3C9F"/>
    <w:rsid w:val="004E5C58"/>
    <w:rsid w:val="004E5DF1"/>
    <w:rsid w:val="004F0FB8"/>
    <w:rsid w:val="004F4DFB"/>
    <w:rsid w:val="004F7200"/>
    <w:rsid w:val="00501874"/>
    <w:rsid w:val="0050197A"/>
    <w:rsid w:val="00502A26"/>
    <w:rsid w:val="00502BE3"/>
    <w:rsid w:val="00502E94"/>
    <w:rsid w:val="00507E65"/>
    <w:rsid w:val="00510EBC"/>
    <w:rsid w:val="00511FC6"/>
    <w:rsid w:val="00512716"/>
    <w:rsid w:val="0051460D"/>
    <w:rsid w:val="00516D21"/>
    <w:rsid w:val="005219CC"/>
    <w:rsid w:val="00526730"/>
    <w:rsid w:val="005267A3"/>
    <w:rsid w:val="00526C44"/>
    <w:rsid w:val="00526FD4"/>
    <w:rsid w:val="005323D7"/>
    <w:rsid w:val="00535A59"/>
    <w:rsid w:val="00537AD8"/>
    <w:rsid w:val="00544210"/>
    <w:rsid w:val="0054470B"/>
    <w:rsid w:val="005449E3"/>
    <w:rsid w:val="00544E5F"/>
    <w:rsid w:val="0055092C"/>
    <w:rsid w:val="00550B2A"/>
    <w:rsid w:val="00551077"/>
    <w:rsid w:val="005534D6"/>
    <w:rsid w:val="00555372"/>
    <w:rsid w:val="00555F28"/>
    <w:rsid w:val="00557215"/>
    <w:rsid w:val="00557F33"/>
    <w:rsid w:val="00560197"/>
    <w:rsid w:val="00561127"/>
    <w:rsid w:val="00563703"/>
    <w:rsid w:val="00570D87"/>
    <w:rsid w:val="00570F86"/>
    <w:rsid w:val="00571DD7"/>
    <w:rsid w:val="005725F6"/>
    <w:rsid w:val="005728D7"/>
    <w:rsid w:val="00573305"/>
    <w:rsid w:val="005739D2"/>
    <w:rsid w:val="00581CF1"/>
    <w:rsid w:val="00584F80"/>
    <w:rsid w:val="00585238"/>
    <w:rsid w:val="00585357"/>
    <w:rsid w:val="005866D2"/>
    <w:rsid w:val="00586827"/>
    <w:rsid w:val="0058782E"/>
    <w:rsid w:val="005921A1"/>
    <w:rsid w:val="00594789"/>
    <w:rsid w:val="00594929"/>
    <w:rsid w:val="00594F9C"/>
    <w:rsid w:val="0059588F"/>
    <w:rsid w:val="005A0E40"/>
    <w:rsid w:val="005A0E66"/>
    <w:rsid w:val="005A153E"/>
    <w:rsid w:val="005A5B90"/>
    <w:rsid w:val="005A5EF5"/>
    <w:rsid w:val="005A77A3"/>
    <w:rsid w:val="005B3589"/>
    <w:rsid w:val="005B6C36"/>
    <w:rsid w:val="005C1433"/>
    <w:rsid w:val="005C1538"/>
    <w:rsid w:val="005C1F36"/>
    <w:rsid w:val="005C2520"/>
    <w:rsid w:val="005C2688"/>
    <w:rsid w:val="005C3353"/>
    <w:rsid w:val="005C5631"/>
    <w:rsid w:val="005C5EF5"/>
    <w:rsid w:val="005D05EB"/>
    <w:rsid w:val="005D5CDD"/>
    <w:rsid w:val="005E0633"/>
    <w:rsid w:val="005E2321"/>
    <w:rsid w:val="005E3916"/>
    <w:rsid w:val="005E58E7"/>
    <w:rsid w:val="005E5991"/>
    <w:rsid w:val="005F2F3D"/>
    <w:rsid w:val="005F6744"/>
    <w:rsid w:val="00601840"/>
    <w:rsid w:val="0061330C"/>
    <w:rsid w:val="00620579"/>
    <w:rsid w:val="00624CA9"/>
    <w:rsid w:val="00625334"/>
    <w:rsid w:val="006265F1"/>
    <w:rsid w:val="00632342"/>
    <w:rsid w:val="00634AE0"/>
    <w:rsid w:val="006361F1"/>
    <w:rsid w:val="006369A3"/>
    <w:rsid w:val="00636A19"/>
    <w:rsid w:val="00636E89"/>
    <w:rsid w:val="0064155F"/>
    <w:rsid w:val="006419EC"/>
    <w:rsid w:val="006420C2"/>
    <w:rsid w:val="00644AC8"/>
    <w:rsid w:val="00646669"/>
    <w:rsid w:val="00646F38"/>
    <w:rsid w:val="0064717F"/>
    <w:rsid w:val="0065267C"/>
    <w:rsid w:val="00655870"/>
    <w:rsid w:val="00663CCE"/>
    <w:rsid w:val="006655AC"/>
    <w:rsid w:val="00665CD4"/>
    <w:rsid w:val="0066745C"/>
    <w:rsid w:val="00667C37"/>
    <w:rsid w:val="00671AF4"/>
    <w:rsid w:val="006752C7"/>
    <w:rsid w:val="00676859"/>
    <w:rsid w:val="00682773"/>
    <w:rsid w:val="00684E43"/>
    <w:rsid w:val="00686507"/>
    <w:rsid w:val="006869A4"/>
    <w:rsid w:val="00687509"/>
    <w:rsid w:val="00690679"/>
    <w:rsid w:val="00690C00"/>
    <w:rsid w:val="00691F5B"/>
    <w:rsid w:val="00694FDE"/>
    <w:rsid w:val="006964D5"/>
    <w:rsid w:val="006A01A1"/>
    <w:rsid w:val="006A1ACA"/>
    <w:rsid w:val="006A29A1"/>
    <w:rsid w:val="006A6669"/>
    <w:rsid w:val="006B03E5"/>
    <w:rsid w:val="006B1489"/>
    <w:rsid w:val="006B3657"/>
    <w:rsid w:val="006B45CD"/>
    <w:rsid w:val="006B5475"/>
    <w:rsid w:val="006C0A94"/>
    <w:rsid w:val="006C63F2"/>
    <w:rsid w:val="006D0292"/>
    <w:rsid w:val="006D1CBC"/>
    <w:rsid w:val="006D5797"/>
    <w:rsid w:val="006D5D67"/>
    <w:rsid w:val="006E5F19"/>
    <w:rsid w:val="006F0857"/>
    <w:rsid w:val="006F1A26"/>
    <w:rsid w:val="006F326E"/>
    <w:rsid w:val="006F3C98"/>
    <w:rsid w:val="006F7A2A"/>
    <w:rsid w:val="0070262B"/>
    <w:rsid w:val="00702D0C"/>
    <w:rsid w:val="007066C0"/>
    <w:rsid w:val="00707BC5"/>
    <w:rsid w:val="007126FD"/>
    <w:rsid w:val="00713AD5"/>
    <w:rsid w:val="00714E62"/>
    <w:rsid w:val="0071769F"/>
    <w:rsid w:val="00721760"/>
    <w:rsid w:val="0072214A"/>
    <w:rsid w:val="00723C5F"/>
    <w:rsid w:val="007255B8"/>
    <w:rsid w:val="00730937"/>
    <w:rsid w:val="007348BA"/>
    <w:rsid w:val="00735E9D"/>
    <w:rsid w:val="00742CE8"/>
    <w:rsid w:val="00742EB5"/>
    <w:rsid w:val="007434D2"/>
    <w:rsid w:val="00744504"/>
    <w:rsid w:val="00744A79"/>
    <w:rsid w:val="0075018A"/>
    <w:rsid w:val="0075284F"/>
    <w:rsid w:val="00753CCE"/>
    <w:rsid w:val="00755047"/>
    <w:rsid w:val="00756754"/>
    <w:rsid w:val="00756DB7"/>
    <w:rsid w:val="00757B8D"/>
    <w:rsid w:val="00762DAE"/>
    <w:rsid w:val="0076392C"/>
    <w:rsid w:val="007651A2"/>
    <w:rsid w:val="00765635"/>
    <w:rsid w:val="0077017A"/>
    <w:rsid w:val="00771FE0"/>
    <w:rsid w:val="00773701"/>
    <w:rsid w:val="00781658"/>
    <w:rsid w:val="00791DBA"/>
    <w:rsid w:val="0079295E"/>
    <w:rsid w:val="00795503"/>
    <w:rsid w:val="007974C8"/>
    <w:rsid w:val="007A2A84"/>
    <w:rsid w:val="007A2DFC"/>
    <w:rsid w:val="007B4671"/>
    <w:rsid w:val="007B714F"/>
    <w:rsid w:val="007B7339"/>
    <w:rsid w:val="007B7E0C"/>
    <w:rsid w:val="007C3EAF"/>
    <w:rsid w:val="007C5719"/>
    <w:rsid w:val="007C61C6"/>
    <w:rsid w:val="007C6435"/>
    <w:rsid w:val="007D0C08"/>
    <w:rsid w:val="007D2A0D"/>
    <w:rsid w:val="007D3CAB"/>
    <w:rsid w:val="007D441F"/>
    <w:rsid w:val="007E023B"/>
    <w:rsid w:val="007E046F"/>
    <w:rsid w:val="007E36C6"/>
    <w:rsid w:val="007F2FF2"/>
    <w:rsid w:val="007F39FC"/>
    <w:rsid w:val="007F5937"/>
    <w:rsid w:val="007F6039"/>
    <w:rsid w:val="007F7EB0"/>
    <w:rsid w:val="00800544"/>
    <w:rsid w:val="008012BB"/>
    <w:rsid w:val="008017B1"/>
    <w:rsid w:val="008060A0"/>
    <w:rsid w:val="00811A54"/>
    <w:rsid w:val="0081297C"/>
    <w:rsid w:val="00820519"/>
    <w:rsid w:val="0082212C"/>
    <w:rsid w:val="008221E5"/>
    <w:rsid w:val="008223A2"/>
    <w:rsid w:val="008238D1"/>
    <w:rsid w:val="00824FFF"/>
    <w:rsid w:val="00827294"/>
    <w:rsid w:val="008277B9"/>
    <w:rsid w:val="00830E64"/>
    <w:rsid w:val="0083161D"/>
    <w:rsid w:val="0083262A"/>
    <w:rsid w:val="00833A06"/>
    <w:rsid w:val="008357E0"/>
    <w:rsid w:val="008372C9"/>
    <w:rsid w:val="00837BCE"/>
    <w:rsid w:val="008438EB"/>
    <w:rsid w:val="008449BE"/>
    <w:rsid w:val="00846AFA"/>
    <w:rsid w:val="008501FE"/>
    <w:rsid w:val="00850C36"/>
    <w:rsid w:val="00851253"/>
    <w:rsid w:val="00856BA3"/>
    <w:rsid w:val="00856DF7"/>
    <w:rsid w:val="0086076D"/>
    <w:rsid w:val="00863930"/>
    <w:rsid w:val="008669ED"/>
    <w:rsid w:val="00867BFB"/>
    <w:rsid w:val="00870FA6"/>
    <w:rsid w:val="00871DEF"/>
    <w:rsid w:val="0087305B"/>
    <w:rsid w:val="008733A2"/>
    <w:rsid w:val="00874155"/>
    <w:rsid w:val="00875DBC"/>
    <w:rsid w:val="008814A2"/>
    <w:rsid w:val="00882C18"/>
    <w:rsid w:val="008845A6"/>
    <w:rsid w:val="0088588A"/>
    <w:rsid w:val="0089114A"/>
    <w:rsid w:val="00893C26"/>
    <w:rsid w:val="008944AD"/>
    <w:rsid w:val="008948D1"/>
    <w:rsid w:val="00895637"/>
    <w:rsid w:val="008A053A"/>
    <w:rsid w:val="008A07C1"/>
    <w:rsid w:val="008A1116"/>
    <w:rsid w:val="008A46E5"/>
    <w:rsid w:val="008A7C8A"/>
    <w:rsid w:val="008B25C7"/>
    <w:rsid w:val="008B280F"/>
    <w:rsid w:val="008B3EF2"/>
    <w:rsid w:val="008B50E5"/>
    <w:rsid w:val="008B53A6"/>
    <w:rsid w:val="008C01DE"/>
    <w:rsid w:val="008C020B"/>
    <w:rsid w:val="008C3708"/>
    <w:rsid w:val="008C6F51"/>
    <w:rsid w:val="008D2810"/>
    <w:rsid w:val="008D348C"/>
    <w:rsid w:val="008D5588"/>
    <w:rsid w:val="008E023E"/>
    <w:rsid w:val="008E1955"/>
    <w:rsid w:val="008E277A"/>
    <w:rsid w:val="008E58CE"/>
    <w:rsid w:val="008F0754"/>
    <w:rsid w:val="008F0CE3"/>
    <w:rsid w:val="008F0E05"/>
    <w:rsid w:val="008F7051"/>
    <w:rsid w:val="00903C5B"/>
    <w:rsid w:val="009056D0"/>
    <w:rsid w:val="0090719F"/>
    <w:rsid w:val="009117E6"/>
    <w:rsid w:val="00911A7F"/>
    <w:rsid w:val="00916F98"/>
    <w:rsid w:val="00917457"/>
    <w:rsid w:val="00922386"/>
    <w:rsid w:val="00927F2A"/>
    <w:rsid w:val="00931BB6"/>
    <w:rsid w:val="00933837"/>
    <w:rsid w:val="00934354"/>
    <w:rsid w:val="009358E8"/>
    <w:rsid w:val="00935C2A"/>
    <w:rsid w:val="0093698D"/>
    <w:rsid w:val="00936A4A"/>
    <w:rsid w:val="009379C7"/>
    <w:rsid w:val="009400C7"/>
    <w:rsid w:val="00940826"/>
    <w:rsid w:val="00946B3A"/>
    <w:rsid w:val="009522C8"/>
    <w:rsid w:val="00952F45"/>
    <w:rsid w:val="0095538C"/>
    <w:rsid w:val="009575BF"/>
    <w:rsid w:val="009634DE"/>
    <w:rsid w:val="009647BE"/>
    <w:rsid w:val="00967744"/>
    <w:rsid w:val="00970A6A"/>
    <w:rsid w:val="00973439"/>
    <w:rsid w:val="009743FE"/>
    <w:rsid w:val="00974FEE"/>
    <w:rsid w:val="009776FF"/>
    <w:rsid w:val="009824D3"/>
    <w:rsid w:val="00986D94"/>
    <w:rsid w:val="009873DC"/>
    <w:rsid w:val="00987D17"/>
    <w:rsid w:val="00994A69"/>
    <w:rsid w:val="009970CC"/>
    <w:rsid w:val="00997D2A"/>
    <w:rsid w:val="009A01E7"/>
    <w:rsid w:val="009A44F9"/>
    <w:rsid w:val="009A77C6"/>
    <w:rsid w:val="009A7E53"/>
    <w:rsid w:val="009B14F9"/>
    <w:rsid w:val="009C2858"/>
    <w:rsid w:val="009C59A6"/>
    <w:rsid w:val="009C758E"/>
    <w:rsid w:val="009D22F7"/>
    <w:rsid w:val="009D3AD2"/>
    <w:rsid w:val="009D4BD3"/>
    <w:rsid w:val="009D5782"/>
    <w:rsid w:val="009D6E19"/>
    <w:rsid w:val="009D7844"/>
    <w:rsid w:val="009E0D9C"/>
    <w:rsid w:val="009E1336"/>
    <w:rsid w:val="009E5175"/>
    <w:rsid w:val="009F17E8"/>
    <w:rsid w:val="009F26CE"/>
    <w:rsid w:val="009F380D"/>
    <w:rsid w:val="009F4F78"/>
    <w:rsid w:val="009F6B32"/>
    <w:rsid w:val="009F73E3"/>
    <w:rsid w:val="00A000E5"/>
    <w:rsid w:val="00A00724"/>
    <w:rsid w:val="00A022A0"/>
    <w:rsid w:val="00A04FE9"/>
    <w:rsid w:val="00A06F3B"/>
    <w:rsid w:val="00A10C38"/>
    <w:rsid w:val="00A11FFA"/>
    <w:rsid w:val="00A12F49"/>
    <w:rsid w:val="00A15793"/>
    <w:rsid w:val="00A15B5B"/>
    <w:rsid w:val="00A15D19"/>
    <w:rsid w:val="00A209F3"/>
    <w:rsid w:val="00A20C56"/>
    <w:rsid w:val="00A22055"/>
    <w:rsid w:val="00A2258D"/>
    <w:rsid w:val="00A226E6"/>
    <w:rsid w:val="00A24F0A"/>
    <w:rsid w:val="00A31152"/>
    <w:rsid w:val="00A33D27"/>
    <w:rsid w:val="00A33EA0"/>
    <w:rsid w:val="00A347DA"/>
    <w:rsid w:val="00A34FA9"/>
    <w:rsid w:val="00A3604E"/>
    <w:rsid w:val="00A36CC6"/>
    <w:rsid w:val="00A37B0B"/>
    <w:rsid w:val="00A37E81"/>
    <w:rsid w:val="00A40501"/>
    <w:rsid w:val="00A417F3"/>
    <w:rsid w:val="00A43E47"/>
    <w:rsid w:val="00A4425D"/>
    <w:rsid w:val="00A47050"/>
    <w:rsid w:val="00A61CCC"/>
    <w:rsid w:val="00A67177"/>
    <w:rsid w:val="00A71709"/>
    <w:rsid w:val="00A72841"/>
    <w:rsid w:val="00A81DC8"/>
    <w:rsid w:val="00A826B0"/>
    <w:rsid w:val="00A82F36"/>
    <w:rsid w:val="00A903F3"/>
    <w:rsid w:val="00A9340C"/>
    <w:rsid w:val="00A93AB0"/>
    <w:rsid w:val="00A9639E"/>
    <w:rsid w:val="00A964BB"/>
    <w:rsid w:val="00A96D90"/>
    <w:rsid w:val="00AA07B1"/>
    <w:rsid w:val="00AA2D45"/>
    <w:rsid w:val="00AA51B9"/>
    <w:rsid w:val="00AB0935"/>
    <w:rsid w:val="00AB0F66"/>
    <w:rsid w:val="00AB17E6"/>
    <w:rsid w:val="00AC042E"/>
    <w:rsid w:val="00AC273F"/>
    <w:rsid w:val="00AC52F3"/>
    <w:rsid w:val="00AD132B"/>
    <w:rsid w:val="00AD1896"/>
    <w:rsid w:val="00AD2E13"/>
    <w:rsid w:val="00AD79AB"/>
    <w:rsid w:val="00AE4B17"/>
    <w:rsid w:val="00AE6480"/>
    <w:rsid w:val="00AF4EC4"/>
    <w:rsid w:val="00AF5BA1"/>
    <w:rsid w:val="00AF5F56"/>
    <w:rsid w:val="00B00992"/>
    <w:rsid w:val="00B0412A"/>
    <w:rsid w:val="00B059D9"/>
    <w:rsid w:val="00B07F6E"/>
    <w:rsid w:val="00B117B0"/>
    <w:rsid w:val="00B17A6A"/>
    <w:rsid w:val="00B20557"/>
    <w:rsid w:val="00B22720"/>
    <w:rsid w:val="00B34DB3"/>
    <w:rsid w:val="00B37586"/>
    <w:rsid w:val="00B4055A"/>
    <w:rsid w:val="00B42BF6"/>
    <w:rsid w:val="00B5645D"/>
    <w:rsid w:val="00B56C06"/>
    <w:rsid w:val="00B6542B"/>
    <w:rsid w:val="00B73E8C"/>
    <w:rsid w:val="00B7652A"/>
    <w:rsid w:val="00B86EAA"/>
    <w:rsid w:val="00B91C28"/>
    <w:rsid w:val="00B94A52"/>
    <w:rsid w:val="00B9598A"/>
    <w:rsid w:val="00B9615A"/>
    <w:rsid w:val="00B973CA"/>
    <w:rsid w:val="00BA54DB"/>
    <w:rsid w:val="00BA7332"/>
    <w:rsid w:val="00BB2271"/>
    <w:rsid w:val="00BB34C5"/>
    <w:rsid w:val="00BB3A2C"/>
    <w:rsid w:val="00BB3F2C"/>
    <w:rsid w:val="00BB508C"/>
    <w:rsid w:val="00BC1D0E"/>
    <w:rsid w:val="00BC213A"/>
    <w:rsid w:val="00BC68A2"/>
    <w:rsid w:val="00BD0215"/>
    <w:rsid w:val="00BD1031"/>
    <w:rsid w:val="00BD2D14"/>
    <w:rsid w:val="00BD2D80"/>
    <w:rsid w:val="00BD2EC2"/>
    <w:rsid w:val="00BD36F0"/>
    <w:rsid w:val="00BD63A1"/>
    <w:rsid w:val="00BD6B71"/>
    <w:rsid w:val="00BE2EAE"/>
    <w:rsid w:val="00BE45EC"/>
    <w:rsid w:val="00BE50C7"/>
    <w:rsid w:val="00BE6B95"/>
    <w:rsid w:val="00BF2F82"/>
    <w:rsid w:val="00BF347C"/>
    <w:rsid w:val="00BF35E9"/>
    <w:rsid w:val="00C01658"/>
    <w:rsid w:val="00C02D0D"/>
    <w:rsid w:val="00C037C7"/>
    <w:rsid w:val="00C077EE"/>
    <w:rsid w:val="00C10731"/>
    <w:rsid w:val="00C161DB"/>
    <w:rsid w:val="00C16954"/>
    <w:rsid w:val="00C1768F"/>
    <w:rsid w:val="00C17A2E"/>
    <w:rsid w:val="00C2392F"/>
    <w:rsid w:val="00C23BDE"/>
    <w:rsid w:val="00C26FD2"/>
    <w:rsid w:val="00C32825"/>
    <w:rsid w:val="00C32D79"/>
    <w:rsid w:val="00C352DC"/>
    <w:rsid w:val="00C35A6C"/>
    <w:rsid w:val="00C43CA1"/>
    <w:rsid w:val="00C44D54"/>
    <w:rsid w:val="00C55337"/>
    <w:rsid w:val="00C555C6"/>
    <w:rsid w:val="00C56BD8"/>
    <w:rsid w:val="00C61DD3"/>
    <w:rsid w:val="00C6361D"/>
    <w:rsid w:val="00C64055"/>
    <w:rsid w:val="00C64820"/>
    <w:rsid w:val="00C64E80"/>
    <w:rsid w:val="00C65B75"/>
    <w:rsid w:val="00C65C03"/>
    <w:rsid w:val="00C663AD"/>
    <w:rsid w:val="00C66B89"/>
    <w:rsid w:val="00C67578"/>
    <w:rsid w:val="00C67622"/>
    <w:rsid w:val="00C67D4C"/>
    <w:rsid w:val="00C71C09"/>
    <w:rsid w:val="00C735CE"/>
    <w:rsid w:val="00C73C74"/>
    <w:rsid w:val="00C77022"/>
    <w:rsid w:val="00C80E4E"/>
    <w:rsid w:val="00C82E1C"/>
    <w:rsid w:val="00C90D42"/>
    <w:rsid w:val="00C90FF9"/>
    <w:rsid w:val="00C95B5C"/>
    <w:rsid w:val="00C9641F"/>
    <w:rsid w:val="00CA092E"/>
    <w:rsid w:val="00CA17B0"/>
    <w:rsid w:val="00CA4318"/>
    <w:rsid w:val="00CA7670"/>
    <w:rsid w:val="00CB1F49"/>
    <w:rsid w:val="00CB6987"/>
    <w:rsid w:val="00CC07FC"/>
    <w:rsid w:val="00CC18A2"/>
    <w:rsid w:val="00CC1A93"/>
    <w:rsid w:val="00CC1E93"/>
    <w:rsid w:val="00CC21D4"/>
    <w:rsid w:val="00CC43AF"/>
    <w:rsid w:val="00CC6441"/>
    <w:rsid w:val="00CD23F4"/>
    <w:rsid w:val="00CD45D5"/>
    <w:rsid w:val="00CD5D08"/>
    <w:rsid w:val="00CD634A"/>
    <w:rsid w:val="00CD649B"/>
    <w:rsid w:val="00CD73F9"/>
    <w:rsid w:val="00CE08A4"/>
    <w:rsid w:val="00CE22C9"/>
    <w:rsid w:val="00CE258D"/>
    <w:rsid w:val="00CE282B"/>
    <w:rsid w:val="00CE4319"/>
    <w:rsid w:val="00CE5321"/>
    <w:rsid w:val="00CE6FA9"/>
    <w:rsid w:val="00CE7440"/>
    <w:rsid w:val="00CF19E2"/>
    <w:rsid w:val="00D02131"/>
    <w:rsid w:val="00D05E89"/>
    <w:rsid w:val="00D07263"/>
    <w:rsid w:val="00D103A5"/>
    <w:rsid w:val="00D12A18"/>
    <w:rsid w:val="00D168D9"/>
    <w:rsid w:val="00D22C56"/>
    <w:rsid w:val="00D236CA"/>
    <w:rsid w:val="00D24DF9"/>
    <w:rsid w:val="00D31611"/>
    <w:rsid w:val="00D32D05"/>
    <w:rsid w:val="00D32EAF"/>
    <w:rsid w:val="00D346C5"/>
    <w:rsid w:val="00D34D3C"/>
    <w:rsid w:val="00D35198"/>
    <w:rsid w:val="00D354E8"/>
    <w:rsid w:val="00D3698D"/>
    <w:rsid w:val="00D42411"/>
    <w:rsid w:val="00D42EF5"/>
    <w:rsid w:val="00D53F42"/>
    <w:rsid w:val="00D54A84"/>
    <w:rsid w:val="00D55E51"/>
    <w:rsid w:val="00D55F6D"/>
    <w:rsid w:val="00D57F32"/>
    <w:rsid w:val="00D61870"/>
    <w:rsid w:val="00D61E38"/>
    <w:rsid w:val="00D6285E"/>
    <w:rsid w:val="00D63EC8"/>
    <w:rsid w:val="00D6536A"/>
    <w:rsid w:val="00D6613E"/>
    <w:rsid w:val="00D67593"/>
    <w:rsid w:val="00D70B27"/>
    <w:rsid w:val="00D72495"/>
    <w:rsid w:val="00D767E9"/>
    <w:rsid w:val="00D80F42"/>
    <w:rsid w:val="00D81511"/>
    <w:rsid w:val="00D82182"/>
    <w:rsid w:val="00D82822"/>
    <w:rsid w:val="00D8654D"/>
    <w:rsid w:val="00D86647"/>
    <w:rsid w:val="00D951D6"/>
    <w:rsid w:val="00DA0A91"/>
    <w:rsid w:val="00DA31AC"/>
    <w:rsid w:val="00DB3750"/>
    <w:rsid w:val="00DB4855"/>
    <w:rsid w:val="00DC05A3"/>
    <w:rsid w:val="00DC463C"/>
    <w:rsid w:val="00DC59B2"/>
    <w:rsid w:val="00DC795D"/>
    <w:rsid w:val="00DD3526"/>
    <w:rsid w:val="00DD44B9"/>
    <w:rsid w:val="00DD52DD"/>
    <w:rsid w:val="00DE267A"/>
    <w:rsid w:val="00DE6300"/>
    <w:rsid w:val="00DF3AA6"/>
    <w:rsid w:val="00DF4DE4"/>
    <w:rsid w:val="00E01367"/>
    <w:rsid w:val="00E03F66"/>
    <w:rsid w:val="00E04CB4"/>
    <w:rsid w:val="00E1021D"/>
    <w:rsid w:val="00E1252C"/>
    <w:rsid w:val="00E128C0"/>
    <w:rsid w:val="00E12AA6"/>
    <w:rsid w:val="00E15EB8"/>
    <w:rsid w:val="00E15F76"/>
    <w:rsid w:val="00E2188D"/>
    <w:rsid w:val="00E24543"/>
    <w:rsid w:val="00E3192B"/>
    <w:rsid w:val="00E3202A"/>
    <w:rsid w:val="00E37EC8"/>
    <w:rsid w:val="00E40484"/>
    <w:rsid w:val="00E522B2"/>
    <w:rsid w:val="00E52676"/>
    <w:rsid w:val="00E52E3A"/>
    <w:rsid w:val="00E53470"/>
    <w:rsid w:val="00E55E57"/>
    <w:rsid w:val="00E66031"/>
    <w:rsid w:val="00E677C6"/>
    <w:rsid w:val="00E74296"/>
    <w:rsid w:val="00E75125"/>
    <w:rsid w:val="00E77DB1"/>
    <w:rsid w:val="00E77EFB"/>
    <w:rsid w:val="00E8179F"/>
    <w:rsid w:val="00E823B1"/>
    <w:rsid w:val="00E83252"/>
    <w:rsid w:val="00E84757"/>
    <w:rsid w:val="00E85CF4"/>
    <w:rsid w:val="00E91DBF"/>
    <w:rsid w:val="00E937AC"/>
    <w:rsid w:val="00E94014"/>
    <w:rsid w:val="00EA1A2C"/>
    <w:rsid w:val="00EB1D34"/>
    <w:rsid w:val="00EB400B"/>
    <w:rsid w:val="00EC329C"/>
    <w:rsid w:val="00EC5733"/>
    <w:rsid w:val="00EC6089"/>
    <w:rsid w:val="00EC6696"/>
    <w:rsid w:val="00EC74F6"/>
    <w:rsid w:val="00ED0355"/>
    <w:rsid w:val="00ED162F"/>
    <w:rsid w:val="00ED1AAB"/>
    <w:rsid w:val="00ED6D0C"/>
    <w:rsid w:val="00ED7D95"/>
    <w:rsid w:val="00EE077E"/>
    <w:rsid w:val="00EE3D87"/>
    <w:rsid w:val="00EE3DD9"/>
    <w:rsid w:val="00EE5563"/>
    <w:rsid w:val="00EF018C"/>
    <w:rsid w:val="00F01580"/>
    <w:rsid w:val="00F02F6E"/>
    <w:rsid w:val="00F1271D"/>
    <w:rsid w:val="00F162DC"/>
    <w:rsid w:val="00F204B4"/>
    <w:rsid w:val="00F20C92"/>
    <w:rsid w:val="00F20D9F"/>
    <w:rsid w:val="00F232AA"/>
    <w:rsid w:val="00F2552A"/>
    <w:rsid w:val="00F2784D"/>
    <w:rsid w:val="00F30E0E"/>
    <w:rsid w:val="00F34E22"/>
    <w:rsid w:val="00F35754"/>
    <w:rsid w:val="00F35C33"/>
    <w:rsid w:val="00F40BA5"/>
    <w:rsid w:val="00F523E5"/>
    <w:rsid w:val="00F57600"/>
    <w:rsid w:val="00F62644"/>
    <w:rsid w:val="00F65609"/>
    <w:rsid w:val="00F65D75"/>
    <w:rsid w:val="00F6735B"/>
    <w:rsid w:val="00F7048A"/>
    <w:rsid w:val="00F70E89"/>
    <w:rsid w:val="00F716E8"/>
    <w:rsid w:val="00F7368C"/>
    <w:rsid w:val="00F73BCC"/>
    <w:rsid w:val="00F74491"/>
    <w:rsid w:val="00F74F46"/>
    <w:rsid w:val="00F75C59"/>
    <w:rsid w:val="00F75CEE"/>
    <w:rsid w:val="00F7761D"/>
    <w:rsid w:val="00F85541"/>
    <w:rsid w:val="00F86361"/>
    <w:rsid w:val="00F90037"/>
    <w:rsid w:val="00F92B43"/>
    <w:rsid w:val="00F95C96"/>
    <w:rsid w:val="00F97E4C"/>
    <w:rsid w:val="00F97F31"/>
    <w:rsid w:val="00FA185E"/>
    <w:rsid w:val="00FA2837"/>
    <w:rsid w:val="00FA2E6C"/>
    <w:rsid w:val="00FA3327"/>
    <w:rsid w:val="00FA526B"/>
    <w:rsid w:val="00FA5673"/>
    <w:rsid w:val="00FA60ED"/>
    <w:rsid w:val="00FA7C04"/>
    <w:rsid w:val="00FB16FC"/>
    <w:rsid w:val="00FB2D0E"/>
    <w:rsid w:val="00FB493B"/>
    <w:rsid w:val="00FB5C08"/>
    <w:rsid w:val="00FC0613"/>
    <w:rsid w:val="00FC359D"/>
    <w:rsid w:val="00FC3A35"/>
    <w:rsid w:val="00FC4E0B"/>
    <w:rsid w:val="00FC5909"/>
    <w:rsid w:val="00FC6FB0"/>
    <w:rsid w:val="00FD1DB7"/>
    <w:rsid w:val="00FD3573"/>
    <w:rsid w:val="00FD7862"/>
    <w:rsid w:val="00FF6E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link w:val="4GChar"/>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594789"/>
    <w:pPr>
      <w:suppressAutoHyphens w:val="0"/>
      <w:spacing w:after="160" w:line="240" w:lineRule="exact"/>
      <w:jc w:val="both"/>
    </w:pPr>
    <w:rPr>
      <w:sz w:val="18"/>
      <w:vertAlign w:val="superscript"/>
      <w:lang w:eastAsia="zh-CN"/>
    </w:rPr>
  </w:style>
  <w:style w:type="character" w:customStyle="1" w:styleId="st">
    <w:name w:val="st"/>
    <w:basedOn w:val="DefaultParagraphFont"/>
    <w:rsid w:val="00594789"/>
  </w:style>
  <w:style w:type="character" w:styleId="FollowedHyperlink">
    <w:name w:val="FollowedHyperlink"/>
    <w:basedOn w:val="DefaultParagraphFont"/>
    <w:rsid w:val="006D57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link w:val="4GChar"/>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594789"/>
    <w:pPr>
      <w:suppressAutoHyphens w:val="0"/>
      <w:spacing w:after="160" w:line="240" w:lineRule="exact"/>
      <w:jc w:val="both"/>
    </w:pPr>
    <w:rPr>
      <w:sz w:val="18"/>
      <w:vertAlign w:val="superscript"/>
      <w:lang w:eastAsia="zh-CN"/>
    </w:rPr>
  </w:style>
  <w:style w:type="character" w:customStyle="1" w:styleId="st">
    <w:name w:val="st"/>
    <w:basedOn w:val="DefaultParagraphFont"/>
    <w:rsid w:val="00594789"/>
  </w:style>
  <w:style w:type="character" w:styleId="FollowedHyperlink">
    <w:name w:val="FollowedHyperlink"/>
    <w:basedOn w:val="DefaultParagraphFont"/>
    <w:rsid w:val="006D5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5169">
      <w:bodyDiv w:val="1"/>
      <w:marLeft w:val="0"/>
      <w:marRight w:val="0"/>
      <w:marTop w:val="0"/>
      <w:marBottom w:val="0"/>
      <w:divBdr>
        <w:top w:val="none" w:sz="0" w:space="0" w:color="auto"/>
        <w:left w:val="none" w:sz="0" w:space="0" w:color="auto"/>
        <w:bottom w:val="none" w:sz="0" w:space="0" w:color="auto"/>
        <w:right w:val="none" w:sz="0" w:space="0" w:color="auto"/>
      </w:divBdr>
    </w:div>
    <w:div w:id="870652914">
      <w:bodyDiv w:val="1"/>
      <w:marLeft w:val="0"/>
      <w:marRight w:val="0"/>
      <w:marTop w:val="0"/>
      <w:marBottom w:val="0"/>
      <w:divBdr>
        <w:top w:val="none" w:sz="0" w:space="0" w:color="auto"/>
        <w:left w:val="none" w:sz="0" w:space="0" w:color="auto"/>
        <w:bottom w:val="none" w:sz="0" w:space="0" w:color="auto"/>
        <w:right w:val="none" w:sz="0" w:space="0" w:color="auto"/>
      </w:divBdr>
    </w:div>
    <w:div w:id="1399286568">
      <w:bodyDiv w:val="1"/>
      <w:marLeft w:val="0"/>
      <w:marRight w:val="0"/>
      <w:marTop w:val="0"/>
      <w:marBottom w:val="0"/>
      <w:divBdr>
        <w:top w:val="none" w:sz="0" w:space="0" w:color="auto"/>
        <w:left w:val="none" w:sz="0" w:space="0" w:color="auto"/>
        <w:bottom w:val="none" w:sz="0" w:space="0" w:color="auto"/>
        <w:right w:val="none" w:sz="0" w:space="0" w:color="auto"/>
      </w:divBdr>
    </w:div>
    <w:div w:id="14543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wyorker.com/news/news-desk/the-real-value-" TargetMode="External"/><Relationship Id="rId7" Type="http://schemas.openxmlformats.org/officeDocument/2006/relationships/hyperlink" Target="http://en.unesco.org/system/files/unesco_clt_strategy_en.pdf" TargetMode="External"/><Relationship Id="rId2" Type="http://schemas.openxmlformats.org/officeDocument/2006/relationships/hyperlink" Target="https://www.ohchr.org/EN/Issues/CulturalRights/Pages/IntentionalDestruction.aspx" TargetMode="External"/><Relationship Id="rId1" Type="http://schemas.openxmlformats.org/officeDocument/2006/relationships/hyperlink" Target="http://en.unesco.org/news/director-general-irina-bokova-firmly-condemns-destruction-palmyra-s-ancient-temple-baalshamin" TargetMode="External"/><Relationship Id="rId6" Type="http://schemas.openxmlformats.org/officeDocument/2006/relationships/hyperlink" Target="https://www.icc-cpi.int/mali/al-mahdi" TargetMode="External"/><Relationship Id="rId5" Type="http://schemas.openxmlformats.org/officeDocument/2006/relationships/hyperlink" Target="https://ihl-databases.icrc.org/customary-ihl/eng/docs/v1_rul_rule40" TargetMode="External"/><Relationship Id="rId4" Type="http://schemas.openxmlformats.org/officeDocument/2006/relationships/hyperlink" Target="http://www.newyorker.com/news/news-desk/the-real-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3546075-0C5B-41ED-B672-EACF581A2145}"/>
</file>

<file path=customXml/itemProps2.xml><?xml version="1.0" encoding="utf-8"?>
<ds:datastoreItem xmlns:ds="http://schemas.openxmlformats.org/officeDocument/2006/customXml" ds:itemID="{BE5BA360-56E4-48AD-ADA9-2862DA81E846}"/>
</file>

<file path=customXml/itemProps3.xml><?xml version="1.0" encoding="utf-8"?>
<ds:datastoreItem xmlns:ds="http://schemas.openxmlformats.org/officeDocument/2006/customXml" ds:itemID="{060D1097-5D1B-4693-9199-7ACA96231E30}"/>
</file>

<file path=customXml/itemProps4.xml><?xml version="1.0" encoding="utf-8"?>
<ds:datastoreItem xmlns:ds="http://schemas.openxmlformats.org/officeDocument/2006/customXml" ds:itemID="{251C6B2B-C65D-45CE-B996-B342A96D58C3}"/>
</file>

<file path=docProps/app.xml><?xml version="1.0" encoding="utf-8"?>
<Properties xmlns="http://schemas.openxmlformats.org/officeDocument/2006/extended-properties" xmlns:vt="http://schemas.openxmlformats.org/officeDocument/2006/docPropsVTypes">
  <Template>Normal.dotm</Template>
  <TotalTime>62</TotalTime>
  <Pages>18</Pages>
  <Words>6258</Words>
  <Characters>34734</Characters>
  <Application>Microsoft Office Word</Application>
  <DocSecurity>0</DocSecurity>
  <Lines>723</Lines>
  <Paragraphs>525</Paragraphs>
  <ScaleCrop>false</ScaleCrop>
  <HeadingPairs>
    <vt:vector size="2" baseType="variant">
      <vt:variant>
        <vt:lpstr>Title</vt:lpstr>
      </vt:variant>
      <vt:variant>
        <vt:i4>1</vt:i4>
      </vt:variant>
    </vt:vector>
  </HeadingPairs>
  <TitlesOfParts>
    <vt:vector size="1" baseType="lpstr">
      <vt:lpstr>1413332</vt:lpstr>
    </vt:vector>
  </TitlesOfParts>
  <Company>CSD</Company>
  <LinksUpToDate>false</LinksUpToDate>
  <CharactersWithSpaces>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A_HRC_AC_18_2_EN</dc:title>
  <dc:creator>pae</dc:creator>
  <cp:keywords>A/HRC/AC/12/2</cp:keywords>
  <dc:description>final</dc:description>
  <cp:lastModifiedBy>Meena Ramkaun</cp:lastModifiedBy>
  <cp:revision>22</cp:revision>
  <cp:lastPrinted>2017-02-24T08:39:00Z</cp:lastPrinted>
  <dcterms:created xsi:type="dcterms:W3CDTF">2017-02-27T09:34:00Z</dcterms:created>
  <dcterms:modified xsi:type="dcterms:W3CDTF">2017-03-01T09:48:00Z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