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7E5" w:rsidRDefault="00184AF5">
      <w:pPr>
        <w:pStyle w:val="BodyText"/>
        <w:ind w:left="-212" w:right="82"/>
        <w:jc w:val="right"/>
        <w:rPr>
          <w:color w:val="000000"/>
          <w:lang w:val="es-ES"/>
        </w:rPr>
      </w:pPr>
      <w:bookmarkStart w:id="0" w:name="_GoBack"/>
      <w:bookmarkEnd w:id="0"/>
    </w:p>
    <w:p w:rsidR="000615A8" w:rsidRDefault="00124B6E"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r w:rsidRPr="000615A8">
        <w:rPr>
          <w:rFonts w:eastAsia="Arial Unicode MS"/>
          <w:b/>
          <w:bCs/>
          <w:color w:val="000000"/>
          <w:sz w:val="32"/>
          <w:szCs w:val="32"/>
          <w:u w:color="000000"/>
          <w:bdr w:val="nil"/>
          <w:lang w:val="es-ES_tradnl" w:eastAsia="fr-FR"/>
        </w:rPr>
        <w:t>Primera sesión del grupo de trabajo intergubernamental de composición abierta sobre las empresas transnacionales y otras empresas con respecto a los derechos humanos</w:t>
      </w:r>
    </w:p>
    <w:p w:rsidR="00587F2B" w:rsidRPr="000615A8" w:rsidRDefault="00184AF5"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p>
    <w:p w:rsidR="000615A8" w:rsidRPr="0020361C" w:rsidRDefault="00124B6E" w:rsidP="000615A8">
      <w:pPr>
        <w:pBdr>
          <w:top w:val="nil"/>
          <w:left w:val="nil"/>
          <w:bottom w:val="nil"/>
          <w:right w:val="nil"/>
          <w:between w:val="nil"/>
          <w:bar w:val="nil"/>
        </w:pBdr>
        <w:jc w:val="center"/>
        <w:rPr>
          <w:rFonts w:eastAsia="Arial Unicode MS"/>
          <w:b/>
          <w:bCs/>
          <w:color w:val="000000"/>
          <w:sz w:val="32"/>
          <w:szCs w:val="32"/>
          <w:u w:color="000000"/>
          <w:bdr w:val="nil"/>
          <w:lang w:eastAsia="fr-FR"/>
        </w:rPr>
      </w:pPr>
      <w:r>
        <w:rPr>
          <w:rFonts w:eastAsia="Arial Unicode MS"/>
          <w:b/>
          <w:bCs/>
          <w:color w:val="000000"/>
          <w:sz w:val="32"/>
          <w:szCs w:val="32"/>
          <w:u w:color="000000"/>
          <w:bdr w:val="nil"/>
          <w:lang w:eastAsia="fr-FR"/>
        </w:rPr>
        <w:t xml:space="preserve">Panel </w:t>
      </w:r>
      <w:r w:rsidRPr="0020361C">
        <w:rPr>
          <w:rFonts w:eastAsia="Arial Unicode MS"/>
          <w:b/>
          <w:bCs/>
          <w:color w:val="000000"/>
          <w:sz w:val="32"/>
          <w:szCs w:val="32"/>
          <w:u w:color="000000"/>
          <w:bdr w:val="nil"/>
          <w:lang w:eastAsia="fr-FR"/>
        </w:rPr>
        <w:t>VIII</w:t>
      </w:r>
    </w:p>
    <w:p w:rsidR="00DE1535" w:rsidRDefault="00184AF5" w:rsidP="000615A8">
      <w:pPr>
        <w:pBdr>
          <w:top w:val="nil"/>
          <w:left w:val="nil"/>
          <w:bottom w:val="nil"/>
          <w:right w:val="nil"/>
          <w:between w:val="nil"/>
          <w:bar w:val="nil"/>
        </w:pBdr>
        <w:jc w:val="center"/>
        <w:rPr>
          <w:rFonts w:eastAsia="Arial Unicode MS"/>
          <w:b/>
          <w:bCs/>
          <w:color w:val="000000"/>
          <w:sz w:val="32"/>
          <w:szCs w:val="32"/>
          <w:u w:color="000000"/>
          <w:bdr w:val="nil"/>
          <w:lang w:eastAsia="fr-FR"/>
        </w:rPr>
      </w:pPr>
    </w:p>
    <w:p w:rsidR="000615A8" w:rsidRDefault="00124B6E"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r>
        <w:rPr>
          <w:rFonts w:eastAsia="Arial Unicode MS"/>
          <w:b/>
          <w:bCs/>
          <w:color w:val="000000"/>
          <w:sz w:val="32"/>
          <w:szCs w:val="32"/>
          <w:u w:color="000000"/>
          <w:bdr w:val="nil"/>
          <w:lang w:val="es-EC" w:eastAsia="fr-FR"/>
        </w:rPr>
        <w:t>Construyendo mecanismos nacionales e internacionales para el acceso al remedio, incluyendo cooperación judicial internacional con respecto a las violaciones de los derechos humanos por empresas transnacionales y otras empresas de negocios</w:t>
      </w:r>
    </w:p>
    <w:p w:rsidR="00587F2B" w:rsidRPr="000615A8" w:rsidRDefault="00184AF5"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p>
    <w:p w:rsidR="000615A8" w:rsidRPr="000615A8" w:rsidRDefault="00124B6E"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r w:rsidRPr="000615A8">
        <w:rPr>
          <w:rFonts w:eastAsia="Arial Unicode MS"/>
          <w:b/>
          <w:bCs/>
          <w:color w:val="000000"/>
          <w:sz w:val="32"/>
          <w:szCs w:val="32"/>
          <w:u w:color="000000"/>
          <w:bdr w:val="nil"/>
          <w:lang w:val="es-ES_tradnl" w:eastAsia="fr-FR"/>
        </w:rPr>
        <w:t>Ginebra, Palacio de las Naciones, Sala XX</w:t>
      </w:r>
    </w:p>
    <w:p w:rsidR="000615A8" w:rsidRPr="000615A8" w:rsidRDefault="00124B6E" w:rsidP="000615A8">
      <w:pPr>
        <w:pBdr>
          <w:top w:val="nil"/>
          <w:left w:val="nil"/>
          <w:bottom w:val="nil"/>
          <w:right w:val="nil"/>
          <w:between w:val="nil"/>
          <w:bar w:val="nil"/>
        </w:pBdr>
        <w:jc w:val="center"/>
        <w:rPr>
          <w:rFonts w:eastAsia="Arial Unicode MS"/>
          <w:b/>
          <w:bCs/>
          <w:color w:val="000000"/>
          <w:sz w:val="32"/>
          <w:szCs w:val="32"/>
          <w:u w:color="000000"/>
          <w:bdr w:val="nil"/>
          <w:lang w:val="es-ES_tradnl" w:eastAsia="fr-FR"/>
        </w:rPr>
      </w:pPr>
      <w:r>
        <w:rPr>
          <w:rFonts w:eastAsia="Arial Unicode MS"/>
          <w:b/>
          <w:bCs/>
          <w:color w:val="000000"/>
          <w:sz w:val="32"/>
          <w:szCs w:val="32"/>
          <w:u w:color="000000"/>
          <w:bdr w:val="nil"/>
          <w:lang w:eastAsia="fr-FR"/>
        </w:rPr>
        <w:t>09</w:t>
      </w:r>
      <w:r w:rsidRPr="000615A8">
        <w:rPr>
          <w:rFonts w:eastAsia="Arial Unicode MS"/>
          <w:b/>
          <w:bCs/>
          <w:color w:val="000000"/>
          <w:sz w:val="32"/>
          <w:szCs w:val="32"/>
          <w:u w:color="000000"/>
          <w:bdr w:val="nil"/>
          <w:lang w:val="es-ES_tradnl" w:eastAsia="fr-FR"/>
        </w:rPr>
        <w:t xml:space="preserve"> de julio, 2015</w:t>
      </w:r>
    </w:p>
    <w:p w:rsidR="000615A8" w:rsidRPr="000615A8" w:rsidRDefault="00184AF5" w:rsidP="000615A8">
      <w:pPr>
        <w:pBdr>
          <w:top w:val="nil"/>
          <w:left w:val="nil"/>
          <w:bottom w:val="nil"/>
          <w:right w:val="nil"/>
          <w:between w:val="nil"/>
          <w:bar w:val="nil"/>
        </w:pBdr>
        <w:jc w:val="both"/>
        <w:rPr>
          <w:rFonts w:eastAsia="Arial Unicode MS"/>
          <w:color w:val="000000"/>
          <w:sz w:val="32"/>
          <w:szCs w:val="32"/>
          <w:u w:color="000000"/>
          <w:bdr w:val="nil"/>
          <w:lang w:val="es-ES_tradnl" w:eastAsia="fr-FR"/>
        </w:rPr>
      </w:pPr>
    </w:p>
    <w:p w:rsidR="000615A8" w:rsidRPr="000615A8" w:rsidRDefault="00124B6E" w:rsidP="000615A8">
      <w:pPr>
        <w:pBdr>
          <w:top w:val="nil"/>
          <w:left w:val="nil"/>
          <w:bottom w:val="nil"/>
          <w:right w:val="nil"/>
          <w:between w:val="nil"/>
          <w:bar w:val="nil"/>
        </w:pBdr>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eastAsia="fr-FR"/>
        </w:rPr>
        <w:t>Gracias señora presidenta</w:t>
      </w:r>
      <w:r w:rsidRPr="000615A8">
        <w:rPr>
          <w:rFonts w:eastAsia="Arial Unicode MS"/>
          <w:color w:val="000000"/>
          <w:sz w:val="32"/>
          <w:szCs w:val="32"/>
          <w:u w:color="000000"/>
          <w:bdr w:val="nil"/>
          <w:lang w:val="es-ES_tradnl" w:eastAsia="fr-FR"/>
        </w:rPr>
        <w:t xml:space="preserve">: </w:t>
      </w:r>
    </w:p>
    <w:p w:rsidR="000615A8" w:rsidRPr="000615A8" w:rsidRDefault="00184AF5" w:rsidP="000615A8">
      <w:pPr>
        <w:pBdr>
          <w:top w:val="nil"/>
          <w:left w:val="nil"/>
          <w:bottom w:val="nil"/>
          <w:right w:val="nil"/>
          <w:between w:val="nil"/>
          <w:bar w:val="nil"/>
        </w:pBdr>
        <w:jc w:val="both"/>
        <w:rPr>
          <w:rFonts w:eastAsia="Arial Unicode MS"/>
          <w:color w:val="000000"/>
          <w:sz w:val="32"/>
          <w:szCs w:val="32"/>
          <w:u w:color="000000"/>
          <w:bdr w:val="nil"/>
          <w:lang w:val="es-ES_tradnl" w:eastAsia="fr-FR"/>
        </w:rPr>
      </w:pPr>
    </w:p>
    <w:p w:rsidR="000615A8" w:rsidRPr="000615A8" w:rsidRDefault="00124B6E" w:rsidP="000615A8">
      <w:pPr>
        <w:pBdr>
          <w:top w:val="nil"/>
          <w:left w:val="nil"/>
          <w:bottom w:val="nil"/>
          <w:right w:val="nil"/>
          <w:between w:val="nil"/>
          <w:bar w:val="nil"/>
        </w:pBdr>
        <w:jc w:val="both"/>
        <w:rPr>
          <w:rFonts w:eastAsia="Arial Unicode MS"/>
          <w:color w:val="000000"/>
          <w:sz w:val="32"/>
          <w:szCs w:val="32"/>
          <w:u w:color="000000"/>
          <w:bdr w:val="nil"/>
          <w:lang w:val="es-ES_tradnl" w:eastAsia="fr-FR"/>
        </w:rPr>
      </w:pPr>
      <w:r w:rsidRPr="000615A8">
        <w:rPr>
          <w:rFonts w:eastAsia="Arial Unicode MS"/>
          <w:color w:val="000000"/>
          <w:sz w:val="32"/>
          <w:szCs w:val="32"/>
          <w:u w:color="000000"/>
          <w:bdr w:val="nil"/>
          <w:lang w:val="es-ES_tradnl" w:eastAsia="fr-FR"/>
        </w:rPr>
        <w:t xml:space="preserve">Agradecemos las presentaciones de los panelistas por las opiniones que han compartido con nosotros y las visiones que han aportado para nuestro debate.  </w:t>
      </w:r>
    </w:p>
    <w:p w:rsidR="000615A8" w:rsidRPr="000615A8" w:rsidRDefault="00184AF5" w:rsidP="000615A8">
      <w:pPr>
        <w:pBdr>
          <w:top w:val="nil"/>
          <w:left w:val="nil"/>
          <w:bottom w:val="nil"/>
          <w:right w:val="nil"/>
          <w:between w:val="nil"/>
          <w:bar w:val="nil"/>
        </w:pBdr>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t xml:space="preserve">A lo largo de toda esta semana el tema del acceso a los mecanismos de reparación ha sido destacado como uno de los aspectos más importantes a ser incluidos en un futuro instrumento vinculante, habida cuenta que según lo demuestra la evidencia, es uno de los vacíos legales que ha generado impunidad en </w:t>
      </w:r>
      <w:r w:rsidR="00EF5620">
        <w:rPr>
          <w:rFonts w:eastAsia="Arial Unicode MS"/>
          <w:color w:val="000000"/>
          <w:sz w:val="32"/>
          <w:szCs w:val="32"/>
          <w:u w:color="000000"/>
          <w:bdr w:val="nil"/>
          <w:lang w:val="es-ES_tradnl" w:eastAsia="fr-FR"/>
        </w:rPr>
        <w:t xml:space="preserve">varios </w:t>
      </w:r>
      <w:r w:rsidR="004E472D">
        <w:rPr>
          <w:rFonts w:eastAsia="Arial Unicode MS"/>
          <w:color w:val="000000"/>
          <w:sz w:val="32"/>
          <w:szCs w:val="32"/>
          <w:u w:color="000000"/>
          <w:bdr w:val="nil"/>
          <w:lang w:val="es-ES_tradnl" w:eastAsia="fr-FR"/>
        </w:rPr>
        <w:t xml:space="preserve">de los </w:t>
      </w:r>
      <w:r>
        <w:rPr>
          <w:rFonts w:eastAsia="Arial Unicode MS"/>
          <w:color w:val="000000"/>
          <w:sz w:val="32"/>
          <w:szCs w:val="32"/>
          <w:u w:color="000000"/>
          <w:bdr w:val="nil"/>
          <w:lang w:val="es-ES_tradnl" w:eastAsia="fr-FR"/>
        </w:rPr>
        <w:t xml:space="preserve">casos de violaciones de derechos humanos incurridos por el sector corporativo. Corresponde al instrumento vinculante llenar ese vacío y proveer efectivos mecanismos de reparación para las víctimas.  </w:t>
      </w:r>
    </w:p>
    <w:p w:rsidR="00D07F8C" w:rsidRDefault="00184AF5"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t>En el plano nacional</w:t>
      </w:r>
      <w:r w:rsidR="00182482">
        <w:rPr>
          <w:rFonts w:eastAsia="Arial Unicode MS"/>
          <w:color w:val="000000"/>
          <w:sz w:val="32"/>
          <w:szCs w:val="32"/>
          <w:u w:color="000000"/>
          <w:bdr w:val="nil"/>
          <w:lang w:val="es-ES_tradnl" w:eastAsia="fr-FR"/>
        </w:rPr>
        <w:t>,</w:t>
      </w:r>
      <w:r>
        <w:rPr>
          <w:rFonts w:eastAsia="Arial Unicode MS"/>
          <w:color w:val="000000"/>
          <w:sz w:val="32"/>
          <w:szCs w:val="32"/>
          <w:u w:color="000000"/>
          <w:bdr w:val="nil"/>
          <w:lang w:val="es-ES_tradnl" w:eastAsia="fr-FR"/>
        </w:rPr>
        <w:t xml:space="preserve"> varios participantes han mencionado ya el papel que corresponde en esta m</w:t>
      </w:r>
      <w:r w:rsidR="00182482">
        <w:rPr>
          <w:rFonts w:eastAsia="Arial Unicode MS"/>
          <w:color w:val="000000"/>
          <w:sz w:val="32"/>
          <w:szCs w:val="32"/>
          <w:u w:color="000000"/>
          <w:bdr w:val="nil"/>
          <w:lang w:val="es-ES_tradnl" w:eastAsia="fr-FR"/>
        </w:rPr>
        <w:t>a</w:t>
      </w:r>
      <w:r>
        <w:rPr>
          <w:rFonts w:eastAsia="Arial Unicode MS"/>
          <w:color w:val="000000"/>
          <w:sz w:val="32"/>
          <w:szCs w:val="32"/>
          <w:u w:color="000000"/>
          <w:bdr w:val="nil"/>
          <w:lang w:val="es-ES_tradnl" w:eastAsia="fr-FR"/>
        </w:rPr>
        <w:t xml:space="preserve">teria a los mecanismos internos de </w:t>
      </w:r>
      <w:r>
        <w:rPr>
          <w:rFonts w:eastAsia="Arial Unicode MS"/>
          <w:color w:val="000000"/>
          <w:sz w:val="32"/>
          <w:szCs w:val="32"/>
          <w:u w:color="000000"/>
          <w:bdr w:val="nil"/>
          <w:lang w:val="es-ES_tradnl" w:eastAsia="fr-FR"/>
        </w:rPr>
        <w:lastRenderedPageBreak/>
        <w:t>justicia, habida cuenta de las dificultades reales que actualmente enfrentan las víctimas para llevar sus casos contra coporaciones ante una corte nacional, sea en el país de origen de la empresa, sea en dónde lleva a cabo sus acciones. Estas dificultades incluyen</w:t>
      </w:r>
      <w:r w:rsidR="00B11CD7">
        <w:rPr>
          <w:rFonts w:eastAsia="Arial Unicode MS"/>
          <w:color w:val="000000"/>
          <w:sz w:val="32"/>
          <w:szCs w:val="32"/>
          <w:u w:color="000000"/>
          <w:bdr w:val="nil"/>
          <w:lang w:val="es-ES_tradnl" w:eastAsia="fr-FR"/>
        </w:rPr>
        <w:t>,</w:t>
      </w:r>
      <w:r>
        <w:rPr>
          <w:rFonts w:eastAsia="Arial Unicode MS"/>
          <w:color w:val="000000"/>
          <w:sz w:val="32"/>
          <w:szCs w:val="32"/>
          <w:u w:color="000000"/>
          <w:bdr w:val="nil"/>
          <w:lang w:val="es-ES_tradnl" w:eastAsia="fr-FR"/>
        </w:rPr>
        <w:t xml:space="preserve"> en primera instancia</w:t>
      </w:r>
      <w:r w:rsidR="00B11CD7">
        <w:rPr>
          <w:rFonts w:eastAsia="Arial Unicode MS"/>
          <w:color w:val="000000"/>
          <w:sz w:val="32"/>
          <w:szCs w:val="32"/>
          <w:u w:color="000000"/>
          <w:bdr w:val="nil"/>
          <w:lang w:val="es-ES_tradnl" w:eastAsia="fr-FR"/>
        </w:rPr>
        <w:t>,</w:t>
      </w:r>
      <w:r>
        <w:rPr>
          <w:rFonts w:eastAsia="Arial Unicode MS"/>
          <w:color w:val="000000"/>
          <w:sz w:val="32"/>
          <w:szCs w:val="32"/>
          <w:u w:color="000000"/>
          <w:bdr w:val="nil"/>
          <w:lang w:val="es-ES_tradnl" w:eastAsia="fr-FR"/>
        </w:rPr>
        <w:t xml:space="preserve"> el gran desbalance entre el poder económico, </w:t>
      </w:r>
      <w:r w:rsidR="008B5B9A">
        <w:rPr>
          <w:rFonts w:eastAsia="Arial Unicode MS"/>
          <w:color w:val="000000"/>
          <w:sz w:val="32"/>
          <w:szCs w:val="32"/>
          <w:u w:color="000000"/>
          <w:bdr w:val="nil"/>
          <w:lang w:val="es-ES_tradnl" w:eastAsia="fr-FR"/>
        </w:rPr>
        <w:t xml:space="preserve">la </w:t>
      </w:r>
      <w:r>
        <w:rPr>
          <w:rFonts w:eastAsia="Arial Unicode MS"/>
          <w:color w:val="000000"/>
          <w:sz w:val="32"/>
          <w:szCs w:val="32"/>
          <w:u w:color="000000"/>
          <w:bdr w:val="nil"/>
          <w:lang w:val="es-ES_tradnl" w:eastAsia="fr-FR"/>
        </w:rPr>
        <w:t xml:space="preserve">influencia política y </w:t>
      </w:r>
      <w:r w:rsidR="008B5B9A">
        <w:rPr>
          <w:rFonts w:eastAsia="Arial Unicode MS"/>
          <w:color w:val="000000"/>
          <w:sz w:val="32"/>
          <w:szCs w:val="32"/>
          <w:u w:color="000000"/>
          <w:bdr w:val="nil"/>
          <w:lang w:val="es-ES_tradnl" w:eastAsia="fr-FR"/>
        </w:rPr>
        <w:t xml:space="preserve">la </w:t>
      </w:r>
      <w:r>
        <w:rPr>
          <w:rFonts w:eastAsia="Arial Unicode MS"/>
          <w:color w:val="000000"/>
          <w:sz w:val="32"/>
          <w:szCs w:val="32"/>
          <w:u w:color="000000"/>
          <w:bdr w:val="nil"/>
          <w:lang w:val="es-ES_tradnl" w:eastAsia="fr-FR"/>
        </w:rPr>
        <w:t xml:space="preserve">asistencia legal </w:t>
      </w:r>
      <w:r w:rsidR="008B5B9A">
        <w:rPr>
          <w:rFonts w:eastAsia="Arial Unicode MS"/>
          <w:color w:val="000000"/>
          <w:sz w:val="32"/>
          <w:szCs w:val="32"/>
          <w:u w:color="000000"/>
          <w:bdr w:val="nil"/>
          <w:lang w:val="es-ES_tradnl" w:eastAsia="fr-FR"/>
        </w:rPr>
        <w:t xml:space="preserve">de los </w:t>
      </w:r>
      <w:r>
        <w:rPr>
          <w:rFonts w:eastAsia="Arial Unicode MS"/>
          <w:color w:val="000000"/>
          <w:sz w:val="32"/>
          <w:szCs w:val="32"/>
          <w:u w:color="000000"/>
          <w:bdr w:val="nil"/>
          <w:lang w:val="es-ES_tradnl" w:eastAsia="fr-FR"/>
        </w:rPr>
        <w:t xml:space="preserve">que generalmente gozan las empresas, contra los limitados recursos de las víctimas. </w:t>
      </w:r>
    </w:p>
    <w:p w:rsidR="00D07F8C" w:rsidRDefault="00184AF5"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t>Es por ello que uno de los objetivos del futuro instrumento vinculante sería generar mecanismos claros que permitan que las víctimas de violaciones de derechos humanos tengan la posibilidad de presentar sus casos contra las empresas transnacionales</w:t>
      </w:r>
      <w:r w:rsidR="00BA27BA">
        <w:rPr>
          <w:rFonts w:eastAsia="Arial Unicode MS"/>
          <w:color w:val="000000"/>
          <w:sz w:val="32"/>
          <w:szCs w:val="32"/>
          <w:u w:color="000000"/>
          <w:bdr w:val="nil"/>
          <w:lang w:val="es-ES_tradnl" w:eastAsia="fr-FR"/>
        </w:rPr>
        <w:t>,</w:t>
      </w:r>
      <w:r>
        <w:rPr>
          <w:rFonts w:eastAsia="Arial Unicode MS"/>
          <w:color w:val="000000"/>
          <w:sz w:val="32"/>
          <w:szCs w:val="32"/>
          <w:u w:color="000000"/>
          <w:bdr w:val="nil"/>
          <w:lang w:val="es-ES_tradnl" w:eastAsia="fr-FR"/>
        </w:rPr>
        <w:t xml:space="preserve"> tanto dentro de su jurisdicción como en la jurisdicción de dónde es originaria la empresa.</w:t>
      </w:r>
    </w:p>
    <w:p w:rsidR="00D07F8C" w:rsidRDefault="00184AF5"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t>Hemos tomado nota con interés del Proyecto que la Oficina del Alto Comisionado tiene para referirse a los mecanismos de Reparación y Rendición de Cuentas, como uno de los esfuerzos internacionales para llevar justicia a los casos de violaciones de derechos humanos por parte del sector corporativo y consideramos que los estudios que se han efectuado en este marco serán de utilidad en las discusiones que mantenemos.</w:t>
      </w:r>
    </w:p>
    <w:p w:rsidR="00D07F8C" w:rsidRDefault="00184AF5"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t>La posibilidad de crear un nuevo órgano internacional de juzgamiento para el sector corporativo transnacional, debe también ser analizada con mucho detenimiento. Hay que reconocer que por el momento no existe un procedimiento judicial internacional al que se pueda acudir para los casos de violaciones de derechos humanos incurridas por transnacionales y en caso de establecer tal procedimiento, se lo debería proveer de jurisdicción territorial, para llenar otro de los vacíos en esta materia.</w:t>
      </w:r>
    </w:p>
    <w:p w:rsidR="00D07F8C" w:rsidRDefault="00184AF5"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p>
    <w:p w:rsidR="00D07F8C"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val="es-ES_tradnl" w:eastAsia="fr-FR"/>
        </w:rPr>
      </w:pPr>
      <w:r>
        <w:rPr>
          <w:rFonts w:eastAsia="Arial Unicode MS"/>
          <w:color w:val="000000"/>
          <w:sz w:val="32"/>
          <w:szCs w:val="32"/>
          <w:u w:color="000000"/>
          <w:bdr w:val="nil"/>
          <w:lang w:val="es-ES_tradnl" w:eastAsia="fr-FR"/>
        </w:rPr>
        <w:lastRenderedPageBreak/>
        <w:t>Mi Delegación considera que el futuro instrumento vinculante debe incluir mecanismos para conseguir su implementación y cumplimiento de manera efectiva, de tal manera que al aplicarlo se contribuya al máximo para evitar la impunidad que ahora existe en casos de violaciones de derechos humanos incurridos por el sector corporativo.</w:t>
      </w:r>
    </w:p>
    <w:p w:rsidR="00E0212F" w:rsidRDefault="00124B6E" w:rsidP="009D07CC">
      <w:pPr>
        <w:pBdr>
          <w:top w:val="nil"/>
          <w:left w:val="nil"/>
          <w:bottom w:val="nil"/>
          <w:right w:val="nil"/>
          <w:between w:val="nil"/>
          <w:bar w:val="nil"/>
        </w:pBdr>
        <w:ind w:firstLine="708"/>
        <w:jc w:val="both"/>
        <w:rPr>
          <w:rFonts w:eastAsia="Arial Unicode MS"/>
          <w:color w:val="000000"/>
          <w:sz w:val="32"/>
          <w:szCs w:val="32"/>
          <w:u w:color="000000"/>
          <w:bdr w:val="nil"/>
          <w:lang w:eastAsia="fr-FR"/>
        </w:rPr>
      </w:pPr>
      <w:r>
        <w:rPr>
          <w:rFonts w:eastAsia="Arial Unicode MS"/>
          <w:color w:val="000000"/>
          <w:sz w:val="32"/>
          <w:szCs w:val="32"/>
          <w:u w:color="000000"/>
          <w:bdr w:val="nil"/>
          <w:lang w:val="es-ES_tradnl" w:eastAsia="fr-FR"/>
        </w:rPr>
        <w:t xml:space="preserve"> </w:t>
      </w:r>
    </w:p>
    <w:p w:rsidR="000615A8" w:rsidRPr="000615A8" w:rsidRDefault="00124B6E" w:rsidP="009A5BE8">
      <w:pPr>
        <w:pBdr>
          <w:top w:val="nil"/>
          <w:left w:val="nil"/>
          <w:bottom w:val="nil"/>
          <w:right w:val="nil"/>
          <w:between w:val="nil"/>
          <w:bar w:val="nil"/>
        </w:pBdr>
        <w:ind w:firstLine="708"/>
        <w:jc w:val="both"/>
        <w:rPr>
          <w:rFonts w:eastAsia="Arial Unicode MS"/>
          <w:color w:val="000000"/>
          <w:sz w:val="32"/>
          <w:szCs w:val="32"/>
          <w:u w:color="000000"/>
          <w:bdr w:val="nil"/>
          <w:lang w:val="fr-FR" w:eastAsia="fr-FR"/>
        </w:rPr>
      </w:pPr>
      <w:r>
        <w:rPr>
          <w:rFonts w:eastAsia="Arial Unicode MS"/>
          <w:color w:val="000000"/>
          <w:sz w:val="32"/>
          <w:szCs w:val="32"/>
          <w:u w:color="000000"/>
          <w:bdr w:val="nil"/>
          <w:lang w:eastAsia="fr-FR"/>
        </w:rPr>
        <w:t>Muchas gracias</w:t>
      </w:r>
      <w:r w:rsidRPr="000615A8">
        <w:rPr>
          <w:rFonts w:eastAsia="Arial Unicode MS"/>
          <w:color w:val="000000"/>
          <w:sz w:val="32"/>
          <w:szCs w:val="32"/>
          <w:u w:color="000000"/>
          <w:bdr w:val="nil"/>
          <w:lang w:val="fr-FR" w:eastAsia="fr-FR"/>
        </w:rPr>
        <w:t xml:space="preserve"> </w:t>
      </w:r>
    </w:p>
    <w:p w:rsidR="002F2EED" w:rsidRPr="00587F2B" w:rsidRDefault="00184AF5" w:rsidP="000615A8">
      <w:pPr>
        <w:pStyle w:val="BodyText"/>
        <w:tabs>
          <w:tab w:val="left" w:pos="6668"/>
        </w:tabs>
        <w:ind w:right="82"/>
        <w:rPr>
          <w:rFonts w:ascii="Times New Roman" w:hAnsi="Times New Roman" w:cs="Times New Roman"/>
          <w:b w:val="0"/>
          <w:sz w:val="32"/>
          <w:szCs w:val="32"/>
          <w:lang w:val="fr-FR"/>
        </w:rPr>
      </w:pPr>
    </w:p>
    <w:sectPr w:rsidR="002F2EED" w:rsidRPr="00587F2B" w:rsidSect="00E975B9">
      <w:headerReference w:type="even" r:id="rId8"/>
      <w:headerReference w:type="default" r:id="rId9"/>
      <w:footerReference w:type="even" r:id="rId10"/>
      <w:footerReference w:type="default" r:id="rId11"/>
      <w:headerReference w:type="first" r:id="rId12"/>
      <w:footerReference w:type="first" r:id="rId13"/>
      <w:pgSz w:w="11905" w:h="16837"/>
      <w:pgMar w:top="2790" w:right="1273" w:bottom="2160" w:left="1701"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6E" w:rsidRDefault="00124B6E">
      <w:r>
        <w:separator/>
      </w:r>
    </w:p>
  </w:endnote>
  <w:endnote w:type="continuationSeparator" w:id="0">
    <w:p w:rsidR="00124B6E" w:rsidRDefault="001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6A" w:rsidRDefault="00000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2B" w:rsidRPr="00E05BBA" w:rsidRDefault="00000A6A">
    <w:pPr>
      <w:pStyle w:val="Footer"/>
      <w:jc w:val="center"/>
      <w:rPr>
        <w:sz w:val="48"/>
        <w:szCs w:val="48"/>
      </w:rPr>
    </w:pPr>
    <w:r w:rsidRPr="00E05BBA">
      <w:rPr>
        <w:noProof/>
        <w:sz w:val="48"/>
        <w:szCs w:val="48"/>
        <w:lang w:val="en-US" w:eastAsia="en-US"/>
      </w:rPr>
      <mc:AlternateContent>
        <mc:Choice Requires="wps">
          <w:drawing>
            <wp:anchor distT="0" distB="0" distL="114935" distR="114935" simplePos="0" relativeHeight="251658752" behindDoc="1" locked="0" layoutInCell="1" allowOverlap="1">
              <wp:simplePos x="0" y="0"/>
              <wp:positionH relativeFrom="column">
                <wp:posOffset>2540</wp:posOffset>
              </wp:positionH>
              <wp:positionV relativeFrom="paragraph">
                <wp:posOffset>-280670</wp:posOffset>
              </wp:positionV>
              <wp:extent cx="5592445" cy="62865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244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E5" w:rsidRDefault="00124B6E">
                          <w:pPr>
                            <w:jc w:val="center"/>
                            <w:rPr>
                              <w:rFonts w:ascii="Verdana" w:hAnsi="Verdana" w:cs="Arial"/>
                              <w:b/>
                              <w:sz w:val="12"/>
                              <w:szCs w:val="12"/>
                              <w:lang w:val="fr-FR"/>
                            </w:rPr>
                          </w:pPr>
                          <w:r>
                            <w:rPr>
                              <w:rFonts w:ascii="Verdana" w:hAnsi="Verdana" w:cs="Arial"/>
                              <w:b/>
                              <w:sz w:val="12"/>
                              <w:szCs w:val="12"/>
                              <w:lang w:val="fr-FR"/>
                            </w:rPr>
                            <w:t>80-82, Rue de Lausanne  –  1202  Ginebra, Suiza  Tel (4122) 7324955   Email: onuginebra@mmrree.gob.ec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w:pict>
            <v:shapetype id="_x0000_t202" coordsize="21600,21600" o:spt="202" path="m,l,21600r21600,l21600,xe">
              <v:stroke joinstyle="miter"/>
              <v:path gradientshapeok="t" o:connecttype="rect"/>
            </v:shapetype>
            <v:shape id=" 1" o:spid="_x0000_s1027" type="#_x0000_t202" style="position:absolute;left:0;text-align:left;margin-left:.2pt;margin-top:-22.1pt;width:440.35pt;height:4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" stroked="f">
              <v:fill opacity="0"/>
              <v:path arrowok="t"/>
              <v:textbox inset="0,0,0,0">
                <w:txbxContent>
                  <w:p w:rsidR="003F17E5" w:rsidRDefault="00124B6E">
                    <w:pPr>
                      <w:jc w:val="center"/>
                      <w:rPr>
                        <w:rFonts w:ascii="Verdana" w:hAnsi="Verdana" w:cs="Arial"/>
                        <w:b/>
                        <w:sz w:val="12"/>
                        <w:szCs w:val="12"/>
                        <w:lang w:val="fr-FR"/>
                      </w:rPr>
                    </w:pPr>
                    <w:r>
                      <w:rPr>
                        <w:rFonts w:ascii="Verdana" w:hAnsi="Verdana" w:cs="Arial"/>
                        <w:b/>
                        <w:sz w:val="12"/>
                        <w:szCs w:val="12"/>
                        <w:lang w:val="fr-FR"/>
                      </w:rPr>
                      <w:t xml:space="preserve">80-82, Rue de Lausanne  –  1202  </w:t>
                    </w:r>
                    <w:proofErr w:type="spellStart"/>
                    <w:r>
                      <w:rPr>
                        <w:rFonts w:ascii="Verdana" w:hAnsi="Verdana" w:cs="Arial"/>
                        <w:b/>
                        <w:sz w:val="12"/>
                        <w:szCs w:val="12"/>
                        <w:lang w:val="fr-FR"/>
                      </w:rPr>
                      <w:t>Ginebra</w:t>
                    </w:r>
                    <w:proofErr w:type="spellEnd"/>
                    <w:r>
                      <w:rPr>
                        <w:rFonts w:ascii="Verdana" w:hAnsi="Verdana" w:cs="Arial"/>
                        <w:b/>
                        <w:sz w:val="12"/>
                        <w:szCs w:val="12"/>
                        <w:lang w:val="fr-FR"/>
                      </w:rPr>
                      <w:t xml:space="preserve">, </w:t>
                    </w:r>
                    <w:proofErr w:type="spellStart"/>
                    <w:r>
                      <w:rPr>
                        <w:rFonts w:ascii="Verdana" w:hAnsi="Verdana" w:cs="Arial"/>
                        <w:b/>
                        <w:sz w:val="12"/>
                        <w:szCs w:val="12"/>
                        <w:lang w:val="fr-FR"/>
                      </w:rPr>
                      <w:t>Suiza</w:t>
                    </w:r>
                    <w:proofErr w:type="spellEnd"/>
                    <w:r>
                      <w:rPr>
                        <w:rFonts w:ascii="Verdana" w:hAnsi="Verdana" w:cs="Arial"/>
                        <w:b/>
                        <w:sz w:val="12"/>
                        <w:szCs w:val="12"/>
                        <w:lang w:val="fr-FR"/>
                      </w:rPr>
                      <w:t xml:space="preserve">  Tel (4122) 7324955   Email: onuginebra@mmrree.g</w:t>
                    </w:r>
                    <w:r>
                      <w:rPr>
                        <w:rFonts w:ascii="Verdana" w:hAnsi="Verdana" w:cs="Arial"/>
                        <w:b/>
                        <w:sz w:val="12"/>
                        <w:szCs w:val="12"/>
                        <w:lang w:val="fr-FR"/>
                      </w:rPr>
                      <w:t>o</w:t>
                    </w:r>
                    <w:r>
                      <w:rPr>
                        <w:rFonts w:ascii="Verdana" w:hAnsi="Verdana" w:cs="Arial"/>
                        <w:b/>
                        <w:sz w:val="12"/>
                        <w:szCs w:val="12"/>
                        <w:lang w:val="fr-FR"/>
                      </w:rPr>
                      <w:t>b</w:t>
                    </w:r>
                    <w:r>
                      <w:rPr>
                        <w:rFonts w:ascii="Verdana" w:hAnsi="Verdana" w:cs="Arial"/>
                        <w:b/>
                        <w:sz w:val="12"/>
                        <w:szCs w:val="12"/>
                        <w:lang w:val="fr-FR"/>
                      </w:rPr>
                      <w:t>.ec</w:t>
                    </w:r>
                  </w:p>
                </w:txbxContent>
              </v:textbox>
            </v:shape>
          </w:pict>
        </mc:Fallback>
      </mc:AlternateContent>
    </w:r>
    <w:r w:rsidR="00124B6E" w:rsidRPr="00E05BBA">
      <w:rPr>
        <w:sz w:val="48"/>
        <w:szCs w:val="48"/>
      </w:rPr>
      <w:fldChar w:fldCharType="begin"/>
    </w:r>
    <w:r w:rsidR="00124B6E" w:rsidRPr="00E05BBA">
      <w:rPr>
        <w:sz w:val="48"/>
        <w:szCs w:val="48"/>
      </w:rPr>
      <w:instrText>PAGE   \* MERGEFORMAT</w:instrText>
    </w:r>
    <w:r w:rsidR="00124B6E" w:rsidRPr="00E05BBA">
      <w:rPr>
        <w:sz w:val="48"/>
        <w:szCs w:val="48"/>
      </w:rPr>
      <w:fldChar w:fldCharType="separate"/>
    </w:r>
    <w:r w:rsidR="00184AF5">
      <w:rPr>
        <w:noProof/>
        <w:sz w:val="48"/>
        <w:szCs w:val="48"/>
      </w:rPr>
      <w:t>1</w:t>
    </w:r>
    <w:r w:rsidR="00124B6E" w:rsidRPr="00E05BBA">
      <w:rPr>
        <w:sz w:val="48"/>
        <w:szCs w:val="48"/>
      </w:rPr>
      <w:fldChar w:fldCharType="end"/>
    </w:r>
  </w:p>
  <w:p w:rsidR="00587F2B" w:rsidRDefault="00184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6A" w:rsidRDefault="0000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6E" w:rsidRDefault="00124B6E">
      <w:r>
        <w:separator/>
      </w:r>
    </w:p>
  </w:footnote>
  <w:footnote w:type="continuationSeparator" w:id="0">
    <w:p w:rsidR="00124B6E" w:rsidRDefault="0012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6A" w:rsidRDefault="00000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E5" w:rsidRDefault="00000A6A">
    <w:pPr>
      <w:pStyle w:val="Header"/>
      <w:tabs>
        <w:tab w:val="clear" w:pos="4252"/>
      </w:tabs>
    </w:pPr>
    <w:r>
      <w:rPr>
        <w:noProof/>
        <w:lang w:val="en-US" w:eastAsia="en-US"/>
      </w:rPr>
      <mc:AlternateContent>
        <mc:Choice Requires="wps">
          <w:drawing>
            <wp:anchor distT="0" distB="0" distL="114935" distR="114935" simplePos="0" relativeHeight="251659776" behindDoc="0" locked="0" layoutInCell="1" allowOverlap="1">
              <wp:simplePos x="0" y="0"/>
              <wp:positionH relativeFrom="column">
                <wp:posOffset>61595</wp:posOffset>
              </wp:positionH>
              <wp:positionV relativeFrom="paragraph">
                <wp:posOffset>-157480</wp:posOffset>
              </wp:positionV>
              <wp:extent cx="5480685" cy="1163955"/>
              <wp:effectExtent l="0" t="0" r="0" b="0"/>
              <wp:wrapSquare wrapText="bothSides"/>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0685"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E5" w:rsidRDefault="00000A6A">
                          <w:pPr>
                            <w:pStyle w:val="Header"/>
                            <w:jc w:val="center"/>
                            <w:rPr>
                              <w:rFonts w:ascii="Arial" w:hAnsi="Arial" w:cs="Arial"/>
                              <w:b/>
                              <w:sz w:val="18"/>
                              <w:szCs w:val="18"/>
                            </w:rPr>
                          </w:pPr>
                          <w:r>
                            <w:rPr>
                              <w:noProof/>
                              <w:lang w:val="en-US" w:eastAsia="en-US"/>
                            </w:rPr>
                            <w:drawing>
                              <wp:inline distT="0" distB="0" distL="0" distR="0">
                                <wp:extent cx="678180" cy="752475"/>
                                <wp:effectExtent l="0" t="0" r="0" b="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52475"/>
                                        </a:xfrm>
                                        <a:prstGeom prst="rect">
                                          <a:avLst/>
                                        </a:prstGeom>
                                        <a:solidFill>
                                          <a:srgbClr val="FFFFFF"/>
                                        </a:solidFill>
                                        <a:ln>
                                          <a:noFill/>
                                        </a:ln>
                                      </pic:spPr>
                                    </pic:pic>
                                  </a:graphicData>
                                </a:graphic>
                              </wp:inline>
                            </w:drawing>
                          </w:r>
                        </w:p>
                        <w:p w:rsidR="003F17E5" w:rsidRDefault="00124B6E">
                          <w:pPr>
                            <w:pStyle w:val="Header"/>
                            <w:jc w:val="center"/>
                            <w:rPr>
                              <w:rFonts w:ascii="Arial" w:hAnsi="Arial" w:cs="Arial"/>
                              <w:b/>
                              <w:sz w:val="18"/>
                              <w:szCs w:val="18"/>
                            </w:rPr>
                          </w:pPr>
                          <w:r>
                            <w:rPr>
                              <w:rFonts w:ascii="Arial" w:hAnsi="Arial" w:cs="Arial"/>
                              <w:b/>
                              <w:sz w:val="18"/>
                              <w:szCs w:val="18"/>
                            </w:rPr>
                            <w:t>Misión Permanente del Ecuador</w:t>
                          </w:r>
                        </w:p>
                        <w:p w:rsidR="003F17E5" w:rsidRDefault="00124B6E">
                          <w:pPr>
                            <w:pStyle w:val="Header"/>
                            <w:jc w:val="center"/>
                            <w:rPr>
                              <w:rFonts w:ascii="Arial" w:hAnsi="Arial" w:cs="Arial"/>
                              <w:b/>
                              <w:sz w:val="18"/>
                              <w:szCs w:val="18"/>
                            </w:rPr>
                          </w:pPr>
                          <w:r>
                            <w:rPr>
                              <w:rFonts w:ascii="Arial" w:hAnsi="Arial" w:cs="Arial"/>
                              <w:b/>
                              <w:sz w:val="18"/>
                              <w:szCs w:val="18"/>
                            </w:rPr>
                            <w:t>ante la ONU y otros Organismos Internacionales</w:t>
                          </w:r>
                        </w:p>
                        <w:p w:rsidR="003F17E5" w:rsidRDefault="00124B6E">
                          <w:pPr>
                            <w:pStyle w:val="Header"/>
                            <w:jc w:val="center"/>
                            <w:rPr>
                              <w:rFonts w:ascii="Arial" w:hAnsi="Arial" w:cs="Arial"/>
                              <w:b/>
                              <w:sz w:val="18"/>
                              <w:szCs w:val="18"/>
                            </w:rPr>
                          </w:pPr>
                          <w:r>
                            <w:rPr>
                              <w:rFonts w:ascii="Arial" w:hAnsi="Arial" w:cs="Arial"/>
                              <w:b/>
                              <w:sz w:val="18"/>
                              <w:szCs w:val="18"/>
                            </w:rPr>
                            <w:t>Ginebra - Suiza</w:t>
                          </w:r>
                        </w:p>
                        <w:p w:rsidR="003F17E5" w:rsidRDefault="00184AF5">
                          <w:pPr>
                            <w:pStyle w:val="Header"/>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w:pict>
            <v:shapetype id="_x0000_t202" coordsize="21600,21600" o:spt="202" path="m,l,21600r21600,l21600,xe">
              <v:stroke joinstyle="miter"/>
              <v:path gradientshapeok="t" o:connecttype="rect"/>
            </v:shapetype>
            <v:shape id=" 2" o:spid="_x0000_s1026" type="#_x0000_t202" style="position:absolute;margin-left:4.85pt;margin-top:-12.4pt;width:431.55pt;height:91.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" stroked="f">
              <v:path arrowok="t"/>
              <v:textbox inset="0,0,0,0">
                <w:txbxContent>
                  <w:p w:rsidR="003F17E5" w:rsidRDefault="00000A6A">
                    <w:pPr>
                      <w:pStyle w:val="Encabezado"/>
                      <w:jc w:val="center"/>
                      <w:rPr>
                        <w:rFonts w:ascii="Arial" w:hAnsi="Arial" w:cs="Arial"/>
                        <w:b/>
                        <w:sz w:val="18"/>
                        <w:szCs w:val="18"/>
                      </w:rPr>
                    </w:pPr>
                    <w:r>
                      <w:rPr>
                        <w:noProof/>
                        <w:lang w:eastAsia="es-ES"/>
                      </w:rPr>
                      <w:drawing>
                        <wp:inline distT="0" distB="0" distL="0" distR="0">
                          <wp:extent cx="678180" cy="752475"/>
                          <wp:effectExtent l="0" t="0" r="0" b="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752475"/>
                                  </a:xfrm>
                                  <a:prstGeom prst="rect">
                                    <a:avLst/>
                                  </a:prstGeom>
                                  <a:solidFill>
                                    <a:srgbClr val="FFFFFF"/>
                                  </a:solidFill>
                                  <a:ln>
                                    <a:noFill/>
                                  </a:ln>
                                </pic:spPr>
                              </pic:pic>
                            </a:graphicData>
                          </a:graphic>
                        </wp:inline>
                      </w:drawing>
                    </w:r>
                  </w:p>
                  <w:p w:rsidR="003F17E5" w:rsidRDefault="00124B6E">
                    <w:pPr>
                      <w:pStyle w:val="Encabezado"/>
                      <w:jc w:val="center"/>
                      <w:rPr>
                        <w:rFonts w:ascii="Arial" w:hAnsi="Arial" w:cs="Arial"/>
                        <w:b/>
                        <w:sz w:val="18"/>
                        <w:szCs w:val="18"/>
                      </w:rPr>
                    </w:pPr>
                    <w:r>
                      <w:rPr>
                        <w:rFonts w:ascii="Arial" w:hAnsi="Arial" w:cs="Arial"/>
                        <w:b/>
                        <w:sz w:val="18"/>
                        <w:szCs w:val="18"/>
                      </w:rPr>
                      <w:t>Misión Permanente del Ecuador</w:t>
                    </w:r>
                  </w:p>
                  <w:p w:rsidR="003F17E5" w:rsidRDefault="00124B6E">
                    <w:pPr>
                      <w:pStyle w:val="Encabezado"/>
                      <w:jc w:val="center"/>
                      <w:rPr>
                        <w:rFonts w:ascii="Arial" w:hAnsi="Arial" w:cs="Arial"/>
                        <w:b/>
                        <w:sz w:val="18"/>
                        <w:szCs w:val="18"/>
                      </w:rPr>
                    </w:pPr>
                    <w:r>
                      <w:rPr>
                        <w:rFonts w:ascii="Arial" w:hAnsi="Arial" w:cs="Arial"/>
                        <w:b/>
                        <w:sz w:val="18"/>
                        <w:szCs w:val="18"/>
                      </w:rPr>
                      <w:t>ante la ONU y otros Organismos Internacionales</w:t>
                    </w:r>
                  </w:p>
                  <w:p w:rsidR="003F17E5" w:rsidRDefault="00124B6E">
                    <w:pPr>
                      <w:pStyle w:val="Encabezado"/>
                      <w:jc w:val="center"/>
                      <w:rPr>
                        <w:rFonts w:ascii="Arial" w:hAnsi="Arial" w:cs="Arial"/>
                        <w:b/>
                        <w:sz w:val="18"/>
                        <w:szCs w:val="18"/>
                      </w:rPr>
                    </w:pPr>
                    <w:r>
                      <w:rPr>
                        <w:rFonts w:ascii="Arial" w:hAnsi="Arial" w:cs="Arial"/>
                        <w:b/>
                        <w:sz w:val="18"/>
                        <w:szCs w:val="18"/>
                      </w:rPr>
                      <w:t>Ginebra - Suiza</w:t>
                    </w:r>
                  </w:p>
                  <w:p w:rsidR="003F17E5" w:rsidRDefault="00124B6E">
                    <w:pPr>
                      <w:pStyle w:val="Encabezado"/>
                      <w:jc w:val="center"/>
                      <w:rPr>
                        <w:sz w:val="20"/>
                        <w:szCs w:val="20"/>
                      </w:rPr>
                    </w:pPr>
                  </w:p>
                </w:txbxContent>
              </v:textbox>
              <w10:wrap type="square"/>
            </v:shape>
          </w:pict>
        </mc:Fallback>
      </mc:AlternateContent>
    </w:r>
    <w:r w:rsidR="00124B6E">
      <w:tab/>
    </w:r>
    <w:r w:rsidR="00124B6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6A" w:rsidRDefault="00000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FB632C9"/>
    <w:multiLevelType w:val="hybridMultilevel"/>
    <w:tmpl w:val="41B2A1F4"/>
    <w:lvl w:ilvl="0" w:tplc="81B81982">
      <w:start w:val="1"/>
      <w:numFmt w:val="decimal"/>
      <w:lvlText w:val="%1."/>
      <w:lvlJc w:val="left"/>
      <w:pPr>
        <w:ind w:left="720" w:hanging="360"/>
      </w:pPr>
      <w:rPr>
        <w:rFonts w:ascii="Times New Roman" w:eastAsia="Times New Roman" w:hAnsi="Times New Roman" w:cs="Times New Roman"/>
      </w:rPr>
    </w:lvl>
    <w:lvl w:ilvl="1" w:tplc="F75E942A" w:tentative="1">
      <w:start w:val="1"/>
      <w:numFmt w:val="lowerLetter"/>
      <w:lvlText w:val="%2."/>
      <w:lvlJc w:val="left"/>
      <w:pPr>
        <w:ind w:left="1440" w:hanging="360"/>
      </w:pPr>
    </w:lvl>
    <w:lvl w:ilvl="2" w:tplc="A4E4299A" w:tentative="1">
      <w:start w:val="1"/>
      <w:numFmt w:val="lowerRoman"/>
      <w:lvlText w:val="%3."/>
      <w:lvlJc w:val="right"/>
      <w:pPr>
        <w:ind w:left="2160" w:hanging="180"/>
      </w:pPr>
    </w:lvl>
    <w:lvl w:ilvl="3" w:tplc="521EE1D6" w:tentative="1">
      <w:start w:val="1"/>
      <w:numFmt w:val="decimal"/>
      <w:lvlText w:val="%4."/>
      <w:lvlJc w:val="left"/>
      <w:pPr>
        <w:ind w:left="2880" w:hanging="360"/>
      </w:pPr>
    </w:lvl>
    <w:lvl w:ilvl="4" w:tplc="8326D1BC" w:tentative="1">
      <w:start w:val="1"/>
      <w:numFmt w:val="lowerLetter"/>
      <w:lvlText w:val="%5."/>
      <w:lvlJc w:val="left"/>
      <w:pPr>
        <w:ind w:left="3600" w:hanging="360"/>
      </w:pPr>
    </w:lvl>
    <w:lvl w:ilvl="5" w:tplc="C8E0D92C" w:tentative="1">
      <w:start w:val="1"/>
      <w:numFmt w:val="lowerRoman"/>
      <w:lvlText w:val="%6."/>
      <w:lvlJc w:val="right"/>
      <w:pPr>
        <w:ind w:left="4320" w:hanging="180"/>
      </w:pPr>
    </w:lvl>
    <w:lvl w:ilvl="6" w:tplc="E4FAEB8C" w:tentative="1">
      <w:start w:val="1"/>
      <w:numFmt w:val="decimal"/>
      <w:lvlText w:val="%7."/>
      <w:lvlJc w:val="left"/>
      <w:pPr>
        <w:ind w:left="5040" w:hanging="360"/>
      </w:pPr>
    </w:lvl>
    <w:lvl w:ilvl="7" w:tplc="E01AE8F4" w:tentative="1">
      <w:start w:val="1"/>
      <w:numFmt w:val="lowerLetter"/>
      <w:lvlText w:val="%8."/>
      <w:lvlJc w:val="left"/>
      <w:pPr>
        <w:ind w:left="5760" w:hanging="360"/>
      </w:pPr>
    </w:lvl>
    <w:lvl w:ilvl="8" w:tplc="7986A91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F7"/>
    <w:rsid w:val="00000A6A"/>
    <w:rsid w:val="00124B6E"/>
    <w:rsid w:val="00182482"/>
    <w:rsid w:val="00184AF5"/>
    <w:rsid w:val="004E472D"/>
    <w:rsid w:val="00610FD0"/>
    <w:rsid w:val="008349F7"/>
    <w:rsid w:val="008B5B9A"/>
    <w:rsid w:val="00B11CD7"/>
    <w:rsid w:val="00BA27BA"/>
    <w:rsid w:val="00ED4427"/>
    <w:rsid w:val="00EF5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b/>
      <w:bCs/>
      <w:lang w:val="es-EC"/>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customStyle="1" w:styleId="Textedebulles">
    <w:name w:val="Texte de bulles"/>
    <w:basedOn w:val="Normal"/>
    <w:rPr>
      <w:rFonts w:ascii="Tahoma" w:hAnsi="Tahoma" w:cs="Tahoma"/>
      <w:sz w:val="16"/>
      <w:szCs w:val="16"/>
    </w:rPr>
  </w:style>
  <w:style w:type="paragraph" w:customStyle="1" w:styleId="Puesto">
    <w:name w:val="Puesto"/>
    <w:basedOn w:val="Normal"/>
    <w:next w:val="Subtitle"/>
    <w:qFormat/>
    <w:pPr>
      <w:jc w:val="center"/>
    </w:pPr>
    <w:rPr>
      <w:b/>
      <w:bCs/>
      <w:sz w:val="22"/>
      <w:lang w:val="es-EC"/>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FooterChar">
    <w:name w:val="Footer Char"/>
    <w:link w:val="Footer"/>
    <w:uiPriority w:val="99"/>
    <w:rsid w:val="00587F2B"/>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b/>
      <w:bCs/>
      <w:lang w:val="es-EC"/>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customStyle="1" w:styleId="Textedebulles">
    <w:name w:val="Texte de bulles"/>
    <w:basedOn w:val="Normal"/>
    <w:rPr>
      <w:rFonts w:ascii="Tahoma" w:hAnsi="Tahoma" w:cs="Tahoma"/>
      <w:sz w:val="16"/>
      <w:szCs w:val="16"/>
    </w:rPr>
  </w:style>
  <w:style w:type="paragraph" w:customStyle="1" w:styleId="Puesto">
    <w:name w:val="Puesto"/>
    <w:basedOn w:val="Normal"/>
    <w:next w:val="Subtitle"/>
    <w:qFormat/>
    <w:pPr>
      <w:jc w:val="center"/>
    </w:pPr>
    <w:rPr>
      <w:b/>
      <w:bCs/>
      <w:sz w:val="22"/>
      <w:lang w:val="es-EC"/>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FooterChar">
    <w:name w:val="Footer Char"/>
    <w:link w:val="Footer"/>
    <w:uiPriority w:val="99"/>
    <w:rsid w:val="00587F2B"/>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19C816-2CD4-4ECA-A4D7-40088D53AFE0}"/>
</file>

<file path=customXml/itemProps2.xml><?xml version="1.0" encoding="utf-8"?>
<ds:datastoreItem xmlns:ds="http://schemas.openxmlformats.org/officeDocument/2006/customXml" ds:itemID="{2C5B7629-B138-4082-A5F5-A47ADB3A266F}"/>
</file>

<file path=customXml/itemProps3.xml><?xml version="1.0" encoding="utf-8"?>
<ds:datastoreItem xmlns:ds="http://schemas.openxmlformats.org/officeDocument/2006/customXml" ds:itemID="{F9DE2F82-12BA-449B-A7C6-EA80B89D5789}"/>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AYUDA MEMORIA PARA MINISTRA MARIA FERNANDA ESPINOSA</vt:lpstr>
      <vt:lpstr>AYUDA MEMORIA PARA MINISTRA MARIA FERNANDA ESPINOSA</vt:lpstr>
    </vt:vector>
  </TitlesOfParts>
  <Company>Mision de Ecuador</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 MEMORIA PARA MINISTRA MARIA FERNANDA ESPINOSA</dc:title>
  <dc:creator>Luis Espinosa Salas</dc:creator>
  <cp:lastModifiedBy>Lisa Neddoff Smith</cp:lastModifiedBy>
  <cp:revision>2</cp:revision>
  <cp:lastPrinted>2015-07-05T18:43:00Z</cp:lastPrinted>
  <dcterms:created xsi:type="dcterms:W3CDTF">2015-07-09T13:52:00Z</dcterms:created>
  <dcterms:modified xsi:type="dcterms:W3CDTF">2015-07-09T13:52:00Z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2946200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