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AAE81" w14:textId="77777777" w:rsidR="00084644" w:rsidRPr="00773A40" w:rsidRDefault="00084644" w:rsidP="00084644">
      <w:pPr>
        <w:jc w:val="center"/>
        <w:rPr>
          <w:rFonts w:ascii="Verdana" w:hAnsi="Verdana"/>
          <w:b/>
          <w:sz w:val="20"/>
          <w:szCs w:val="20"/>
        </w:rPr>
      </w:pPr>
      <w:r w:rsidRPr="00773A40">
        <w:rPr>
          <w:rFonts w:ascii="Verdana" w:hAnsi="Verdana"/>
          <w:b/>
          <w:sz w:val="20"/>
          <w:szCs w:val="20"/>
        </w:rPr>
        <w:t>International Commission of Jurists</w:t>
      </w:r>
    </w:p>
    <w:p w14:paraId="47B57C61" w14:textId="77777777" w:rsidR="00084644" w:rsidRPr="00773A40" w:rsidRDefault="00084644" w:rsidP="00084644">
      <w:pPr>
        <w:jc w:val="center"/>
        <w:rPr>
          <w:rFonts w:ascii="Verdana" w:hAnsi="Verdana"/>
          <w:b/>
          <w:sz w:val="20"/>
          <w:szCs w:val="20"/>
        </w:rPr>
      </w:pPr>
      <w:r w:rsidRPr="00773A40">
        <w:rPr>
          <w:rFonts w:ascii="Verdana" w:hAnsi="Verdana"/>
          <w:b/>
          <w:sz w:val="20"/>
          <w:szCs w:val="20"/>
        </w:rPr>
        <w:t>Proposals for Elements of a legally binding instrument on Transnational Corporations and other Business Enterprises</w:t>
      </w:r>
    </w:p>
    <w:p w14:paraId="399EC829" w14:textId="77777777" w:rsidR="00A85609" w:rsidRDefault="00A85609" w:rsidP="00084644">
      <w:pPr>
        <w:spacing w:after="200" w:line="276" w:lineRule="auto"/>
        <w:rPr>
          <w:rFonts w:ascii="Verdana" w:hAnsi="Verdana"/>
          <w:b/>
          <w:sz w:val="20"/>
          <w:szCs w:val="20"/>
        </w:rPr>
      </w:pPr>
    </w:p>
    <w:p w14:paraId="18717646" w14:textId="379065D1" w:rsidR="00084644" w:rsidRPr="00084644" w:rsidRDefault="00084644" w:rsidP="00084644">
      <w:pPr>
        <w:spacing w:after="200" w:line="276" w:lineRule="auto"/>
        <w:rPr>
          <w:rFonts w:ascii="Verdana" w:eastAsiaTheme="minorHAnsi" w:hAnsi="Verdana"/>
          <w:sz w:val="20"/>
          <w:szCs w:val="20"/>
          <w:lang w:val="en-GB"/>
        </w:rPr>
      </w:pPr>
      <w:r w:rsidRPr="00773A40">
        <w:rPr>
          <w:rFonts w:ascii="Verdana" w:hAnsi="Verdana"/>
          <w:b/>
          <w:sz w:val="20"/>
          <w:szCs w:val="20"/>
        </w:rPr>
        <w:t>ADVANCE UNEDITED DOCUMENT</w:t>
      </w:r>
      <w:r>
        <w:rPr>
          <w:rFonts w:ascii="Verdana" w:hAnsi="Verdana"/>
          <w:b/>
          <w:sz w:val="20"/>
          <w:szCs w:val="20"/>
        </w:rPr>
        <w:t>- PART IV</w:t>
      </w:r>
    </w:p>
    <w:p w14:paraId="21438D4C" w14:textId="77777777" w:rsidR="00A85609" w:rsidRDefault="00A85609" w:rsidP="00E76718">
      <w:pPr>
        <w:spacing w:after="200" w:line="276" w:lineRule="auto"/>
        <w:rPr>
          <w:rFonts w:ascii="Verdana" w:eastAsiaTheme="minorHAnsi" w:hAnsi="Verdana"/>
          <w:i/>
          <w:sz w:val="20"/>
          <w:szCs w:val="20"/>
          <w:lang w:val="en-GB"/>
        </w:rPr>
      </w:pPr>
    </w:p>
    <w:p w14:paraId="53D31785" w14:textId="4E97667C" w:rsidR="00E76718" w:rsidRPr="00E76718" w:rsidRDefault="00E76718" w:rsidP="00E76718">
      <w:pPr>
        <w:spacing w:after="200" w:line="276" w:lineRule="auto"/>
        <w:rPr>
          <w:rFonts w:ascii="Verdana" w:eastAsiaTheme="minorHAnsi" w:hAnsi="Verdana"/>
          <w:i/>
          <w:sz w:val="20"/>
          <w:szCs w:val="20"/>
          <w:lang w:val="en-GB"/>
        </w:rPr>
      </w:pPr>
      <w:r w:rsidRPr="00E76718">
        <w:rPr>
          <w:rFonts w:ascii="Verdana" w:eastAsiaTheme="minorHAnsi" w:hAnsi="Verdana"/>
          <w:i/>
          <w:sz w:val="20"/>
          <w:szCs w:val="20"/>
          <w:lang w:val="en-GB"/>
        </w:rPr>
        <w:t>Corporate Criminal liability</w:t>
      </w:r>
    </w:p>
    <w:p w14:paraId="643A3D14" w14:textId="77777777" w:rsidR="00E76718" w:rsidRPr="00E76718" w:rsidRDefault="00E76718" w:rsidP="00E76718">
      <w:pPr>
        <w:spacing w:after="200" w:line="276" w:lineRule="auto"/>
        <w:rPr>
          <w:rFonts w:ascii="Verdana" w:eastAsiaTheme="minorHAnsi" w:hAnsi="Verdana"/>
          <w:sz w:val="20"/>
          <w:szCs w:val="20"/>
          <w:lang w:val="en-GB"/>
        </w:rPr>
      </w:pPr>
      <w:r w:rsidRPr="00E76718">
        <w:rPr>
          <w:rFonts w:ascii="Verdana" w:eastAsiaTheme="minorHAnsi" w:hAnsi="Verdana"/>
          <w:sz w:val="20"/>
          <w:szCs w:val="20"/>
          <w:lang w:val="en-GB"/>
        </w:rPr>
        <w:t xml:space="preserve">Although corporate criminal responsibility is not yet universally accepted, the underlying principle </w:t>
      </w:r>
      <w:proofErr w:type="spellStart"/>
      <w:r w:rsidRPr="00E76718">
        <w:rPr>
          <w:rFonts w:ascii="Verdana" w:eastAsiaTheme="minorHAnsi" w:hAnsi="Verdana"/>
          <w:i/>
          <w:sz w:val="20"/>
          <w:szCs w:val="20"/>
          <w:lang w:val="en-GB"/>
        </w:rPr>
        <w:t>societas</w:t>
      </w:r>
      <w:proofErr w:type="spellEnd"/>
      <w:r w:rsidRPr="00E76718">
        <w:rPr>
          <w:rFonts w:ascii="Verdana" w:eastAsiaTheme="minorHAnsi" w:hAnsi="Verdana"/>
          <w:i/>
          <w:sz w:val="20"/>
          <w:szCs w:val="20"/>
          <w:lang w:val="en-GB"/>
        </w:rPr>
        <w:t xml:space="preserve"> non </w:t>
      </w:r>
      <w:proofErr w:type="spellStart"/>
      <w:r w:rsidRPr="00E76718">
        <w:rPr>
          <w:rFonts w:ascii="Verdana" w:eastAsiaTheme="minorHAnsi" w:hAnsi="Verdana"/>
          <w:i/>
          <w:sz w:val="20"/>
          <w:szCs w:val="20"/>
          <w:lang w:val="en-GB"/>
        </w:rPr>
        <w:t>delinquere</w:t>
      </w:r>
      <w:proofErr w:type="spellEnd"/>
      <w:r w:rsidRPr="00E76718">
        <w:rPr>
          <w:rFonts w:ascii="Verdana" w:eastAsiaTheme="minorHAnsi" w:hAnsi="Verdana"/>
          <w:i/>
          <w:sz w:val="20"/>
          <w:szCs w:val="20"/>
          <w:lang w:val="en-GB"/>
        </w:rPr>
        <w:t xml:space="preserve"> </w:t>
      </w:r>
      <w:proofErr w:type="spellStart"/>
      <w:r w:rsidRPr="00E76718">
        <w:rPr>
          <w:rFonts w:ascii="Verdana" w:eastAsiaTheme="minorHAnsi" w:hAnsi="Verdana"/>
          <w:i/>
          <w:sz w:val="20"/>
          <w:szCs w:val="20"/>
          <w:lang w:val="en-GB"/>
        </w:rPr>
        <w:t>potest</w:t>
      </w:r>
      <w:proofErr w:type="spellEnd"/>
      <w:r w:rsidRPr="00E76718">
        <w:rPr>
          <w:rFonts w:ascii="Verdana" w:eastAsiaTheme="minorHAnsi" w:hAnsi="Verdana"/>
          <w:sz w:val="20"/>
          <w:szCs w:val="20"/>
          <w:lang w:val="en-GB"/>
        </w:rPr>
        <w:t xml:space="preserve"> (society cannot commit a crime) is in retreat in all regions of the world and a growing number of countries have now accepted some form of corporate criminal responsibility or its equivalent through administrative procedures. A comparative research commissioned by the European Union in relation to criminal legal liability of legal entities (including business enterprises)</w:t>
      </w:r>
      <w:r w:rsidRPr="00E76718">
        <w:rPr>
          <w:rFonts w:ascii="Verdana" w:eastAsiaTheme="minorHAnsi" w:hAnsi="Verdana"/>
          <w:sz w:val="20"/>
          <w:szCs w:val="20"/>
          <w:vertAlign w:val="superscript"/>
          <w:lang w:val="en-GB"/>
        </w:rPr>
        <w:footnoteReference w:id="1"/>
      </w:r>
      <w:r w:rsidRPr="00E76718">
        <w:rPr>
          <w:rFonts w:ascii="Verdana" w:eastAsiaTheme="minorHAnsi" w:hAnsi="Verdana"/>
          <w:sz w:val="20"/>
          <w:szCs w:val="20"/>
          <w:lang w:val="en-GB"/>
        </w:rPr>
        <w:t xml:space="preserve"> also found that 50 percent of EU Member States have introduced general criminal liability in their legal systems and 41 percent recognize criminal liability of legal entities only for specific offences. Among those States that recognize only administrative liability of legal entities, 39 percent have introduced general administrative liability, whereas 33 percent have liability for specific offences. States that adopt legal liability of legal entities only for specific offences do so mostly with regard to trafficking in human beings, sexual exploitation of children and child pornography, environmental crime, illicit trade in human organs and racism and xenophobia.</w:t>
      </w:r>
      <w:r w:rsidRPr="00E76718">
        <w:rPr>
          <w:rFonts w:ascii="Verdana" w:eastAsiaTheme="minorHAnsi" w:hAnsi="Verdana"/>
          <w:sz w:val="20"/>
          <w:szCs w:val="20"/>
          <w:vertAlign w:val="superscript"/>
          <w:lang w:val="en-GB"/>
        </w:rPr>
        <w:footnoteReference w:id="2"/>
      </w:r>
      <w:r w:rsidRPr="00E76718">
        <w:rPr>
          <w:rFonts w:ascii="Verdana" w:eastAsiaTheme="minorHAnsi" w:hAnsi="Verdana"/>
          <w:sz w:val="20"/>
          <w:szCs w:val="20"/>
          <w:lang w:val="en-GB"/>
        </w:rPr>
        <w:t xml:space="preserve"> There is a noticeable correlation between offences recognised in domestic law and the international treaties that explicitly require States to establish legal person liability for such offences. But it is clear that corporate criminal liability in many countries does not exist and where it exists covers only a heterogeneous set of serious human rights abuses and not others.</w:t>
      </w:r>
    </w:p>
    <w:p w14:paraId="29461A75" w14:textId="77777777" w:rsidR="00E76718" w:rsidRPr="00E76718" w:rsidRDefault="00E76718" w:rsidP="00E76718">
      <w:pPr>
        <w:spacing w:after="200" w:line="276" w:lineRule="auto"/>
        <w:rPr>
          <w:rFonts w:ascii="Verdana" w:eastAsiaTheme="minorHAnsi" w:hAnsi="Verdana"/>
          <w:sz w:val="20"/>
          <w:szCs w:val="20"/>
          <w:lang w:val="en-GB"/>
        </w:rPr>
      </w:pPr>
      <w:r w:rsidRPr="00E76718">
        <w:rPr>
          <w:rFonts w:ascii="Verdana" w:eastAsiaTheme="minorHAnsi" w:hAnsi="Verdana"/>
          <w:sz w:val="20"/>
          <w:szCs w:val="20"/>
          <w:lang w:val="en-GB"/>
        </w:rPr>
        <w:t>The doctrinal concepts or tests used to attribute criminal responsibility to a corporation also differ across jurisdictions. Some States use some form of theory of identification, whereby the acts and mental state (</w:t>
      </w:r>
      <w:proofErr w:type="spellStart"/>
      <w:r w:rsidRPr="00E76718">
        <w:rPr>
          <w:rFonts w:ascii="Verdana" w:eastAsiaTheme="minorHAnsi" w:hAnsi="Verdana"/>
          <w:i/>
          <w:sz w:val="20"/>
          <w:szCs w:val="20"/>
          <w:lang w:val="en-GB"/>
        </w:rPr>
        <w:t>mens</w:t>
      </w:r>
      <w:proofErr w:type="spellEnd"/>
      <w:r w:rsidRPr="00E76718">
        <w:rPr>
          <w:rFonts w:ascii="Verdana" w:eastAsiaTheme="minorHAnsi" w:hAnsi="Verdana"/>
          <w:i/>
          <w:sz w:val="20"/>
          <w:szCs w:val="20"/>
          <w:lang w:val="en-GB"/>
        </w:rPr>
        <w:t xml:space="preserve"> rea</w:t>
      </w:r>
      <w:r w:rsidRPr="00E76718">
        <w:rPr>
          <w:rFonts w:ascii="Verdana" w:eastAsiaTheme="minorHAnsi" w:hAnsi="Verdana"/>
          <w:sz w:val="20"/>
          <w:szCs w:val="20"/>
          <w:lang w:val="en-GB"/>
        </w:rPr>
        <w:t xml:space="preserve">) of the manager or CEO may be treated as the “directing mind” of the corporation and this mental state is attributed to the corporation. Others use the theory of </w:t>
      </w:r>
      <w:proofErr w:type="spellStart"/>
      <w:r w:rsidRPr="00E76718">
        <w:rPr>
          <w:rFonts w:ascii="Verdana" w:eastAsiaTheme="minorHAnsi" w:hAnsi="Verdana"/>
          <w:i/>
          <w:sz w:val="20"/>
          <w:szCs w:val="20"/>
          <w:lang w:val="en-GB"/>
        </w:rPr>
        <w:t>respondat</w:t>
      </w:r>
      <w:proofErr w:type="spellEnd"/>
      <w:r w:rsidRPr="00E76718">
        <w:rPr>
          <w:rFonts w:ascii="Verdana" w:eastAsiaTheme="minorHAnsi" w:hAnsi="Verdana"/>
          <w:sz w:val="20"/>
          <w:szCs w:val="20"/>
          <w:lang w:val="en-GB"/>
        </w:rPr>
        <w:t xml:space="preserve"> </w:t>
      </w:r>
      <w:r w:rsidRPr="00E76718">
        <w:rPr>
          <w:rFonts w:ascii="Verdana" w:eastAsiaTheme="minorHAnsi" w:hAnsi="Verdana"/>
          <w:i/>
          <w:sz w:val="20"/>
          <w:szCs w:val="20"/>
          <w:lang w:val="en-GB"/>
        </w:rPr>
        <w:t>superior</w:t>
      </w:r>
      <w:r w:rsidRPr="00E76718">
        <w:rPr>
          <w:rFonts w:ascii="Verdana" w:eastAsiaTheme="minorHAnsi" w:hAnsi="Verdana"/>
          <w:sz w:val="20"/>
          <w:szCs w:val="20"/>
          <w:lang w:val="en-GB"/>
        </w:rPr>
        <w:t xml:space="preserve"> (or vicarious liability) whereby the company as employer is responsible for the acts of its subordinates, as in the relationship of employer-employee or superior-subordinate. A third group uses a more novel concept of “corporate culture” to identify the corporate policies and procedures that have created a culture permissive or conducive to the commission of the offense. States use one or a combination of these approaches.</w:t>
      </w:r>
      <w:r w:rsidRPr="00E76718">
        <w:rPr>
          <w:rFonts w:ascii="Verdana" w:eastAsiaTheme="minorHAnsi" w:hAnsi="Verdana"/>
          <w:sz w:val="20"/>
          <w:szCs w:val="20"/>
          <w:vertAlign w:val="superscript"/>
          <w:lang w:val="en-GB"/>
        </w:rPr>
        <w:footnoteReference w:id="3"/>
      </w:r>
      <w:r w:rsidRPr="00E76718">
        <w:rPr>
          <w:rFonts w:ascii="Verdana" w:eastAsiaTheme="minorHAnsi" w:hAnsi="Verdana"/>
          <w:sz w:val="20"/>
          <w:szCs w:val="20"/>
          <w:lang w:val="en-GB"/>
        </w:rPr>
        <w:t xml:space="preserve"> </w:t>
      </w:r>
    </w:p>
    <w:p w14:paraId="0171CD74" w14:textId="77777777" w:rsidR="00E76718" w:rsidRPr="00E76718" w:rsidRDefault="00E76718" w:rsidP="00E76718">
      <w:pPr>
        <w:spacing w:after="200" w:line="276" w:lineRule="auto"/>
        <w:rPr>
          <w:rFonts w:ascii="Verdana" w:eastAsiaTheme="minorHAnsi" w:hAnsi="Verdana"/>
          <w:sz w:val="20"/>
          <w:szCs w:val="20"/>
          <w:lang w:val="en-GB"/>
        </w:rPr>
      </w:pPr>
      <w:r w:rsidRPr="00E76718">
        <w:rPr>
          <w:rFonts w:ascii="Verdana" w:eastAsiaTheme="minorHAnsi" w:hAnsi="Verdana"/>
          <w:sz w:val="20"/>
          <w:szCs w:val="20"/>
          <w:lang w:val="en-GB"/>
        </w:rPr>
        <w:t xml:space="preserve">Because the practice of states in relation to corporate criminal responsibility is too limited, divergent and recent, it is difficult and probably counterproductive to </w:t>
      </w:r>
      <w:r w:rsidRPr="00E76718">
        <w:rPr>
          <w:rFonts w:ascii="Verdana" w:eastAsiaTheme="minorHAnsi" w:hAnsi="Verdana"/>
          <w:sz w:val="20"/>
          <w:szCs w:val="20"/>
          <w:lang w:val="en-GB"/>
        </w:rPr>
        <w:lastRenderedPageBreak/>
        <w:t>require States to adopt any particular doctrine as a general test for attribution of responsibility. The most practical option at this stage is to allow states enough flexibility in that regard taking into account the need to ensure effective legal accountability of businesses enterprises.</w:t>
      </w:r>
    </w:p>
    <w:p w14:paraId="05E3918B" w14:textId="77777777" w:rsidR="00E76718" w:rsidRPr="00E76718" w:rsidRDefault="00E76718" w:rsidP="00E76718">
      <w:pPr>
        <w:spacing w:after="200" w:line="276" w:lineRule="auto"/>
        <w:rPr>
          <w:rFonts w:ascii="Verdana" w:eastAsiaTheme="minorHAnsi" w:hAnsi="Verdana"/>
          <w:sz w:val="20"/>
          <w:szCs w:val="20"/>
          <w:lang w:val="en-GB"/>
        </w:rPr>
      </w:pPr>
      <w:r w:rsidRPr="00E76718">
        <w:rPr>
          <w:rFonts w:ascii="Verdana" w:eastAsiaTheme="minorHAnsi" w:hAnsi="Verdana"/>
          <w:sz w:val="20"/>
          <w:szCs w:val="20"/>
          <w:lang w:val="en-GB"/>
        </w:rPr>
        <w:t>In all cases, the offences have to be defined with sufficient clarity to meet the requirements of legality.</w:t>
      </w:r>
    </w:p>
    <w:p w14:paraId="319DBAC0" w14:textId="19F254F4" w:rsidR="00E76718" w:rsidRPr="00E76718" w:rsidRDefault="00E76718" w:rsidP="00E76718">
      <w:pPr>
        <w:spacing w:after="200" w:line="276" w:lineRule="auto"/>
        <w:rPr>
          <w:rFonts w:ascii="Verdana" w:eastAsiaTheme="minorHAnsi" w:hAnsi="Verdana"/>
          <w:sz w:val="20"/>
          <w:szCs w:val="20"/>
          <w:lang w:val="en-GB"/>
        </w:rPr>
      </w:pPr>
      <w:r w:rsidRPr="00E76718">
        <w:rPr>
          <w:rFonts w:ascii="Verdana" w:eastAsiaTheme="minorHAnsi" w:hAnsi="Verdana"/>
          <w:sz w:val="20"/>
          <w:szCs w:val="20"/>
          <w:lang w:val="en-GB"/>
        </w:rPr>
        <w:t>Th</w:t>
      </w:r>
      <w:r w:rsidR="0099014E">
        <w:rPr>
          <w:rFonts w:ascii="Verdana" w:eastAsiaTheme="minorHAnsi" w:hAnsi="Verdana"/>
          <w:sz w:val="20"/>
          <w:szCs w:val="20"/>
          <w:lang w:val="en-GB"/>
        </w:rPr>
        <w:t xml:space="preserve">e ICJ recommends as elements of </w:t>
      </w:r>
      <w:r w:rsidRPr="00E76718">
        <w:rPr>
          <w:rFonts w:ascii="Verdana" w:eastAsiaTheme="minorHAnsi" w:hAnsi="Verdana"/>
          <w:sz w:val="20"/>
          <w:szCs w:val="20"/>
          <w:lang w:val="en-GB"/>
        </w:rPr>
        <w:t>the treaty:</w:t>
      </w:r>
    </w:p>
    <w:tbl>
      <w:tblPr>
        <w:tblStyle w:val="TableGrid"/>
        <w:tblW w:w="0" w:type="auto"/>
        <w:tblInd w:w="720" w:type="dxa"/>
        <w:tblBorders>
          <w:bottom w:val="none" w:sz="0" w:space="0" w:color="auto"/>
          <w:insideH w:val="none" w:sz="0" w:space="0" w:color="auto"/>
          <w:insideV w:val="none" w:sz="0" w:space="0" w:color="auto"/>
        </w:tblBorders>
        <w:tblLook w:val="04A0" w:firstRow="1" w:lastRow="0" w:firstColumn="1" w:lastColumn="0" w:noHBand="0" w:noVBand="1"/>
      </w:tblPr>
      <w:tblGrid>
        <w:gridCol w:w="7796"/>
      </w:tblGrid>
      <w:tr w:rsidR="00E76718" w:rsidRPr="00E76718" w14:paraId="1F6BA35F" w14:textId="77777777" w:rsidTr="002E6E1D">
        <w:tc>
          <w:tcPr>
            <w:tcW w:w="8363" w:type="dxa"/>
            <w:tcBorders>
              <w:top w:val="single" w:sz="4" w:space="0" w:color="auto"/>
              <w:bottom w:val="single" w:sz="4" w:space="0" w:color="auto"/>
            </w:tcBorders>
          </w:tcPr>
          <w:p w14:paraId="0B1236B0" w14:textId="77777777" w:rsidR="00E76718" w:rsidRPr="00E76718" w:rsidRDefault="00E76718" w:rsidP="00E76718">
            <w:pPr>
              <w:spacing w:after="200" w:line="276" w:lineRule="auto"/>
              <w:rPr>
                <w:rFonts w:ascii="Verdana" w:hAnsi="Verdana"/>
                <w:sz w:val="20"/>
                <w:szCs w:val="20"/>
              </w:rPr>
            </w:pPr>
          </w:p>
          <w:p w14:paraId="54C8B6BB" w14:textId="77777777" w:rsidR="00E76718" w:rsidRPr="00E76718" w:rsidRDefault="00E76718" w:rsidP="00E76718">
            <w:pPr>
              <w:spacing w:after="200" w:line="276" w:lineRule="auto"/>
              <w:rPr>
                <w:rFonts w:ascii="Verdana" w:hAnsi="Verdana"/>
                <w:sz w:val="20"/>
                <w:szCs w:val="20"/>
              </w:rPr>
            </w:pPr>
            <w:r w:rsidRPr="00E76718">
              <w:rPr>
                <w:rFonts w:ascii="Verdana" w:hAnsi="Verdana"/>
                <w:sz w:val="20"/>
                <w:szCs w:val="20"/>
              </w:rPr>
              <w:t>States party to the agreement must adopt effective legislative and administrative measures, in accordance with their national legal systems and principles, to establish in law the legal liability of business enterprises, in particular corporations, subject to their jurisdiction for business conduct that results in harm to human rights. Such responsibility should, as appropriate, be criminal, civil or administrative.</w:t>
            </w:r>
          </w:p>
          <w:p w14:paraId="33171800" w14:textId="77777777" w:rsidR="00E76718" w:rsidRPr="00E76718" w:rsidRDefault="00E76718" w:rsidP="00E76718">
            <w:pPr>
              <w:spacing w:after="200" w:line="276" w:lineRule="auto"/>
              <w:rPr>
                <w:rFonts w:ascii="Verdana" w:hAnsi="Verdana"/>
                <w:sz w:val="20"/>
                <w:szCs w:val="20"/>
              </w:rPr>
            </w:pPr>
            <w:r w:rsidRPr="00E76718">
              <w:rPr>
                <w:rFonts w:ascii="Verdana" w:hAnsi="Verdana"/>
                <w:sz w:val="20"/>
                <w:szCs w:val="20"/>
              </w:rPr>
              <w:t>States must adopt measures to establish criminal responsibility or its equivalent for business enterprises subject to their jurisdiction for business-related human rights offences.</w:t>
            </w:r>
          </w:p>
          <w:p w14:paraId="18007957" w14:textId="77777777" w:rsidR="00E76718" w:rsidRPr="00E76718" w:rsidRDefault="00E76718" w:rsidP="00E76718">
            <w:pPr>
              <w:spacing w:after="200" w:line="276" w:lineRule="auto"/>
              <w:rPr>
                <w:rFonts w:ascii="Verdana" w:hAnsi="Verdana"/>
                <w:sz w:val="20"/>
                <w:szCs w:val="20"/>
              </w:rPr>
            </w:pPr>
            <w:r w:rsidRPr="00E76718">
              <w:rPr>
                <w:rFonts w:ascii="Verdana" w:hAnsi="Verdana"/>
                <w:sz w:val="20"/>
                <w:szCs w:val="20"/>
              </w:rPr>
              <w:t>The following violations recognized as crimes under international law and for which international law require the imposition of criminal sanctions should be incorporated in national corporate criminal law:</w:t>
            </w:r>
          </w:p>
          <w:p w14:paraId="653BC111" w14:textId="77777777" w:rsidR="00E76718" w:rsidRPr="00E76718" w:rsidRDefault="00E76718" w:rsidP="00E76718">
            <w:pPr>
              <w:numPr>
                <w:ilvl w:val="0"/>
                <w:numId w:val="1"/>
              </w:numPr>
              <w:spacing w:after="200" w:line="276" w:lineRule="auto"/>
              <w:contextualSpacing/>
              <w:rPr>
                <w:rFonts w:ascii="Verdana" w:hAnsi="Verdana"/>
                <w:sz w:val="20"/>
                <w:szCs w:val="20"/>
              </w:rPr>
            </w:pPr>
            <w:r w:rsidRPr="00E76718">
              <w:rPr>
                <w:rFonts w:ascii="Verdana" w:hAnsi="Verdana"/>
                <w:sz w:val="20"/>
                <w:szCs w:val="20"/>
              </w:rPr>
              <w:t xml:space="preserve">war crimes, crimes against humanity and genocide (as defined under international law in such sources as the grave breach provisions of the 1949 Geneva Conventions and 1977 Additional Protocols, the Rome Statute for the International Criminal Court, and customary international humanitarian and human rights law). </w:t>
            </w:r>
          </w:p>
          <w:p w14:paraId="406A8770" w14:textId="77777777" w:rsidR="00E76718" w:rsidRPr="00E76718" w:rsidRDefault="00E76718" w:rsidP="00E76718">
            <w:pPr>
              <w:numPr>
                <w:ilvl w:val="0"/>
                <w:numId w:val="1"/>
              </w:numPr>
              <w:spacing w:after="200" w:line="276" w:lineRule="auto"/>
              <w:contextualSpacing/>
              <w:rPr>
                <w:rFonts w:ascii="Verdana" w:hAnsi="Verdana"/>
                <w:sz w:val="20"/>
                <w:szCs w:val="20"/>
              </w:rPr>
            </w:pPr>
            <w:r w:rsidRPr="00E76718">
              <w:rPr>
                <w:rFonts w:ascii="Verdana" w:hAnsi="Verdana"/>
                <w:sz w:val="20"/>
                <w:szCs w:val="20"/>
              </w:rPr>
              <w:t>torture,</w:t>
            </w:r>
          </w:p>
          <w:p w14:paraId="51DA9A7E" w14:textId="77777777" w:rsidR="00E76718" w:rsidRPr="00E76718" w:rsidRDefault="00E76718" w:rsidP="00E76718">
            <w:pPr>
              <w:numPr>
                <w:ilvl w:val="0"/>
                <w:numId w:val="1"/>
              </w:numPr>
              <w:spacing w:after="200" w:line="276" w:lineRule="auto"/>
              <w:contextualSpacing/>
              <w:rPr>
                <w:rFonts w:ascii="Verdana" w:hAnsi="Verdana"/>
                <w:sz w:val="20"/>
                <w:szCs w:val="20"/>
              </w:rPr>
            </w:pPr>
            <w:r w:rsidRPr="00E76718">
              <w:rPr>
                <w:rFonts w:ascii="Verdana" w:hAnsi="Verdana"/>
                <w:sz w:val="20"/>
                <w:szCs w:val="20"/>
              </w:rPr>
              <w:t xml:space="preserve">cruel, inhuman or degrading treatment, </w:t>
            </w:r>
          </w:p>
          <w:p w14:paraId="4A65C690" w14:textId="77777777" w:rsidR="00E76718" w:rsidRPr="00E76718" w:rsidRDefault="00E76718" w:rsidP="00E76718">
            <w:pPr>
              <w:numPr>
                <w:ilvl w:val="0"/>
                <w:numId w:val="1"/>
              </w:numPr>
              <w:spacing w:after="200" w:line="276" w:lineRule="auto"/>
              <w:contextualSpacing/>
              <w:rPr>
                <w:rFonts w:ascii="Verdana" w:hAnsi="Verdana"/>
                <w:sz w:val="20"/>
                <w:szCs w:val="20"/>
              </w:rPr>
            </w:pPr>
            <w:r w:rsidRPr="00E76718">
              <w:rPr>
                <w:rFonts w:ascii="Verdana" w:hAnsi="Verdana"/>
                <w:sz w:val="20"/>
                <w:szCs w:val="20"/>
              </w:rPr>
              <w:t xml:space="preserve">enforced disappearance, </w:t>
            </w:r>
          </w:p>
          <w:p w14:paraId="3D7F66A4" w14:textId="77777777" w:rsidR="00E76718" w:rsidRPr="00E76718" w:rsidRDefault="00E76718" w:rsidP="00E76718">
            <w:pPr>
              <w:numPr>
                <w:ilvl w:val="0"/>
                <w:numId w:val="1"/>
              </w:numPr>
              <w:spacing w:after="200" w:line="276" w:lineRule="auto"/>
              <w:contextualSpacing/>
              <w:rPr>
                <w:rFonts w:ascii="Verdana" w:hAnsi="Verdana"/>
                <w:sz w:val="20"/>
                <w:szCs w:val="20"/>
              </w:rPr>
            </w:pPr>
            <w:r w:rsidRPr="00E76718">
              <w:rPr>
                <w:rFonts w:ascii="Verdana" w:hAnsi="Verdana"/>
                <w:sz w:val="20"/>
                <w:szCs w:val="20"/>
              </w:rPr>
              <w:t xml:space="preserve">extrajudicial execution, </w:t>
            </w:r>
          </w:p>
          <w:p w14:paraId="5B9183BC" w14:textId="77777777" w:rsidR="00E76718" w:rsidRPr="00E76718" w:rsidRDefault="00E76718" w:rsidP="00E76718">
            <w:pPr>
              <w:numPr>
                <w:ilvl w:val="0"/>
                <w:numId w:val="1"/>
              </w:numPr>
              <w:spacing w:after="200" w:line="276" w:lineRule="auto"/>
              <w:contextualSpacing/>
              <w:rPr>
                <w:rFonts w:ascii="Verdana" w:hAnsi="Verdana"/>
                <w:sz w:val="20"/>
                <w:szCs w:val="20"/>
              </w:rPr>
            </w:pPr>
            <w:r w:rsidRPr="00E76718">
              <w:rPr>
                <w:rFonts w:ascii="Verdana" w:hAnsi="Verdana"/>
                <w:sz w:val="20"/>
                <w:szCs w:val="20"/>
              </w:rPr>
              <w:t xml:space="preserve">slavery and slavery-like offences, </w:t>
            </w:r>
          </w:p>
          <w:p w14:paraId="78779B2F" w14:textId="77777777" w:rsidR="00E76718" w:rsidRPr="00E76718" w:rsidRDefault="00E76718" w:rsidP="00E76718">
            <w:pPr>
              <w:numPr>
                <w:ilvl w:val="0"/>
                <w:numId w:val="1"/>
              </w:numPr>
              <w:spacing w:after="200" w:line="276" w:lineRule="auto"/>
              <w:contextualSpacing/>
              <w:rPr>
                <w:rFonts w:ascii="Verdana" w:hAnsi="Verdana"/>
                <w:sz w:val="20"/>
                <w:szCs w:val="20"/>
              </w:rPr>
            </w:pPr>
            <w:r w:rsidRPr="00E76718">
              <w:rPr>
                <w:rFonts w:ascii="Verdana" w:hAnsi="Verdana"/>
                <w:sz w:val="20"/>
                <w:szCs w:val="20"/>
              </w:rPr>
              <w:t>forced labour and similar forms of forced labour,</w:t>
            </w:r>
          </w:p>
          <w:p w14:paraId="1F895CC0" w14:textId="77777777" w:rsidR="00E76718" w:rsidRPr="00E76718" w:rsidRDefault="00E76718" w:rsidP="00E76718">
            <w:pPr>
              <w:numPr>
                <w:ilvl w:val="0"/>
                <w:numId w:val="1"/>
              </w:numPr>
              <w:spacing w:after="200" w:line="276" w:lineRule="auto"/>
              <w:contextualSpacing/>
              <w:rPr>
                <w:rFonts w:ascii="Verdana" w:hAnsi="Verdana"/>
                <w:sz w:val="20"/>
                <w:szCs w:val="20"/>
              </w:rPr>
            </w:pPr>
            <w:r w:rsidRPr="00E76718">
              <w:rPr>
                <w:rFonts w:ascii="Verdana" w:hAnsi="Verdana"/>
                <w:sz w:val="20"/>
                <w:szCs w:val="20"/>
              </w:rPr>
              <w:t>forced displacement of people,</w:t>
            </w:r>
          </w:p>
          <w:p w14:paraId="73B80332" w14:textId="77777777" w:rsidR="00E76718" w:rsidRPr="00E76718" w:rsidRDefault="00E76718" w:rsidP="00E76718">
            <w:pPr>
              <w:numPr>
                <w:ilvl w:val="0"/>
                <w:numId w:val="1"/>
              </w:numPr>
              <w:spacing w:after="200" w:line="276" w:lineRule="auto"/>
              <w:contextualSpacing/>
              <w:rPr>
                <w:rFonts w:ascii="Verdana" w:hAnsi="Verdana"/>
                <w:sz w:val="20"/>
                <w:szCs w:val="20"/>
              </w:rPr>
            </w:pPr>
            <w:r w:rsidRPr="00E76718">
              <w:rPr>
                <w:rFonts w:ascii="Verdana" w:hAnsi="Verdana"/>
                <w:sz w:val="20"/>
                <w:szCs w:val="20"/>
              </w:rPr>
              <w:t>forced eviction,</w:t>
            </w:r>
          </w:p>
          <w:p w14:paraId="755F8002" w14:textId="77777777" w:rsidR="00E76718" w:rsidRPr="00E76718" w:rsidRDefault="00E76718" w:rsidP="00E76718">
            <w:pPr>
              <w:numPr>
                <w:ilvl w:val="0"/>
                <w:numId w:val="1"/>
              </w:numPr>
              <w:spacing w:after="200" w:line="276" w:lineRule="auto"/>
              <w:contextualSpacing/>
              <w:rPr>
                <w:rFonts w:ascii="Verdana" w:hAnsi="Verdana"/>
                <w:sz w:val="20"/>
                <w:szCs w:val="20"/>
              </w:rPr>
            </w:pPr>
            <w:r w:rsidRPr="00E76718">
              <w:rPr>
                <w:rFonts w:ascii="Verdana" w:hAnsi="Verdana"/>
                <w:sz w:val="20"/>
                <w:szCs w:val="20"/>
              </w:rPr>
              <w:t>the use of child soldiers</w:t>
            </w:r>
          </w:p>
          <w:p w14:paraId="6BBECDD3" w14:textId="77777777" w:rsidR="00E76718" w:rsidRPr="00E76718" w:rsidRDefault="00E76718" w:rsidP="00E76718">
            <w:pPr>
              <w:numPr>
                <w:ilvl w:val="0"/>
                <w:numId w:val="1"/>
              </w:numPr>
              <w:spacing w:after="200" w:line="276" w:lineRule="auto"/>
              <w:contextualSpacing/>
              <w:rPr>
                <w:rFonts w:ascii="Verdana" w:hAnsi="Verdana"/>
                <w:sz w:val="20"/>
                <w:szCs w:val="20"/>
              </w:rPr>
            </w:pPr>
            <w:r w:rsidRPr="00E76718">
              <w:rPr>
                <w:rFonts w:ascii="Verdana" w:hAnsi="Verdana"/>
                <w:sz w:val="20"/>
                <w:szCs w:val="20"/>
              </w:rPr>
              <w:t>sexual violence.</w:t>
            </w:r>
            <w:r w:rsidRPr="00E76718">
              <w:rPr>
                <w:rFonts w:ascii="Verdana" w:hAnsi="Verdana"/>
                <w:sz w:val="20"/>
                <w:szCs w:val="20"/>
                <w:vertAlign w:val="superscript"/>
              </w:rPr>
              <w:footnoteReference w:id="4"/>
            </w:r>
          </w:p>
          <w:p w14:paraId="11EB16A9" w14:textId="77777777" w:rsidR="00E76718" w:rsidRPr="00E76718" w:rsidRDefault="00E76718" w:rsidP="00E76718">
            <w:pPr>
              <w:spacing w:after="200" w:line="276" w:lineRule="auto"/>
              <w:rPr>
                <w:rFonts w:ascii="Verdana" w:hAnsi="Verdana"/>
                <w:sz w:val="20"/>
                <w:szCs w:val="20"/>
              </w:rPr>
            </w:pPr>
          </w:p>
          <w:p w14:paraId="02D10061" w14:textId="77777777" w:rsidR="00E76718" w:rsidRPr="00E76718" w:rsidRDefault="00E76718" w:rsidP="00E76718">
            <w:pPr>
              <w:spacing w:after="200" w:line="276" w:lineRule="auto"/>
              <w:rPr>
                <w:rFonts w:ascii="Verdana" w:hAnsi="Verdana"/>
                <w:sz w:val="20"/>
                <w:szCs w:val="20"/>
              </w:rPr>
            </w:pPr>
            <w:r w:rsidRPr="00E76718">
              <w:rPr>
                <w:rFonts w:ascii="Verdana" w:hAnsi="Verdana"/>
                <w:sz w:val="20"/>
                <w:szCs w:val="20"/>
              </w:rPr>
              <w:t>States party must adopt legislative or other necessary measures to make applicable to business corporations the crimes recognized in their domestic legislation.</w:t>
            </w:r>
          </w:p>
          <w:p w14:paraId="27083872" w14:textId="77777777" w:rsidR="00E76718" w:rsidRPr="00E76718" w:rsidRDefault="00E76718" w:rsidP="00E76718">
            <w:pPr>
              <w:spacing w:after="200" w:line="276" w:lineRule="auto"/>
              <w:rPr>
                <w:rFonts w:ascii="Verdana" w:hAnsi="Verdana"/>
                <w:sz w:val="20"/>
                <w:szCs w:val="20"/>
              </w:rPr>
            </w:pPr>
            <w:r w:rsidRPr="00E76718">
              <w:rPr>
                <w:rFonts w:ascii="Verdana" w:hAnsi="Verdana"/>
                <w:sz w:val="20"/>
                <w:szCs w:val="20"/>
              </w:rPr>
              <w:t>The criminal responsibility of the business corporation does not exclude the criminal responsibility of company directors, managers or employees for their own conduct that constitutes a crime under the present treaty. The criminal responsibility of the business corporation should be independent from the finding of individual criminal responsibility of one of its members.</w:t>
            </w:r>
          </w:p>
          <w:p w14:paraId="016A3188" w14:textId="77777777" w:rsidR="00E76718" w:rsidRPr="00E76718" w:rsidRDefault="00E76718" w:rsidP="00E76718">
            <w:pPr>
              <w:spacing w:after="200" w:line="276" w:lineRule="auto"/>
              <w:rPr>
                <w:rFonts w:ascii="Verdana" w:hAnsi="Verdana"/>
                <w:sz w:val="20"/>
                <w:szCs w:val="20"/>
              </w:rPr>
            </w:pPr>
            <w:r w:rsidRPr="00E76718">
              <w:rPr>
                <w:rFonts w:ascii="Verdana" w:hAnsi="Verdana"/>
                <w:sz w:val="20"/>
                <w:szCs w:val="20"/>
              </w:rPr>
              <w:t>Irrespective of whether they are directed against natural or legal persons, investigations should be adequate, thorough, impartial and independent, prompt, and contain an element of public scrutiny, including the effective participation of victims in the investigation. There is a duty to prosecute where the outcome of an investigation warrants this. Victims are entitled to request an effective official investigation, and any decision not to start an investigation, or to stay an investigation or prosecution should be sufficiently reasoned.</w:t>
            </w:r>
          </w:p>
          <w:p w14:paraId="61FAD6CA" w14:textId="77777777" w:rsidR="00E76718" w:rsidRPr="00E76718" w:rsidRDefault="00E76718" w:rsidP="00E76718">
            <w:pPr>
              <w:spacing w:after="200" w:line="276" w:lineRule="auto"/>
              <w:rPr>
                <w:rFonts w:ascii="Verdana" w:hAnsi="Verdana"/>
                <w:sz w:val="20"/>
                <w:szCs w:val="20"/>
              </w:rPr>
            </w:pPr>
            <w:r w:rsidRPr="00E76718">
              <w:rPr>
                <w:rFonts w:ascii="Verdana" w:hAnsi="Verdana"/>
                <w:sz w:val="20"/>
                <w:szCs w:val="20"/>
              </w:rPr>
              <w:t>States should adopt legislative and other measures to ensure that the legal persons found responsible for the commission of offences defined in the treaty shall be subject to effective, proportionate and dissuasive criminal or non-criminal sanctions, including monetary sanctions. A model law or appendix to the treaty may list the sanctions and penalties that can potentially be applied.</w:t>
            </w:r>
          </w:p>
          <w:p w14:paraId="6F0EFFEA" w14:textId="77777777" w:rsidR="00E76718" w:rsidRPr="00E76718" w:rsidRDefault="00E76718" w:rsidP="00E76718">
            <w:pPr>
              <w:spacing w:after="200" w:line="276" w:lineRule="auto"/>
              <w:rPr>
                <w:rFonts w:ascii="Verdana" w:hAnsi="Verdana"/>
                <w:sz w:val="20"/>
                <w:szCs w:val="20"/>
              </w:rPr>
            </w:pPr>
            <w:r w:rsidRPr="00E76718">
              <w:rPr>
                <w:rFonts w:ascii="Verdana" w:hAnsi="Verdana"/>
                <w:sz w:val="20"/>
                <w:szCs w:val="20"/>
              </w:rPr>
              <w:lastRenderedPageBreak/>
              <w:t>The treaty should also provide for States to adopt legislative and other measures to enable it to confiscate or otherwise deprive the instrumentalities and proceeds of criminal or other offences established in the treaty, or property the value of which corresponds to such proceeds.</w:t>
            </w:r>
          </w:p>
          <w:p w14:paraId="2D7C94F7" w14:textId="77777777" w:rsidR="00E76718" w:rsidRPr="00E76718" w:rsidRDefault="00E76718" w:rsidP="00E76718">
            <w:pPr>
              <w:spacing w:after="200" w:line="276" w:lineRule="auto"/>
              <w:rPr>
                <w:rFonts w:ascii="Verdana" w:hAnsi="Verdana"/>
                <w:sz w:val="20"/>
                <w:szCs w:val="20"/>
              </w:rPr>
            </w:pPr>
          </w:p>
        </w:tc>
      </w:tr>
    </w:tbl>
    <w:p w14:paraId="7F672C9B" w14:textId="77777777" w:rsidR="00E76718" w:rsidRPr="00E76718" w:rsidRDefault="00E76718" w:rsidP="00E76718">
      <w:pPr>
        <w:spacing w:after="200" w:line="276" w:lineRule="auto"/>
        <w:rPr>
          <w:rFonts w:ascii="Verdana" w:eastAsiaTheme="minorHAnsi" w:hAnsi="Verdana"/>
          <w:sz w:val="20"/>
          <w:szCs w:val="20"/>
          <w:lang w:val="en-GB"/>
        </w:rPr>
      </w:pPr>
    </w:p>
    <w:p w14:paraId="34271FE2" w14:textId="77777777" w:rsidR="00E76718" w:rsidRPr="00E76718" w:rsidRDefault="00E76718" w:rsidP="00E76718">
      <w:pPr>
        <w:spacing w:after="200" w:line="276" w:lineRule="auto"/>
        <w:rPr>
          <w:rFonts w:ascii="Verdana" w:eastAsiaTheme="minorHAnsi" w:hAnsi="Verdana"/>
          <w:sz w:val="20"/>
          <w:szCs w:val="20"/>
          <w:lang w:val="en-GB"/>
        </w:rPr>
      </w:pPr>
      <w:r w:rsidRPr="00E76718">
        <w:rPr>
          <w:rFonts w:ascii="Verdana" w:eastAsiaTheme="minorHAnsi" w:hAnsi="Verdana"/>
          <w:sz w:val="20"/>
          <w:szCs w:val="20"/>
          <w:lang w:val="en-GB"/>
        </w:rPr>
        <w:t>The doctrines on penalties and sanctions have developed mainly in relation to natural persons and States, with those corresponding to legal persons still largely underdeveloped. However, adequate, effective and proportional penalties play important functions in relation to those legal persons, in particular a dissuasive function. Sanctions and penalties have also a remedial function since part or all of the penalty may serve to repair the harm caused. Economic or monetary penalties are usually appropriate to target economic actors, but other sanctions such as temporary suspension, exclusion from economic or financial benefits or services provided by the government or the black-listing of the company can also be effective and dissuasive.</w:t>
      </w:r>
    </w:p>
    <w:p w14:paraId="5BFEF864" w14:textId="77777777" w:rsidR="00E76718" w:rsidRPr="00E76718" w:rsidRDefault="00E76718" w:rsidP="00E76718">
      <w:pPr>
        <w:spacing w:after="200" w:line="276" w:lineRule="auto"/>
        <w:rPr>
          <w:rFonts w:ascii="Verdana" w:eastAsiaTheme="minorHAnsi" w:hAnsi="Verdana"/>
          <w:i/>
          <w:sz w:val="20"/>
          <w:szCs w:val="20"/>
          <w:lang w:val="en-GB"/>
        </w:rPr>
      </w:pPr>
      <w:r w:rsidRPr="00E76718">
        <w:rPr>
          <w:rFonts w:ascii="Verdana" w:eastAsiaTheme="minorHAnsi" w:hAnsi="Verdana"/>
          <w:i/>
          <w:sz w:val="20"/>
          <w:szCs w:val="20"/>
          <w:lang w:val="en-GB"/>
        </w:rPr>
        <w:t>Civil liability for business enterprises</w:t>
      </w:r>
    </w:p>
    <w:p w14:paraId="5F8C059E" w14:textId="77777777" w:rsidR="00E76718" w:rsidRPr="00E76718" w:rsidRDefault="00E76718" w:rsidP="00E76718">
      <w:pPr>
        <w:spacing w:after="200" w:line="276" w:lineRule="auto"/>
        <w:rPr>
          <w:rFonts w:ascii="Verdana" w:eastAsiaTheme="minorHAnsi" w:hAnsi="Verdana"/>
          <w:sz w:val="20"/>
          <w:szCs w:val="20"/>
          <w:lang w:val="en-GB"/>
        </w:rPr>
      </w:pPr>
      <w:r w:rsidRPr="00E76718">
        <w:rPr>
          <w:rFonts w:ascii="Verdana" w:eastAsiaTheme="minorHAnsi" w:hAnsi="Verdana"/>
          <w:sz w:val="20"/>
          <w:szCs w:val="20"/>
          <w:lang w:val="en-GB"/>
        </w:rPr>
        <w:t>Laws providing for civil remedies are common to most legal systems in the world, and serve as significant tools to redress harm committed by legal persons.</w:t>
      </w:r>
      <w:r w:rsidRPr="00E76718">
        <w:rPr>
          <w:rFonts w:ascii="Verdana" w:eastAsiaTheme="minorHAnsi" w:hAnsi="Verdana"/>
          <w:sz w:val="20"/>
          <w:szCs w:val="20"/>
          <w:vertAlign w:val="superscript"/>
          <w:lang w:val="en-GB"/>
        </w:rPr>
        <w:footnoteReference w:id="5"/>
      </w:r>
      <w:r w:rsidRPr="00E76718">
        <w:rPr>
          <w:rFonts w:ascii="Verdana" w:eastAsiaTheme="minorHAnsi" w:hAnsi="Verdana"/>
          <w:sz w:val="20"/>
          <w:szCs w:val="20"/>
          <w:lang w:val="en-GB"/>
        </w:rPr>
        <w:t xml:space="preserve"> However, a number of substantive, procedural and practical obstacles often operate to undermine the potential of civil remedies as an effective avenue to hold companies legally responsible for the harm committed in their operations, problems that become especially acute when the harm is produced in the context of business transnational (cross-border operations). Several reports, including by the ICJ, have analysed the nature and import of those obstacles in detail.</w:t>
      </w:r>
      <w:r w:rsidRPr="00E76718">
        <w:rPr>
          <w:rFonts w:ascii="Verdana" w:eastAsiaTheme="minorHAnsi" w:hAnsi="Verdana"/>
          <w:sz w:val="20"/>
          <w:szCs w:val="20"/>
          <w:vertAlign w:val="superscript"/>
          <w:lang w:val="en-GB"/>
        </w:rPr>
        <w:footnoteReference w:id="6"/>
      </w:r>
      <w:r w:rsidRPr="00E76718">
        <w:rPr>
          <w:rFonts w:ascii="Verdana" w:eastAsiaTheme="minorHAnsi" w:hAnsi="Verdana"/>
          <w:sz w:val="20"/>
          <w:szCs w:val="20"/>
          <w:lang w:val="en-GB"/>
        </w:rPr>
        <w:t xml:space="preserve"> They range from limitations on the courts to exercise jurisdiction over subsidiaries, the use of doctrines such as </w:t>
      </w:r>
      <w:r w:rsidRPr="00E76718">
        <w:rPr>
          <w:rFonts w:ascii="Verdana" w:eastAsiaTheme="minorHAnsi" w:hAnsi="Verdana"/>
          <w:i/>
          <w:sz w:val="20"/>
          <w:szCs w:val="20"/>
          <w:lang w:val="en-GB"/>
        </w:rPr>
        <w:t xml:space="preserve">Forum non </w:t>
      </w:r>
      <w:proofErr w:type="spellStart"/>
      <w:r w:rsidRPr="00E76718">
        <w:rPr>
          <w:rFonts w:ascii="Verdana" w:eastAsiaTheme="minorHAnsi" w:hAnsi="Verdana"/>
          <w:i/>
          <w:sz w:val="20"/>
          <w:szCs w:val="20"/>
          <w:lang w:val="en-GB"/>
        </w:rPr>
        <w:t>conveniens</w:t>
      </w:r>
      <w:proofErr w:type="spellEnd"/>
      <w:r w:rsidRPr="00E76718">
        <w:rPr>
          <w:rFonts w:ascii="Verdana" w:eastAsiaTheme="minorHAnsi" w:hAnsi="Verdana"/>
          <w:sz w:val="20"/>
          <w:szCs w:val="20"/>
          <w:lang w:val="en-GB"/>
        </w:rPr>
        <w:t>, to the lack of clarity as to the substantive civil law that applies in cross-border cases and the conditions under which parent or controlling companies should bear responsibility when their subsidiaries or controlled company commits human rights abuse. All elements considered, there is a strong unbalance between rights and privileges granted to transnational business and the relatively weak regime of private law to be used in holding them accountable. For instance, proving the existence of negligence on the part of the parent company requires a number of elements that are difficult to obtain by the plaintiffs, accentuating their position of vulnerability vis-à-vis the company. While it may be challenging for the treaty negotiators to address all specific aspects pertaining to the operation of civil remedies in a transnational context, mostly dealt with by private international law, the prospective treaty can and must make a contribution to the potential use of private law as a means to redress human rights harm.</w:t>
      </w:r>
    </w:p>
    <w:p w14:paraId="19C070D1" w14:textId="77777777" w:rsidR="00E76718" w:rsidRPr="00E76718" w:rsidRDefault="00E76718" w:rsidP="00E76718">
      <w:pPr>
        <w:spacing w:after="200" w:line="276" w:lineRule="auto"/>
        <w:rPr>
          <w:rFonts w:ascii="Verdana" w:eastAsiaTheme="minorHAnsi" w:hAnsi="Verdana"/>
          <w:sz w:val="20"/>
          <w:szCs w:val="20"/>
          <w:lang w:val="en-GB"/>
        </w:rPr>
      </w:pPr>
    </w:p>
    <w:tbl>
      <w:tblPr>
        <w:tblStyle w:val="TableGrid"/>
        <w:tblW w:w="0" w:type="auto"/>
        <w:tblInd w:w="675" w:type="dxa"/>
        <w:tblLook w:val="04A0" w:firstRow="1" w:lastRow="0" w:firstColumn="1" w:lastColumn="0" w:noHBand="0" w:noVBand="1"/>
      </w:tblPr>
      <w:tblGrid>
        <w:gridCol w:w="7841"/>
      </w:tblGrid>
      <w:tr w:rsidR="00E76718" w:rsidRPr="00E76718" w14:paraId="4FCE3614" w14:textId="77777777" w:rsidTr="002E6E1D">
        <w:tc>
          <w:tcPr>
            <w:tcW w:w="8567" w:type="dxa"/>
          </w:tcPr>
          <w:p w14:paraId="06B4C36B" w14:textId="77777777" w:rsidR="00E76718" w:rsidRPr="00E76718" w:rsidRDefault="00E76718" w:rsidP="00E76718">
            <w:pPr>
              <w:spacing w:after="200" w:line="276" w:lineRule="auto"/>
              <w:rPr>
                <w:rFonts w:ascii="Verdana" w:hAnsi="Verdana"/>
                <w:sz w:val="20"/>
                <w:szCs w:val="20"/>
              </w:rPr>
            </w:pPr>
          </w:p>
          <w:p w14:paraId="5FB989E7" w14:textId="77777777" w:rsidR="00E76718" w:rsidRPr="00E76718" w:rsidRDefault="00E76718" w:rsidP="00E76718">
            <w:pPr>
              <w:spacing w:after="200" w:line="276" w:lineRule="auto"/>
              <w:rPr>
                <w:rFonts w:ascii="Verdana" w:hAnsi="Verdana"/>
                <w:sz w:val="20"/>
                <w:szCs w:val="20"/>
              </w:rPr>
            </w:pPr>
            <w:r w:rsidRPr="00E76718">
              <w:rPr>
                <w:rFonts w:ascii="Verdana" w:hAnsi="Verdana"/>
                <w:sz w:val="20"/>
                <w:szCs w:val="20"/>
              </w:rPr>
              <w:t>States party should adopt legal or other necessary measures to establish the civil responsibility of the business enterprise for their conduct that results in harm to rights guaranteed under their international obligations and rights recognized under domestic law.</w:t>
            </w:r>
          </w:p>
          <w:p w14:paraId="6BEC5F4C" w14:textId="77777777" w:rsidR="00E76718" w:rsidRPr="00E76718" w:rsidRDefault="00E76718" w:rsidP="00E76718">
            <w:pPr>
              <w:spacing w:after="200" w:line="276" w:lineRule="auto"/>
              <w:rPr>
                <w:rFonts w:ascii="Verdana" w:hAnsi="Verdana"/>
                <w:sz w:val="20"/>
                <w:szCs w:val="20"/>
              </w:rPr>
            </w:pPr>
            <w:r w:rsidRPr="00E76718">
              <w:rPr>
                <w:rFonts w:ascii="Verdana" w:hAnsi="Verdana"/>
                <w:sz w:val="20"/>
                <w:szCs w:val="20"/>
              </w:rPr>
              <w:t>Business enterprises that have entered into commercial contracts with the State should not be allowed to invoke state immunities or privileges as shields against civil legal liability.</w:t>
            </w:r>
          </w:p>
          <w:p w14:paraId="6610D487" w14:textId="77777777" w:rsidR="00E76718" w:rsidRPr="00E76718" w:rsidRDefault="00E76718" w:rsidP="00E76718">
            <w:pPr>
              <w:spacing w:after="200" w:line="276" w:lineRule="auto"/>
              <w:rPr>
                <w:rFonts w:ascii="Verdana" w:hAnsi="Verdana"/>
                <w:sz w:val="20"/>
                <w:szCs w:val="20"/>
              </w:rPr>
            </w:pPr>
            <w:r w:rsidRPr="00E76718">
              <w:rPr>
                <w:rFonts w:ascii="Verdana" w:hAnsi="Verdana"/>
                <w:sz w:val="20"/>
                <w:szCs w:val="20"/>
              </w:rPr>
              <w:t>The law of civil remedies should contemplate more use of strict liability regimes, where the harm is serious, the company carries out hazardous operations and the societal value to protect is especially important with a view to afford a stronger guarantee of redress to the victim of harm.</w:t>
            </w:r>
          </w:p>
          <w:p w14:paraId="2EB62ADE" w14:textId="77777777" w:rsidR="00E76718" w:rsidRPr="00E76718" w:rsidRDefault="00E76718" w:rsidP="00E76718">
            <w:pPr>
              <w:spacing w:after="200" w:line="276" w:lineRule="auto"/>
              <w:rPr>
                <w:rFonts w:ascii="Verdana" w:hAnsi="Verdana"/>
                <w:sz w:val="20"/>
                <w:szCs w:val="20"/>
              </w:rPr>
            </w:pPr>
            <w:r w:rsidRPr="00E76718">
              <w:rPr>
                <w:rFonts w:ascii="Verdana" w:hAnsi="Verdana"/>
                <w:sz w:val="20"/>
                <w:szCs w:val="20"/>
              </w:rPr>
              <w:t>Civil responsibility of the business enterprise should be separate and independent from the civil liability of individual members or employees of the company, who themselves may also be held individually liable.</w:t>
            </w:r>
          </w:p>
          <w:p w14:paraId="1D9748BD" w14:textId="77777777" w:rsidR="00E76718" w:rsidRPr="00E76718" w:rsidRDefault="00E76718" w:rsidP="00E76718">
            <w:pPr>
              <w:spacing w:after="200" w:line="276" w:lineRule="auto"/>
              <w:rPr>
                <w:rFonts w:ascii="Verdana" w:hAnsi="Verdana"/>
                <w:sz w:val="20"/>
                <w:szCs w:val="20"/>
              </w:rPr>
            </w:pPr>
            <w:r w:rsidRPr="00E76718">
              <w:rPr>
                <w:rFonts w:ascii="Verdana" w:hAnsi="Verdana"/>
                <w:sz w:val="20"/>
                <w:szCs w:val="20"/>
              </w:rPr>
              <w:t>Civil liability of the business enterprise should not be made contingent upon the finding of criminal responsibility or its functional equivalent of the same actor.</w:t>
            </w:r>
          </w:p>
        </w:tc>
      </w:tr>
    </w:tbl>
    <w:p w14:paraId="34FD78AE" w14:textId="77777777" w:rsidR="00E76718" w:rsidRPr="00E76718" w:rsidRDefault="00E76718" w:rsidP="00E76718">
      <w:pPr>
        <w:spacing w:after="200" w:line="276" w:lineRule="auto"/>
        <w:rPr>
          <w:rFonts w:ascii="Verdana" w:eastAsiaTheme="minorHAnsi" w:hAnsi="Verdana"/>
          <w:sz w:val="20"/>
          <w:szCs w:val="20"/>
          <w:lang w:val="en-GB"/>
        </w:rPr>
      </w:pPr>
    </w:p>
    <w:p w14:paraId="7B0B75C3" w14:textId="77777777" w:rsidR="00E76718" w:rsidRPr="00E76718" w:rsidRDefault="00E76718" w:rsidP="00E76718">
      <w:pPr>
        <w:spacing w:after="200" w:line="276" w:lineRule="auto"/>
        <w:rPr>
          <w:rFonts w:ascii="Verdana" w:eastAsiaTheme="minorHAnsi" w:hAnsi="Verdana"/>
          <w:sz w:val="20"/>
          <w:szCs w:val="20"/>
          <w:lang w:val="en-GB"/>
        </w:rPr>
      </w:pPr>
      <w:r w:rsidRPr="00E76718">
        <w:rPr>
          <w:rFonts w:ascii="Verdana" w:eastAsiaTheme="minorHAnsi" w:hAnsi="Verdana"/>
          <w:sz w:val="20"/>
          <w:szCs w:val="20"/>
          <w:lang w:val="en-GB"/>
        </w:rPr>
        <w:t>These elements should enhance the protective function of the law of civil remedies in respect to the broad range of potential human rights abuses by business enterprises, and provide causes of action to the victims of harm relating to the same rights. They find support in recommendations made in OHCHR Guidance, Policy Objective 12.1, 12.6 and 12.7. Further, the Council of Europe also recommends that human rights abuses by business enterprises give rise to civil liability under respective laws (rec. 32), and that business enterprises that are owned, controlled or otherwise have entered into commercial contracts with States to provide public services should refrain from invoking immunities to be sued in court.</w:t>
      </w:r>
      <w:r w:rsidRPr="00E76718">
        <w:rPr>
          <w:rFonts w:ascii="Verdana" w:eastAsiaTheme="minorHAnsi" w:hAnsi="Verdana"/>
          <w:sz w:val="20"/>
          <w:szCs w:val="20"/>
          <w:vertAlign w:val="superscript"/>
          <w:lang w:val="en-GB"/>
        </w:rPr>
        <w:footnoteReference w:id="7"/>
      </w:r>
    </w:p>
    <w:p w14:paraId="01B1AFC8" w14:textId="77777777" w:rsidR="00E76718" w:rsidRPr="00E76718" w:rsidRDefault="00E76718" w:rsidP="00E76718">
      <w:pPr>
        <w:spacing w:after="200" w:line="276" w:lineRule="auto"/>
        <w:rPr>
          <w:rFonts w:ascii="Verdana" w:eastAsiaTheme="minorHAnsi" w:hAnsi="Verdana"/>
          <w:i/>
          <w:sz w:val="20"/>
          <w:szCs w:val="20"/>
          <w:lang w:val="en-GB"/>
        </w:rPr>
      </w:pPr>
      <w:r w:rsidRPr="00E76718">
        <w:rPr>
          <w:rFonts w:ascii="Verdana" w:eastAsiaTheme="minorHAnsi" w:hAnsi="Verdana"/>
          <w:i/>
          <w:sz w:val="20"/>
          <w:szCs w:val="20"/>
          <w:lang w:val="en-GB"/>
        </w:rPr>
        <w:t>Other public law tools establishing legal liability of business enterprises</w:t>
      </w:r>
    </w:p>
    <w:p w14:paraId="18B13B8A" w14:textId="4C3D2A69" w:rsidR="00E76718" w:rsidRPr="00E76718" w:rsidRDefault="00E76718" w:rsidP="00E76718">
      <w:pPr>
        <w:spacing w:after="200" w:line="276" w:lineRule="auto"/>
        <w:rPr>
          <w:rFonts w:eastAsiaTheme="minorHAnsi"/>
          <w:sz w:val="22"/>
          <w:szCs w:val="22"/>
          <w:lang w:val="en-GB"/>
        </w:rPr>
      </w:pPr>
      <w:r w:rsidRPr="00E76718">
        <w:rPr>
          <w:rFonts w:ascii="Verdana" w:eastAsiaTheme="minorHAnsi" w:hAnsi="Verdana"/>
          <w:sz w:val="20"/>
          <w:szCs w:val="20"/>
          <w:lang w:val="en-GB"/>
        </w:rPr>
        <w:t xml:space="preserve">Specific laws on consumer protection, environmental harm, employment relations also generally establish grounds of legal liability for corporate bodies, which similar to the law of civil remedies may also fulfil the function of protecting rights without using the term explicitly. Many offences under these special areas are </w:t>
      </w:r>
      <w:r w:rsidR="00356050">
        <w:rPr>
          <w:rFonts w:ascii="Verdana" w:eastAsiaTheme="minorHAnsi" w:hAnsi="Verdana"/>
          <w:sz w:val="20"/>
          <w:szCs w:val="20"/>
          <w:lang w:val="en-GB"/>
        </w:rPr>
        <w:t>generally</w:t>
      </w:r>
      <w:r w:rsidRPr="00E76718">
        <w:rPr>
          <w:rFonts w:ascii="Verdana" w:eastAsiaTheme="minorHAnsi" w:hAnsi="Verdana"/>
          <w:sz w:val="20"/>
          <w:szCs w:val="20"/>
          <w:lang w:val="en-GB"/>
        </w:rPr>
        <w:t xml:space="preserve"> dealt with through administrative procedures that may end with the imposition of administrative sanctions that typically include suspension of operations or licenses, cancellation, fines or eventually blacklisting. The sanctions are based on the breach of regulatory requirements and procedures (i.e. consultation with local communities, impact assessments, </w:t>
      </w:r>
      <w:proofErr w:type="spellStart"/>
      <w:r w:rsidRPr="00E76718">
        <w:rPr>
          <w:rFonts w:ascii="Verdana" w:eastAsiaTheme="minorHAnsi" w:hAnsi="Verdana"/>
          <w:sz w:val="20"/>
          <w:szCs w:val="20"/>
          <w:lang w:val="en-GB"/>
        </w:rPr>
        <w:t>etc</w:t>
      </w:r>
      <w:proofErr w:type="spellEnd"/>
      <w:r w:rsidRPr="00E76718">
        <w:rPr>
          <w:rFonts w:ascii="Verdana" w:eastAsiaTheme="minorHAnsi" w:hAnsi="Verdana"/>
          <w:sz w:val="20"/>
          <w:szCs w:val="20"/>
          <w:lang w:val="en-GB"/>
        </w:rPr>
        <w:t>).</w:t>
      </w:r>
    </w:p>
    <w:p w14:paraId="6245D33B" w14:textId="77777777" w:rsidR="001E0506" w:rsidRDefault="001E0506"/>
    <w:sectPr w:rsidR="001E0506" w:rsidSect="00EC6B50">
      <w:footnotePr>
        <w:numStart w:val="44"/>
      </w:foot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81EB6" w14:textId="77777777" w:rsidR="00907ACB" w:rsidRDefault="00907ACB" w:rsidP="00E76718">
      <w:r>
        <w:separator/>
      </w:r>
    </w:p>
  </w:endnote>
  <w:endnote w:type="continuationSeparator" w:id="0">
    <w:p w14:paraId="2CE2470E" w14:textId="77777777" w:rsidR="00907ACB" w:rsidRDefault="00907ACB" w:rsidP="00E7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B653F" w14:textId="77777777" w:rsidR="00907ACB" w:rsidRDefault="00907ACB" w:rsidP="00E76718">
      <w:r>
        <w:separator/>
      </w:r>
    </w:p>
  </w:footnote>
  <w:footnote w:type="continuationSeparator" w:id="0">
    <w:p w14:paraId="3C336F3F" w14:textId="77777777" w:rsidR="00907ACB" w:rsidRDefault="00907ACB" w:rsidP="00E76718">
      <w:r>
        <w:continuationSeparator/>
      </w:r>
    </w:p>
  </w:footnote>
  <w:footnote w:id="1">
    <w:p w14:paraId="2D854FFD" w14:textId="13A42A96" w:rsidR="00E76718" w:rsidRPr="001E4206" w:rsidRDefault="004B5591" w:rsidP="00E76718">
      <w:pPr>
        <w:pStyle w:val="FootnoteText"/>
        <w:jc w:val="both"/>
        <w:rPr>
          <w:rFonts w:ascii="Verdana" w:hAnsi="Verdana"/>
          <w:sz w:val="18"/>
          <w:szCs w:val="18"/>
        </w:rPr>
      </w:pPr>
      <w:r>
        <w:rPr>
          <w:rStyle w:val="FootnoteReference"/>
        </w:rPr>
        <w:footnoteRef/>
      </w:r>
      <w:r w:rsidR="00E76718" w:rsidRPr="001E4206">
        <w:rPr>
          <w:rFonts w:ascii="Verdana" w:hAnsi="Verdana"/>
          <w:sz w:val="18"/>
          <w:szCs w:val="18"/>
        </w:rPr>
        <w:t xml:space="preserve"> </w:t>
      </w:r>
      <w:r w:rsidR="00E76718" w:rsidRPr="001E4206">
        <w:rPr>
          <w:rFonts w:ascii="Verdana" w:hAnsi="Verdana"/>
          <w:i/>
          <w:sz w:val="18"/>
          <w:szCs w:val="18"/>
        </w:rPr>
        <w:t>Liability of Legal persons for offences in the EU</w:t>
      </w:r>
      <w:r w:rsidR="00E76718" w:rsidRPr="001E4206">
        <w:rPr>
          <w:rFonts w:ascii="Verdana" w:hAnsi="Verdana"/>
          <w:sz w:val="18"/>
          <w:szCs w:val="18"/>
        </w:rPr>
        <w:t xml:space="preserve">, G. </w:t>
      </w:r>
      <w:proofErr w:type="spellStart"/>
      <w:r w:rsidR="00E76718" w:rsidRPr="001E4206">
        <w:rPr>
          <w:rFonts w:ascii="Verdana" w:hAnsi="Verdana"/>
          <w:sz w:val="18"/>
          <w:szCs w:val="18"/>
        </w:rPr>
        <w:t>Vermeulen</w:t>
      </w:r>
      <w:proofErr w:type="spellEnd"/>
      <w:r w:rsidR="00E76718" w:rsidRPr="001E4206">
        <w:rPr>
          <w:rFonts w:ascii="Verdana" w:hAnsi="Verdana"/>
          <w:sz w:val="18"/>
          <w:szCs w:val="18"/>
        </w:rPr>
        <w:t xml:space="preserve">, W. De </w:t>
      </w:r>
      <w:proofErr w:type="spellStart"/>
      <w:r w:rsidR="00E76718" w:rsidRPr="001E4206">
        <w:rPr>
          <w:rFonts w:ascii="Verdana" w:hAnsi="Verdana"/>
          <w:sz w:val="18"/>
          <w:szCs w:val="18"/>
        </w:rPr>
        <w:t>Bondt</w:t>
      </w:r>
      <w:proofErr w:type="spellEnd"/>
      <w:r w:rsidR="00E76718" w:rsidRPr="001E4206">
        <w:rPr>
          <w:rFonts w:ascii="Verdana" w:hAnsi="Verdana"/>
          <w:sz w:val="18"/>
          <w:szCs w:val="18"/>
        </w:rPr>
        <w:t xml:space="preserve">, Ch. </w:t>
      </w:r>
      <w:proofErr w:type="spellStart"/>
      <w:r w:rsidR="00E76718" w:rsidRPr="001E4206">
        <w:rPr>
          <w:rFonts w:ascii="Verdana" w:hAnsi="Verdana"/>
          <w:sz w:val="18"/>
          <w:szCs w:val="18"/>
        </w:rPr>
        <w:t>Ryckman</w:t>
      </w:r>
      <w:proofErr w:type="spellEnd"/>
      <w:r w:rsidR="00E76718" w:rsidRPr="001E4206">
        <w:rPr>
          <w:rFonts w:ascii="Verdana" w:hAnsi="Verdana"/>
          <w:sz w:val="18"/>
          <w:szCs w:val="18"/>
        </w:rPr>
        <w:t xml:space="preserve">, IRCP- Series, Vol. 44, </w:t>
      </w:r>
      <w:proofErr w:type="spellStart"/>
      <w:r w:rsidR="00E76718" w:rsidRPr="001E4206">
        <w:rPr>
          <w:rFonts w:ascii="Verdana" w:hAnsi="Verdana"/>
          <w:sz w:val="18"/>
          <w:szCs w:val="18"/>
        </w:rPr>
        <w:t>Antwerpen</w:t>
      </w:r>
      <w:proofErr w:type="spellEnd"/>
      <w:r w:rsidR="00E76718" w:rsidRPr="001E4206">
        <w:rPr>
          <w:rFonts w:ascii="Verdana" w:hAnsi="Verdana"/>
          <w:sz w:val="18"/>
          <w:szCs w:val="18"/>
        </w:rPr>
        <w:t>, 2012- p. 79 and ff.</w:t>
      </w:r>
    </w:p>
  </w:footnote>
  <w:footnote w:id="2">
    <w:p w14:paraId="6E5A68E3" w14:textId="77777777" w:rsidR="00E76718" w:rsidRPr="001E4206" w:rsidRDefault="00E76718" w:rsidP="00E76718">
      <w:pPr>
        <w:pStyle w:val="FootnoteText"/>
        <w:jc w:val="both"/>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Ibid. p. 83</w:t>
      </w:r>
    </w:p>
  </w:footnote>
  <w:footnote w:id="3">
    <w:p w14:paraId="1D76AD59" w14:textId="77777777" w:rsidR="00E76718" w:rsidRPr="001E4206" w:rsidRDefault="00E76718" w:rsidP="00E76718">
      <w:pPr>
        <w:pStyle w:val="FootnoteText"/>
        <w:jc w:val="both"/>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Wells, Celia, “Corporate Liability Principles” paper for the ICJ Panel on Corporate Complicity (on file); Stewart, James G. Corporate war crimes, Open Society Justice Initiative, 2012.</w:t>
      </w:r>
    </w:p>
  </w:footnote>
  <w:footnote w:id="4">
    <w:p w14:paraId="6CE503EC" w14:textId="77777777" w:rsidR="00E76718" w:rsidRPr="001E4206" w:rsidRDefault="00E76718" w:rsidP="00E76718">
      <w:pPr>
        <w:pStyle w:val="FootnoteText"/>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See, for instance, Convention against Torture and other cruel, inhuman or degrading treatment or punishment (Art. 4); International Convention for the Protection of All Persons from Enforced Disappearance (Arts. 7 and 25); Optional Protocol to the Convention on the Rights of the Child on the sale of children, child prostitution and child pornography (Art. 3); Optional Protocol to the Convention on the Rights of the Child on the involvement of children in armed conflict (Art. 4); Protocol to Prevent, Suppress and Punish Trafficking in Persons, especially Women and Children, supplementing the United Nations Convention against Transnational Organized Crime (Art. 5); Inter-American Convention to Prevent and Punish Torture (Art. 6); Inter-American Convention on Forced Disappearance of Persons (Art. III); and Inter -American Convention on the Prevention, Punishment and Eradication of Violence against Women (Art. 7). See also: Principles on the Effective Prevention and Investigation of Extra-Legal, Arbitrary and Summary Executions (Principle 1); Declaration on the Elimination of Violence against Women (Art. 4); Declaration on the Protection of All Persons from Enforced Disappearance (Art. 4); Declaration on the Protection of All Persons from Being Subjected to Torture and Other Cruel, Inhuman or Degrading Treatment or Punishment (Art. 7); Basic Principles on the Use of Force and Firearms by Law Enforcement Officials (Principle 7). The UN Human Rights Committee has affirmed in its General Comment 31 that for certain obligations under the ICCPR there is an obligation for States to criminalize, at the very least, conducted amounting a violation of the right to life (</w:t>
      </w:r>
      <w:proofErr w:type="spellStart"/>
      <w:r w:rsidRPr="001E4206">
        <w:rPr>
          <w:rFonts w:ascii="Verdana" w:hAnsi="Verdana"/>
          <w:sz w:val="18"/>
          <w:szCs w:val="18"/>
        </w:rPr>
        <w:t>eg</w:t>
      </w:r>
      <w:proofErr w:type="spellEnd"/>
      <w:r w:rsidRPr="001E4206">
        <w:rPr>
          <w:rFonts w:ascii="Verdana" w:hAnsi="Verdana"/>
          <w:sz w:val="18"/>
          <w:szCs w:val="18"/>
        </w:rPr>
        <w:t xml:space="preserve">, extrajudicial executions), torture and cruel, inhuman or degrading treatment or punishment and enforced. See Human Rights Committee General Comment 31: The nature of the General Legal Obligation Imposed on States Parties to the Covenant, adopted 29 March 2004, para 18; Human Rights Council, Basic Principles and Guidelines on Development based Evictions and Displacement, Annex 1 of the report of the Special Rapporteur on adequate housing as a component of the right to an adequate standard of living, UN Document No. A/HRC/4/18. Online Version: </w:t>
      </w:r>
      <w:hyperlink r:id="rId1" w:history="1">
        <w:r w:rsidRPr="001E4206">
          <w:rPr>
            <w:rStyle w:val="Hyperlink"/>
            <w:rFonts w:ascii="Verdana" w:hAnsi="Verdana"/>
            <w:sz w:val="18"/>
            <w:szCs w:val="18"/>
          </w:rPr>
          <w:t>http://www.ohchr.org/Documents/Issues/Housing/Guidelines_en.pdf</w:t>
        </w:r>
      </w:hyperlink>
      <w:r w:rsidRPr="001E4206">
        <w:rPr>
          <w:rFonts w:ascii="Verdana" w:hAnsi="Verdana"/>
          <w:sz w:val="18"/>
          <w:szCs w:val="18"/>
        </w:rPr>
        <w:t xml:space="preserve">; UN Basic Principles and Guidelines on the Rights to a Remedy and Reparation for Victims of Gross Violations of International Human Rights Law and Serious Violations of International Humanitarian Law </w:t>
      </w:r>
      <w:r w:rsidRPr="001E4206">
        <w:rPr>
          <w:rFonts w:ascii="Verdana" w:hAnsi="Verdana"/>
          <w:bCs/>
          <w:sz w:val="18"/>
          <w:szCs w:val="18"/>
        </w:rPr>
        <w:t xml:space="preserve">(UN Principles and Guidelines on Reparation), adopted by GA Resolution 60/147 of 16 December 2005, </w:t>
      </w:r>
      <w:r w:rsidRPr="001E4206">
        <w:rPr>
          <w:rFonts w:ascii="Verdana" w:hAnsi="Verdana"/>
          <w:sz w:val="18"/>
          <w:szCs w:val="18"/>
        </w:rPr>
        <w:t xml:space="preserve">UN Set of Principles for the Protection and Promotion of Human Rights through action to Combat Impunity </w:t>
      </w:r>
      <w:r w:rsidRPr="001E4206">
        <w:rPr>
          <w:rFonts w:ascii="Verdana" w:hAnsi="Verdana"/>
          <w:bCs/>
          <w:sz w:val="18"/>
          <w:szCs w:val="18"/>
        </w:rPr>
        <w:t xml:space="preserve">(UN Impunity Principles), recommended by UN Commission on Human Rights resolution 2005/81 of 21 April 2005; </w:t>
      </w:r>
      <w:r w:rsidRPr="001E4206">
        <w:rPr>
          <w:rFonts w:ascii="Verdana" w:hAnsi="Verdana"/>
          <w:sz w:val="18"/>
          <w:szCs w:val="18"/>
        </w:rPr>
        <w:t xml:space="preserve">Guidelines adopted by the Committee of Ministers on 30 March 2011 at the 1110th meeting of the Ministers’ Deputies, available at </w:t>
      </w:r>
      <w:hyperlink r:id="rId2" w:history="1">
        <w:r w:rsidRPr="001E4206">
          <w:rPr>
            <w:rStyle w:val="Hyperlink"/>
            <w:rFonts w:ascii="Verdana" w:hAnsi="Verdana"/>
            <w:sz w:val="18"/>
            <w:szCs w:val="18"/>
          </w:rPr>
          <w:t>http://www.coe.int/t/dgi/publications/others/h-inf_2011_7en.pdf</w:t>
        </w:r>
      </w:hyperlink>
    </w:p>
    <w:p w14:paraId="28D477B6" w14:textId="77777777" w:rsidR="00E76718" w:rsidRPr="001E4206" w:rsidRDefault="00E76718" w:rsidP="00E76718">
      <w:pPr>
        <w:pStyle w:val="FootnoteText"/>
        <w:rPr>
          <w:rFonts w:ascii="Verdana" w:hAnsi="Verdana"/>
          <w:sz w:val="18"/>
          <w:szCs w:val="18"/>
        </w:rPr>
      </w:pPr>
    </w:p>
  </w:footnote>
  <w:footnote w:id="5">
    <w:p w14:paraId="7A014812" w14:textId="77777777" w:rsidR="00E76718" w:rsidRPr="001E4206" w:rsidRDefault="00E76718" w:rsidP="00E76718">
      <w:pPr>
        <w:pStyle w:val="FootnoteText"/>
        <w:jc w:val="both"/>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Corporate Complicity &amp; Legal Accountability, Report of the ICJ Panel of Legal Experts, 3 </w:t>
      </w:r>
      <w:proofErr w:type="spellStart"/>
      <w:r w:rsidRPr="001E4206">
        <w:rPr>
          <w:rFonts w:ascii="Verdana" w:hAnsi="Verdana"/>
          <w:sz w:val="18"/>
          <w:szCs w:val="18"/>
        </w:rPr>
        <w:t>vols</w:t>
      </w:r>
      <w:proofErr w:type="spellEnd"/>
      <w:r w:rsidRPr="001E4206">
        <w:rPr>
          <w:rFonts w:ascii="Verdana" w:hAnsi="Verdana"/>
          <w:sz w:val="18"/>
          <w:szCs w:val="18"/>
        </w:rPr>
        <w:t xml:space="preserve">, Geneva, 2008, vol. 3 Civil Remedies </w:t>
      </w:r>
    </w:p>
  </w:footnote>
  <w:footnote w:id="6">
    <w:p w14:paraId="1E36DB45" w14:textId="77777777" w:rsidR="00E76718" w:rsidRPr="001E4206" w:rsidRDefault="00E76718" w:rsidP="00E76718">
      <w:pPr>
        <w:pStyle w:val="FootnoteText"/>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ICJ, Needs and Options, Op </w:t>
      </w:r>
      <w:proofErr w:type="spellStart"/>
      <w:r w:rsidRPr="001E4206">
        <w:rPr>
          <w:rFonts w:ascii="Verdana" w:hAnsi="Verdana"/>
          <w:sz w:val="18"/>
          <w:szCs w:val="18"/>
        </w:rPr>
        <w:t>cit</w:t>
      </w:r>
      <w:proofErr w:type="spellEnd"/>
      <w:r w:rsidRPr="001E4206">
        <w:rPr>
          <w:rFonts w:ascii="Verdana" w:hAnsi="Verdana"/>
          <w:sz w:val="18"/>
          <w:szCs w:val="18"/>
        </w:rPr>
        <w:t xml:space="preserve"> note 3; Skinner; </w:t>
      </w:r>
      <w:proofErr w:type="spellStart"/>
      <w:r w:rsidRPr="001E4206">
        <w:rPr>
          <w:rFonts w:ascii="Verdana" w:hAnsi="Verdana"/>
          <w:sz w:val="18"/>
          <w:szCs w:val="18"/>
        </w:rPr>
        <w:t>M</w:t>
      </w:r>
      <w:r>
        <w:rPr>
          <w:rFonts w:ascii="Verdana" w:hAnsi="Verdana"/>
          <w:sz w:val="18"/>
          <w:szCs w:val="18"/>
        </w:rPr>
        <w:t>c</w:t>
      </w:r>
      <w:r w:rsidRPr="001E4206">
        <w:rPr>
          <w:rFonts w:ascii="Verdana" w:hAnsi="Verdana"/>
          <w:sz w:val="18"/>
          <w:szCs w:val="18"/>
        </w:rPr>
        <w:t>Coquordale</w:t>
      </w:r>
      <w:proofErr w:type="spellEnd"/>
      <w:r w:rsidRPr="001E4206">
        <w:rPr>
          <w:rFonts w:ascii="Verdana" w:hAnsi="Verdana"/>
          <w:sz w:val="18"/>
          <w:szCs w:val="18"/>
        </w:rPr>
        <w:t xml:space="preserve"> and De </w:t>
      </w:r>
      <w:proofErr w:type="spellStart"/>
      <w:r w:rsidRPr="001E4206">
        <w:rPr>
          <w:rFonts w:ascii="Verdana" w:hAnsi="Verdana"/>
          <w:sz w:val="18"/>
          <w:szCs w:val="18"/>
        </w:rPr>
        <w:t>Schutter</w:t>
      </w:r>
      <w:proofErr w:type="spellEnd"/>
      <w:r w:rsidRPr="001E4206">
        <w:rPr>
          <w:rFonts w:ascii="Verdana" w:hAnsi="Verdana"/>
          <w:sz w:val="18"/>
          <w:szCs w:val="18"/>
        </w:rPr>
        <w:t xml:space="preserve">, Op </w:t>
      </w:r>
      <w:proofErr w:type="spellStart"/>
      <w:r w:rsidRPr="001E4206">
        <w:rPr>
          <w:rFonts w:ascii="Verdana" w:hAnsi="Verdana"/>
          <w:sz w:val="18"/>
          <w:szCs w:val="18"/>
        </w:rPr>
        <w:t>Cit</w:t>
      </w:r>
      <w:proofErr w:type="spellEnd"/>
      <w:r w:rsidRPr="001E4206">
        <w:rPr>
          <w:rFonts w:ascii="Verdana" w:hAnsi="Verdana"/>
          <w:sz w:val="18"/>
          <w:szCs w:val="18"/>
        </w:rPr>
        <w:t xml:space="preserve"> note 21; Human Rights in Business Project, Op </w:t>
      </w:r>
      <w:proofErr w:type="spellStart"/>
      <w:r w:rsidRPr="001E4206">
        <w:rPr>
          <w:rFonts w:ascii="Verdana" w:hAnsi="Verdana"/>
          <w:sz w:val="18"/>
          <w:szCs w:val="18"/>
        </w:rPr>
        <w:t>cit</w:t>
      </w:r>
      <w:proofErr w:type="spellEnd"/>
      <w:r w:rsidRPr="001E4206">
        <w:rPr>
          <w:rFonts w:ascii="Verdana" w:hAnsi="Verdana"/>
          <w:sz w:val="18"/>
          <w:szCs w:val="18"/>
        </w:rPr>
        <w:t xml:space="preserve"> note 34</w:t>
      </w:r>
    </w:p>
  </w:footnote>
  <w:footnote w:id="7">
    <w:p w14:paraId="39869BF1" w14:textId="77777777" w:rsidR="00E76718" w:rsidRPr="001E4206" w:rsidRDefault="00E76718" w:rsidP="00E76718">
      <w:pPr>
        <w:pStyle w:val="FootnoteText"/>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OHCHR Guidance, Policy Objective 12; Council of Europe Recommendation 2016/3, at 32 and 37</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0036A"/>
    <w:multiLevelType w:val="hybridMultilevel"/>
    <w:tmpl w:val="4FA2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Start w:val="44"/>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718"/>
    <w:rsid w:val="00084644"/>
    <w:rsid w:val="001E0506"/>
    <w:rsid w:val="00356050"/>
    <w:rsid w:val="004B5591"/>
    <w:rsid w:val="00907ACB"/>
    <w:rsid w:val="0099014E"/>
    <w:rsid w:val="00A85609"/>
    <w:rsid w:val="00E76718"/>
    <w:rsid w:val="00EC6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DD9E2"/>
  <w14:defaultImageDpi w14:val="300"/>
  <w15:docId w15:val="{84AD4372-76C2-4F73-A19D-192DA69E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76718"/>
  </w:style>
  <w:style w:type="character" w:customStyle="1" w:styleId="FootnoteTextChar">
    <w:name w:val="Footnote Text Char"/>
    <w:basedOn w:val="DefaultParagraphFont"/>
    <w:link w:val="FootnoteText"/>
    <w:uiPriority w:val="99"/>
    <w:rsid w:val="00E76718"/>
  </w:style>
  <w:style w:type="character" w:styleId="FootnoteReference">
    <w:name w:val="footnote reference"/>
    <w:aliases w:val="4_G"/>
    <w:basedOn w:val="DefaultParagraphFont"/>
    <w:uiPriority w:val="99"/>
    <w:unhideWhenUsed/>
    <w:rsid w:val="00E76718"/>
    <w:rPr>
      <w:vertAlign w:val="superscript"/>
    </w:rPr>
  </w:style>
  <w:style w:type="character" w:styleId="Hyperlink">
    <w:name w:val="Hyperlink"/>
    <w:basedOn w:val="DefaultParagraphFont"/>
    <w:uiPriority w:val="99"/>
    <w:unhideWhenUsed/>
    <w:rsid w:val="00E76718"/>
    <w:rPr>
      <w:color w:val="0000FF" w:themeColor="hyperlink"/>
      <w:u w:val="single"/>
    </w:rPr>
  </w:style>
  <w:style w:type="table" w:styleId="TableGrid">
    <w:name w:val="Table Grid"/>
    <w:basedOn w:val="TableNormal"/>
    <w:uiPriority w:val="59"/>
    <w:rsid w:val="00E76718"/>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2" Type="http://schemas.openxmlformats.org/officeDocument/2006/relationships/hyperlink" Target="http://www.coe.int/t/dgi/publications/others/h-inf_2011_7en.pdf" TargetMode="External"/><Relationship Id="rId1" Type="http://schemas.openxmlformats.org/officeDocument/2006/relationships/hyperlink" Target="http://www.ohchr.org/Documents/Issues/Housing/Guideline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AF748A-7F9A-4FE5-B090-A2FBDB408626}"/>
</file>

<file path=customXml/itemProps2.xml><?xml version="1.0" encoding="utf-8"?>
<ds:datastoreItem xmlns:ds="http://schemas.openxmlformats.org/officeDocument/2006/customXml" ds:itemID="{ABBC16DB-BBF5-46C3-9399-F93060434D97}"/>
</file>

<file path=customXml/itemProps3.xml><?xml version="1.0" encoding="utf-8"?>
<ds:datastoreItem xmlns:ds="http://schemas.openxmlformats.org/officeDocument/2006/customXml" ds:itemID="{5B9C29B4-0BEF-4E83-AC61-B29130A504C8}"/>
</file>

<file path=docProps/app.xml><?xml version="1.0" encoding="utf-8"?>
<Properties xmlns="http://schemas.openxmlformats.org/officeDocument/2006/extended-properties" xmlns:vt="http://schemas.openxmlformats.org/officeDocument/2006/docPropsVTypes">
  <Template>Normal</Template>
  <TotalTime>26</TotalTime>
  <Pages>5</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ICJ</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LOPEZ</dc:creator>
  <cp:keywords/>
  <dc:description/>
  <cp:lastModifiedBy>Carlos Lopez</cp:lastModifiedBy>
  <cp:revision>4</cp:revision>
  <dcterms:created xsi:type="dcterms:W3CDTF">2016-10-10T14:07:00Z</dcterms:created>
  <dcterms:modified xsi:type="dcterms:W3CDTF">2016-10-16T11:32:00Z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3787400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