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48" w:rsidRPr="00A27148" w:rsidRDefault="00A27148" w:rsidP="00A27148">
      <w:pPr>
        <w:tabs>
          <w:tab w:val="left" w:pos="62"/>
        </w:tabs>
        <w:spacing w:before="0" w:line="240" w:lineRule="auto"/>
        <w:rPr>
          <w:rFonts w:ascii="Arial" w:eastAsia="Times New Roman" w:hAnsi="Arial" w:cs="Arial"/>
          <w:b/>
          <w:color w:val="000000"/>
          <w:szCs w:val="24"/>
          <w:u w:color="000000"/>
          <w:lang w:eastAsia="zh-CN"/>
        </w:rPr>
      </w:pPr>
      <w:r w:rsidRPr="00A27148">
        <w:rPr>
          <w:rFonts w:ascii="Arial" w:eastAsia="Times New Roman" w:hAnsi="Arial" w:cs="Arial"/>
          <w:b/>
          <w:color w:val="000000"/>
          <w:szCs w:val="24"/>
          <w:u w:color="000000"/>
          <w:lang w:eastAsia="zh-CN"/>
        </w:rPr>
        <w:t>Panel 2, Subtheme 2 – Jurisprudential and practical approaches to elements of extraterritoriality and national sovereignty</w:t>
      </w:r>
    </w:p>
    <w:p w:rsidR="00A27148" w:rsidRPr="00A27148" w:rsidRDefault="00A27148" w:rsidP="00A27148">
      <w:pPr>
        <w:spacing w:before="0"/>
        <w:rPr>
          <w:rFonts w:ascii="Arial" w:eastAsia="Times New Roman" w:hAnsi="Arial" w:cs="Arial"/>
          <w:b/>
          <w:szCs w:val="24"/>
          <w:lang w:eastAsia="fr-FR"/>
        </w:rPr>
      </w:pPr>
    </w:p>
    <w:p w:rsidR="00A27148" w:rsidRPr="00A27148" w:rsidRDefault="00A27148" w:rsidP="00A27148">
      <w:pPr>
        <w:pStyle w:val="Cuerpo"/>
        <w:spacing w:after="0" w:line="240" w:lineRule="auto"/>
        <w:rPr>
          <w:rFonts w:ascii="Arial" w:hAnsi="Arial" w:cs="Arial"/>
          <w:i/>
          <w:sz w:val="24"/>
          <w:szCs w:val="24"/>
        </w:rPr>
      </w:pPr>
      <w:r w:rsidRPr="00A27148">
        <w:rPr>
          <w:rFonts w:ascii="Arial" w:hAnsi="Arial" w:cs="Arial"/>
          <w:b/>
          <w:i/>
          <w:sz w:val="24"/>
          <w:szCs w:val="24"/>
        </w:rPr>
        <w:t>Comments by Dr. Ariel Meyerstein, United States Council for International Business / ICC-USA on behalf of the International Chamber of Commerce</w:t>
      </w:r>
    </w:p>
    <w:p w:rsidR="00A27148" w:rsidRPr="00A27148" w:rsidRDefault="00A27148" w:rsidP="00A27148">
      <w:pPr>
        <w:spacing w:before="0"/>
        <w:jc w:val="both"/>
        <w:rPr>
          <w:rFonts w:ascii="Arial" w:eastAsia="Times New Roman" w:hAnsi="Arial" w:cs="Arial"/>
          <w:szCs w:val="24"/>
          <w:lang w:val="en-GB" w:eastAsia="fr-FR"/>
        </w:rPr>
      </w:pPr>
    </w:p>
    <w:p w:rsidR="00A27148" w:rsidRPr="00A27148" w:rsidRDefault="00A27148" w:rsidP="00A27148">
      <w:pPr>
        <w:spacing w:before="0"/>
        <w:jc w:val="both"/>
        <w:rPr>
          <w:rFonts w:ascii="Arial" w:eastAsia="Times New Roman" w:hAnsi="Arial" w:cs="Arial"/>
          <w:b/>
          <w:szCs w:val="24"/>
          <w:lang w:val="en-GB" w:eastAsia="fr-FR"/>
        </w:rPr>
      </w:pPr>
      <w:r w:rsidRPr="00A27148">
        <w:rPr>
          <w:rFonts w:ascii="Arial" w:eastAsia="Times New Roman" w:hAnsi="Arial" w:cs="Arial"/>
          <w:b/>
          <w:szCs w:val="24"/>
          <w:lang w:val="en-GB" w:eastAsia="fr-FR"/>
        </w:rPr>
        <w:t>Madame Chair:</w:t>
      </w:r>
    </w:p>
    <w:p w:rsidR="009C2037" w:rsidRPr="00A27148" w:rsidRDefault="009C2037">
      <w:pPr>
        <w:rPr>
          <w:rFonts w:ascii="Arial" w:hAnsi="Arial" w:cs="Arial"/>
          <w:szCs w:val="24"/>
        </w:rPr>
      </w:pPr>
      <w:r w:rsidRPr="00A27148">
        <w:rPr>
          <w:rFonts w:ascii="Arial" w:hAnsi="Arial" w:cs="Arial"/>
          <w:szCs w:val="24"/>
        </w:rPr>
        <w:t>The title of the subtheme of this panel is appropriate as it asks us to consider the both the law and the practical application of extraterritoriality in a world of co-equal sovereigns.  Fortunately, this does not have to be a purely theoretical discussion; to the contrary, we have had a series of experiments with extraterritoriality in our global laboratory for several decades.  So what have we learned?</w:t>
      </w:r>
    </w:p>
    <w:p w:rsidR="0095479A" w:rsidRPr="00A27148" w:rsidRDefault="0095479A">
      <w:pPr>
        <w:rPr>
          <w:rFonts w:ascii="Arial" w:hAnsi="Arial" w:cs="Arial"/>
          <w:szCs w:val="24"/>
        </w:rPr>
      </w:pPr>
      <w:r w:rsidRPr="00A27148">
        <w:rPr>
          <w:rFonts w:ascii="Arial" w:hAnsi="Arial" w:cs="Arial"/>
          <w:szCs w:val="24"/>
        </w:rPr>
        <w:t xml:space="preserve">The Business and Human Rights Resource Centre has profiled 141 human rights cases involving corporate actors.  </w:t>
      </w:r>
      <w:r w:rsidR="00A27148" w:rsidRPr="00A27148">
        <w:rPr>
          <w:rFonts w:ascii="Arial" w:hAnsi="Arial" w:cs="Arial"/>
          <w:szCs w:val="24"/>
        </w:rPr>
        <w:t>These were cases for civil remedies brought in both U.S. courts and in courts across the world.</w:t>
      </w:r>
      <w:r w:rsidR="00B967E2">
        <w:rPr>
          <w:rFonts w:ascii="Arial" w:hAnsi="Arial" w:cs="Arial"/>
          <w:szCs w:val="24"/>
        </w:rPr>
        <w:t xml:space="preserve">  </w:t>
      </w:r>
      <w:r w:rsidR="00A27148" w:rsidRPr="00A27148">
        <w:rPr>
          <w:rFonts w:ascii="Arial" w:hAnsi="Arial" w:cs="Arial"/>
          <w:szCs w:val="24"/>
        </w:rPr>
        <w:t>Of 141 cases collected:</w:t>
      </w:r>
      <w:r w:rsidR="002D042F" w:rsidRPr="00A27148">
        <w:rPr>
          <w:rFonts w:ascii="Arial" w:hAnsi="Arial" w:cs="Arial"/>
          <w:szCs w:val="24"/>
        </w:rPr>
        <w:t xml:space="preserve"> </w:t>
      </w:r>
    </w:p>
    <w:p w:rsidR="00B967E2" w:rsidRDefault="002D042F">
      <w:pPr>
        <w:rPr>
          <w:rFonts w:ascii="Arial" w:hAnsi="Arial" w:cs="Arial"/>
          <w:szCs w:val="24"/>
        </w:rPr>
      </w:pPr>
      <w:r w:rsidRPr="00A27148">
        <w:rPr>
          <w:rFonts w:ascii="Arial" w:hAnsi="Arial" w:cs="Arial"/>
          <w:szCs w:val="24"/>
        </w:rPr>
        <w:t>77 of the 141, so just over 50%, allege violations of human rights in which a corporate actor was the primary actor in the allegations.</w:t>
      </w:r>
      <w:r w:rsidR="00B967E2">
        <w:rPr>
          <w:rFonts w:ascii="Arial" w:hAnsi="Arial" w:cs="Arial"/>
          <w:szCs w:val="24"/>
        </w:rPr>
        <w:t xml:space="preserve">  </w:t>
      </w:r>
    </w:p>
    <w:p w:rsidR="00B967E2" w:rsidRDefault="00A27148">
      <w:pPr>
        <w:rPr>
          <w:rFonts w:ascii="Arial" w:hAnsi="Arial" w:cs="Arial"/>
          <w:szCs w:val="24"/>
        </w:rPr>
      </w:pPr>
      <w:r w:rsidRPr="00A27148">
        <w:rPr>
          <w:rFonts w:ascii="Arial" w:hAnsi="Arial" w:cs="Arial"/>
          <w:szCs w:val="24"/>
        </w:rPr>
        <w:t xml:space="preserve">However, </w:t>
      </w:r>
      <w:r w:rsidR="002D042F" w:rsidRPr="00A27148">
        <w:rPr>
          <w:rFonts w:ascii="Arial" w:hAnsi="Arial" w:cs="Arial"/>
          <w:szCs w:val="24"/>
        </w:rPr>
        <w:t>56 of the 141, or approximately 40% of the cases</w:t>
      </w:r>
      <w:r w:rsidRPr="00A27148">
        <w:rPr>
          <w:rFonts w:ascii="Arial" w:hAnsi="Arial" w:cs="Arial"/>
          <w:szCs w:val="24"/>
        </w:rPr>
        <w:t xml:space="preserve">, actually involve situations in which the State or its agents was the primary actor and the company was alleged to have been complicit in some way in the conduct of the State.  </w:t>
      </w:r>
    </w:p>
    <w:p w:rsidR="002267D3" w:rsidRDefault="00A27148">
      <w:pPr>
        <w:rPr>
          <w:rFonts w:ascii="Arial" w:hAnsi="Arial" w:cs="Arial"/>
          <w:szCs w:val="24"/>
        </w:rPr>
      </w:pPr>
      <w:r w:rsidRPr="00A27148">
        <w:rPr>
          <w:rFonts w:ascii="Arial" w:hAnsi="Arial" w:cs="Arial"/>
          <w:szCs w:val="24"/>
        </w:rPr>
        <w:t xml:space="preserve">There are also a number of situations in which </w:t>
      </w:r>
      <w:r>
        <w:rPr>
          <w:rFonts w:ascii="Arial" w:hAnsi="Arial" w:cs="Arial"/>
          <w:szCs w:val="24"/>
        </w:rPr>
        <w:t>the State is intimately involved in a company’s violation, such as when a land permit is issued that is later contested by local communities, or in which environmental permits are granted that should not have been granted if both the company and the State did a more searching analysis of the potential impact on people from the activities in question.</w:t>
      </w:r>
    </w:p>
    <w:p w:rsidR="00A27148" w:rsidRDefault="00A27148">
      <w:pPr>
        <w:rPr>
          <w:rFonts w:ascii="Arial" w:hAnsi="Arial" w:cs="Arial"/>
          <w:szCs w:val="24"/>
        </w:rPr>
      </w:pPr>
      <w:r>
        <w:rPr>
          <w:rFonts w:ascii="Arial" w:hAnsi="Arial" w:cs="Arial"/>
          <w:szCs w:val="24"/>
        </w:rPr>
        <w:t xml:space="preserve">What else have we learned from our experiments with extraterritoriality?  Of the above sample of cases, </w:t>
      </w:r>
      <w:r>
        <w:rPr>
          <w:rFonts w:ascii="Arial" w:hAnsi="Arial" w:cs="Arial"/>
          <w:i/>
          <w:szCs w:val="24"/>
        </w:rPr>
        <w:t xml:space="preserve">jus </w:t>
      </w:r>
      <w:proofErr w:type="spellStart"/>
      <w:r>
        <w:rPr>
          <w:rFonts w:ascii="Arial" w:hAnsi="Arial" w:cs="Arial"/>
          <w:i/>
          <w:szCs w:val="24"/>
        </w:rPr>
        <w:t>cogens</w:t>
      </w:r>
      <w:proofErr w:type="spellEnd"/>
      <w:r>
        <w:rPr>
          <w:rFonts w:ascii="Arial" w:hAnsi="Arial" w:cs="Arial"/>
          <w:i/>
          <w:szCs w:val="24"/>
        </w:rPr>
        <w:t xml:space="preserve"> </w:t>
      </w:r>
      <w:r>
        <w:rPr>
          <w:rFonts w:ascii="Arial" w:hAnsi="Arial" w:cs="Arial"/>
          <w:szCs w:val="24"/>
        </w:rPr>
        <w:t xml:space="preserve">violations – genocide, crimes of war, crime against humanity, forced labor – were alleged against companies </w:t>
      </w:r>
      <w:r w:rsidR="00B967E2">
        <w:rPr>
          <w:rFonts w:ascii="Arial" w:hAnsi="Arial" w:cs="Arial"/>
          <w:szCs w:val="24"/>
        </w:rPr>
        <w:t xml:space="preserve">as the primary actor </w:t>
      </w:r>
      <w:r>
        <w:rPr>
          <w:rFonts w:ascii="Arial" w:hAnsi="Arial" w:cs="Arial"/>
          <w:szCs w:val="24"/>
        </w:rPr>
        <w:t xml:space="preserve">in only FOUR cases.  The remaining 35 instances of </w:t>
      </w:r>
      <w:r>
        <w:rPr>
          <w:rFonts w:ascii="Arial" w:hAnsi="Arial" w:cs="Arial"/>
          <w:i/>
          <w:szCs w:val="24"/>
        </w:rPr>
        <w:t xml:space="preserve">jus </w:t>
      </w:r>
      <w:proofErr w:type="spellStart"/>
      <w:r>
        <w:rPr>
          <w:rFonts w:ascii="Arial" w:hAnsi="Arial" w:cs="Arial"/>
          <w:i/>
          <w:szCs w:val="24"/>
        </w:rPr>
        <w:t>cogens</w:t>
      </w:r>
      <w:proofErr w:type="spellEnd"/>
      <w:r>
        <w:rPr>
          <w:rFonts w:ascii="Arial" w:hAnsi="Arial" w:cs="Arial"/>
          <w:i/>
          <w:szCs w:val="24"/>
        </w:rPr>
        <w:t xml:space="preserve"> </w:t>
      </w:r>
      <w:r>
        <w:rPr>
          <w:rFonts w:ascii="Arial" w:hAnsi="Arial" w:cs="Arial"/>
          <w:szCs w:val="24"/>
        </w:rPr>
        <w:t>violati</w:t>
      </w:r>
      <w:r w:rsidR="00B967E2">
        <w:rPr>
          <w:rFonts w:ascii="Arial" w:hAnsi="Arial" w:cs="Arial"/>
          <w:szCs w:val="24"/>
        </w:rPr>
        <w:t>ons were alleged against States as the primary actor, with the company possibly complicit in some way. Thus, the vast majority of allegations in which companies are the primary actors involve a whole a</w:t>
      </w:r>
      <w:r w:rsidR="00BF0534">
        <w:rPr>
          <w:rFonts w:ascii="Arial" w:hAnsi="Arial" w:cs="Arial"/>
          <w:szCs w:val="24"/>
        </w:rPr>
        <w:t>rray of other rights violations, but not grave violations of human rights, even if they are still certainly impactful for the victims.</w:t>
      </w:r>
    </w:p>
    <w:p w:rsidR="00A27148" w:rsidRDefault="00BF0534">
      <w:pPr>
        <w:rPr>
          <w:rFonts w:ascii="Arial" w:hAnsi="Arial" w:cs="Arial"/>
          <w:szCs w:val="24"/>
        </w:rPr>
      </w:pPr>
      <w:r>
        <w:rPr>
          <w:rFonts w:ascii="Arial" w:hAnsi="Arial" w:cs="Arial"/>
          <w:szCs w:val="24"/>
        </w:rPr>
        <w:t>In considering this, w</w:t>
      </w:r>
      <w:r w:rsidR="00A27148">
        <w:rPr>
          <w:rFonts w:ascii="Arial" w:hAnsi="Arial" w:cs="Arial"/>
          <w:szCs w:val="24"/>
        </w:rPr>
        <w:t>hat is troubling is that, according to the International Court of Justice’s</w:t>
      </w:r>
      <w:r w:rsidR="00B967E2">
        <w:rPr>
          <w:rFonts w:ascii="Arial" w:hAnsi="Arial" w:cs="Arial"/>
          <w:szCs w:val="24"/>
        </w:rPr>
        <w:t xml:space="preserve"> </w:t>
      </w:r>
      <w:r w:rsidR="00B967E2">
        <w:rPr>
          <w:rFonts w:ascii="Arial" w:hAnsi="Arial" w:cs="Arial"/>
          <w:i/>
          <w:szCs w:val="24"/>
        </w:rPr>
        <w:t>Jurisdictional</w:t>
      </w:r>
      <w:r w:rsidR="00A27148">
        <w:rPr>
          <w:rFonts w:ascii="Arial" w:hAnsi="Arial" w:cs="Arial"/>
          <w:szCs w:val="24"/>
        </w:rPr>
        <w:t xml:space="preserve"> </w:t>
      </w:r>
      <w:r w:rsidR="00A27148">
        <w:rPr>
          <w:rFonts w:ascii="Arial" w:hAnsi="Arial" w:cs="Arial"/>
          <w:i/>
          <w:szCs w:val="24"/>
        </w:rPr>
        <w:t xml:space="preserve">Immunities </w:t>
      </w:r>
      <w:r w:rsidR="00B967E2">
        <w:rPr>
          <w:rFonts w:ascii="Arial" w:hAnsi="Arial" w:cs="Arial"/>
          <w:i/>
          <w:szCs w:val="24"/>
        </w:rPr>
        <w:t>of the State c</w:t>
      </w:r>
      <w:r w:rsidR="00A27148">
        <w:rPr>
          <w:rFonts w:ascii="Arial" w:hAnsi="Arial" w:cs="Arial"/>
          <w:i/>
          <w:szCs w:val="24"/>
        </w:rPr>
        <w:t>ase (Italy v. Germany</w:t>
      </w:r>
      <w:r w:rsidR="00A27148">
        <w:rPr>
          <w:rFonts w:ascii="Arial" w:hAnsi="Arial" w:cs="Arial"/>
          <w:szCs w:val="24"/>
        </w:rPr>
        <w:t xml:space="preserve">), there is no general exception to the law of sovereign immunity for civil claims – even for those </w:t>
      </w:r>
      <w:r w:rsidR="00A27148">
        <w:rPr>
          <w:rFonts w:ascii="Arial" w:hAnsi="Arial" w:cs="Arial"/>
          <w:szCs w:val="24"/>
        </w:rPr>
        <w:lastRenderedPageBreak/>
        <w:t xml:space="preserve">based on </w:t>
      </w:r>
      <w:r w:rsidR="00A27148">
        <w:rPr>
          <w:rFonts w:ascii="Arial" w:hAnsi="Arial" w:cs="Arial"/>
          <w:i/>
          <w:szCs w:val="24"/>
        </w:rPr>
        <w:t xml:space="preserve">jus </w:t>
      </w:r>
      <w:proofErr w:type="spellStart"/>
      <w:r w:rsidR="00A27148">
        <w:rPr>
          <w:rFonts w:ascii="Arial" w:hAnsi="Arial" w:cs="Arial"/>
          <w:i/>
          <w:szCs w:val="24"/>
        </w:rPr>
        <w:t>cogens</w:t>
      </w:r>
      <w:proofErr w:type="spellEnd"/>
      <w:r w:rsidR="00A27148">
        <w:rPr>
          <w:rFonts w:ascii="Arial" w:hAnsi="Arial" w:cs="Arial"/>
          <w:i/>
          <w:szCs w:val="24"/>
        </w:rPr>
        <w:t xml:space="preserve"> </w:t>
      </w:r>
      <w:r w:rsidR="00A27148">
        <w:rPr>
          <w:rFonts w:ascii="Arial" w:hAnsi="Arial" w:cs="Arial"/>
          <w:szCs w:val="24"/>
        </w:rPr>
        <w:t xml:space="preserve">violations.  In that case, </w:t>
      </w:r>
      <w:r w:rsidR="00B967E2">
        <w:rPr>
          <w:rFonts w:ascii="Arial" w:hAnsi="Arial" w:cs="Arial"/>
          <w:szCs w:val="24"/>
        </w:rPr>
        <w:t xml:space="preserve">both </w:t>
      </w:r>
      <w:r w:rsidR="00A27148">
        <w:rPr>
          <w:rFonts w:ascii="Arial" w:hAnsi="Arial" w:cs="Arial"/>
          <w:szCs w:val="24"/>
        </w:rPr>
        <w:t>Italy</w:t>
      </w:r>
      <w:r w:rsidR="00B967E2">
        <w:rPr>
          <w:rFonts w:ascii="Arial" w:hAnsi="Arial" w:cs="Arial"/>
          <w:szCs w:val="24"/>
        </w:rPr>
        <w:t xml:space="preserve"> and Greece sought to open their</w:t>
      </w:r>
      <w:r w:rsidR="00A27148">
        <w:rPr>
          <w:rFonts w:ascii="Arial" w:hAnsi="Arial" w:cs="Arial"/>
          <w:szCs w:val="24"/>
        </w:rPr>
        <w:t xml:space="preserve"> courts to claims for reparations against Germany for </w:t>
      </w:r>
      <w:r w:rsidR="00A27148">
        <w:rPr>
          <w:rFonts w:ascii="Arial" w:hAnsi="Arial" w:cs="Arial"/>
          <w:i/>
          <w:szCs w:val="24"/>
        </w:rPr>
        <w:t xml:space="preserve">jus </w:t>
      </w:r>
      <w:proofErr w:type="spellStart"/>
      <w:r w:rsidR="00A27148">
        <w:rPr>
          <w:rFonts w:ascii="Arial" w:hAnsi="Arial" w:cs="Arial"/>
          <w:i/>
          <w:szCs w:val="24"/>
        </w:rPr>
        <w:t>cogens</w:t>
      </w:r>
      <w:proofErr w:type="spellEnd"/>
      <w:r w:rsidR="00A27148">
        <w:rPr>
          <w:rFonts w:ascii="Arial" w:hAnsi="Arial" w:cs="Arial"/>
          <w:i/>
          <w:szCs w:val="24"/>
        </w:rPr>
        <w:t xml:space="preserve"> </w:t>
      </w:r>
      <w:r w:rsidR="00A27148">
        <w:rPr>
          <w:rFonts w:ascii="Arial" w:hAnsi="Arial" w:cs="Arial"/>
          <w:szCs w:val="24"/>
        </w:rPr>
        <w:t>violations during WWII.  Germany resisted and the IC</w:t>
      </w:r>
      <w:r w:rsidR="00B967E2">
        <w:rPr>
          <w:rFonts w:ascii="Arial" w:hAnsi="Arial" w:cs="Arial"/>
          <w:szCs w:val="24"/>
        </w:rPr>
        <w:t>J ultimately sided with Germany, basing its decision on two bedrock principles of the international legal architecture: first, the sovereign equality of States, and second, the territoriality principle – the complete dominion of one sovereign over the territory and people under its jurisdiction.</w:t>
      </w:r>
    </w:p>
    <w:p w:rsidR="00B967E2" w:rsidRDefault="00B967E2">
      <w:pPr>
        <w:rPr>
          <w:rFonts w:ascii="Arial" w:hAnsi="Arial" w:cs="Arial"/>
          <w:szCs w:val="24"/>
        </w:rPr>
      </w:pPr>
      <w:r>
        <w:rPr>
          <w:rFonts w:ascii="Arial" w:hAnsi="Arial" w:cs="Arial"/>
          <w:szCs w:val="24"/>
        </w:rPr>
        <w:t xml:space="preserve">So what does this mean?  This means that States are peers – the should not sit in judgment of another. We see the tension in this precept play out in this very room several times a year.  The second principle means that States should be able to control what goes on in their own territories.  The court, in balancing these principles, decided that the current state of international law privileged the former over the latter, and particularly in situations involving a core sovereign power, such as the use of force in an armed conflict.  Significantly, the ICJ did not consider that allegations involving </w:t>
      </w:r>
      <w:r>
        <w:rPr>
          <w:rFonts w:ascii="Arial" w:hAnsi="Arial" w:cs="Arial"/>
          <w:i/>
          <w:szCs w:val="24"/>
        </w:rPr>
        <w:t xml:space="preserve">jus </w:t>
      </w:r>
      <w:proofErr w:type="spellStart"/>
      <w:r>
        <w:rPr>
          <w:rFonts w:ascii="Arial" w:hAnsi="Arial" w:cs="Arial"/>
          <w:i/>
          <w:szCs w:val="24"/>
        </w:rPr>
        <w:t>cogens</w:t>
      </w:r>
      <w:proofErr w:type="spellEnd"/>
      <w:r>
        <w:rPr>
          <w:rFonts w:ascii="Arial" w:hAnsi="Arial" w:cs="Arial"/>
          <w:i/>
          <w:szCs w:val="24"/>
        </w:rPr>
        <w:t xml:space="preserve"> </w:t>
      </w:r>
      <w:r>
        <w:rPr>
          <w:rFonts w:ascii="Arial" w:hAnsi="Arial" w:cs="Arial"/>
          <w:szCs w:val="24"/>
        </w:rPr>
        <w:t>violations presented a special situation because the infringement of sovereignty occurs at the start of the case – when a court in one jurisdiction decides to accept the claims for consideration – regardless of what the claims might be.</w:t>
      </w:r>
    </w:p>
    <w:p w:rsidR="00B967E2" w:rsidRPr="00B967E2" w:rsidRDefault="00B967E2">
      <w:pPr>
        <w:rPr>
          <w:rFonts w:ascii="Arial" w:hAnsi="Arial" w:cs="Arial"/>
          <w:szCs w:val="24"/>
        </w:rPr>
      </w:pPr>
      <w:r>
        <w:rPr>
          <w:rFonts w:ascii="Arial" w:hAnsi="Arial" w:cs="Arial"/>
          <w:szCs w:val="24"/>
        </w:rPr>
        <w:t>Another data point worth considering: we are unfortunately now also witnessing a backlash against universal jurisdiction in even the clearest examples where it is needed – for criminal claims in international forum.  Several states have been threatening to withdraw their consent to the jurisdiction of the International Criminal Court, and that Court has in place some of the important guardrails we would probably need in any assertion of extraterritorial jurisdiction:  a principle of exhaustion or in this case, complementarity, which means that the ICC must defer to the sovereign where the alleged conduct took place to prosecute before asserting jurisdiction.</w:t>
      </w:r>
    </w:p>
    <w:p w:rsidR="00B967E2" w:rsidRPr="00B967E2" w:rsidRDefault="00B967E2">
      <w:pPr>
        <w:rPr>
          <w:rFonts w:ascii="Arial" w:hAnsi="Arial" w:cs="Arial"/>
          <w:szCs w:val="24"/>
        </w:rPr>
      </w:pPr>
      <w:r>
        <w:rPr>
          <w:rFonts w:ascii="Arial" w:hAnsi="Arial" w:cs="Arial"/>
          <w:szCs w:val="24"/>
        </w:rPr>
        <w:t xml:space="preserve">Another guardrail that seems to be implied from the above and from other cases is that there should be some connection – whether through nationality or territory – to the country whose courts are being asked to assert jurisdiction.  This is precisely what the United States Supreme Court has done in the </w:t>
      </w:r>
      <w:proofErr w:type="spellStart"/>
      <w:r>
        <w:rPr>
          <w:rFonts w:ascii="Arial" w:hAnsi="Arial" w:cs="Arial"/>
          <w:i/>
          <w:szCs w:val="24"/>
        </w:rPr>
        <w:t>Kiobel</w:t>
      </w:r>
      <w:proofErr w:type="spellEnd"/>
      <w:r>
        <w:rPr>
          <w:rFonts w:ascii="Arial" w:hAnsi="Arial" w:cs="Arial"/>
          <w:i/>
          <w:szCs w:val="24"/>
        </w:rPr>
        <w:t xml:space="preserve"> </w:t>
      </w:r>
      <w:r>
        <w:rPr>
          <w:rFonts w:ascii="Arial" w:hAnsi="Arial" w:cs="Arial"/>
          <w:szCs w:val="24"/>
        </w:rPr>
        <w:t>case with the “touch and concern” doctrine.</w:t>
      </w:r>
      <w:r w:rsidR="00A77006">
        <w:rPr>
          <w:rFonts w:ascii="Arial" w:hAnsi="Arial" w:cs="Arial"/>
          <w:szCs w:val="24"/>
        </w:rPr>
        <w:t xml:space="preserve">  Limiting what was once understood to be a much broader instrument was controversial in some quarters, but not among Member States, most of whom</w:t>
      </w:r>
      <w:bookmarkStart w:id="0" w:name="_GoBack"/>
      <w:bookmarkEnd w:id="0"/>
      <w:r w:rsidR="00A77006">
        <w:rPr>
          <w:rFonts w:ascii="Arial" w:hAnsi="Arial" w:cs="Arial"/>
          <w:szCs w:val="24"/>
        </w:rPr>
        <w:t xml:space="preserve"> submitted amicus briefs to the U.S. Supreme Court advocating that pursuing extra-territorial jurisdiction without any limiting principles would not be consistent with international law.</w:t>
      </w:r>
    </w:p>
    <w:p w:rsidR="00B967E2" w:rsidRDefault="00B967E2">
      <w:pPr>
        <w:rPr>
          <w:rFonts w:ascii="Arial" w:hAnsi="Arial" w:cs="Arial"/>
          <w:szCs w:val="24"/>
        </w:rPr>
      </w:pPr>
      <w:r>
        <w:rPr>
          <w:rFonts w:ascii="Arial" w:hAnsi="Arial" w:cs="Arial"/>
          <w:szCs w:val="24"/>
        </w:rPr>
        <w:t xml:space="preserve">Why is this approach prudent?  Like the other jurisprudential principles asserted by U.S. courts in such cases, this approach seeks at every opportunity to preserve the comity of nations.  When a country asserts jurisdiction over a company for acts that took place in another country, the second country often prefers to have the ability to determine the matter itself.  Even when it elects not to, it tends to not like another court sitting in </w:t>
      </w:r>
      <w:r>
        <w:rPr>
          <w:rFonts w:ascii="Arial" w:hAnsi="Arial" w:cs="Arial"/>
          <w:szCs w:val="24"/>
        </w:rPr>
        <w:lastRenderedPageBreak/>
        <w:t xml:space="preserve">judgment of how it may have failed to protect its citizenry and those in its territory from adverse human rights impacts.  It creates undue international tensions.  </w:t>
      </w:r>
    </w:p>
    <w:p w:rsidR="00A27148" w:rsidRPr="00A27148" w:rsidRDefault="00B967E2">
      <w:pPr>
        <w:rPr>
          <w:rFonts w:ascii="Arial" w:hAnsi="Arial" w:cs="Arial"/>
          <w:szCs w:val="24"/>
        </w:rPr>
      </w:pPr>
      <w:r>
        <w:rPr>
          <w:rFonts w:ascii="Arial" w:hAnsi="Arial" w:cs="Arial"/>
          <w:szCs w:val="24"/>
        </w:rPr>
        <w:t>To the extent that a binding instrument on business and human rights considers the extension of extraterritoriality, it would do well to consider having such</w:t>
      </w:r>
      <w:r w:rsidR="00A77006">
        <w:rPr>
          <w:rFonts w:ascii="Arial" w:hAnsi="Arial" w:cs="Arial"/>
          <w:szCs w:val="24"/>
        </w:rPr>
        <w:t xml:space="preserve"> safeguards in place.</w:t>
      </w:r>
    </w:p>
    <w:sectPr w:rsidR="00A27148" w:rsidRPr="00A27148" w:rsidSect="003F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452F"/>
    <w:multiLevelType w:val="multilevel"/>
    <w:tmpl w:val="0980AC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BA861AA"/>
    <w:multiLevelType w:val="hybridMultilevel"/>
    <w:tmpl w:val="501EF2BC"/>
    <w:lvl w:ilvl="0" w:tplc="FC782128">
      <w:start w:val="35"/>
      <w:numFmt w:val="bullet"/>
      <w:lvlText w:val=""/>
      <w:lvlJc w:val="left"/>
      <w:pPr>
        <w:ind w:left="720" w:hanging="360"/>
      </w:pPr>
      <w:rPr>
        <w:rFonts w:ascii="Symbol" w:eastAsia="Calibri" w:hAnsi="Symbol"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51"/>
    <w:rsid w:val="000000A8"/>
    <w:rsid w:val="0000244B"/>
    <w:rsid w:val="00004EEE"/>
    <w:rsid w:val="00005636"/>
    <w:rsid w:val="00005B87"/>
    <w:rsid w:val="00014F14"/>
    <w:rsid w:val="000158D1"/>
    <w:rsid w:val="0002067A"/>
    <w:rsid w:val="00022560"/>
    <w:rsid w:val="00023517"/>
    <w:rsid w:val="00023E44"/>
    <w:rsid w:val="00025FF2"/>
    <w:rsid w:val="000267D3"/>
    <w:rsid w:val="00031E98"/>
    <w:rsid w:val="00035B93"/>
    <w:rsid w:val="00036E60"/>
    <w:rsid w:val="000378F5"/>
    <w:rsid w:val="00037BED"/>
    <w:rsid w:val="000425E6"/>
    <w:rsid w:val="00046515"/>
    <w:rsid w:val="00047B37"/>
    <w:rsid w:val="00051C36"/>
    <w:rsid w:val="00052370"/>
    <w:rsid w:val="00053E0B"/>
    <w:rsid w:val="000541C7"/>
    <w:rsid w:val="00057190"/>
    <w:rsid w:val="0005798C"/>
    <w:rsid w:val="00060C34"/>
    <w:rsid w:val="00060C4A"/>
    <w:rsid w:val="00061643"/>
    <w:rsid w:val="000636CA"/>
    <w:rsid w:val="000653D8"/>
    <w:rsid w:val="000674A4"/>
    <w:rsid w:val="00067676"/>
    <w:rsid w:val="00067F43"/>
    <w:rsid w:val="00070E7C"/>
    <w:rsid w:val="00071C62"/>
    <w:rsid w:val="00074FAE"/>
    <w:rsid w:val="000807DE"/>
    <w:rsid w:val="0008242A"/>
    <w:rsid w:val="00096D4E"/>
    <w:rsid w:val="00096F92"/>
    <w:rsid w:val="00097DF2"/>
    <w:rsid w:val="000A4488"/>
    <w:rsid w:val="000A52EC"/>
    <w:rsid w:val="000A5612"/>
    <w:rsid w:val="000A7FE7"/>
    <w:rsid w:val="000B0046"/>
    <w:rsid w:val="000B1C0F"/>
    <w:rsid w:val="000B1DA8"/>
    <w:rsid w:val="000B39A0"/>
    <w:rsid w:val="000B3E32"/>
    <w:rsid w:val="000B4A8A"/>
    <w:rsid w:val="000B4E8F"/>
    <w:rsid w:val="000C759A"/>
    <w:rsid w:val="000C7698"/>
    <w:rsid w:val="000D2935"/>
    <w:rsid w:val="000D3A53"/>
    <w:rsid w:val="000D5054"/>
    <w:rsid w:val="000D589E"/>
    <w:rsid w:val="000E16AD"/>
    <w:rsid w:val="000E17AC"/>
    <w:rsid w:val="000E1DD5"/>
    <w:rsid w:val="000E22BA"/>
    <w:rsid w:val="000E238E"/>
    <w:rsid w:val="000E2540"/>
    <w:rsid w:val="000E2713"/>
    <w:rsid w:val="000F227F"/>
    <w:rsid w:val="000F22C7"/>
    <w:rsid w:val="000F2A5F"/>
    <w:rsid w:val="000F2EDF"/>
    <w:rsid w:val="000F36F2"/>
    <w:rsid w:val="000F388F"/>
    <w:rsid w:val="000F3D52"/>
    <w:rsid w:val="000F4B0A"/>
    <w:rsid w:val="000F51ED"/>
    <w:rsid w:val="000F5FF4"/>
    <w:rsid w:val="000F6C88"/>
    <w:rsid w:val="000F72AC"/>
    <w:rsid w:val="00100869"/>
    <w:rsid w:val="001025E3"/>
    <w:rsid w:val="00103A92"/>
    <w:rsid w:val="001049BC"/>
    <w:rsid w:val="00107157"/>
    <w:rsid w:val="00107553"/>
    <w:rsid w:val="00112866"/>
    <w:rsid w:val="00114561"/>
    <w:rsid w:val="00115244"/>
    <w:rsid w:val="00116CEB"/>
    <w:rsid w:val="001173A4"/>
    <w:rsid w:val="00121458"/>
    <w:rsid w:val="00121D8A"/>
    <w:rsid w:val="00125D25"/>
    <w:rsid w:val="001269C9"/>
    <w:rsid w:val="00130BEA"/>
    <w:rsid w:val="00131161"/>
    <w:rsid w:val="0013198D"/>
    <w:rsid w:val="00133B9C"/>
    <w:rsid w:val="001347E9"/>
    <w:rsid w:val="00135110"/>
    <w:rsid w:val="001367BC"/>
    <w:rsid w:val="00140A7B"/>
    <w:rsid w:val="00140B8D"/>
    <w:rsid w:val="00153664"/>
    <w:rsid w:val="001545EE"/>
    <w:rsid w:val="00154E94"/>
    <w:rsid w:val="00155739"/>
    <w:rsid w:val="00156C53"/>
    <w:rsid w:val="00157A6B"/>
    <w:rsid w:val="00162364"/>
    <w:rsid w:val="001625F6"/>
    <w:rsid w:val="00162DD0"/>
    <w:rsid w:val="00163DE9"/>
    <w:rsid w:val="00164D19"/>
    <w:rsid w:val="0016518F"/>
    <w:rsid w:val="001657AC"/>
    <w:rsid w:val="00167C5A"/>
    <w:rsid w:val="00171DE4"/>
    <w:rsid w:val="00176142"/>
    <w:rsid w:val="001800FD"/>
    <w:rsid w:val="0018084E"/>
    <w:rsid w:val="001826AB"/>
    <w:rsid w:val="00183B15"/>
    <w:rsid w:val="001953D9"/>
    <w:rsid w:val="001A21EF"/>
    <w:rsid w:val="001A47BC"/>
    <w:rsid w:val="001B3229"/>
    <w:rsid w:val="001B59BC"/>
    <w:rsid w:val="001B7915"/>
    <w:rsid w:val="001C319A"/>
    <w:rsid w:val="001C63D0"/>
    <w:rsid w:val="001C63D1"/>
    <w:rsid w:val="001D153A"/>
    <w:rsid w:val="001D1630"/>
    <w:rsid w:val="001D462E"/>
    <w:rsid w:val="001D476E"/>
    <w:rsid w:val="001D4C9B"/>
    <w:rsid w:val="001D535B"/>
    <w:rsid w:val="001D5BDA"/>
    <w:rsid w:val="001D6E8B"/>
    <w:rsid w:val="001D75B5"/>
    <w:rsid w:val="001D7BBC"/>
    <w:rsid w:val="001E0643"/>
    <w:rsid w:val="001E0880"/>
    <w:rsid w:val="001E24AC"/>
    <w:rsid w:val="001E4459"/>
    <w:rsid w:val="001E5179"/>
    <w:rsid w:val="001E78BA"/>
    <w:rsid w:val="001F36AF"/>
    <w:rsid w:val="001F5D01"/>
    <w:rsid w:val="00201B7A"/>
    <w:rsid w:val="00206C3B"/>
    <w:rsid w:val="00206EE4"/>
    <w:rsid w:val="00207F9B"/>
    <w:rsid w:val="00212834"/>
    <w:rsid w:val="00215E86"/>
    <w:rsid w:val="00216171"/>
    <w:rsid w:val="00216A2A"/>
    <w:rsid w:val="00220D52"/>
    <w:rsid w:val="002242C2"/>
    <w:rsid w:val="002267D3"/>
    <w:rsid w:val="00230BDB"/>
    <w:rsid w:val="002349C7"/>
    <w:rsid w:val="002409AC"/>
    <w:rsid w:val="002419D7"/>
    <w:rsid w:val="00241DCD"/>
    <w:rsid w:val="00242511"/>
    <w:rsid w:val="00242BB3"/>
    <w:rsid w:val="0024381A"/>
    <w:rsid w:val="002439EB"/>
    <w:rsid w:val="002446E2"/>
    <w:rsid w:val="00244E17"/>
    <w:rsid w:val="00246AB0"/>
    <w:rsid w:val="00247820"/>
    <w:rsid w:val="002507E0"/>
    <w:rsid w:val="00250F6A"/>
    <w:rsid w:val="00251B0E"/>
    <w:rsid w:val="00251E8B"/>
    <w:rsid w:val="00252F20"/>
    <w:rsid w:val="00254FF9"/>
    <w:rsid w:val="00262A2A"/>
    <w:rsid w:val="00262D45"/>
    <w:rsid w:val="002651AD"/>
    <w:rsid w:val="00265723"/>
    <w:rsid w:val="00266182"/>
    <w:rsid w:val="002669AC"/>
    <w:rsid w:val="00266ED1"/>
    <w:rsid w:val="0026788E"/>
    <w:rsid w:val="00267A38"/>
    <w:rsid w:val="00271F41"/>
    <w:rsid w:val="0027452B"/>
    <w:rsid w:val="0027470A"/>
    <w:rsid w:val="00274A0E"/>
    <w:rsid w:val="00282190"/>
    <w:rsid w:val="002821A6"/>
    <w:rsid w:val="00282E2A"/>
    <w:rsid w:val="00284CA9"/>
    <w:rsid w:val="00284CAB"/>
    <w:rsid w:val="00285366"/>
    <w:rsid w:val="002853DF"/>
    <w:rsid w:val="0028642C"/>
    <w:rsid w:val="002873B7"/>
    <w:rsid w:val="0029132D"/>
    <w:rsid w:val="002916EC"/>
    <w:rsid w:val="00292313"/>
    <w:rsid w:val="00295AAE"/>
    <w:rsid w:val="002960BE"/>
    <w:rsid w:val="00296B0E"/>
    <w:rsid w:val="002972EF"/>
    <w:rsid w:val="002A02BD"/>
    <w:rsid w:val="002A10CA"/>
    <w:rsid w:val="002A1746"/>
    <w:rsid w:val="002A226E"/>
    <w:rsid w:val="002A37EB"/>
    <w:rsid w:val="002A4CC1"/>
    <w:rsid w:val="002A4F21"/>
    <w:rsid w:val="002A5152"/>
    <w:rsid w:val="002A565B"/>
    <w:rsid w:val="002A6AE0"/>
    <w:rsid w:val="002A6E85"/>
    <w:rsid w:val="002B08BE"/>
    <w:rsid w:val="002B0972"/>
    <w:rsid w:val="002B0B42"/>
    <w:rsid w:val="002B25F5"/>
    <w:rsid w:val="002B2FE9"/>
    <w:rsid w:val="002B4AA1"/>
    <w:rsid w:val="002B6F8F"/>
    <w:rsid w:val="002C2D09"/>
    <w:rsid w:val="002C3E5A"/>
    <w:rsid w:val="002D042F"/>
    <w:rsid w:val="002D0E22"/>
    <w:rsid w:val="002D4019"/>
    <w:rsid w:val="002D62CA"/>
    <w:rsid w:val="002E0A62"/>
    <w:rsid w:val="002E290B"/>
    <w:rsid w:val="002E3516"/>
    <w:rsid w:val="002E4C19"/>
    <w:rsid w:val="002E6A23"/>
    <w:rsid w:val="002E7342"/>
    <w:rsid w:val="002F0868"/>
    <w:rsid w:val="002F2D0C"/>
    <w:rsid w:val="002F404F"/>
    <w:rsid w:val="002F4290"/>
    <w:rsid w:val="00302765"/>
    <w:rsid w:val="00304BA0"/>
    <w:rsid w:val="00304DF0"/>
    <w:rsid w:val="003052AF"/>
    <w:rsid w:val="003064B5"/>
    <w:rsid w:val="003069F7"/>
    <w:rsid w:val="00307285"/>
    <w:rsid w:val="003073EC"/>
    <w:rsid w:val="003074CF"/>
    <w:rsid w:val="00311B57"/>
    <w:rsid w:val="00312C8A"/>
    <w:rsid w:val="00316450"/>
    <w:rsid w:val="00320254"/>
    <w:rsid w:val="00321020"/>
    <w:rsid w:val="00321030"/>
    <w:rsid w:val="00321CD9"/>
    <w:rsid w:val="0032292D"/>
    <w:rsid w:val="00323147"/>
    <w:rsid w:val="00323495"/>
    <w:rsid w:val="003244DD"/>
    <w:rsid w:val="00325191"/>
    <w:rsid w:val="0033070B"/>
    <w:rsid w:val="00332596"/>
    <w:rsid w:val="00333463"/>
    <w:rsid w:val="00333925"/>
    <w:rsid w:val="00335615"/>
    <w:rsid w:val="00340183"/>
    <w:rsid w:val="00343DB4"/>
    <w:rsid w:val="00343E5F"/>
    <w:rsid w:val="00344439"/>
    <w:rsid w:val="003471B1"/>
    <w:rsid w:val="003477E1"/>
    <w:rsid w:val="00347B11"/>
    <w:rsid w:val="0035007F"/>
    <w:rsid w:val="00350D5B"/>
    <w:rsid w:val="00351CB2"/>
    <w:rsid w:val="003531BD"/>
    <w:rsid w:val="00353F62"/>
    <w:rsid w:val="003639B1"/>
    <w:rsid w:val="003641B3"/>
    <w:rsid w:val="00364A24"/>
    <w:rsid w:val="00370E87"/>
    <w:rsid w:val="00371676"/>
    <w:rsid w:val="00371A03"/>
    <w:rsid w:val="0037286B"/>
    <w:rsid w:val="0037756F"/>
    <w:rsid w:val="00377944"/>
    <w:rsid w:val="00381630"/>
    <w:rsid w:val="00381F38"/>
    <w:rsid w:val="003849AD"/>
    <w:rsid w:val="00385757"/>
    <w:rsid w:val="003904C3"/>
    <w:rsid w:val="00391BD1"/>
    <w:rsid w:val="00393283"/>
    <w:rsid w:val="00394CC0"/>
    <w:rsid w:val="00395844"/>
    <w:rsid w:val="00395FF0"/>
    <w:rsid w:val="003A16E0"/>
    <w:rsid w:val="003A1A29"/>
    <w:rsid w:val="003A1BAD"/>
    <w:rsid w:val="003A1F2A"/>
    <w:rsid w:val="003A4D51"/>
    <w:rsid w:val="003B112B"/>
    <w:rsid w:val="003B4C19"/>
    <w:rsid w:val="003C68F1"/>
    <w:rsid w:val="003C6BFD"/>
    <w:rsid w:val="003D006B"/>
    <w:rsid w:val="003D32D1"/>
    <w:rsid w:val="003D5053"/>
    <w:rsid w:val="003E1F94"/>
    <w:rsid w:val="003E4119"/>
    <w:rsid w:val="003E5262"/>
    <w:rsid w:val="003F308E"/>
    <w:rsid w:val="003F3A32"/>
    <w:rsid w:val="003F49B7"/>
    <w:rsid w:val="003F4E91"/>
    <w:rsid w:val="003F4F34"/>
    <w:rsid w:val="003F656C"/>
    <w:rsid w:val="003F78D4"/>
    <w:rsid w:val="0040278E"/>
    <w:rsid w:val="0040320A"/>
    <w:rsid w:val="00406015"/>
    <w:rsid w:val="00407CD1"/>
    <w:rsid w:val="00415DC2"/>
    <w:rsid w:val="0041712C"/>
    <w:rsid w:val="00417C3E"/>
    <w:rsid w:val="00420D2A"/>
    <w:rsid w:val="00422A9C"/>
    <w:rsid w:val="00423631"/>
    <w:rsid w:val="00424934"/>
    <w:rsid w:val="004251C7"/>
    <w:rsid w:val="004269DA"/>
    <w:rsid w:val="00433C75"/>
    <w:rsid w:val="00436756"/>
    <w:rsid w:val="00440723"/>
    <w:rsid w:val="004414C9"/>
    <w:rsid w:val="00443471"/>
    <w:rsid w:val="00443C11"/>
    <w:rsid w:val="0044501C"/>
    <w:rsid w:val="00450CF0"/>
    <w:rsid w:val="00451045"/>
    <w:rsid w:val="004510FA"/>
    <w:rsid w:val="00453593"/>
    <w:rsid w:val="00457C78"/>
    <w:rsid w:val="00457D9A"/>
    <w:rsid w:val="0046010B"/>
    <w:rsid w:val="004604DC"/>
    <w:rsid w:val="00466F5B"/>
    <w:rsid w:val="0047046D"/>
    <w:rsid w:val="004717C7"/>
    <w:rsid w:val="00473107"/>
    <w:rsid w:val="004731A9"/>
    <w:rsid w:val="0047394C"/>
    <w:rsid w:val="004756A3"/>
    <w:rsid w:val="00480BA5"/>
    <w:rsid w:val="00484C83"/>
    <w:rsid w:val="004862C9"/>
    <w:rsid w:val="004863A8"/>
    <w:rsid w:val="00486BA8"/>
    <w:rsid w:val="00487DE8"/>
    <w:rsid w:val="004909EC"/>
    <w:rsid w:val="00491131"/>
    <w:rsid w:val="00492AD8"/>
    <w:rsid w:val="004A3946"/>
    <w:rsid w:val="004A396E"/>
    <w:rsid w:val="004B01C2"/>
    <w:rsid w:val="004B261A"/>
    <w:rsid w:val="004B4151"/>
    <w:rsid w:val="004B4193"/>
    <w:rsid w:val="004C0651"/>
    <w:rsid w:val="004C23CA"/>
    <w:rsid w:val="004C311F"/>
    <w:rsid w:val="004C3F90"/>
    <w:rsid w:val="004C5BA8"/>
    <w:rsid w:val="004C61DC"/>
    <w:rsid w:val="004D1863"/>
    <w:rsid w:val="004D4E6A"/>
    <w:rsid w:val="004D5C1E"/>
    <w:rsid w:val="004D7274"/>
    <w:rsid w:val="004E3242"/>
    <w:rsid w:val="004E5B74"/>
    <w:rsid w:val="004E6A9F"/>
    <w:rsid w:val="004F3C1D"/>
    <w:rsid w:val="004F4B9D"/>
    <w:rsid w:val="004F51CE"/>
    <w:rsid w:val="004F60EB"/>
    <w:rsid w:val="004F6B15"/>
    <w:rsid w:val="004F7785"/>
    <w:rsid w:val="00500589"/>
    <w:rsid w:val="00505B14"/>
    <w:rsid w:val="00505DC7"/>
    <w:rsid w:val="00511DC4"/>
    <w:rsid w:val="0051333E"/>
    <w:rsid w:val="005146F2"/>
    <w:rsid w:val="00515EA7"/>
    <w:rsid w:val="00516C71"/>
    <w:rsid w:val="00522384"/>
    <w:rsid w:val="00524603"/>
    <w:rsid w:val="0052571E"/>
    <w:rsid w:val="005265B6"/>
    <w:rsid w:val="00527A26"/>
    <w:rsid w:val="00532949"/>
    <w:rsid w:val="00532D1C"/>
    <w:rsid w:val="00533BB1"/>
    <w:rsid w:val="00536ADA"/>
    <w:rsid w:val="00536FA1"/>
    <w:rsid w:val="00537030"/>
    <w:rsid w:val="005374FF"/>
    <w:rsid w:val="00537768"/>
    <w:rsid w:val="00540378"/>
    <w:rsid w:val="005404D4"/>
    <w:rsid w:val="005434FF"/>
    <w:rsid w:val="00543A65"/>
    <w:rsid w:val="005472F9"/>
    <w:rsid w:val="00547362"/>
    <w:rsid w:val="00556BF1"/>
    <w:rsid w:val="00556EB6"/>
    <w:rsid w:val="005601C6"/>
    <w:rsid w:val="00560AAE"/>
    <w:rsid w:val="005618AC"/>
    <w:rsid w:val="00562624"/>
    <w:rsid w:val="0056695B"/>
    <w:rsid w:val="005732FB"/>
    <w:rsid w:val="005778AF"/>
    <w:rsid w:val="005800C1"/>
    <w:rsid w:val="0058054C"/>
    <w:rsid w:val="00580F29"/>
    <w:rsid w:val="00581A5F"/>
    <w:rsid w:val="00583606"/>
    <w:rsid w:val="00584C78"/>
    <w:rsid w:val="00585301"/>
    <w:rsid w:val="00586223"/>
    <w:rsid w:val="00590015"/>
    <w:rsid w:val="0059028E"/>
    <w:rsid w:val="0059383C"/>
    <w:rsid w:val="00595401"/>
    <w:rsid w:val="005A1896"/>
    <w:rsid w:val="005A3514"/>
    <w:rsid w:val="005A4034"/>
    <w:rsid w:val="005B1D86"/>
    <w:rsid w:val="005B2A8A"/>
    <w:rsid w:val="005B3A1D"/>
    <w:rsid w:val="005B4832"/>
    <w:rsid w:val="005B4F53"/>
    <w:rsid w:val="005B641A"/>
    <w:rsid w:val="005B7CAA"/>
    <w:rsid w:val="005C14E4"/>
    <w:rsid w:val="005C3301"/>
    <w:rsid w:val="005C3E4B"/>
    <w:rsid w:val="005C4122"/>
    <w:rsid w:val="005C65F5"/>
    <w:rsid w:val="005C6D2D"/>
    <w:rsid w:val="005C6D6E"/>
    <w:rsid w:val="005C6E1F"/>
    <w:rsid w:val="005D0425"/>
    <w:rsid w:val="005D1496"/>
    <w:rsid w:val="005D1E7E"/>
    <w:rsid w:val="005D6925"/>
    <w:rsid w:val="005E1668"/>
    <w:rsid w:val="005E2B55"/>
    <w:rsid w:val="005E37C3"/>
    <w:rsid w:val="005E4FEF"/>
    <w:rsid w:val="005E66AE"/>
    <w:rsid w:val="005F1900"/>
    <w:rsid w:val="005F40CF"/>
    <w:rsid w:val="005F4BE1"/>
    <w:rsid w:val="005F50E3"/>
    <w:rsid w:val="005F5C1D"/>
    <w:rsid w:val="005F5F37"/>
    <w:rsid w:val="005F7576"/>
    <w:rsid w:val="006064B7"/>
    <w:rsid w:val="00610B67"/>
    <w:rsid w:val="006110EF"/>
    <w:rsid w:val="00611C8F"/>
    <w:rsid w:val="0061280F"/>
    <w:rsid w:val="00621B96"/>
    <w:rsid w:val="00622E79"/>
    <w:rsid w:val="006240E1"/>
    <w:rsid w:val="00624624"/>
    <w:rsid w:val="00630093"/>
    <w:rsid w:val="00630A46"/>
    <w:rsid w:val="00634BB4"/>
    <w:rsid w:val="00636ED3"/>
    <w:rsid w:val="00637E17"/>
    <w:rsid w:val="00647EB6"/>
    <w:rsid w:val="00653CDE"/>
    <w:rsid w:val="00656B33"/>
    <w:rsid w:val="00657D7F"/>
    <w:rsid w:val="00657F97"/>
    <w:rsid w:val="00662A52"/>
    <w:rsid w:val="00663CC3"/>
    <w:rsid w:val="00666E8F"/>
    <w:rsid w:val="00670C17"/>
    <w:rsid w:val="00671D3F"/>
    <w:rsid w:val="00672499"/>
    <w:rsid w:val="00672983"/>
    <w:rsid w:val="00673DE2"/>
    <w:rsid w:val="00676BE0"/>
    <w:rsid w:val="00677528"/>
    <w:rsid w:val="006775F9"/>
    <w:rsid w:val="006777B7"/>
    <w:rsid w:val="00683381"/>
    <w:rsid w:val="00684197"/>
    <w:rsid w:val="00694CCF"/>
    <w:rsid w:val="00695B28"/>
    <w:rsid w:val="006966B3"/>
    <w:rsid w:val="0069786D"/>
    <w:rsid w:val="006A1D25"/>
    <w:rsid w:val="006A4031"/>
    <w:rsid w:val="006A4752"/>
    <w:rsid w:val="006B1CEC"/>
    <w:rsid w:val="006B5CB0"/>
    <w:rsid w:val="006B5D2A"/>
    <w:rsid w:val="006B5DA1"/>
    <w:rsid w:val="006B5E75"/>
    <w:rsid w:val="006C051C"/>
    <w:rsid w:val="006C1E72"/>
    <w:rsid w:val="006C49E3"/>
    <w:rsid w:val="006C73C1"/>
    <w:rsid w:val="006D4355"/>
    <w:rsid w:val="006D5646"/>
    <w:rsid w:val="006D5F91"/>
    <w:rsid w:val="006E2F11"/>
    <w:rsid w:val="006E7F4D"/>
    <w:rsid w:val="006F147D"/>
    <w:rsid w:val="006F2B22"/>
    <w:rsid w:val="006F2D8A"/>
    <w:rsid w:val="006F301B"/>
    <w:rsid w:val="006F4FB6"/>
    <w:rsid w:val="006F6768"/>
    <w:rsid w:val="006F73F4"/>
    <w:rsid w:val="006F7D15"/>
    <w:rsid w:val="007011C4"/>
    <w:rsid w:val="00701F01"/>
    <w:rsid w:val="00703476"/>
    <w:rsid w:val="00703B0A"/>
    <w:rsid w:val="00703F4F"/>
    <w:rsid w:val="00706594"/>
    <w:rsid w:val="007070A2"/>
    <w:rsid w:val="0070733F"/>
    <w:rsid w:val="00710AC9"/>
    <w:rsid w:val="0071290B"/>
    <w:rsid w:val="00715556"/>
    <w:rsid w:val="007158F5"/>
    <w:rsid w:val="00716056"/>
    <w:rsid w:val="00721AFE"/>
    <w:rsid w:val="0072298B"/>
    <w:rsid w:val="0072409F"/>
    <w:rsid w:val="00724FED"/>
    <w:rsid w:val="00725191"/>
    <w:rsid w:val="00731B7A"/>
    <w:rsid w:val="00732477"/>
    <w:rsid w:val="00732FEE"/>
    <w:rsid w:val="007336CD"/>
    <w:rsid w:val="007345F4"/>
    <w:rsid w:val="00736479"/>
    <w:rsid w:val="00737A04"/>
    <w:rsid w:val="00752778"/>
    <w:rsid w:val="00753269"/>
    <w:rsid w:val="00756C71"/>
    <w:rsid w:val="00757DE3"/>
    <w:rsid w:val="00761938"/>
    <w:rsid w:val="0076520E"/>
    <w:rsid w:val="00774E6A"/>
    <w:rsid w:val="00781BBC"/>
    <w:rsid w:val="00781E82"/>
    <w:rsid w:val="00782812"/>
    <w:rsid w:val="00783031"/>
    <w:rsid w:val="00783104"/>
    <w:rsid w:val="00783453"/>
    <w:rsid w:val="00786691"/>
    <w:rsid w:val="0078745C"/>
    <w:rsid w:val="00790A52"/>
    <w:rsid w:val="0079311F"/>
    <w:rsid w:val="0079434A"/>
    <w:rsid w:val="0079444C"/>
    <w:rsid w:val="0079795D"/>
    <w:rsid w:val="007A08C1"/>
    <w:rsid w:val="007A33F0"/>
    <w:rsid w:val="007A5400"/>
    <w:rsid w:val="007A5E8F"/>
    <w:rsid w:val="007B0212"/>
    <w:rsid w:val="007B2E6B"/>
    <w:rsid w:val="007B4E03"/>
    <w:rsid w:val="007B58FD"/>
    <w:rsid w:val="007C0749"/>
    <w:rsid w:val="007C14FF"/>
    <w:rsid w:val="007D05EB"/>
    <w:rsid w:val="007D24CC"/>
    <w:rsid w:val="007D2A69"/>
    <w:rsid w:val="007D6DFA"/>
    <w:rsid w:val="007E130E"/>
    <w:rsid w:val="007E1E2D"/>
    <w:rsid w:val="007E59C5"/>
    <w:rsid w:val="007F5CAA"/>
    <w:rsid w:val="007F7BC3"/>
    <w:rsid w:val="00801C75"/>
    <w:rsid w:val="008025BA"/>
    <w:rsid w:val="00803DE5"/>
    <w:rsid w:val="00805E13"/>
    <w:rsid w:val="00807DC6"/>
    <w:rsid w:val="00810B87"/>
    <w:rsid w:val="0081214F"/>
    <w:rsid w:val="008130B2"/>
    <w:rsid w:val="00815EBA"/>
    <w:rsid w:val="00816A4B"/>
    <w:rsid w:val="00820256"/>
    <w:rsid w:val="008212EE"/>
    <w:rsid w:val="00822F0B"/>
    <w:rsid w:val="00823B9E"/>
    <w:rsid w:val="00824340"/>
    <w:rsid w:val="00824577"/>
    <w:rsid w:val="00824C5A"/>
    <w:rsid w:val="00826D47"/>
    <w:rsid w:val="0083060A"/>
    <w:rsid w:val="00831497"/>
    <w:rsid w:val="00831A94"/>
    <w:rsid w:val="00831FE2"/>
    <w:rsid w:val="00832A59"/>
    <w:rsid w:val="00834164"/>
    <w:rsid w:val="008431AF"/>
    <w:rsid w:val="00844EFE"/>
    <w:rsid w:val="0084537E"/>
    <w:rsid w:val="0085504E"/>
    <w:rsid w:val="00855C3F"/>
    <w:rsid w:val="0086020D"/>
    <w:rsid w:val="00860279"/>
    <w:rsid w:val="00860D98"/>
    <w:rsid w:val="0086244E"/>
    <w:rsid w:val="008664E7"/>
    <w:rsid w:val="00872A2F"/>
    <w:rsid w:val="00873CB9"/>
    <w:rsid w:val="00874015"/>
    <w:rsid w:val="0087414E"/>
    <w:rsid w:val="0087522E"/>
    <w:rsid w:val="00875FBB"/>
    <w:rsid w:val="00877CCA"/>
    <w:rsid w:val="0088071F"/>
    <w:rsid w:val="008865A4"/>
    <w:rsid w:val="00886FA4"/>
    <w:rsid w:val="00892B19"/>
    <w:rsid w:val="0089304A"/>
    <w:rsid w:val="00893E23"/>
    <w:rsid w:val="00895846"/>
    <w:rsid w:val="008968D9"/>
    <w:rsid w:val="008A0042"/>
    <w:rsid w:val="008A12D6"/>
    <w:rsid w:val="008A4373"/>
    <w:rsid w:val="008A4480"/>
    <w:rsid w:val="008A5170"/>
    <w:rsid w:val="008A5611"/>
    <w:rsid w:val="008A6CD2"/>
    <w:rsid w:val="008B0077"/>
    <w:rsid w:val="008B65A4"/>
    <w:rsid w:val="008C0F22"/>
    <w:rsid w:val="008C1F9A"/>
    <w:rsid w:val="008C3573"/>
    <w:rsid w:val="008C367F"/>
    <w:rsid w:val="008D025A"/>
    <w:rsid w:val="008D3363"/>
    <w:rsid w:val="008D45CD"/>
    <w:rsid w:val="008D4F39"/>
    <w:rsid w:val="008E0B8E"/>
    <w:rsid w:val="008E0E71"/>
    <w:rsid w:val="008E2907"/>
    <w:rsid w:val="008E3CB2"/>
    <w:rsid w:val="008E51E2"/>
    <w:rsid w:val="008E5978"/>
    <w:rsid w:val="008E60F4"/>
    <w:rsid w:val="008E7657"/>
    <w:rsid w:val="008F2871"/>
    <w:rsid w:val="008F5365"/>
    <w:rsid w:val="008F6563"/>
    <w:rsid w:val="00901061"/>
    <w:rsid w:val="009021DB"/>
    <w:rsid w:val="00902CAF"/>
    <w:rsid w:val="0090781A"/>
    <w:rsid w:val="00912A30"/>
    <w:rsid w:val="0091563D"/>
    <w:rsid w:val="00915C26"/>
    <w:rsid w:val="00916BBF"/>
    <w:rsid w:val="009171D7"/>
    <w:rsid w:val="00921A5F"/>
    <w:rsid w:val="009223D0"/>
    <w:rsid w:val="00925BBD"/>
    <w:rsid w:val="00926223"/>
    <w:rsid w:val="00927299"/>
    <w:rsid w:val="00927777"/>
    <w:rsid w:val="0093044B"/>
    <w:rsid w:val="00931FCE"/>
    <w:rsid w:val="0094045D"/>
    <w:rsid w:val="0094154F"/>
    <w:rsid w:val="009419A5"/>
    <w:rsid w:val="00943644"/>
    <w:rsid w:val="009438A3"/>
    <w:rsid w:val="0095033D"/>
    <w:rsid w:val="00953530"/>
    <w:rsid w:val="0095479A"/>
    <w:rsid w:val="00954E8A"/>
    <w:rsid w:val="00955D8B"/>
    <w:rsid w:val="00956C81"/>
    <w:rsid w:val="0095791E"/>
    <w:rsid w:val="009615A0"/>
    <w:rsid w:val="00961CC9"/>
    <w:rsid w:val="00961DBF"/>
    <w:rsid w:val="00962588"/>
    <w:rsid w:val="00964937"/>
    <w:rsid w:val="00964B85"/>
    <w:rsid w:val="00966374"/>
    <w:rsid w:val="00966939"/>
    <w:rsid w:val="00966A63"/>
    <w:rsid w:val="00971571"/>
    <w:rsid w:val="0097333C"/>
    <w:rsid w:val="009733EE"/>
    <w:rsid w:val="0098111E"/>
    <w:rsid w:val="009812C5"/>
    <w:rsid w:val="00982266"/>
    <w:rsid w:val="00982D4D"/>
    <w:rsid w:val="009860AC"/>
    <w:rsid w:val="0099010A"/>
    <w:rsid w:val="0099215C"/>
    <w:rsid w:val="00995025"/>
    <w:rsid w:val="009962DA"/>
    <w:rsid w:val="009965BC"/>
    <w:rsid w:val="00996E8C"/>
    <w:rsid w:val="00997AAF"/>
    <w:rsid w:val="009A253A"/>
    <w:rsid w:val="009A47C6"/>
    <w:rsid w:val="009A5B3E"/>
    <w:rsid w:val="009A62D7"/>
    <w:rsid w:val="009A660F"/>
    <w:rsid w:val="009B24AC"/>
    <w:rsid w:val="009B295D"/>
    <w:rsid w:val="009B2B9E"/>
    <w:rsid w:val="009B5C32"/>
    <w:rsid w:val="009B6BB0"/>
    <w:rsid w:val="009C00D0"/>
    <w:rsid w:val="009C0F77"/>
    <w:rsid w:val="009C2037"/>
    <w:rsid w:val="009C41F2"/>
    <w:rsid w:val="009D2120"/>
    <w:rsid w:val="009D357D"/>
    <w:rsid w:val="009D5F49"/>
    <w:rsid w:val="009D646A"/>
    <w:rsid w:val="009D7521"/>
    <w:rsid w:val="009D7B19"/>
    <w:rsid w:val="009D7F76"/>
    <w:rsid w:val="009E0A77"/>
    <w:rsid w:val="009E1E55"/>
    <w:rsid w:val="009E2AA3"/>
    <w:rsid w:val="009E3439"/>
    <w:rsid w:val="009E37CE"/>
    <w:rsid w:val="009E387A"/>
    <w:rsid w:val="009E43E7"/>
    <w:rsid w:val="009E610E"/>
    <w:rsid w:val="009E64F5"/>
    <w:rsid w:val="009F0EDF"/>
    <w:rsid w:val="009F1558"/>
    <w:rsid w:val="009F2321"/>
    <w:rsid w:val="009F244D"/>
    <w:rsid w:val="009F4D11"/>
    <w:rsid w:val="009F50B1"/>
    <w:rsid w:val="009F59D5"/>
    <w:rsid w:val="009F6189"/>
    <w:rsid w:val="00A0021D"/>
    <w:rsid w:val="00A01E4E"/>
    <w:rsid w:val="00A0250D"/>
    <w:rsid w:val="00A02DBB"/>
    <w:rsid w:val="00A04593"/>
    <w:rsid w:val="00A059B8"/>
    <w:rsid w:val="00A05A65"/>
    <w:rsid w:val="00A05F14"/>
    <w:rsid w:val="00A06049"/>
    <w:rsid w:val="00A07C30"/>
    <w:rsid w:val="00A121FD"/>
    <w:rsid w:val="00A139D3"/>
    <w:rsid w:val="00A13FDB"/>
    <w:rsid w:val="00A1621D"/>
    <w:rsid w:val="00A20195"/>
    <w:rsid w:val="00A20407"/>
    <w:rsid w:val="00A20693"/>
    <w:rsid w:val="00A2601A"/>
    <w:rsid w:val="00A27148"/>
    <w:rsid w:val="00A27233"/>
    <w:rsid w:val="00A307DF"/>
    <w:rsid w:val="00A350C0"/>
    <w:rsid w:val="00A3549B"/>
    <w:rsid w:val="00A401DD"/>
    <w:rsid w:val="00A40A39"/>
    <w:rsid w:val="00A461F3"/>
    <w:rsid w:val="00A528F4"/>
    <w:rsid w:val="00A53527"/>
    <w:rsid w:val="00A54602"/>
    <w:rsid w:val="00A54BC9"/>
    <w:rsid w:val="00A5690B"/>
    <w:rsid w:val="00A57B1F"/>
    <w:rsid w:val="00A601B6"/>
    <w:rsid w:val="00A647A3"/>
    <w:rsid w:val="00A6506D"/>
    <w:rsid w:val="00A65159"/>
    <w:rsid w:val="00A65963"/>
    <w:rsid w:val="00A65C8B"/>
    <w:rsid w:val="00A66567"/>
    <w:rsid w:val="00A6684E"/>
    <w:rsid w:val="00A72BB8"/>
    <w:rsid w:val="00A7307F"/>
    <w:rsid w:val="00A73A8E"/>
    <w:rsid w:val="00A77006"/>
    <w:rsid w:val="00A77603"/>
    <w:rsid w:val="00A80384"/>
    <w:rsid w:val="00A81AF3"/>
    <w:rsid w:val="00A83CA1"/>
    <w:rsid w:val="00A84118"/>
    <w:rsid w:val="00A864D4"/>
    <w:rsid w:val="00A86BB6"/>
    <w:rsid w:val="00A9535D"/>
    <w:rsid w:val="00AA1A1A"/>
    <w:rsid w:val="00AA1C9F"/>
    <w:rsid w:val="00AA2E90"/>
    <w:rsid w:val="00AA2EA6"/>
    <w:rsid w:val="00AA5531"/>
    <w:rsid w:val="00AA6235"/>
    <w:rsid w:val="00AB1EB8"/>
    <w:rsid w:val="00AB2D8A"/>
    <w:rsid w:val="00AC0477"/>
    <w:rsid w:val="00AC3138"/>
    <w:rsid w:val="00AC4555"/>
    <w:rsid w:val="00AC6113"/>
    <w:rsid w:val="00AD0415"/>
    <w:rsid w:val="00AD1093"/>
    <w:rsid w:val="00AD19FD"/>
    <w:rsid w:val="00AD3BBB"/>
    <w:rsid w:val="00AD3F1A"/>
    <w:rsid w:val="00AD52EB"/>
    <w:rsid w:val="00AD73B9"/>
    <w:rsid w:val="00AD7AA0"/>
    <w:rsid w:val="00AD7D02"/>
    <w:rsid w:val="00AE1127"/>
    <w:rsid w:val="00AE3764"/>
    <w:rsid w:val="00AE636E"/>
    <w:rsid w:val="00AF37EA"/>
    <w:rsid w:val="00AF588F"/>
    <w:rsid w:val="00AF770C"/>
    <w:rsid w:val="00AF7ABF"/>
    <w:rsid w:val="00B00394"/>
    <w:rsid w:val="00B00E77"/>
    <w:rsid w:val="00B025F3"/>
    <w:rsid w:val="00B04036"/>
    <w:rsid w:val="00B05445"/>
    <w:rsid w:val="00B05582"/>
    <w:rsid w:val="00B0617C"/>
    <w:rsid w:val="00B07A0A"/>
    <w:rsid w:val="00B1040E"/>
    <w:rsid w:val="00B10EF1"/>
    <w:rsid w:val="00B146FE"/>
    <w:rsid w:val="00B15DE4"/>
    <w:rsid w:val="00B178E6"/>
    <w:rsid w:val="00B17DFD"/>
    <w:rsid w:val="00B2121B"/>
    <w:rsid w:val="00B2146A"/>
    <w:rsid w:val="00B21C5C"/>
    <w:rsid w:val="00B229B6"/>
    <w:rsid w:val="00B22C02"/>
    <w:rsid w:val="00B27551"/>
    <w:rsid w:val="00B30488"/>
    <w:rsid w:val="00B32A26"/>
    <w:rsid w:val="00B358FD"/>
    <w:rsid w:val="00B373DE"/>
    <w:rsid w:val="00B4218A"/>
    <w:rsid w:val="00B438C1"/>
    <w:rsid w:val="00B438F0"/>
    <w:rsid w:val="00B43EDD"/>
    <w:rsid w:val="00B47A84"/>
    <w:rsid w:val="00B510D2"/>
    <w:rsid w:val="00B5521C"/>
    <w:rsid w:val="00B55E81"/>
    <w:rsid w:val="00B573EC"/>
    <w:rsid w:val="00B610F8"/>
    <w:rsid w:val="00B64159"/>
    <w:rsid w:val="00B65898"/>
    <w:rsid w:val="00B67363"/>
    <w:rsid w:val="00B710EF"/>
    <w:rsid w:val="00B72998"/>
    <w:rsid w:val="00B779CB"/>
    <w:rsid w:val="00B80E6E"/>
    <w:rsid w:val="00B83A8F"/>
    <w:rsid w:val="00B84C19"/>
    <w:rsid w:val="00B85BC8"/>
    <w:rsid w:val="00B86303"/>
    <w:rsid w:val="00B86DD8"/>
    <w:rsid w:val="00B9045F"/>
    <w:rsid w:val="00B92EFC"/>
    <w:rsid w:val="00B9478E"/>
    <w:rsid w:val="00B95A07"/>
    <w:rsid w:val="00B967E2"/>
    <w:rsid w:val="00B96FA0"/>
    <w:rsid w:val="00BA074B"/>
    <w:rsid w:val="00BA13CD"/>
    <w:rsid w:val="00BA2EA6"/>
    <w:rsid w:val="00BA50ED"/>
    <w:rsid w:val="00BA6558"/>
    <w:rsid w:val="00BA723D"/>
    <w:rsid w:val="00BB1520"/>
    <w:rsid w:val="00BB17FD"/>
    <w:rsid w:val="00BB438D"/>
    <w:rsid w:val="00BB4D9F"/>
    <w:rsid w:val="00BB5CA7"/>
    <w:rsid w:val="00BC1139"/>
    <w:rsid w:val="00BC4322"/>
    <w:rsid w:val="00BC5137"/>
    <w:rsid w:val="00BC53EF"/>
    <w:rsid w:val="00BC667F"/>
    <w:rsid w:val="00BD2362"/>
    <w:rsid w:val="00BD3EF2"/>
    <w:rsid w:val="00BD6540"/>
    <w:rsid w:val="00BD71F0"/>
    <w:rsid w:val="00BE21D9"/>
    <w:rsid w:val="00BE775E"/>
    <w:rsid w:val="00BF0534"/>
    <w:rsid w:val="00BF3737"/>
    <w:rsid w:val="00BF3E9E"/>
    <w:rsid w:val="00BF51C4"/>
    <w:rsid w:val="00C017F0"/>
    <w:rsid w:val="00C03D11"/>
    <w:rsid w:val="00C056A6"/>
    <w:rsid w:val="00C06D02"/>
    <w:rsid w:val="00C07B17"/>
    <w:rsid w:val="00C106B0"/>
    <w:rsid w:val="00C112F1"/>
    <w:rsid w:val="00C11431"/>
    <w:rsid w:val="00C157B0"/>
    <w:rsid w:val="00C168F6"/>
    <w:rsid w:val="00C2023D"/>
    <w:rsid w:val="00C2059B"/>
    <w:rsid w:val="00C20885"/>
    <w:rsid w:val="00C20AC2"/>
    <w:rsid w:val="00C20F99"/>
    <w:rsid w:val="00C22798"/>
    <w:rsid w:val="00C259EB"/>
    <w:rsid w:val="00C25A89"/>
    <w:rsid w:val="00C26530"/>
    <w:rsid w:val="00C3089E"/>
    <w:rsid w:val="00C32302"/>
    <w:rsid w:val="00C341F3"/>
    <w:rsid w:val="00C35FD8"/>
    <w:rsid w:val="00C3617E"/>
    <w:rsid w:val="00C36BC7"/>
    <w:rsid w:val="00C44CF8"/>
    <w:rsid w:val="00C45882"/>
    <w:rsid w:val="00C46804"/>
    <w:rsid w:val="00C50FB7"/>
    <w:rsid w:val="00C5148A"/>
    <w:rsid w:val="00C52188"/>
    <w:rsid w:val="00C52AAA"/>
    <w:rsid w:val="00C5658D"/>
    <w:rsid w:val="00C56989"/>
    <w:rsid w:val="00C60A63"/>
    <w:rsid w:val="00C63F68"/>
    <w:rsid w:val="00C65C4D"/>
    <w:rsid w:val="00C65E03"/>
    <w:rsid w:val="00C704A3"/>
    <w:rsid w:val="00C71E24"/>
    <w:rsid w:val="00C73CDE"/>
    <w:rsid w:val="00C75912"/>
    <w:rsid w:val="00C76EC1"/>
    <w:rsid w:val="00C7721C"/>
    <w:rsid w:val="00C80381"/>
    <w:rsid w:val="00C87493"/>
    <w:rsid w:val="00C910D5"/>
    <w:rsid w:val="00C9263A"/>
    <w:rsid w:val="00C95146"/>
    <w:rsid w:val="00C954F3"/>
    <w:rsid w:val="00C96650"/>
    <w:rsid w:val="00C96672"/>
    <w:rsid w:val="00C9717A"/>
    <w:rsid w:val="00CA259A"/>
    <w:rsid w:val="00CA36C1"/>
    <w:rsid w:val="00CA43B4"/>
    <w:rsid w:val="00CA45A7"/>
    <w:rsid w:val="00CB1C46"/>
    <w:rsid w:val="00CB2B92"/>
    <w:rsid w:val="00CB4D99"/>
    <w:rsid w:val="00CB50CA"/>
    <w:rsid w:val="00CB52C9"/>
    <w:rsid w:val="00CB72CE"/>
    <w:rsid w:val="00CB7F97"/>
    <w:rsid w:val="00CC00A8"/>
    <w:rsid w:val="00CC1E31"/>
    <w:rsid w:val="00CC4498"/>
    <w:rsid w:val="00CC52E9"/>
    <w:rsid w:val="00CC5C76"/>
    <w:rsid w:val="00CD1846"/>
    <w:rsid w:val="00CD3CCE"/>
    <w:rsid w:val="00CD579F"/>
    <w:rsid w:val="00CD61F8"/>
    <w:rsid w:val="00CE0376"/>
    <w:rsid w:val="00CE11E2"/>
    <w:rsid w:val="00CE42EE"/>
    <w:rsid w:val="00CE53BF"/>
    <w:rsid w:val="00CE5F51"/>
    <w:rsid w:val="00CE7E05"/>
    <w:rsid w:val="00CF3660"/>
    <w:rsid w:val="00CF5215"/>
    <w:rsid w:val="00CF78E4"/>
    <w:rsid w:val="00D01A44"/>
    <w:rsid w:val="00D0448E"/>
    <w:rsid w:val="00D0596A"/>
    <w:rsid w:val="00D1112F"/>
    <w:rsid w:val="00D113DF"/>
    <w:rsid w:val="00D16AB0"/>
    <w:rsid w:val="00D208D7"/>
    <w:rsid w:val="00D27BC8"/>
    <w:rsid w:val="00D31D7C"/>
    <w:rsid w:val="00D35739"/>
    <w:rsid w:val="00D35B58"/>
    <w:rsid w:val="00D36354"/>
    <w:rsid w:val="00D369BF"/>
    <w:rsid w:val="00D41D95"/>
    <w:rsid w:val="00D41F96"/>
    <w:rsid w:val="00D42BEE"/>
    <w:rsid w:val="00D44112"/>
    <w:rsid w:val="00D44657"/>
    <w:rsid w:val="00D456BB"/>
    <w:rsid w:val="00D46150"/>
    <w:rsid w:val="00D468B3"/>
    <w:rsid w:val="00D50121"/>
    <w:rsid w:val="00D50343"/>
    <w:rsid w:val="00D52696"/>
    <w:rsid w:val="00D53CB0"/>
    <w:rsid w:val="00D6156A"/>
    <w:rsid w:val="00D6318B"/>
    <w:rsid w:val="00D64E3E"/>
    <w:rsid w:val="00D70682"/>
    <w:rsid w:val="00D70731"/>
    <w:rsid w:val="00D74BE9"/>
    <w:rsid w:val="00D75D84"/>
    <w:rsid w:val="00D77A25"/>
    <w:rsid w:val="00D77F45"/>
    <w:rsid w:val="00D825F7"/>
    <w:rsid w:val="00D83204"/>
    <w:rsid w:val="00D84716"/>
    <w:rsid w:val="00D850B1"/>
    <w:rsid w:val="00D85E7B"/>
    <w:rsid w:val="00D9183C"/>
    <w:rsid w:val="00D92A75"/>
    <w:rsid w:val="00D944EA"/>
    <w:rsid w:val="00D95C70"/>
    <w:rsid w:val="00D96C97"/>
    <w:rsid w:val="00D972AF"/>
    <w:rsid w:val="00D979E0"/>
    <w:rsid w:val="00D97A5A"/>
    <w:rsid w:val="00D97A9D"/>
    <w:rsid w:val="00D97CE7"/>
    <w:rsid w:val="00DA1742"/>
    <w:rsid w:val="00DA2F1D"/>
    <w:rsid w:val="00DA5963"/>
    <w:rsid w:val="00DB08FA"/>
    <w:rsid w:val="00DB7F68"/>
    <w:rsid w:val="00DB7FCE"/>
    <w:rsid w:val="00DC0ADC"/>
    <w:rsid w:val="00DC2053"/>
    <w:rsid w:val="00DC27C7"/>
    <w:rsid w:val="00DC3FDB"/>
    <w:rsid w:val="00DC4076"/>
    <w:rsid w:val="00DC42AB"/>
    <w:rsid w:val="00DC530F"/>
    <w:rsid w:val="00DC66FB"/>
    <w:rsid w:val="00DD1988"/>
    <w:rsid w:val="00DD4B97"/>
    <w:rsid w:val="00DD6062"/>
    <w:rsid w:val="00DD6ED1"/>
    <w:rsid w:val="00DE1263"/>
    <w:rsid w:val="00DE2A23"/>
    <w:rsid w:val="00DE32B2"/>
    <w:rsid w:val="00DE363F"/>
    <w:rsid w:val="00DF6618"/>
    <w:rsid w:val="00E0022E"/>
    <w:rsid w:val="00E01AF0"/>
    <w:rsid w:val="00E02726"/>
    <w:rsid w:val="00E04343"/>
    <w:rsid w:val="00E0694E"/>
    <w:rsid w:val="00E11A8E"/>
    <w:rsid w:val="00E14455"/>
    <w:rsid w:val="00E179D8"/>
    <w:rsid w:val="00E17C6D"/>
    <w:rsid w:val="00E200B7"/>
    <w:rsid w:val="00E21443"/>
    <w:rsid w:val="00E21C34"/>
    <w:rsid w:val="00E270C8"/>
    <w:rsid w:val="00E27650"/>
    <w:rsid w:val="00E3089A"/>
    <w:rsid w:val="00E31121"/>
    <w:rsid w:val="00E33B4F"/>
    <w:rsid w:val="00E36161"/>
    <w:rsid w:val="00E36C9D"/>
    <w:rsid w:val="00E4073D"/>
    <w:rsid w:val="00E44E9A"/>
    <w:rsid w:val="00E46126"/>
    <w:rsid w:val="00E465FC"/>
    <w:rsid w:val="00E5146A"/>
    <w:rsid w:val="00E5474F"/>
    <w:rsid w:val="00E56182"/>
    <w:rsid w:val="00E564EB"/>
    <w:rsid w:val="00E56828"/>
    <w:rsid w:val="00E57427"/>
    <w:rsid w:val="00E61A4B"/>
    <w:rsid w:val="00E64F6A"/>
    <w:rsid w:val="00E656E5"/>
    <w:rsid w:val="00E67637"/>
    <w:rsid w:val="00E73E6F"/>
    <w:rsid w:val="00E74243"/>
    <w:rsid w:val="00E75F0E"/>
    <w:rsid w:val="00E7678C"/>
    <w:rsid w:val="00E77183"/>
    <w:rsid w:val="00E82FB8"/>
    <w:rsid w:val="00E8348F"/>
    <w:rsid w:val="00E84B9D"/>
    <w:rsid w:val="00E869BC"/>
    <w:rsid w:val="00E8756A"/>
    <w:rsid w:val="00E902CA"/>
    <w:rsid w:val="00E91006"/>
    <w:rsid w:val="00E94A94"/>
    <w:rsid w:val="00E95D0C"/>
    <w:rsid w:val="00E963DA"/>
    <w:rsid w:val="00E96BB5"/>
    <w:rsid w:val="00E97691"/>
    <w:rsid w:val="00EA4217"/>
    <w:rsid w:val="00EA5941"/>
    <w:rsid w:val="00EB255D"/>
    <w:rsid w:val="00EB3980"/>
    <w:rsid w:val="00EB3BE2"/>
    <w:rsid w:val="00EB7958"/>
    <w:rsid w:val="00EC336E"/>
    <w:rsid w:val="00EC44AC"/>
    <w:rsid w:val="00EC5952"/>
    <w:rsid w:val="00EC5C91"/>
    <w:rsid w:val="00ED1D6A"/>
    <w:rsid w:val="00ED5701"/>
    <w:rsid w:val="00ED577E"/>
    <w:rsid w:val="00EE17AB"/>
    <w:rsid w:val="00EE32D3"/>
    <w:rsid w:val="00EF08C4"/>
    <w:rsid w:val="00EF1885"/>
    <w:rsid w:val="00EF1957"/>
    <w:rsid w:val="00EF2B15"/>
    <w:rsid w:val="00EF5C20"/>
    <w:rsid w:val="00EF73D2"/>
    <w:rsid w:val="00EF77F7"/>
    <w:rsid w:val="00F020F3"/>
    <w:rsid w:val="00F02560"/>
    <w:rsid w:val="00F03CC7"/>
    <w:rsid w:val="00F04CD0"/>
    <w:rsid w:val="00F05C8D"/>
    <w:rsid w:val="00F07172"/>
    <w:rsid w:val="00F10153"/>
    <w:rsid w:val="00F1155F"/>
    <w:rsid w:val="00F1211D"/>
    <w:rsid w:val="00F12AAA"/>
    <w:rsid w:val="00F13D57"/>
    <w:rsid w:val="00F17FC8"/>
    <w:rsid w:val="00F20C79"/>
    <w:rsid w:val="00F21F90"/>
    <w:rsid w:val="00F25309"/>
    <w:rsid w:val="00F26D38"/>
    <w:rsid w:val="00F2792F"/>
    <w:rsid w:val="00F32666"/>
    <w:rsid w:val="00F34FBC"/>
    <w:rsid w:val="00F35DBE"/>
    <w:rsid w:val="00F364FD"/>
    <w:rsid w:val="00F3665A"/>
    <w:rsid w:val="00F36708"/>
    <w:rsid w:val="00F36780"/>
    <w:rsid w:val="00F372DF"/>
    <w:rsid w:val="00F40AF4"/>
    <w:rsid w:val="00F41656"/>
    <w:rsid w:val="00F4171A"/>
    <w:rsid w:val="00F429B8"/>
    <w:rsid w:val="00F4555F"/>
    <w:rsid w:val="00F468A5"/>
    <w:rsid w:val="00F507D2"/>
    <w:rsid w:val="00F519F3"/>
    <w:rsid w:val="00F541F0"/>
    <w:rsid w:val="00F565BB"/>
    <w:rsid w:val="00F565CB"/>
    <w:rsid w:val="00F56677"/>
    <w:rsid w:val="00F57955"/>
    <w:rsid w:val="00F60F00"/>
    <w:rsid w:val="00F615FA"/>
    <w:rsid w:val="00F624CA"/>
    <w:rsid w:val="00F630CA"/>
    <w:rsid w:val="00F64544"/>
    <w:rsid w:val="00F66671"/>
    <w:rsid w:val="00F67803"/>
    <w:rsid w:val="00F67EAA"/>
    <w:rsid w:val="00F720DA"/>
    <w:rsid w:val="00F7210A"/>
    <w:rsid w:val="00F7420E"/>
    <w:rsid w:val="00F74D1C"/>
    <w:rsid w:val="00F77A40"/>
    <w:rsid w:val="00F77F99"/>
    <w:rsid w:val="00F80194"/>
    <w:rsid w:val="00F839BD"/>
    <w:rsid w:val="00F85C31"/>
    <w:rsid w:val="00F866AA"/>
    <w:rsid w:val="00F92C4C"/>
    <w:rsid w:val="00F948D2"/>
    <w:rsid w:val="00FA0DE3"/>
    <w:rsid w:val="00FA23C5"/>
    <w:rsid w:val="00FA4BE3"/>
    <w:rsid w:val="00FB007E"/>
    <w:rsid w:val="00FB31FE"/>
    <w:rsid w:val="00FB3E63"/>
    <w:rsid w:val="00FB6D2B"/>
    <w:rsid w:val="00FC0CA7"/>
    <w:rsid w:val="00FC17BF"/>
    <w:rsid w:val="00FC1B58"/>
    <w:rsid w:val="00FC26A4"/>
    <w:rsid w:val="00FC41D1"/>
    <w:rsid w:val="00FC5015"/>
    <w:rsid w:val="00FC5FE5"/>
    <w:rsid w:val="00FC62F6"/>
    <w:rsid w:val="00FC6DF8"/>
    <w:rsid w:val="00FC74CF"/>
    <w:rsid w:val="00FD0993"/>
    <w:rsid w:val="00FD1BE5"/>
    <w:rsid w:val="00FD38D4"/>
    <w:rsid w:val="00FD6F9D"/>
    <w:rsid w:val="00FD7B27"/>
    <w:rsid w:val="00FE0BCD"/>
    <w:rsid w:val="00FE3F92"/>
    <w:rsid w:val="00FE60AD"/>
    <w:rsid w:val="00FE7000"/>
    <w:rsid w:val="00FF4BC2"/>
    <w:rsid w:val="00FF71F2"/>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4DD1"/>
  <w15:chartTrackingRefBased/>
  <w15:docId w15:val="{43A52838-B656-4A07-8D06-0A4A9136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3F1A"/>
    <w:pPr>
      <w:spacing w:before="240" w:after="0"/>
    </w:pPr>
    <w:rPr>
      <w:rFonts w:ascii="Times New Roman" w:hAnsi="Times New Roman"/>
      <w:sz w:val="24"/>
    </w:rPr>
  </w:style>
  <w:style w:type="paragraph" w:styleId="Heading1">
    <w:name w:val="heading 1"/>
    <w:basedOn w:val="Normal"/>
    <w:next w:val="Normal"/>
    <w:link w:val="Heading1Char"/>
    <w:uiPriority w:val="9"/>
    <w:qFormat/>
    <w:rsid w:val="00D92A75"/>
    <w:pPr>
      <w:keepNext/>
      <w:keepLines/>
      <w:numPr>
        <w:numId w:val="8"/>
      </w:numPr>
      <w:spacing w:before="480"/>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D92A75"/>
    <w:pPr>
      <w:keepNext/>
      <w:keepLines/>
      <w:numPr>
        <w:ilvl w:val="1"/>
        <w:numId w:val="8"/>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92A75"/>
    <w:pPr>
      <w:keepNext/>
      <w:keepLines/>
      <w:numPr>
        <w:ilvl w:val="2"/>
        <w:numId w:val="8"/>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D92A75"/>
    <w:pPr>
      <w:keepNext/>
      <w:keepLines/>
      <w:numPr>
        <w:ilvl w:val="3"/>
        <w:numId w:val="8"/>
      </w:numPr>
      <w:spacing w:before="200"/>
      <w:outlineLvl w:val="3"/>
    </w:pPr>
    <w:rPr>
      <w:rFonts w:eastAsiaTheme="majorEastAsia"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4EB"/>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4731A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731A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92A75"/>
    <w:rPr>
      <w:rFonts w:ascii="Times New Roman" w:eastAsiaTheme="majorEastAsia" w:hAnsi="Times New Roman" w:cstheme="majorBidi"/>
      <w:bCs/>
      <w:iCs/>
      <w:color w:val="000000" w:themeColor="text1"/>
      <w:sz w:val="24"/>
    </w:rPr>
  </w:style>
  <w:style w:type="paragraph" w:customStyle="1" w:styleId="Cuerpo">
    <w:name w:val="Cuerpo"/>
    <w:rsid w:val="004C0651"/>
    <w:pPr>
      <w:pBdr>
        <w:top w:val="nil"/>
        <w:left w:val="nil"/>
        <w:bottom w:val="nil"/>
        <w:right w:val="nil"/>
        <w:between w:val="nil"/>
        <w:bar w:val="nil"/>
      </w:pBdr>
    </w:pPr>
    <w:rPr>
      <w:rFonts w:ascii="Calibri" w:eastAsia="Calibri" w:hAnsi="Calibri" w:cs="Calibri"/>
      <w:color w:val="000000"/>
      <w:u w:color="000000"/>
      <w:bdr w:val="nil"/>
      <w:lang w:eastAsia="zh-CN"/>
    </w:rPr>
  </w:style>
  <w:style w:type="paragraph" w:styleId="ListParagraph">
    <w:name w:val="List Paragraph"/>
    <w:basedOn w:val="Normal"/>
    <w:uiPriority w:val="34"/>
    <w:qFormat/>
    <w:rsid w:val="002267D3"/>
    <w:pPr>
      <w:spacing w:before="0" w:line="240" w:lineRule="auto"/>
      <w:ind w:left="72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21A10-5266-4939-BB94-0D0C1E97F69B}"/>
</file>

<file path=customXml/itemProps2.xml><?xml version="1.0" encoding="utf-8"?>
<ds:datastoreItem xmlns:ds="http://schemas.openxmlformats.org/officeDocument/2006/customXml" ds:itemID="{938A3425-497B-4610-9D19-27390175CC91}"/>
</file>

<file path=customXml/itemProps3.xml><?xml version="1.0" encoding="utf-8"?>
<ds:datastoreItem xmlns:ds="http://schemas.openxmlformats.org/officeDocument/2006/customXml" ds:itemID="{8AD705DD-0F69-4340-B7DC-BA928FA87B80}"/>
</file>

<file path=docProps/app.xml><?xml version="1.0" encoding="utf-8"?>
<Properties xmlns="http://schemas.openxmlformats.org/officeDocument/2006/extended-properties" xmlns:vt="http://schemas.openxmlformats.org/officeDocument/2006/docPropsVTypes">
  <Template>Normal</Template>
  <TotalTime>782</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Meyerstein</dc:creator>
  <cp:keywords/>
  <dc:description/>
  <cp:lastModifiedBy>Ariel Meyerstein</cp:lastModifiedBy>
  <cp:revision>6</cp:revision>
  <dcterms:created xsi:type="dcterms:W3CDTF">2016-10-24T18:10:00Z</dcterms:created>
  <dcterms:modified xsi:type="dcterms:W3CDTF">2016-10-25T14:45:00Z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1838609361</vt:i4>
  </property>
  <property fmtid="{D5CDD505-2E9C-101B-9397-08002B2CF9AE}" pid="3" name="_NewReviewCycle">
    <vt:lpwstr/>
  </property>
  <property fmtid="{D5CDD505-2E9C-101B-9397-08002B2CF9AE}" pid="4" name="_EmailSubject">
    <vt:lpwstr>International Chamber of Commerce intervention on Panel 2, subtheme 2</vt:lpwstr>
  </property>
  <property fmtid="{D5CDD505-2E9C-101B-9397-08002B2CF9AE}" pid="5" name="_AuthorEmail">
    <vt:lpwstr>ameyerstein@uscib.org</vt:lpwstr>
  </property>
  <property fmtid="{D5CDD505-2E9C-101B-9397-08002B2CF9AE}" pid="6" name="_AuthorEmailDisplayName">
    <vt:lpwstr>Ariel Meyerstein</vt:lpwstr>
  </property>
  <property fmtid="{D5CDD505-2E9C-101B-9397-08002B2CF9AE}" pid="7" name="ContentTypeId">
    <vt:lpwstr>0x0101008822B9E06671B54FA89F14538B9B0FEA</vt:lpwstr>
  </property>
  <property fmtid="{D5CDD505-2E9C-101B-9397-08002B2CF9AE}" pid="8" name="Order">
    <vt:r8>3809900</vt:r8>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