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CF" w:rsidRDefault="00E677CF" w:rsidP="00E677CF">
      <w:pPr>
        <w:spacing w:before="120"/>
        <w:rPr>
          <w:b/>
          <w:bCs/>
          <w:sz w:val="24"/>
          <w:szCs w:val="24"/>
        </w:rPr>
      </w:pPr>
      <w:r w:rsidRPr="00C151FC">
        <w:rPr>
          <w:b/>
          <w:bCs/>
          <w:sz w:val="24"/>
          <w:szCs w:val="24"/>
        </w:rPr>
        <w:t>Subcommittee on Prevention of Torture</w:t>
      </w:r>
      <w:r w:rsidRPr="00C151FC">
        <w:rPr>
          <w:b/>
          <w:bCs/>
          <w:sz w:val="24"/>
          <w:szCs w:val="24"/>
        </w:rPr>
        <w:br/>
        <w:t>and Other Cruel, Inhuman or Degrading</w:t>
      </w:r>
      <w:r w:rsidRPr="00C151FC">
        <w:rPr>
          <w:b/>
          <w:bCs/>
          <w:sz w:val="24"/>
          <w:szCs w:val="24"/>
        </w:rPr>
        <w:br/>
        <w:t>Treatment or Punishment</w:t>
      </w:r>
    </w:p>
    <w:p w:rsidR="001811BC" w:rsidRDefault="00E677CF" w:rsidP="00BA44B0">
      <w:pPr>
        <w:pStyle w:val="HChG"/>
      </w:pPr>
      <w:r>
        <w:tab/>
      </w:r>
      <w:r>
        <w:tab/>
      </w:r>
    </w:p>
    <w:p w:rsidR="001811BC" w:rsidRDefault="001811BC" w:rsidP="00BA44B0">
      <w:pPr>
        <w:pStyle w:val="HChG"/>
      </w:pPr>
      <w:r>
        <w:tab/>
      </w:r>
      <w:r>
        <w:tab/>
        <w:t>ADVANCE UNEDITED VERSION</w:t>
      </w:r>
    </w:p>
    <w:p w:rsidR="001811BC" w:rsidRDefault="001811BC" w:rsidP="00BA44B0">
      <w:pPr>
        <w:pStyle w:val="HChG"/>
      </w:pPr>
    </w:p>
    <w:p w:rsidR="00E677CF" w:rsidRDefault="001811BC" w:rsidP="00BA44B0">
      <w:pPr>
        <w:pStyle w:val="HChG"/>
      </w:pPr>
      <w:r>
        <w:tab/>
      </w:r>
      <w:r>
        <w:tab/>
      </w:r>
      <w:r w:rsidR="00B54AC3" w:rsidRPr="00B54AC3">
        <w:rPr>
          <w:lang w:val="en-US"/>
        </w:rPr>
        <w:t>Approach of the</w:t>
      </w:r>
      <w:r w:rsidR="00EB2753" w:rsidRPr="00EB2753">
        <w:t xml:space="preserve"> </w:t>
      </w:r>
      <w:r w:rsidR="00EB2753" w:rsidRPr="00C151FC">
        <w:t>Subcommittee on Prevent</w:t>
      </w:r>
      <w:r w:rsidR="00EB2753">
        <w:t xml:space="preserve">ion of Torture </w:t>
      </w:r>
      <w:r w:rsidR="00EB2753" w:rsidRPr="00C151FC">
        <w:t>and Other Cruel, Inhuman or Degrading</w:t>
      </w:r>
      <w:r w:rsidR="00EB2753" w:rsidRPr="00C151FC">
        <w:br/>
        <w:t>Treatment or Punishment</w:t>
      </w:r>
      <w:r w:rsidR="00B54AC3" w:rsidRPr="00B54AC3">
        <w:rPr>
          <w:lang w:val="en-US"/>
        </w:rPr>
        <w:t xml:space="preserve"> </w:t>
      </w:r>
      <w:r w:rsidR="003C3EDF">
        <w:rPr>
          <w:lang w:val="en-US"/>
        </w:rPr>
        <w:t xml:space="preserve">on </w:t>
      </w:r>
      <w:r w:rsidR="00B54AC3" w:rsidRPr="00B54AC3">
        <w:rPr>
          <w:lang w:val="en-US"/>
        </w:rPr>
        <w:t xml:space="preserve">the </w:t>
      </w:r>
      <w:r w:rsidR="00EE5192">
        <w:rPr>
          <w:lang w:val="en-US"/>
        </w:rPr>
        <w:t>r</w:t>
      </w:r>
      <w:r w:rsidR="00B54AC3" w:rsidRPr="00B54AC3">
        <w:rPr>
          <w:lang w:val="en-US"/>
        </w:rPr>
        <w:t xml:space="preserve">ights of </w:t>
      </w:r>
      <w:r w:rsidR="00EE5192">
        <w:rPr>
          <w:lang w:val="en-US"/>
        </w:rPr>
        <w:t>p</w:t>
      </w:r>
      <w:r w:rsidR="00B54AC3" w:rsidRPr="00B54AC3">
        <w:rPr>
          <w:lang w:val="en-US"/>
        </w:rPr>
        <w:t xml:space="preserve">ersons </w:t>
      </w:r>
      <w:bookmarkStart w:id="0" w:name="_GoBack"/>
      <w:bookmarkEnd w:id="0"/>
      <w:r w:rsidR="00EE5192">
        <w:rPr>
          <w:lang w:val="en-US"/>
        </w:rPr>
        <w:t>i</w:t>
      </w:r>
      <w:r w:rsidR="00B54AC3" w:rsidRPr="00B54AC3">
        <w:rPr>
          <w:lang w:val="en-US"/>
        </w:rPr>
        <w:t xml:space="preserve">nstitutionalized and </w:t>
      </w:r>
      <w:r w:rsidR="00EE5192">
        <w:rPr>
          <w:lang w:val="en-US"/>
        </w:rPr>
        <w:t>m</w:t>
      </w:r>
      <w:r w:rsidR="00B54AC3" w:rsidRPr="00B54AC3">
        <w:rPr>
          <w:lang w:val="en-US"/>
        </w:rPr>
        <w:t xml:space="preserve">edically </w:t>
      </w:r>
      <w:r w:rsidR="00EE5192">
        <w:rPr>
          <w:lang w:val="en-US"/>
        </w:rPr>
        <w:t>t</w:t>
      </w:r>
      <w:r w:rsidR="00B54AC3" w:rsidRPr="00B54AC3">
        <w:rPr>
          <w:lang w:val="en-US"/>
        </w:rPr>
        <w:t xml:space="preserve">reated without </w:t>
      </w:r>
      <w:r w:rsidR="00EE5192">
        <w:rPr>
          <w:lang w:val="en-US"/>
        </w:rPr>
        <w:t>i</w:t>
      </w:r>
      <w:r w:rsidR="00B54AC3" w:rsidRPr="00B54AC3">
        <w:rPr>
          <w:lang w:val="en-US"/>
        </w:rPr>
        <w:t xml:space="preserve">nformed </w:t>
      </w:r>
      <w:r w:rsidR="00EE5192">
        <w:rPr>
          <w:lang w:val="en-US"/>
        </w:rPr>
        <w:t>c</w:t>
      </w:r>
      <w:r w:rsidR="00B54AC3" w:rsidRPr="00B54AC3">
        <w:rPr>
          <w:lang w:val="en-US"/>
        </w:rPr>
        <w:t>onsent</w:t>
      </w:r>
    </w:p>
    <w:p w:rsidR="003035BB" w:rsidRDefault="00073BA9" w:rsidP="001C43C1">
      <w:pPr>
        <w:pStyle w:val="H1G"/>
      </w:pPr>
      <w:r>
        <w:tab/>
      </w:r>
      <w:r>
        <w:tab/>
      </w:r>
    </w:p>
    <w:p w:rsidR="008D2995" w:rsidRPr="00797F57" w:rsidRDefault="002D066B" w:rsidP="00BA44B0">
      <w:pPr>
        <w:pStyle w:val="HChG"/>
      </w:pPr>
      <w:r>
        <w:tab/>
      </w:r>
      <w:r w:rsidR="00B95818" w:rsidRPr="002D066B">
        <w:t>I.</w:t>
      </w:r>
      <w:r w:rsidR="00B95818" w:rsidRPr="002D066B">
        <w:tab/>
      </w:r>
      <w:r w:rsidR="008D2995" w:rsidRPr="002D066B">
        <w:t>Introduction</w:t>
      </w:r>
    </w:p>
    <w:p w:rsidR="001811BC" w:rsidRDefault="007420EC" w:rsidP="007420EC">
      <w:pPr>
        <w:pStyle w:val="SingleTxtG"/>
      </w:pPr>
      <w:r w:rsidRPr="002D066B">
        <w:t>1.</w:t>
      </w:r>
      <w:r w:rsidRPr="002D066B">
        <w:tab/>
      </w:r>
      <w:r w:rsidR="001811BC" w:rsidRPr="001811BC">
        <w:t>The present document is issued in accordance with the Subcommittee’s mandate set forth in article 11 of the Optional Protocol to the Convention against Torture and Other Cruel, Inhuman or Degrading Treatment or Punishment.</w:t>
      </w:r>
    </w:p>
    <w:p w:rsidR="00B54AC3" w:rsidRPr="00B54AC3" w:rsidRDefault="007420EC" w:rsidP="007420EC">
      <w:pPr>
        <w:pStyle w:val="SingleTxtG"/>
      </w:pPr>
      <w:r w:rsidRPr="00B54AC3">
        <w:t>2.</w:t>
      </w:r>
      <w:r w:rsidRPr="00B54AC3">
        <w:tab/>
      </w:r>
      <w:r w:rsidR="00B54AC3" w:rsidRPr="002D066B">
        <w:t>The Subcommittee</w:t>
      </w:r>
      <w:r w:rsidR="00B54AC3" w:rsidRPr="00B54AC3">
        <w:t xml:space="preserve"> has </w:t>
      </w:r>
      <w:r w:rsidR="00F97747">
        <w:t>a</w:t>
      </w:r>
      <w:r w:rsidR="00B54AC3" w:rsidRPr="00B54AC3">
        <w:t xml:space="preserve"> mandate </w:t>
      </w:r>
      <w:r w:rsidR="00F97747">
        <w:t>to</w:t>
      </w:r>
      <w:r w:rsidR="00B54AC3" w:rsidRPr="00B54AC3">
        <w:t xml:space="preserve"> visit places </w:t>
      </w:r>
      <w:r w:rsidR="00F97747">
        <w:t>where</w:t>
      </w:r>
      <w:r w:rsidR="00B54AC3" w:rsidRPr="00B54AC3">
        <w:t xml:space="preserve"> persons are deprived of their liberty. This includes health</w:t>
      </w:r>
      <w:r w:rsidR="00F97747">
        <w:t>-</w:t>
      </w:r>
      <w:r w:rsidR="00B54AC3" w:rsidRPr="00B54AC3">
        <w:t xml:space="preserve">care settings, as defined in </w:t>
      </w:r>
      <w:r w:rsidR="00F97747">
        <w:t xml:space="preserve">paragraph 4 of </w:t>
      </w:r>
      <w:r w:rsidR="00B54AC3" w:rsidRPr="00B54AC3">
        <w:t xml:space="preserve">the Optional Protocol. </w:t>
      </w:r>
    </w:p>
    <w:p w:rsidR="00B54AC3" w:rsidRPr="00B54AC3" w:rsidRDefault="007420EC" w:rsidP="007420EC">
      <w:pPr>
        <w:pStyle w:val="SingleTxtG"/>
      </w:pPr>
      <w:r w:rsidRPr="00B54AC3">
        <w:t>3.</w:t>
      </w:r>
      <w:r w:rsidRPr="00B54AC3">
        <w:tab/>
      </w:r>
      <w:r w:rsidR="00B54AC3" w:rsidRPr="00B54AC3">
        <w:t xml:space="preserve">During its visits, the </w:t>
      </w:r>
      <w:r w:rsidR="00F97747">
        <w:t>Subcommittee</w:t>
      </w:r>
      <w:r w:rsidR="00F97747" w:rsidRPr="00B54AC3">
        <w:t xml:space="preserve"> </w:t>
      </w:r>
      <w:r w:rsidR="00B54AC3" w:rsidRPr="00B54AC3">
        <w:t>has documented numerous human rights violations in health</w:t>
      </w:r>
      <w:r w:rsidR="003035BB">
        <w:t>-care</w:t>
      </w:r>
      <w:r w:rsidR="00B54AC3" w:rsidRPr="00B54AC3">
        <w:t xml:space="preserve"> settings </w:t>
      </w:r>
      <w:r w:rsidR="00F97747">
        <w:t>where</w:t>
      </w:r>
      <w:r w:rsidR="00B54AC3" w:rsidRPr="00B54AC3">
        <w:t xml:space="preserve"> persons are held and treated without informed consent. Furthermore, it has encountered situations in which the nature of the treatment provided, and the manner in which it is provided, falls short </w:t>
      </w:r>
      <w:r w:rsidR="00F97747">
        <w:t>of</w:t>
      </w:r>
      <w:r w:rsidR="00F97747" w:rsidRPr="00B54AC3">
        <w:t xml:space="preserve"> </w:t>
      </w:r>
      <w:r w:rsidR="00B54AC3" w:rsidRPr="00B54AC3">
        <w:t>the requirements of international human rights law. This also includes situations where persons are involuntarily restrained by mechanical or chemical means.</w:t>
      </w:r>
    </w:p>
    <w:p w:rsidR="00B54AC3" w:rsidRPr="00BA44B0" w:rsidRDefault="007420EC" w:rsidP="007420EC">
      <w:pPr>
        <w:pStyle w:val="SingleTxtG"/>
      </w:pPr>
      <w:r w:rsidRPr="00BA44B0">
        <w:t>4.</w:t>
      </w:r>
      <w:r w:rsidRPr="00BA44B0">
        <w:tab/>
      </w:r>
      <w:r w:rsidR="00B54AC3" w:rsidRPr="00B54AC3">
        <w:t>The purpose of th</w:t>
      </w:r>
      <w:r w:rsidR="001704BA">
        <w:t>e present</w:t>
      </w:r>
      <w:r w:rsidR="00B54AC3" w:rsidRPr="00B54AC3">
        <w:t xml:space="preserve"> document is to contribute to the prevention of torture and cruel, inhuman and degrading treatment by </w:t>
      </w:r>
      <w:r w:rsidR="00F97747">
        <w:t>setting out</w:t>
      </w:r>
      <w:r w:rsidR="00B54AC3" w:rsidRPr="00B54AC3">
        <w:t xml:space="preserve"> the </w:t>
      </w:r>
      <w:r w:rsidR="00F97747" w:rsidRPr="001D75C3">
        <w:t xml:space="preserve">Subcommittee’s </w:t>
      </w:r>
      <w:r w:rsidR="001D75C3">
        <w:t>views</w:t>
      </w:r>
      <w:r w:rsidR="001D75C3" w:rsidRPr="001D75C3">
        <w:t xml:space="preserve"> </w:t>
      </w:r>
      <w:r w:rsidR="00B54AC3" w:rsidRPr="001D75C3">
        <w:t>on the</w:t>
      </w:r>
      <w:r w:rsidR="00B54AC3" w:rsidRPr="00B54AC3">
        <w:t xml:space="preserve"> </w:t>
      </w:r>
      <w:r w:rsidR="00D17F18">
        <w:t>rights of</w:t>
      </w:r>
      <w:r w:rsidR="00B54AC3" w:rsidRPr="00B54AC3">
        <w:t xml:space="preserve"> persons </w:t>
      </w:r>
      <w:r w:rsidR="00C55D85">
        <w:t xml:space="preserve">who are </w:t>
      </w:r>
      <w:r w:rsidR="00F97747">
        <w:t>in</w:t>
      </w:r>
      <w:r w:rsidR="00B54AC3" w:rsidRPr="00B54AC3">
        <w:t xml:space="preserve"> detenti</w:t>
      </w:r>
      <w:r w:rsidR="00B54AC3">
        <w:t xml:space="preserve">on </w:t>
      </w:r>
      <w:r w:rsidR="00C55D85">
        <w:t>owing</w:t>
      </w:r>
      <w:r w:rsidR="00C55D85" w:rsidRPr="001D75C3">
        <w:t xml:space="preserve"> </w:t>
      </w:r>
      <w:r w:rsidR="00B54AC3" w:rsidRPr="001D75C3">
        <w:t>to</w:t>
      </w:r>
      <w:r w:rsidR="00B54AC3">
        <w:t xml:space="preserve"> their health status. </w:t>
      </w:r>
    </w:p>
    <w:p w:rsidR="00B54AC3" w:rsidRDefault="008D2995" w:rsidP="00B54AC3">
      <w:pPr>
        <w:pStyle w:val="HChG"/>
      </w:pPr>
      <w:r>
        <w:tab/>
        <w:t>II.</w:t>
      </w:r>
      <w:r>
        <w:tab/>
      </w:r>
      <w:r w:rsidR="00B54AC3" w:rsidRPr="00B54AC3">
        <w:t xml:space="preserve">Involuntary </w:t>
      </w:r>
      <w:r w:rsidR="00F97747">
        <w:t>c</w:t>
      </w:r>
      <w:r w:rsidR="00B54AC3" w:rsidRPr="00B54AC3">
        <w:t xml:space="preserve">onfinement and </w:t>
      </w:r>
      <w:r w:rsidR="00F97747">
        <w:t>r</w:t>
      </w:r>
      <w:r w:rsidR="00B54AC3" w:rsidRPr="00B54AC3">
        <w:t>estraints in health</w:t>
      </w:r>
      <w:r w:rsidR="00F97747">
        <w:t>-</w:t>
      </w:r>
      <w:r w:rsidR="00B54AC3" w:rsidRPr="00B54AC3">
        <w:t>care settings</w:t>
      </w:r>
    </w:p>
    <w:p w:rsidR="00B54AC3" w:rsidRPr="00B54AC3" w:rsidRDefault="007420EC" w:rsidP="007420EC">
      <w:pPr>
        <w:pStyle w:val="SingleTxtG"/>
        <w:rPr>
          <w:lang w:val="en-US"/>
        </w:rPr>
      </w:pPr>
      <w:r w:rsidRPr="00B54AC3">
        <w:rPr>
          <w:lang w:val="en-US"/>
        </w:rPr>
        <w:t>5.</w:t>
      </w:r>
      <w:r w:rsidRPr="00B54AC3">
        <w:rPr>
          <w:lang w:val="en-US"/>
        </w:rPr>
        <w:tab/>
      </w:r>
      <w:r w:rsidR="00B54AC3" w:rsidRPr="00B54AC3">
        <w:rPr>
          <w:lang w:val="en-US"/>
        </w:rPr>
        <w:t>Involuntary confinement of any person is a form of arbitrary detention unless it is ordered by a competent and independent judicial authority through due process</w:t>
      </w:r>
      <w:r w:rsidR="000E34E1">
        <w:rPr>
          <w:lang w:val="en-US"/>
        </w:rPr>
        <w:t>, which must include close and constant review</w:t>
      </w:r>
      <w:r w:rsidR="00B54AC3" w:rsidRPr="00B54AC3">
        <w:rPr>
          <w:lang w:val="en-US"/>
        </w:rPr>
        <w:t xml:space="preserve">. States should develop and make available alternatives to confinement, such as community-based treatment </w:t>
      </w:r>
      <w:proofErr w:type="spellStart"/>
      <w:r w:rsidR="00B54AC3" w:rsidRPr="00B54AC3">
        <w:rPr>
          <w:lang w:val="en-US"/>
        </w:rPr>
        <w:t>programmes</w:t>
      </w:r>
      <w:proofErr w:type="spellEnd"/>
      <w:r w:rsidR="00B54AC3" w:rsidRPr="00B54AC3">
        <w:rPr>
          <w:lang w:val="en-US"/>
        </w:rPr>
        <w:t xml:space="preserve">, </w:t>
      </w:r>
      <w:r w:rsidR="00B54AC3" w:rsidRPr="001D75C3">
        <w:rPr>
          <w:lang w:val="en-US"/>
        </w:rPr>
        <w:t xml:space="preserve">which are particularly </w:t>
      </w:r>
      <w:r w:rsidR="00B54AC3" w:rsidRPr="001D75C3">
        <w:rPr>
          <w:lang w:val="en-US"/>
        </w:rPr>
        <w:lastRenderedPageBreak/>
        <w:t xml:space="preserve">appropriate for </w:t>
      </w:r>
      <w:r w:rsidR="00D22AB4">
        <w:rPr>
          <w:lang w:val="en-US"/>
        </w:rPr>
        <w:t xml:space="preserve">avoiding hospitalization and for </w:t>
      </w:r>
      <w:r w:rsidR="00797F57">
        <w:rPr>
          <w:lang w:val="en-US"/>
        </w:rPr>
        <w:t xml:space="preserve">providing care for </w:t>
      </w:r>
      <w:r w:rsidR="00B54AC3" w:rsidRPr="001D75C3">
        <w:rPr>
          <w:lang w:val="en-US"/>
        </w:rPr>
        <w:t>persons upon their discharge from hospitals</w:t>
      </w:r>
      <w:r w:rsidR="00B54AC3" w:rsidRPr="00B54AC3">
        <w:rPr>
          <w:lang w:val="en-US"/>
        </w:rPr>
        <w:t>.</w:t>
      </w:r>
    </w:p>
    <w:p w:rsidR="00B54AC3" w:rsidRPr="00B54AC3" w:rsidRDefault="007420EC" w:rsidP="007420EC">
      <w:pPr>
        <w:pStyle w:val="SingleTxtG"/>
        <w:rPr>
          <w:lang w:val="en-US"/>
        </w:rPr>
      </w:pPr>
      <w:r w:rsidRPr="00B54AC3">
        <w:rPr>
          <w:lang w:val="en-US"/>
        </w:rPr>
        <w:t>6.</w:t>
      </w:r>
      <w:r w:rsidRPr="00B54AC3">
        <w:rPr>
          <w:lang w:val="en-US"/>
        </w:rPr>
        <w:tab/>
      </w:r>
      <w:r w:rsidR="00B54AC3" w:rsidRPr="00B54AC3">
        <w:rPr>
          <w:lang w:val="en-US"/>
        </w:rPr>
        <w:t>The Sub</w:t>
      </w:r>
      <w:r w:rsidR="001704BA">
        <w:rPr>
          <w:lang w:val="en-US"/>
        </w:rPr>
        <w:t>c</w:t>
      </w:r>
      <w:r w:rsidR="00B54AC3" w:rsidRPr="00B54AC3">
        <w:rPr>
          <w:lang w:val="en-US"/>
        </w:rPr>
        <w:t>ommittee has observed situations in which State agents represent confinement as voluntary and present registries or legal decisions to that effect.</w:t>
      </w:r>
      <w:r w:rsidR="008325D8">
        <w:rPr>
          <w:lang w:val="en-US"/>
        </w:rPr>
        <w:t xml:space="preserve"> </w:t>
      </w:r>
      <w:r w:rsidR="001704BA">
        <w:rPr>
          <w:lang w:val="en-US"/>
        </w:rPr>
        <w:t>It</w:t>
      </w:r>
      <w:r w:rsidR="00B54AC3" w:rsidRPr="00B54AC3">
        <w:rPr>
          <w:lang w:val="en-US"/>
        </w:rPr>
        <w:t xml:space="preserve"> is concerned that in some of those instances those safeguards were </w:t>
      </w:r>
      <w:proofErr w:type="spellStart"/>
      <w:r w:rsidR="00B54AC3" w:rsidRPr="00B54AC3">
        <w:rPr>
          <w:lang w:val="en-US"/>
        </w:rPr>
        <w:t>practi</w:t>
      </w:r>
      <w:r w:rsidR="001704BA">
        <w:rPr>
          <w:lang w:val="en-US"/>
        </w:rPr>
        <w:t>s</w:t>
      </w:r>
      <w:r w:rsidR="00B54AC3" w:rsidRPr="00B54AC3">
        <w:rPr>
          <w:lang w:val="en-US"/>
        </w:rPr>
        <w:t>ed</w:t>
      </w:r>
      <w:proofErr w:type="spellEnd"/>
      <w:r w:rsidR="00B54AC3" w:rsidRPr="00B54AC3">
        <w:rPr>
          <w:lang w:val="en-US"/>
        </w:rPr>
        <w:t xml:space="preserve"> as a mere formality. Confinement</w:t>
      </w:r>
      <w:r w:rsidR="001704BA">
        <w:rPr>
          <w:lang w:val="en-US"/>
        </w:rPr>
        <w:t xml:space="preserve"> and </w:t>
      </w:r>
      <w:r w:rsidR="00B54AC3" w:rsidRPr="00B54AC3">
        <w:rPr>
          <w:lang w:val="en-US"/>
        </w:rPr>
        <w:t xml:space="preserve">institutionalization </w:t>
      </w:r>
      <w:r w:rsidR="001704BA">
        <w:rPr>
          <w:lang w:val="en-US"/>
        </w:rPr>
        <w:t>are</w:t>
      </w:r>
      <w:r w:rsidR="00B54AC3" w:rsidRPr="00B54AC3">
        <w:rPr>
          <w:lang w:val="en-US"/>
        </w:rPr>
        <w:t xml:space="preserve"> voluntary </w:t>
      </w:r>
      <w:r w:rsidR="001704BA">
        <w:rPr>
          <w:lang w:val="en-US"/>
        </w:rPr>
        <w:t xml:space="preserve">only </w:t>
      </w:r>
      <w:r w:rsidR="00B54AC3" w:rsidRPr="00B54AC3">
        <w:rPr>
          <w:lang w:val="en-US"/>
        </w:rPr>
        <w:t xml:space="preserve">when the person </w:t>
      </w:r>
      <w:r w:rsidR="001704BA" w:rsidRPr="001704BA">
        <w:rPr>
          <w:lang w:val="en-US"/>
        </w:rPr>
        <w:t xml:space="preserve">concerned </w:t>
      </w:r>
      <w:r w:rsidR="00B54AC3" w:rsidRPr="00B54AC3">
        <w:rPr>
          <w:lang w:val="en-US"/>
        </w:rPr>
        <w:t>has decided on it upon informed consent and retains the ability to exit the institution</w:t>
      </w:r>
      <w:r w:rsidR="001704BA">
        <w:rPr>
          <w:lang w:val="en-US"/>
        </w:rPr>
        <w:t xml:space="preserve"> or </w:t>
      </w:r>
      <w:r w:rsidR="00B54AC3" w:rsidRPr="00B54AC3">
        <w:rPr>
          <w:lang w:val="en-US"/>
        </w:rPr>
        <w:t>facility.</w:t>
      </w:r>
    </w:p>
    <w:p w:rsidR="00B54AC3" w:rsidRPr="00B54AC3" w:rsidRDefault="007420EC" w:rsidP="007420EC">
      <w:pPr>
        <w:pStyle w:val="SingleTxtG"/>
        <w:rPr>
          <w:lang w:val="en-US"/>
        </w:rPr>
      </w:pPr>
      <w:r w:rsidRPr="00B54AC3">
        <w:rPr>
          <w:lang w:val="en-US"/>
        </w:rPr>
        <w:t>7.</w:t>
      </w:r>
      <w:r w:rsidRPr="00B54AC3">
        <w:rPr>
          <w:lang w:val="en-US"/>
        </w:rPr>
        <w:tab/>
      </w:r>
      <w:r w:rsidR="00B54AC3" w:rsidRPr="00B54AC3">
        <w:rPr>
          <w:lang w:val="en-US"/>
        </w:rPr>
        <w:t xml:space="preserve">If involuntary confinement seems to be appropriate </w:t>
      </w:r>
      <w:r w:rsidR="00085C73">
        <w:rPr>
          <w:lang w:val="en-US"/>
        </w:rPr>
        <w:t xml:space="preserve">and proportional </w:t>
      </w:r>
      <w:r w:rsidR="00B54AC3" w:rsidRPr="00B54AC3">
        <w:rPr>
          <w:lang w:val="en-US"/>
        </w:rPr>
        <w:t xml:space="preserve">on a legal basis, this should never </w:t>
      </w:r>
      <w:r w:rsidR="00B54AC3" w:rsidRPr="001D75C3">
        <w:rPr>
          <w:lang w:val="en-US"/>
        </w:rPr>
        <w:t>directly include the formal</w:t>
      </w:r>
      <w:r w:rsidR="00B54AC3" w:rsidRPr="00B54AC3">
        <w:rPr>
          <w:lang w:val="en-US"/>
        </w:rPr>
        <w:t xml:space="preserve"> right for medication </w:t>
      </w:r>
      <w:r w:rsidR="001704BA">
        <w:rPr>
          <w:lang w:val="en-US"/>
        </w:rPr>
        <w:t xml:space="preserve">to be administered </w:t>
      </w:r>
      <w:r w:rsidR="00B54AC3" w:rsidRPr="00B54AC3">
        <w:rPr>
          <w:lang w:val="en-US"/>
        </w:rPr>
        <w:t>without informed consent.</w:t>
      </w:r>
    </w:p>
    <w:p w:rsidR="00B54AC3" w:rsidRPr="00B54AC3" w:rsidRDefault="007420EC" w:rsidP="007420EC">
      <w:pPr>
        <w:pStyle w:val="SingleTxtG"/>
        <w:rPr>
          <w:lang w:val="en-US"/>
        </w:rPr>
      </w:pPr>
      <w:r w:rsidRPr="00B54AC3">
        <w:rPr>
          <w:lang w:val="en-US"/>
        </w:rPr>
        <w:t>8.</w:t>
      </w:r>
      <w:r w:rsidRPr="00B54AC3">
        <w:rPr>
          <w:lang w:val="en-US"/>
        </w:rPr>
        <w:tab/>
      </w:r>
      <w:r w:rsidR="00B54AC3" w:rsidRPr="00B54AC3">
        <w:rPr>
          <w:lang w:val="en-US"/>
        </w:rPr>
        <w:t xml:space="preserve">When a person who is detained by the State suffers serious mental disorders, involuntary confinement </w:t>
      </w:r>
      <w:r w:rsidR="000E34E1">
        <w:rPr>
          <w:lang w:val="en-US"/>
        </w:rPr>
        <w:t>may be judicially ordered</w:t>
      </w:r>
      <w:r w:rsidR="000E34E1" w:rsidRPr="00B54AC3">
        <w:rPr>
          <w:lang w:val="en-US"/>
        </w:rPr>
        <w:t xml:space="preserve"> </w:t>
      </w:r>
      <w:r w:rsidR="00B54AC3" w:rsidRPr="00B54AC3">
        <w:rPr>
          <w:lang w:val="en-US"/>
        </w:rPr>
        <w:t xml:space="preserve">to provide timely access to appropriate expert care and specialist medical treatment. In </w:t>
      </w:r>
      <w:r w:rsidR="003035BB">
        <w:rPr>
          <w:lang w:val="en-US"/>
        </w:rPr>
        <w:t>such</w:t>
      </w:r>
      <w:r w:rsidR="00B54AC3" w:rsidRPr="00B54AC3">
        <w:rPr>
          <w:lang w:val="en-US"/>
        </w:rPr>
        <w:t xml:space="preserve"> case</w:t>
      </w:r>
      <w:r w:rsidR="003035BB">
        <w:rPr>
          <w:lang w:val="en-US"/>
        </w:rPr>
        <w:t>s</w:t>
      </w:r>
      <w:r w:rsidR="00B54AC3" w:rsidRPr="00B54AC3">
        <w:rPr>
          <w:lang w:val="en-US"/>
        </w:rPr>
        <w:t>, placement in a psychiatric facility may be necessary to protect the detainee from discrimination, abuse and health risks stemming from illness, provided that all guarantees are respected and that the treatment offered is equal to that offered to other patients and corresponds to the health needs of the person</w:t>
      </w:r>
      <w:r w:rsidR="003734C0">
        <w:rPr>
          <w:lang w:val="en-US"/>
        </w:rPr>
        <w:t xml:space="preserve"> and that the placement of the person be subject to constant judicial review</w:t>
      </w:r>
      <w:r w:rsidR="00B54AC3" w:rsidRPr="00B54AC3">
        <w:rPr>
          <w:lang w:val="en-US"/>
        </w:rPr>
        <w:t>.</w:t>
      </w:r>
      <w:r w:rsidR="00085C73">
        <w:rPr>
          <w:lang w:val="en-US"/>
        </w:rPr>
        <w:t xml:space="preserve"> As specified in Article 14(b) of the Convention on the Rights of Persons with Disabilities, t</w:t>
      </w:r>
      <w:r w:rsidR="00085C73" w:rsidRPr="00085C73">
        <w:rPr>
          <w:lang w:val="en-US"/>
        </w:rPr>
        <w:t xml:space="preserve">he existence of a disability </w:t>
      </w:r>
      <w:r w:rsidR="00085C73">
        <w:rPr>
          <w:lang w:val="en-US"/>
        </w:rPr>
        <w:t>should not be the justification for</w:t>
      </w:r>
      <w:r w:rsidR="00085C73" w:rsidRPr="00085C73">
        <w:rPr>
          <w:lang w:val="en-US"/>
        </w:rPr>
        <w:t xml:space="preserve"> a deprivation of liberty</w:t>
      </w:r>
      <w:r w:rsidR="00085C73">
        <w:rPr>
          <w:lang w:val="en-US"/>
        </w:rPr>
        <w:t>.</w:t>
      </w:r>
    </w:p>
    <w:p w:rsidR="00B54AC3" w:rsidRPr="00B54AC3" w:rsidRDefault="007420EC" w:rsidP="007420EC">
      <w:pPr>
        <w:pStyle w:val="SingleTxtG"/>
        <w:rPr>
          <w:lang w:val="en-US"/>
        </w:rPr>
      </w:pPr>
      <w:r w:rsidRPr="00B54AC3">
        <w:rPr>
          <w:lang w:val="en-US"/>
        </w:rPr>
        <w:t>9.</w:t>
      </w:r>
      <w:r w:rsidRPr="00B54AC3">
        <w:rPr>
          <w:lang w:val="en-US"/>
        </w:rPr>
        <w:tab/>
      </w:r>
      <w:r w:rsidR="00B54AC3" w:rsidRPr="00B54AC3">
        <w:rPr>
          <w:lang w:val="en-US"/>
        </w:rPr>
        <w:t>Restraints</w:t>
      </w:r>
      <w:r w:rsidR="001704BA">
        <w:rPr>
          <w:lang w:val="en-US"/>
        </w:rPr>
        <w:t>,</w:t>
      </w:r>
      <w:r w:rsidR="00B54AC3" w:rsidRPr="00B54AC3">
        <w:rPr>
          <w:lang w:val="en-US"/>
        </w:rPr>
        <w:t xml:space="preserve"> physical or pharmacological</w:t>
      </w:r>
      <w:r w:rsidR="001704BA">
        <w:rPr>
          <w:lang w:val="en-US"/>
        </w:rPr>
        <w:t>,</w:t>
      </w:r>
      <w:r w:rsidR="00B54AC3" w:rsidRPr="00B54AC3">
        <w:rPr>
          <w:lang w:val="en-US"/>
        </w:rPr>
        <w:t xml:space="preserve"> are forms of deprivation of liberty and</w:t>
      </w:r>
      <w:r w:rsidR="003734C0">
        <w:rPr>
          <w:lang w:val="en-US"/>
        </w:rPr>
        <w:t>, subject to all safeguards and procedures applicable to the latter,</w:t>
      </w:r>
      <w:r w:rsidR="00B54AC3" w:rsidRPr="00B54AC3">
        <w:rPr>
          <w:lang w:val="en-US"/>
        </w:rPr>
        <w:t xml:space="preserve"> should be considered only as measures of last resort for safety reasons. The State must take into account</w:t>
      </w:r>
      <w:r w:rsidR="001704BA">
        <w:rPr>
          <w:lang w:val="en-US"/>
        </w:rPr>
        <w:t>,</w:t>
      </w:r>
      <w:r w:rsidR="00B54AC3" w:rsidRPr="00B54AC3">
        <w:rPr>
          <w:lang w:val="en-US"/>
        </w:rPr>
        <w:t xml:space="preserve"> however, that there is</w:t>
      </w:r>
      <w:r w:rsidR="008325D8">
        <w:rPr>
          <w:lang w:val="en-US"/>
        </w:rPr>
        <w:t xml:space="preserve"> </w:t>
      </w:r>
      <w:r w:rsidR="00B54AC3" w:rsidRPr="00B54AC3">
        <w:rPr>
          <w:lang w:val="en-US"/>
        </w:rPr>
        <w:t>an inherently high potential for abuse of such restraints and as such these must be applied</w:t>
      </w:r>
      <w:r w:rsidR="001D75C3">
        <w:rPr>
          <w:lang w:val="en-US"/>
        </w:rPr>
        <w:t xml:space="preserve">, </w:t>
      </w:r>
      <w:r w:rsidR="001D75C3" w:rsidRPr="001D75C3">
        <w:rPr>
          <w:lang w:val="en-US"/>
        </w:rPr>
        <w:t>if at all,</w:t>
      </w:r>
      <w:r w:rsidR="00B54AC3" w:rsidRPr="00B54AC3">
        <w:rPr>
          <w:lang w:val="en-US"/>
        </w:rPr>
        <w:t xml:space="preserve"> within a strict framework that </w:t>
      </w:r>
      <w:r w:rsidR="003035BB">
        <w:rPr>
          <w:lang w:val="en-US"/>
        </w:rPr>
        <w:t>sets out</w:t>
      </w:r>
      <w:r w:rsidR="003035BB" w:rsidRPr="00B54AC3">
        <w:rPr>
          <w:lang w:val="en-US"/>
        </w:rPr>
        <w:t xml:space="preserve"> </w:t>
      </w:r>
      <w:r w:rsidR="00B54AC3" w:rsidRPr="00B54AC3">
        <w:rPr>
          <w:lang w:val="en-US"/>
        </w:rPr>
        <w:t xml:space="preserve">the criteria and duration for </w:t>
      </w:r>
      <w:r w:rsidR="001704BA">
        <w:rPr>
          <w:lang w:val="en-US"/>
        </w:rPr>
        <w:t xml:space="preserve">their </w:t>
      </w:r>
      <w:r w:rsidR="00B54AC3" w:rsidRPr="00B54AC3">
        <w:rPr>
          <w:lang w:val="en-US"/>
        </w:rPr>
        <w:t>use, as well as procedures related to supervision,</w:t>
      </w:r>
      <w:r w:rsidR="008325D8">
        <w:rPr>
          <w:lang w:val="en-US"/>
        </w:rPr>
        <w:t xml:space="preserve"> </w:t>
      </w:r>
      <w:r w:rsidR="00B54AC3" w:rsidRPr="00B54AC3">
        <w:rPr>
          <w:lang w:val="en-US"/>
        </w:rPr>
        <w:t>monitoring, review and appeal. Restraints must never be used for the convenience of staff, next</w:t>
      </w:r>
      <w:r w:rsidR="003035BB">
        <w:rPr>
          <w:lang w:val="en-US"/>
        </w:rPr>
        <w:t xml:space="preserve"> </w:t>
      </w:r>
      <w:r w:rsidR="00B54AC3" w:rsidRPr="00B54AC3">
        <w:rPr>
          <w:lang w:val="en-US"/>
        </w:rPr>
        <w:t>of</w:t>
      </w:r>
      <w:r w:rsidR="003035BB">
        <w:rPr>
          <w:lang w:val="en-US"/>
        </w:rPr>
        <w:t xml:space="preserve"> </w:t>
      </w:r>
      <w:r w:rsidR="00B54AC3" w:rsidRPr="00B54AC3">
        <w:rPr>
          <w:lang w:val="en-US"/>
        </w:rPr>
        <w:t xml:space="preserve">kin or others. Any restraint has to be recorded </w:t>
      </w:r>
      <w:r w:rsidR="001704BA" w:rsidRPr="001704BA">
        <w:rPr>
          <w:lang w:val="en-US"/>
        </w:rPr>
        <w:t xml:space="preserve">precisely </w:t>
      </w:r>
      <w:r w:rsidR="00B54AC3" w:rsidRPr="00B54AC3">
        <w:rPr>
          <w:lang w:val="en-US"/>
        </w:rPr>
        <w:t>and</w:t>
      </w:r>
      <w:r w:rsidR="003035BB">
        <w:rPr>
          <w:lang w:val="en-US"/>
        </w:rPr>
        <w:t xml:space="preserve"> be</w:t>
      </w:r>
      <w:r w:rsidR="00B54AC3" w:rsidRPr="00B54AC3">
        <w:rPr>
          <w:lang w:val="en-US"/>
        </w:rPr>
        <w:t xml:space="preserve"> subject to administrative accountability</w:t>
      </w:r>
      <w:r w:rsidR="00947ABE">
        <w:rPr>
          <w:lang w:val="en-US"/>
        </w:rPr>
        <w:t xml:space="preserve">, including independent complaint mechanisms and </w:t>
      </w:r>
      <w:r w:rsidR="00B54AC3" w:rsidRPr="00B54AC3">
        <w:rPr>
          <w:lang w:val="en-US"/>
        </w:rPr>
        <w:t>judicial review.</w:t>
      </w:r>
    </w:p>
    <w:p w:rsidR="00B54AC3" w:rsidRPr="00B54AC3" w:rsidRDefault="007420EC" w:rsidP="00B045E0">
      <w:pPr>
        <w:pStyle w:val="SingleTxtG"/>
        <w:rPr>
          <w:lang w:val="en-US"/>
        </w:rPr>
      </w:pPr>
      <w:r w:rsidRPr="00B54AC3">
        <w:rPr>
          <w:lang w:val="en-US"/>
        </w:rPr>
        <w:t>10.</w:t>
      </w:r>
      <w:r w:rsidRPr="00B54AC3">
        <w:rPr>
          <w:lang w:val="en-US"/>
        </w:rPr>
        <w:tab/>
      </w:r>
      <w:r w:rsidR="00B54AC3" w:rsidRPr="00B54AC3">
        <w:rPr>
          <w:lang w:val="en-US"/>
        </w:rPr>
        <w:t>Solitary confinement must never be used. It segregates persons with serious or acute illness and leaves them without constant attention and access to medical service. It should be differentiated from medical isolation. Medical isolation requires</w:t>
      </w:r>
      <w:r w:rsidR="00B045E0">
        <w:rPr>
          <w:lang w:val="en-US"/>
        </w:rPr>
        <w:t xml:space="preserve"> daily </w:t>
      </w:r>
      <w:r w:rsidR="00B54AC3" w:rsidRPr="00B54AC3">
        <w:rPr>
          <w:lang w:val="en-US"/>
        </w:rPr>
        <w:t xml:space="preserve">monitoring </w:t>
      </w:r>
      <w:r w:rsidR="00EA5CEF">
        <w:rPr>
          <w:lang w:val="en-US"/>
        </w:rPr>
        <w:t xml:space="preserve">with </w:t>
      </w:r>
      <w:r w:rsidR="00F1670E">
        <w:rPr>
          <w:lang w:val="en-US"/>
        </w:rPr>
        <w:t xml:space="preserve">the </w:t>
      </w:r>
      <w:r w:rsidR="00EA5CEF">
        <w:rPr>
          <w:lang w:val="en-US"/>
        </w:rPr>
        <w:t>presence of trained</w:t>
      </w:r>
      <w:r w:rsidR="00B045E0" w:rsidRPr="00B54AC3">
        <w:rPr>
          <w:lang w:val="en-US"/>
        </w:rPr>
        <w:t xml:space="preserve"> </w:t>
      </w:r>
      <w:r w:rsidR="00B54AC3" w:rsidRPr="00B54AC3">
        <w:rPr>
          <w:lang w:val="en-US"/>
        </w:rPr>
        <w:t xml:space="preserve">medical staff and must not deprive the person of contact with others </w:t>
      </w:r>
      <w:r w:rsidR="001D75C3">
        <w:rPr>
          <w:lang w:val="en-US"/>
        </w:rPr>
        <w:t>provided that</w:t>
      </w:r>
      <w:r w:rsidR="00B54AC3" w:rsidRPr="00B54AC3">
        <w:rPr>
          <w:lang w:val="en-US"/>
        </w:rPr>
        <w:t xml:space="preserve"> proper precautions are taken.</w:t>
      </w:r>
      <w:r w:rsidR="00B92B6C">
        <w:rPr>
          <w:lang w:val="en-US"/>
        </w:rPr>
        <w:t xml:space="preserve"> </w:t>
      </w:r>
      <w:r w:rsidR="00B92B6C" w:rsidRPr="00B54AC3">
        <w:rPr>
          <w:lang w:val="en-US"/>
        </w:rPr>
        <w:t xml:space="preserve">Any </w:t>
      </w:r>
      <w:r w:rsidR="00B92B6C">
        <w:rPr>
          <w:lang w:val="en-US"/>
        </w:rPr>
        <w:t>isolation</w:t>
      </w:r>
      <w:r w:rsidR="00B92B6C" w:rsidRPr="00B54AC3">
        <w:rPr>
          <w:lang w:val="en-US"/>
        </w:rPr>
        <w:t xml:space="preserve"> has to be</w:t>
      </w:r>
      <w:r w:rsidR="00B92B6C">
        <w:rPr>
          <w:lang w:val="en-US"/>
        </w:rPr>
        <w:t xml:space="preserve"> made for the shortest possible period of time,</w:t>
      </w:r>
      <w:r w:rsidR="00B92B6C" w:rsidRPr="00B54AC3">
        <w:rPr>
          <w:lang w:val="en-US"/>
        </w:rPr>
        <w:t xml:space="preserve"> recorded </w:t>
      </w:r>
      <w:r w:rsidR="00B92B6C" w:rsidRPr="001704BA">
        <w:rPr>
          <w:lang w:val="en-US"/>
        </w:rPr>
        <w:t xml:space="preserve">precisely </w:t>
      </w:r>
      <w:r w:rsidR="00B92B6C" w:rsidRPr="00B54AC3">
        <w:rPr>
          <w:lang w:val="en-US"/>
        </w:rPr>
        <w:t>and</w:t>
      </w:r>
      <w:r w:rsidR="00B92B6C">
        <w:rPr>
          <w:lang w:val="en-US"/>
        </w:rPr>
        <w:t xml:space="preserve"> be</w:t>
      </w:r>
      <w:r w:rsidR="00B92B6C" w:rsidRPr="00B54AC3">
        <w:rPr>
          <w:lang w:val="en-US"/>
        </w:rPr>
        <w:t xml:space="preserve"> subject to administrative accountability</w:t>
      </w:r>
      <w:r w:rsidR="00B92B6C">
        <w:rPr>
          <w:lang w:val="en-US"/>
        </w:rPr>
        <w:t xml:space="preserve">, including independent complaint mechanisms and </w:t>
      </w:r>
      <w:r w:rsidR="00B92B6C" w:rsidRPr="00B54AC3">
        <w:rPr>
          <w:lang w:val="en-US"/>
        </w:rPr>
        <w:t>judicial review.</w:t>
      </w:r>
    </w:p>
    <w:p w:rsidR="00B54AC3" w:rsidRDefault="007420EC" w:rsidP="007420EC">
      <w:pPr>
        <w:pStyle w:val="SingleTxtG"/>
        <w:rPr>
          <w:lang w:val="en-US"/>
        </w:rPr>
      </w:pPr>
      <w:r>
        <w:rPr>
          <w:lang w:val="en-US"/>
        </w:rPr>
        <w:t>11.</w:t>
      </w:r>
      <w:r>
        <w:rPr>
          <w:lang w:val="en-US"/>
        </w:rPr>
        <w:tab/>
      </w:r>
      <w:r w:rsidR="00B54AC3" w:rsidRPr="00B54AC3">
        <w:rPr>
          <w:lang w:val="en-US"/>
        </w:rPr>
        <w:t>In connection with deprivation of liberty and health</w:t>
      </w:r>
      <w:r w:rsidR="001704BA">
        <w:rPr>
          <w:lang w:val="en-US"/>
        </w:rPr>
        <w:t>-</w:t>
      </w:r>
      <w:r w:rsidR="00B54AC3" w:rsidRPr="00B54AC3">
        <w:rPr>
          <w:lang w:val="en-US"/>
        </w:rPr>
        <w:t xml:space="preserve">care settings, the </w:t>
      </w:r>
      <w:r w:rsidR="001704BA">
        <w:rPr>
          <w:lang w:val="en-US"/>
        </w:rPr>
        <w:t>Subcommittee</w:t>
      </w:r>
      <w:r w:rsidR="001704BA" w:rsidRPr="00B54AC3">
        <w:rPr>
          <w:lang w:val="en-US"/>
        </w:rPr>
        <w:t xml:space="preserve"> </w:t>
      </w:r>
      <w:r w:rsidR="00B045E0">
        <w:rPr>
          <w:lang w:val="en-US"/>
        </w:rPr>
        <w:t>recognizes</w:t>
      </w:r>
      <w:r w:rsidR="00B54AC3" w:rsidRPr="00B54AC3">
        <w:rPr>
          <w:lang w:val="en-US"/>
        </w:rPr>
        <w:t xml:space="preserve"> that States parties should revise outdated </w:t>
      </w:r>
      <w:r w:rsidR="00B045E0">
        <w:rPr>
          <w:lang w:val="en-US"/>
        </w:rPr>
        <w:t>legislation</w:t>
      </w:r>
      <w:r w:rsidR="00B045E0" w:rsidRPr="00B54AC3">
        <w:rPr>
          <w:lang w:val="en-US"/>
        </w:rPr>
        <w:t xml:space="preserve"> </w:t>
      </w:r>
      <w:r w:rsidR="00B54AC3" w:rsidRPr="00B54AC3">
        <w:rPr>
          <w:lang w:val="en-US"/>
        </w:rPr>
        <w:t>and practices in the field of mental health in order to avoid arbitrary detention. Any deprivation of liberty must be necessary and proportionate, for the purpose of protecting the person in question from harm or preventing injury to others. It must take into consideration less restrictive alternatives, and must be accompanied by adequate procedural and substantive safeguards established by law.</w:t>
      </w:r>
      <w:r w:rsidR="00771D4A">
        <w:rPr>
          <w:rStyle w:val="FootnoteReference"/>
          <w:lang w:val="en-US"/>
        </w:rPr>
        <w:footnoteReference w:id="2"/>
      </w:r>
    </w:p>
    <w:p w:rsidR="00E677CF" w:rsidRDefault="008D2995" w:rsidP="00B54AC3">
      <w:pPr>
        <w:pStyle w:val="HChG"/>
        <w:rPr>
          <w:lang w:val="en-US"/>
        </w:rPr>
      </w:pPr>
      <w:r>
        <w:lastRenderedPageBreak/>
        <w:tab/>
        <w:t>III.</w:t>
      </w:r>
      <w:r>
        <w:tab/>
      </w:r>
      <w:r w:rsidR="00B54AC3" w:rsidRPr="00B54AC3">
        <w:rPr>
          <w:lang w:val="en-US"/>
        </w:rPr>
        <w:t>Medical treatment of persons deprived of liberty and</w:t>
      </w:r>
      <w:r w:rsidR="00B74B49">
        <w:rPr>
          <w:lang w:val="en-US"/>
        </w:rPr>
        <w:t> </w:t>
      </w:r>
      <w:r w:rsidR="00B54AC3" w:rsidRPr="00B54AC3">
        <w:rPr>
          <w:lang w:val="en-US"/>
        </w:rPr>
        <w:t>informed consent</w:t>
      </w:r>
    </w:p>
    <w:p w:rsidR="00B54AC3" w:rsidRPr="00B54AC3" w:rsidRDefault="007420EC" w:rsidP="007420EC">
      <w:pPr>
        <w:pStyle w:val="SingleTxtG"/>
        <w:rPr>
          <w:lang w:val="en-US"/>
        </w:rPr>
      </w:pPr>
      <w:r w:rsidRPr="00B54AC3">
        <w:rPr>
          <w:lang w:val="en-US"/>
        </w:rPr>
        <w:t>12.</w:t>
      </w:r>
      <w:r w:rsidRPr="00B54AC3">
        <w:rPr>
          <w:lang w:val="en-US"/>
        </w:rPr>
        <w:tab/>
      </w:r>
      <w:r w:rsidR="00B54AC3" w:rsidRPr="00B54AC3">
        <w:rPr>
          <w:lang w:val="en-US"/>
        </w:rPr>
        <w:t xml:space="preserve">Informed consent is a decision made voluntarily on the basis of comprehensible and sufficient information </w:t>
      </w:r>
      <w:r w:rsidR="00B54AC3" w:rsidRPr="00B54AC3">
        <w:t>regarding</w:t>
      </w:r>
      <w:r w:rsidR="00B54AC3" w:rsidRPr="00B54AC3">
        <w:rPr>
          <w:lang w:val="en-US"/>
        </w:rPr>
        <w:t xml:space="preserve"> potential effects and side effects of treatment and the likely results of refraining from treatment. Informed consent is fundamental to respecting an individual’s autonomy, self-determination and human dignity.</w:t>
      </w:r>
    </w:p>
    <w:p w:rsidR="00B54AC3" w:rsidRPr="00B54AC3" w:rsidRDefault="007420EC" w:rsidP="007420EC">
      <w:pPr>
        <w:pStyle w:val="SingleTxtG"/>
        <w:rPr>
          <w:lang w:val="en-US"/>
        </w:rPr>
      </w:pPr>
      <w:r w:rsidRPr="00B54AC3">
        <w:rPr>
          <w:lang w:val="en-US"/>
        </w:rPr>
        <w:t>13.</w:t>
      </w:r>
      <w:r w:rsidRPr="00B54AC3">
        <w:rPr>
          <w:lang w:val="en-US"/>
        </w:rPr>
        <w:tab/>
      </w:r>
      <w:r w:rsidR="00B54AC3" w:rsidRPr="00B54AC3">
        <w:rPr>
          <w:lang w:val="en-US"/>
        </w:rPr>
        <w:t>Every person deprived of liberty who requires medical treatment should be fully informed about the diagnostic reasons for recommending a particular medical treatment</w:t>
      </w:r>
      <w:r w:rsidR="00DD26F2">
        <w:rPr>
          <w:lang w:val="en-US"/>
        </w:rPr>
        <w:t xml:space="preserve"> and about</w:t>
      </w:r>
      <w:r w:rsidR="00B54AC3" w:rsidRPr="00B54AC3">
        <w:rPr>
          <w:lang w:val="en-US"/>
        </w:rPr>
        <w:t xml:space="preserve"> existing alternatives, and g</w:t>
      </w:r>
      <w:r w:rsidR="008325D8">
        <w:rPr>
          <w:lang w:val="en-US"/>
        </w:rPr>
        <w:t>iven the opportunity to decline</w:t>
      </w:r>
      <w:r w:rsidR="00B54AC3" w:rsidRPr="00B54AC3">
        <w:rPr>
          <w:lang w:val="en-US"/>
        </w:rPr>
        <w:t xml:space="preserve"> or receive the suggested treatment or other form of intervention.</w:t>
      </w:r>
    </w:p>
    <w:p w:rsidR="00B54AC3" w:rsidRPr="00B54AC3" w:rsidRDefault="007420EC" w:rsidP="007420EC">
      <w:pPr>
        <w:pStyle w:val="SingleTxtG"/>
        <w:rPr>
          <w:lang w:val="en-US"/>
        </w:rPr>
      </w:pPr>
      <w:r w:rsidRPr="00B54AC3">
        <w:rPr>
          <w:lang w:val="en-US"/>
        </w:rPr>
        <w:t>14.</w:t>
      </w:r>
      <w:r w:rsidRPr="00B54AC3">
        <w:rPr>
          <w:lang w:val="en-US"/>
        </w:rPr>
        <w:tab/>
      </w:r>
      <w:r w:rsidR="003734C0">
        <w:rPr>
          <w:lang w:val="en-US"/>
        </w:rPr>
        <w:t>Exceptionally</w:t>
      </w:r>
      <w:r w:rsidR="003734C0" w:rsidRPr="00B54AC3">
        <w:rPr>
          <w:lang w:val="en-US"/>
        </w:rPr>
        <w:t xml:space="preserve"> </w:t>
      </w:r>
      <w:r w:rsidR="00B54AC3" w:rsidRPr="00B54AC3">
        <w:rPr>
          <w:lang w:val="en-US"/>
        </w:rPr>
        <w:t xml:space="preserve">it may be necessary to medically treat a person deprived of liberty without </w:t>
      </w:r>
      <w:r w:rsidR="00B54AC3" w:rsidRPr="004B41D8">
        <w:rPr>
          <w:lang w:val="en-US"/>
        </w:rPr>
        <w:t>her</w:t>
      </w:r>
      <w:r w:rsidR="00B54AC3" w:rsidRPr="00B54AC3">
        <w:rPr>
          <w:lang w:val="en-US"/>
        </w:rPr>
        <w:t xml:space="preserve"> </w:t>
      </w:r>
      <w:r w:rsidR="004B41D8">
        <w:rPr>
          <w:lang w:val="en-US"/>
        </w:rPr>
        <w:t xml:space="preserve">or his </w:t>
      </w:r>
      <w:r w:rsidR="00B54AC3" w:rsidRPr="00B54AC3">
        <w:rPr>
          <w:lang w:val="en-US"/>
        </w:rPr>
        <w:t>consent if the person</w:t>
      </w:r>
      <w:r w:rsidR="00DD26F2">
        <w:rPr>
          <w:lang w:val="en-US"/>
        </w:rPr>
        <w:t xml:space="preserve"> </w:t>
      </w:r>
      <w:r w:rsidR="00DD26F2" w:rsidRPr="00DD26F2">
        <w:rPr>
          <w:lang w:val="en-US"/>
        </w:rPr>
        <w:t>concerned</w:t>
      </w:r>
      <w:r w:rsidR="00B54AC3" w:rsidRPr="00B54AC3">
        <w:rPr>
          <w:lang w:val="en-US"/>
        </w:rPr>
        <w:t xml:space="preserve"> is not able to:</w:t>
      </w:r>
    </w:p>
    <w:p w:rsidR="00B54AC3" w:rsidRPr="00B54AC3" w:rsidRDefault="008325D8" w:rsidP="008325D8">
      <w:pPr>
        <w:pStyle w:val="SingleTxtG"/>
        <w:rPr>
          <w:lang w:val="en-US"/>
        </w:rPr>
      </w:pPr>
      <w:r>
        <w:rPr>
          <w:lang w:val="en-US"/>
        </w:rPr>
        <w:tab/>
      </w:r>
      <w:r w:rsidR="009F0DB7">
        <w:rPr>
          <w:lang w:val="en-US"/>
        </w:rPr>
        <w:t>(a)</w:t>
      </w:r>
      <w:r w:rsidR="00B54AC3">
        <w:rPr>
          <w:lang w:val="en-US"/>
        </w:rPr>
        <w:tab/>
      </w:r>
      <w:r w:rsidR="00994B6A" w:rsidRPr="00B54AC3">
        <w:rPr>
          <w:lang w:val="en-US"/>
        </w:rPr>
        <w:t>Understand</w:t>
      </w:r>
      <w:r w:rsidR="00B54AC3" w:rsidRPr="00B54AC3">
        <w:rPr>
          <w:lang w:val="en-US"/>
        </w:rPr>
        <w:t xml:space="preserve"> the information given </w:t>
      </w:r>
      <w:r w:rsidR="00B54AC3" w:rsidRPr="001D75C3">
        <w:rPr>
          <w:lang w:val="en-US"/>
        </w:rPr>
        <w:t>concerning</w:t>
      </w:r>
      <w:r w:rsidR="00B54AC3" w:rsidRPr="00B54AC3">
        <w:rPr>
          <w:lang w:val="en-US"/>
        </w:rPr>
        <w:t xml:space="preserve"> the characteristics of the threat to </w:t>
      </w:r>
      <w:r w:rsidR="00B54AC3" w:rsidRPr="004B41D8">
        <w:rPr>
          <w:lang w:val="en-US"/>
        </w:rPr>
        <w:t>her</w:t>
      </w:r>
      <w:r w:rsidR="004B41D8">
        <w:rPr>
          <w:lang w:val="en-US"/>
        </w:rPr>
        <w:t xml:space="preserve"> or his</w:t>
      </w:r>
      <w:r w:rsidR="00B54AC3" w:rsidRPr="00B54AC3">
        <w:rPr>
          <w:lang w:val="en-US"/>
        </w:rPr>
        <w:t xml:space="preserve"> life or personal integrity, or its consequences;</w:t>
      </w:r>
    </w:p>
    <w:p w:rsidR="00B54AC3" w:rsidRPr="00B54AC3" w:rsidRDefault="008325D8" w:rsidP="008325D8">
      <w:pPr>
        <w:pStyle w:val="SingleTxtG"/>
        <w:rPr>
          <w:lang w:val="en-US"/>
        </w:rPr>
      </w:pPr>
      <w:r>
        <w:rPr>
          <w:lang w:val="en-US"/>
        </w:rPr>
        <w:tab/>
      </w:r>
      <w:r w:rsidR="009F0DB7">
        <w:rPr>
          <w:lang w:val="en-US"/>
        </w:rPr>
        <w:t>(b)</w:t>
      </w:r>
      <w:r w:rsidR="00B54AC3">
        <w:rPr>
          <w:lang w:val="en-US"/>
        </w:rPr>
        <w:tab/>
      </w:r>
      <w:r w:rsidR="00994B6A">
        <w:t>U</w:t>
      </w:r>
      <w:r w:rsidR="00B54AC3" w:rsidRPr="008325D8">
        <w:t>nderstand</w:t>
      </w:r>
      <w:r w:rsidR="00B54AC3" w:rsidRPr="00B54AC3">
        <w:rPr>
          <w:lang w:val="en-US"/>
        </w:rPr>
        <w:t xml:space="preserve"> the information about the medical treatment proposed, including its purpose, its means, its direct effects and its possible side effects; </w:t>
      </w:r>
      <w:r w:rsidR="00934FF7">
        <w:rPr>
          <w:lang w:val="en-US"/>
        </w:rPr>
        <w:t>and</w:t>
      </w:r>
    </w:p>
    <w:p w:rsidR="00B54AC3" w:rsidRPr="00B54AC3" w:rsidRDefault="008325D8" w:rsidP="00DD26F2">
      <w:pPr>
        <w:pStyle w:val="SingleTxtG"/>
        <w:rPr>
          <w:lang w:val="en-US"/>
        </w:rPr>
      </w:pPr>
      <w:r>
        <w:rPr>
          <w:lang w:val="en-US"/>
        </w:rPr>
        <w:tab/>
      </w:r>
      <w:r w:rsidR="009F0DB7">
        <w:rPr>
          <w:lang w:val="en-US"/>
        </w:rPr>
        <w:t>(c)</w:t>
      </w:r>
      <w:r>
        <w:rPr>
          <w:lang w:val="en-US"/>
        </w:rPr>
        <w:tab/>
      </w:r>
      <w:r w:rsidR="00DD26F2">
        <w:rPr>
          <w:lang w:val="en-US"/>
        </w:rPr>
        <w:t>C</w:t>
      </w:r>
      <w:r w:rsidR="00B54AC3" w:rsidRPr="00B54AC3">
        <w:rPr>
          <w:lang w:val="en-US"/>
        </w:rPr>
        <w:t xml:space="preserve">ommunicate </w:t>
      </w:r>
      <w:r w:rsidR="00DD26F2">
        <w:rPr>
          <w:lang w:val="en-US"/>
        </w:rPr>
        <w:t>e</w:t>
      </w:r>
      <w:r w:rsidR="00DD26F2" w:rsidRPr="00DD26F2">
        <w:rPr>
          <w:lang w:val="en-US"/>
        </w:rPr>
        <w:t xml:space="preserve">ffectively </w:t>
      </w:r>
      <w:r w:rsidR="00B54AC3" w:rsidRPr="00B54AC3">
        <w:rPr>
          <w:lang w:val="en-US"/>
        </w:rPr>
        <w:t>with others.</w:t>
      </w:r>
    </w:p>
    <w:p w:rsidR="00B54AC3" w:rsidRPr="00B54AC3" w:rsidRDefault="007420EC" w:rsidP="007420EC">
      <w:pPr>
        <w:pStyle w:val="SingleTxtG"/>
        <w:rPr>
          <w:lang w:val="en-US"/>
        </w:rPr>
      </w:pPr>
      <w:r w:rsidRPr="00B54AC3">
        <w:rPr>
          <w:lang w:val="en-US"/>
        </w:rPr>
        <w:t>15.</w:t>
      </w:r>
      <w:r w:rsidRPr="00B54AC3">
        <w:rPr>
          <w:lang w:val="en-US"/>
        </w:rPr>
        <w:tab/>
      </w:r>
      <w:r w:rsidR="00B54AC3" w:rsidRPr="00B54AC3">
        <w:rPr>
          <w:lang w:val="en-US"/>
        </w:rPr>
        <w:t>In such a situation, the withholding of medical treatment would constitute inappropriate practice and could amount to a form of cruel, inhuman or degrading treatment or punishment. It may also constitute a form of discrimination. The measure must be a last resort to avoid irreparable damage to the life, integrity or health of the person</w:t>
      </w:r>
      <w:r w:rsidR="00DD26F2">
        <w:rPr>
          <w:lang w:val="en-US"/>
        </w:rPr>
        <w:t xml:space="preserve"> </w:t>
      </w:r>
      <w:r w:rsidR="00DD26F2" w:rsidRPr="00DD26F2">
        <w:rPr>
          <w:lang w:val="en-US"/>
        </w:rPr>
        <w:t>concerned</w:t>
      </w:r>
      <w:r w:rsidR="00B54AC3" w:rsidRPr="00B54AC3">
        <w:rPr>
          <w:lang w:val="en-US"/>
        </w:rPr>
        <w:t>, and must be ma</w:t>
      </w:r>
      <w:r w:rsidR="008325D8">
        <w:rPr>
          <w:lang w:val="en-US"/>
        </w:rPr>
        <w:t>ndated by a competent authority</w:t>
      </w:r>
      <w:r w:rsidR="00B54AC3" w:rsidRPr="00B54AC3">
        <w:rPr>
          <w:lang w:val="en-US"/>
        </w:rPr>
        <w:t xml:space="preserve"> within a strict framework that </w:t>
      </w:r>
      <w:r w:rsidR="003035BB" w:rsidRPr="00DC4F57">
        <w:rPr>
          <w:lang w:val="en-US"/>
        </w:rPr>
        <w:t>sets out</w:t>
      </w:r>
      <w:r w:rsidR="003035BB" w:rsidRPr="00B54AC3">
        <w:rPr>
          <w:lang w:val="en-US"/>
        </w:rPr>
        <w:t xml:space="preserve"> </w:t>
      </w:r>
      <w:r w:rsidR="00B54AC3" w:rsidRPr="00B54AC3">
        <w:rPr>
          <w:lang w:val="en-US"/>
        </w:rPr>
        <w:t xml:space="preserve">the criteria and duration for the treatment and review and supervision mechanisms. </w:t>
      </w:r>
    </w:p>
    <w:p w:rsidR="00B54AC3" w:rsidRPr="00B54AC3" w:rsidRDefault="007420EC" w:rsidP="007420EC">
      <w:pPr>
        <w:pStyle w:val="SingleTxtG"/>
        <w:rPr>
          <w:lang w:val="en-US"/>
        </w:rPr>
      </w:pPr>
      <w:r w:rsidRPr="00B54AC3">
        <w:rPr>
          <w:lang w:val="en-US"/>
        </w:rPr>
        <w:t>16.</w:t>
      </w:r>
      <w:r w:rsidRPr="00B54AC3">
        <w:rPr>
          <w:lang w:val="en-US"/>
        </w:rPr>
        <w:tab/>
      </w:r>
      <w:r w:rsidR="00B54AC3" w:rsidRPr="00B54AC3">
        <w:rPr>
          <w:lang w:val="en-US"/>
        </w:rPr>
        <w:t>Medical treatment without informed consent should be subject to review before an independent authority and/or a complaint mechanism as soon as this is practicable.</w:t>
      </w:r>
      <w:r w:rsidR="004B41D8">
        <w:rPr>
          <w:lang w:val="en-US"/>
        </w:rPr>
        <w:t xml:space="preserve"> </w:t>
      </w:r>
      <w:r w:rsidR="00B54AC3" w:rsidRPr="00B54AC3">
        <w:rPr>
          <w:lang w:val="en-US"/>
        </w:rPr>
        <w:t>It must never be used for the convenience of staff, next</w:t>
      </w:r>
      <w:r w:rsidR="003035BB">
        <w:rPr>
          <w:lang w:val="en-US"/>
        </w:rPr>
        <w:t xml:space="preserve"> </w:t>
      </w:r>
      <w:r w:rsidR="00B54AC3" w:rsidRPr="00B54AC3">
        <w:rPr>
          <w:lang w:val="en-US"/>
        </w:rPr>
        <w:t>of</w:t>
      </w:r>
      <w:r w:rsidR="003035BB">
        <w:rPr>
          <w:lang w:val="en-US"/>
        </w:rPr>
        <w:t xml:space="preserve"> </w:t>
      </w:r>
      <w:r w:rsidR="00B54AC3" w:rsidRPr="00B54AC3">
        <w:rPr>
          <w:lang w:val="en-US"/>
        </w:rPr>
        <w:t xml:space="preserve">kin or others. Further, </w:t>
      </w:r>
      <w:r w:rsidR="004B41D8">
        <w:rPr>
          <w:lang w:val="en-US"/>
        </w:rPr>
        <w:t xml:space="preserve">the administration of </w:t>
      </w:r>
      <w:r w:rsidR="00B54AC3" w:rsidRPr="00B54AC3">
        <w:rPr>
          <w:lang w:val="en-US"/>
        </w:rPr>
        <w:t xml:space="preserve">any medication without informed consent </w:t>
      </w:r>
      <w:r w:rsidR="004B41D8">
        <w:rPr>
          <w:lang w:val="en-US"/>
        </w:rPr>
        <w:t>must</w:t>
      </w:r>
      <w:r w:rsidR="00B54AC3" w:rsidRPr="00B54AC3">
        <w:rPr>
          <w:lang w:val="en-US"/>
        </w:rPr>
        <w:t xml:space="preserve"> be precisely recorded and subject to administrative accountability and judicial review.</w:t>
      </w:r>
    </w:p>
    <w:p w:rsidR="00B54AC3" w:rsidRPr="00B54AC3" w:rsidRDefault="007420EC" w:rsidP="007420EC">
      <w:pPr>
        <w:pStyle w:val="SingleTxtG"/>
        <w:rPr>
          <w:lang w:val="en-US"/>
        </w:rPr>
      </w:pPr>
      <w:r w:rsidRPr="00B54AC3">
        <w:rPr>
          <w:lang w:val="en-US"/>
        </w:rPr>
        <w:t>17.</w:t>
      </w:r>
      <w:r w:rsidRPr="00B54AC3">
        <w:rPr>
          <w:lang w:val="en-US"/>
        </w:rPr>
        <w:tab/>
      </w:r>
      <w:r w:rsidR="00B54AC3" w:rsidRPr="00B54AC3">
        <w:rPr>
          <w:lang w:val="en-US"/>
        </w:rPr>
        <w:t xml:space="preserve">Only in the situation of emergency care may the decision </w:t>
      </w:r>
      <w:r w:rsidR="00226451">
        <w:rPr>
          <w:lang w:val="en-US"/>
        </w:rPr>
        <w:t>about any</w:t>
      </w:r>
      <w:r w:rsidR="00934FF7">
        <w:rPr>
          <w:lang w:val="en-US"/>
        </w:rPr>
        <w:t xml:space="preserve"> necessary </w:t>
      </w:r>
      <w:r w:rsidR="00226451">
        <w:rPr>
          <w:lang w:val="en-US"/>
        </w:rPr>
        <w:t>intervention</w:t>
      </w:r>
      <w:r w:rsidR="00934FF7">
        <w:rPr>
          <w:lang w:val="en-US"/>
        </w:rPr>
        <w:t xml:space="preserve"> </w:t>
      </w:r>
      <w:r w:rsidR="00B54AC3" w:rsidRPr="00B54AC3">
        <w:rPr>
          <w:lang w:val="en-US"/>
        </w:rPr>
        <w:t xml:space="preserve">be made by the medical </w:t>
      </w:r>
      <w:r w:rsidR="00934FF7">
        <w:rPr>
          <w:lang w:val="en-US"/>
        </w:rPr>
        <w:t>professional</w:t>
      </w:r>
      <w:r w:rsidR="00934FF7" w:rsidRPr="00B54AC3">
        <w:rPr>
          <w:lang w:val="en-US"/>
        </w:rPr>
        <w:t xml:space="preserve"> </w:t>
      </w:r>
      <w:r w:rsidR="00B54AC3" w:rsidRPr="00B54AC3">
        <w:rPr>
          <w:lang w:val="en-US"/>
        </w:rPr>
        <w:t xml:space="preserve">alone. </w:t>
      </w:r>
    </w:p>
    <w:p w:rsidR="00B54AC3" w:rsidRPr="00B54AC3" w:rsidRDefault="007420EC" w:rsidP="007420EC">
      <w:pPr>
        <w:pStyle w:val="SingleTxtG"/>
        <w:rPr>
          <w:lang w:val="en-US"/>
        </w:rPr>
      </w:pPr>
      <w:r w:rsidRPr="00B54AC3">
        <w:rPr>
          <w:lang w:val="en-US"/>
        </w:rPr>
        <w:t>18.</w:t>
      </w:r>
      <w:r w:rsidRPr="00B54AC3">
        <w:rPr>
          <w:lang w:val="en-US"/>
        </w:rPr>
        <w:tab/>
      </w:r>
      <w:r w:rsidR="001D75C3">
        <w:rPr>
          <w:lang w:val="en-US"/>
        </w:rPr>
        <w:t>An</w:t>
      </w:r>
      <w:r w:rsidR="00B54AC3" w:rsidRPr="00B54AC3">
        <w:rPr>
          <w:lang w:val="en-US"/>
        </w:rPr>
        <w:t xml:space="preserve"> expert </w:t>
      </w:r>
      <w:r w:rsidR="00B54AC3" w:rsidRPr="00DC4F57">
        <w:rPr>
          <w:lang w:val="en-US"/>
        </w:rPr>
        <w:t xml:space="preserve">decision </w:t>
      </w:r>
      <w:r w:rsidR="00DC4F57">
        <w:rPr>
          <w:lang w:val="en-US"/>
        </w:rPr>
        <w:t>regarding</w:t>
      </w:r>
      <w:r w:rsidR="00B54AC3" w:rsidRPr="00B54AC3">
        <w:rPr>
          <w:lang w:val="en-US"/>
        </w:rPr>
        <w:t xml:space="preserve"> psychiatric disease cannot in itself </w:t>
      </w:r>
      <w:r w:rsidR="00202588">
        <w:rPr>
          <w:lang w:val="en-US"/>
        </w:rPr>
        <w:t>override</w:t>
      </w:r>
      <w:r w:rsidR="00B54AC3" w:rsidRPr="00B54AC3">
        <w:rPr>
          <w:lang w:val="en-US"/>
        </w:rPr>
        <w:t xml:space="preserve"> the right to refuse medical treatment. </w:t>
      </w:r>
    </w:p>
    <w:p w:rsidR="00B54AC3" w:rsidRDefault="007420EC" w:rsidP="007420EC">
      <w:pPr>
        <w:pStyle w:val="SingleTxtG"/>
        <w:rPr>
          <w:lang w:val="en-US"/>
        </w:rPr>
      </w:pPr>
      <w:r>
        <w:rPr>
          <w:lang w:val="en-US"/>
        </w:rPr>
        <w:t>19.</w:t>
      </w:r>
      <w:r>
        <w:rPr>
          <w:lang w:val="en-US"/>
        </w:rPr>
        <w:tab/>
      </w:r>
      <w:r w:rsidR="00B54AC3" w:rsidRPr="00B54AC3">
        <w:rPr>
          <w:lang w:val="en-US"/>
        </w:rPr>
        <w:t>A person deprived of liberty who has been subject</w:t>
      </w:r>
      <w:r w:rsidR="003035BB">
        <w:rPr>
          <w:lang w:val="en-US"/>
        </w:rPr>
        <w:t>ed</w:t>
      </w:r>
      <w:r w:rsidR="00B54AC3" w:rsidRPr="00B54AC3">
        <w:rPr>
          <w:lang w:val="en-US"/>
        </w:rPr>
        <w:t xml:space="preserve"> to treatment without informed consent and</w:t>
      </w:r>
      <w:r w:rsidR="004B41D8">
        <w:rPr>
          <w:lang w:val="en-US"/>
        </w:rPr>
        <w:t xml:space="preserve"> to</w:t>
      </w:r>
      <w:r w:rsidR="00B54AC3" w:rsidRPr="00B54AC3">
        <w:rPr>
          <w:lang w:val="en-US"/>
        </w:rPr>
        <w:t xml:space="preserve"> restraints must be debriefed by a medical doctor as soon as her</w:t>
      </w:r>
      <w:r w:rsidR="004B41D8">
        <w:rPr>
          <w:lang w:val="en-US"/>
        </w:rPr>
        <w:t xml:space="preserve"> or </w:t>
      </w:r>
      <w:r w:rsidR="00B54AC3" w:rsidRPr="00B54AC3">
        <w:rPr>
          <w:lang w:val="en-US"/>
        </w:rPr>
        <w:t>his condition permits it</w:t>
      </w:r>
      <w:r w:rsidR="004B41D8">
        <w:rPr>
          <w:lang w:val="en-US"/>
        </w:rPr>
        <w:t>;</w:t>
      </w:r>
      <w:r w:rsidR="00B54AC3" w:rsidRPr="00B54AC3">
        <w:rPr>
          <w:lang w:val="en-US"/>
        </w:rPr>
        <w:t xml:space="preserve"> she</w:t>
      </w:r>
      <w:r w:rsidR="004B41D8">
        <w:rPr>
          <w:lang w:val="en-US"/>
        </w:rPr>
        <w:t xml:space="preserve"> or </w:t>
      </w:r>
      <w:r w:rsidR="00B54AC3" w:rsidRPr="00B54AC3">
        <w:rPr>
          <w:lang w:val="en-US"/>
        </w:rPr>
        <w:t xml:space="preserve">he must have access to the medical record and must be informed </w:t>
      </w:r>
      <w:r w:rsidR="004B41D8">
        <w:rPr>
          <w:lang w:val="en-US"/>
        </w:rPr>
        <w:t>of</w:t>
      </w:r>
      <w:r w:rsidR="004B41D8" w:rsidRPr="00B54AC3">
        <w:rPr>
          <w:lang w:val="en-US"/>
        </w:rPr>
        <w:t xml:space="preserve"> </w:t>
      </w:r>
      <w:r w:rsidR="00B54AC3" w:rsidRPr="00B54AC3">
        <w:rPr>
          <w:lang w:val="en-US"/>
        </w:rPr>
        <w:t>complaint mechanisms and means of redress. </w:t>
      </w:r>
    </w:p>
    <w:p w:rsidR="008325D8" w:rsidRPr="00B54AC3" w:rsidRDefault="008325D8" w:rsidP="008325D8">
      <w:pPr>
        <w:pStyle w:val="HChG"/>
        <w:rPr>
          <w:lang w:val="en-US"/>
        </w:rPr>
      </w:pPr>
      <w:r>
        <w:rPr>
          <w:lang w:val="en-US"/>
        </w:rPr>
        <w:tab/>
        <w:t>IV</w:t>
      </w:r>
      <w:r w:rsidR="00B74B49">
        <w:rPr>
          <w:lang w:val="en-US"/>
        </w:rPr>
        <w:t>.</w:t>
      </w:r>
      <w:r>
        <w:rPr>
          <w:lang w:val="en-US"/>
        </w:rPr>
        <w:tab/>
      </w:r>
      <w:r w:rsidRPr="008325D8">
        <w:rPr>
          <w:lang w:val="en-US"/>
        </w:rPr>
        <w:t>Duties of State</w:t>
      </w:r>
      <w:r w:rsidR="00F97747">
        <w:rPr>
          <w:lang w:val="en-US"/>
        </w:rPr>
        <w:t>s</w:t>
      </w:r>
      <w:r w:rsidRPr="008325D8">
        <w:rPr>
          <w:lang w:val="en-US"/>
        </w:rPr>
        <w:t xml:space="preserve"> </w:t>
      </w:r>
      <w:r w:rsidR="00F97747">
        <w:rPr>
          <w:lang w:val="en-US"/>
        </w:rPr>
        <w:t>p</w:t>
      </w:r>
      <w:r w:rsidRPr="008325D8">
        <w:rPr>
          <w:lang w:val="en-US"/>
        </w:rPr>
        <w:t>arties</w:t>
      </w:r>
    </w:p>
    <w:p w:rsidR="003734C0" w:rsidRPr="00C40855" w:rsidRDefault="003734C0" w:rsidP="003734C0">
      <w:pPr>
        <w:pStyle w:val="SingleTxtG"/>
        <w:rPr>
          <w:lang w:val="en-US"/>
        </w:rPr>
      </w:pPr>
      <w:r w:rsidRPr="00C40855">
        <w:rPr>
          <w:lang w:val="en-US"/>
        </w:rPr>
        <w:t xml:space="preserve">20. </w:t>
      </w:r>
      <w:r>
        <w:rPr>
          <w:lang w:val="en-US"/>
        </w:rPr>
        <w:tab/>
      </w:r>
      <w:r w:rsidRPr="00C40855">
        <w:rPr>
          <w:lang w:val="en-US"/>
        </w:rPr>
        <w:t xml:space="preserve">State parties are encouraged to review their mental health legislation and public policies with respect to the legality of involuntary interventions for persons </w:t>
      </w:r>
      <w:r>
        <w:rPr>
          <w:lang w:val="en-US"/>
        </w:rPr>
        <w:t xml:space="preserve">with </w:t>
      </w:r>
      <w:r w:rsidRPr="00C40855">
        <w:rPr>
          <w:lang w:val="en-US"/>
        </w:rPr>
        <w:t>mental disability,</w:t>
      </w:r>
      <w:r>
        <w:rPr>
          <w:lang w:val="en-US"/>
        </w:rPr>
        <w:t xml:space="preserve"> with the following objectives:</w:t>
      </w:r>
    </w:p>
    <w:p w:rsidR="003734C0" w:rsidRDefault="003734C0" w:rsidP="003734C0">
      <w:pPr>
        <w:pStyle w:val="SingleTxtG"/>
        <w:ind w:firstLine="567"/>
        <w:rPr>
          <w:lang w:val="en-US"/>
        </w:rPr>
      </w:pPr>
      <w:r w:rsidRPr="00C40855">
        <w:rPr>
          <w:lang w:val="en-US"/>
        </w:rPr>
        <w:t xml:space="preserve">(a) Developing restrictive criteria for the use of involuntary interventions, which must include that their use is limited to cases in which less intrusive means are not likely to be effective </w:t>
      </w:r>
      <w:r>
        <w:rPr>
          <w:lang w:val="en-US"/>
        </w:rPr>
        <w:t>and</w:t>
      </w:r>
      <w:r w:rsidRPr="00C40855">
        <w:rPr>
          <w:lang w:val="en-US"/>
        </w:rPr>
        <w:t xml:space="preserve"> the person is incapable to provide informed consent;</w:t>
      </w:r>
    </w:p>
    <w:p w:rsidR="003734C0" w:rsidRDefault="003734C0" w:rsidP="003734C0">
      <w:pPr>
        <w:pStyle w:val="SingleTxtG"/>
        <w:ind w:firstLine="567"/>
        <w:rPr>
          <w:lang w:val="en-US"/>
        </w:rPr>
      </w:pPr>
      <w:r w:rsidRPr="00C40855">
        <w:rPr>
          <w:lang w:val="en-US"/>
        </w:rPr>
        <w:lastRenderedPageBreak/>
        <w:t xml:space="preserve"> (b) Promoting appropriate measures to provide access by persons with disabilities to the support they may require in exercising their legal capacity; </w:t>
      </w:r>
    </w:p>
    <w:p w:rsidR="003734C0" w:rsidRDefault="003734C0" w:rsidP="003734C0">
      <w:pPr>
        <w:pStyle w:val="SingleTxtG"/>
        <w:ind w:firstLine="567"/>
        <w:rPr>
          <w:lang w:val="en-US"/>
        </w:rPr>
      </w:pPr>
      <w:r w:rsidRPr="00C40855">
        <w:rPr>
          <w:lang w:val="en-US"/>
        </w:rPr>
        <w:t xml:space="preserve">(c) Establishing procedures designed to protect the rights of persons with mental disabilities, including impartial judicial or administrative review of decisions regarding findings of incapacity and requests for involuntary hospitalization and involuntary treatment, as well as a system of periodical review of these decisions; </w:t>
      </w:r>
    </w:p>
    <w:p w:rsidR="003734C0" w:rsidRDefault="003734C0" w:rsidP="003734C0">
      <w:pPr>
        <w:pStyle w:val="SingleTxtG"/>
        <w:ind w:firstLine="567"/>
        <w:rPr>
          <w:lang w:val="en-US"/>
        </w:rPr>
      </w:pPr>
      <w:r w:rsidRPr="00C40855">
        <w:rPr>
          <w:lang w:val="en-US"/>
        </w:rPr>
        <w:t>(d)  Providing mechanisms to investigate improprieties and abuses in the use of involuntary interventions, with appropriate penalties.</w:t>
      </w:r>
    </w:p>
    <w:p w:rsidR="00834204" w:rsidRPr="00C61FDE" w:rsidRDefault="00E677CF" w:rsidP="008D2995">
      <w:pPr>
        <w:pStyle w:val="SingleTxtG"/>
        <w:spacing w:before="240" w:after="0"/>
        <w:jc w:val="center"/>
      </w:pPr>
      <w:r>
        <w:rPr>
          <w:sz w:val="22"/>
          <w:szCs w:val="22"/>
          <w:u w:val="single"/>
        </w:rPr>
        <w:tab/>
      </w:r>
      <w:r>
        <w:rPr>
          <w:sz w:val="22"/>
          <w:szCs w:val="22"/>
          <w:u w:val="single"/>
        </w:rPr>
        <w:tab/>
      </w:r>
      <w:r>
        <w:rPr>
          <w:sz w:val="22"/>
          <w:szCs w:val="22"/>
          <w:u w:val="single"/>
        </w:rPr>
        <w:tab/>
      </w:r>
    </w:p>
    <w:sectPr w:rsidR="00834204" w:rsidRPr="00C61FDE" w:rsidSect="006E6DD0">
      <w:footerReference w:type="even" r:id="rId9"/>
      <w:footerReference w:type="default" r:id="rId10"/>
      <w:footerReference w:type="first" r:id="rId11"/>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5DB" w:rsidRDefault="00E645DB"/>
  </w:endnote>
  <w:endnote w:type="continuationSeparator" w:id="0">
    <w:p w:rsidR="00E645DB" w:rsidRDefault="00E645DB"/>
  </w:endnote>
  <w:endnote w:type="continuationNotice" w:id="1">
    <w:p w:rsidR="00E645DB" w:rsidRDefault="00E64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FDE" w:rsidRPr="00BA44B0" w:rsidRDefault="00C61FDE" w:rsidP="00C61FDE">
    <w:pPr>
      <w:pStyle w:val="Footer"/>
      <w:tabs>
        <w:tab w:val="right" w:pos="9638"/>
      </w:tabs>
      <w:rPr>
        <w:b/>
        <w:bCs/>
      </w:rPr>
    </w:pPr>
    <w:r w:rsidRPr="00BA44B0">
      <w:rPr>
        <w:b/>
        <w:bCs/>
        <w:sz w:val="18"/>
      </w:rPr>
      <w:fldChar w:fldCharType="begin"/>
    </w:r>
    <w:r w:rsidRPr="00BA44B0">
      <w:rPr>
        <w:b/>
        <w:bCs/>
        <w:sz w:val="18"/>
      </w:rPr>
      <w:instrText xml:space="preserve"> PAGE  \* MERGEFORMAT </w:instrText>
    </w:r>
    <w:r w:rsidRPr="00BA44B0">
      <w:rPr>
        <w:b/>
        <w:bCs/>
        <w:sz w:val="18"/>
      </w:rPr>
      <w:fldChar w:fldCharType="separate"/>
    </w:r>
    <w:r w:rsidR="001811BC">
      <w:rPr>
        <w:b/>
        <w:bCs/>
        <w:noProof/>
        <w:sz w:val="18"/>
      </w:rPr>
      <w:t>2</w:t>
    </w:r>
    <w:r w:rsidRPr="00BA44B0">
      <w:rPr>
        <w:b/>
        <w:bCs/>
        <w:sz w:val="18"/>
      </w:rPr>
      <w:fldChar w:fldCharType="end"/>
    </w:r>
    <w:r w:rsidRPr="00BA44B0">
      <w:rPr>
        <w:b/>
        <w:bCs/>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FDE" w:rsidRPr="00C61FDE" w:rsidRDefault="00C61FDE" w:rsidP="00C61FDE">
    <w:pPr>
      <w:pStyle w:val="Footer"/>
      <w:tabs>
        <w:tab w:val="right" w:pos="9638"/>
      </w:tabs>
      <w:rPr>
        <w:sz w:val="18"/>
      </w:rPr>
    </w:pPr>
    <w:r>
      <w:tab/>
    </w:r>
    <w:r w:rsidRPr="00C61FDE">
      <w:rPr>
        <w:b/>
        <w:sz w:val="18"/>
      </w:rPr>
      <w:fldChar w:fldCharType="begin"/>
    </w:r>
    <w:r w:rsidRPr="00C61FDE">
      <w:rPr>
        <w:b/>
        <w:sz w:val="18"/>
      </w:rPr>
      <w:instrText xml:space="preserve"> PAGE  \* MERGEFORMAT </w:instrText>
    </w:r>
    <w:r w:rsidRPr="00C61FDE">
      <w:rPr>
        <w:b/>
        <w:sz w:val="18"/>
      </w:rPr>
      <w:fldChar w:fldCharType="separate"/>
    </w:r>
    <w:r w:rsidR="001811BC">
      <w:rPr>
        <w:b/>
        <w:noProof/>
        <w:sz w:val="18"/>
      </w:rPr>
      <w:t>3</w:t>
    </w:r>
    <w:r w:rsidRPr="00C61FD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D1033A" w:rsidTr="001811BC">
      <w:tc>
        <w:tcPr>
          <w:tcW w:w="3614" w:type="dxa"/>
          <w:shd w:val="clear" w:color="auto" w:fill="auto"/>
        </w:tcPr>
        <w:p w:rsidR="00D1033A" w:rsidRPr="006E6DD0" w:rsidRDefault="00D1033A" w:rsidP="00D1033A">
          <w:pPr>
            <w:pStyle w:val="Footer"/>
            <w:rPr>
              <w:rFonts w:ascii="Barcode 3 of 9 by request" w:hAnsi="Barcode 3 of 9 by request"/>
              <w:sz w:val="24"/>
            </w:rPr>
          </w:pPr>
        </w:p>
      </w:tc>
      <w:tc>
        <w:tcPr>
          <w:tcW w:w="4752" w:type="dxa"/>
          <w:shd w:val="clear" w:color="auto" w:fill="auto"/>
        </w:tcPr>
        <w:p w:rsidR="00D1033A" w:rsidRDefault="00D1033A" w:rsidP="006E6DD0">
          <w:pPr>
            <w:pStyle w:val="Footer"/>
            <w:spacing w:line="240" w:lineRule="atLeast"/>
            <w:jc w:val="right"/>
            <w:rPr>
              <w:sz w:val="20"/>
            </w:rPr>
          </w:pPr>
          <w:r>
            <w:rPr>
              <w:noProof/>
              <w:sz w:val="20"/>
              <w:lang w:val="pt-PT" w:eastAsia="pt-PT"/>
            </w:rPr>
            <w:drawing>
              <wp:inline distT="0" distB="0" distL="0" distR="0" wp14:anchorId="6FE52121" wp14:editId="4434D74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29642" cy="231648"/>
                        </a:xfrm>
                        <a:prstGeom prst="rect">
                          <a:avLst/>
                        </a:prstGeom>
                      </pic:spPr>
                    </pic:pic>
                  </a:graphicData>
                </a:graphic>
              </wp:inline>
            </w:drawing>
          </w:r>
        </w:p>
      </w:tc>
    </w:tr>
  </w:tbl>
  <w:p w:rsidR="00D1033A" w:rsidRPr="006E6DD0" w:rsidRDefault="00D1033A" w:rsidP="00D1033A">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5DB" w:rsidRPr="000B175B" w:rsidRDefault="00E645DB" w:rsidP="000B175B">
      <w:pPr>
        <w:tabs>
          <w:tab w:val="right" w:pos="2155"/>
        </w:tabs>
        <w:spacing w:after="80"/>
        <w:ind w:left="680"/>
        <w:rPr>
          <w:u w:val="single"/>
        </w:rPr>
      </w:pPr>
      <w:r>
        <w:rPr>
          <w:u w:val="single"/>
        </w:rPr>
        <w:tab/>
      </w:r>
    </w:p>
  </w:footnote>
  <w:footnote w:type="continuationSeparator" w:id="0">
    <w:p w:rsidR="00E645DB" w:rsidRPr="00FC68B7" w:rsidRDefault="00E645DB" w:rsidP="00FC68B7">
      <w:pPr>
        <w:tabs>
          <w:tab w:val="left" w:pos="2155"/>
        </w:tabs>
        <w:spacing w:after="80"/>
        <w:ind w:left="680"/>
        <w:rPr>
          <w:u w:val="single"/>
        </w:rPr>
      </w:pPr>
      <w:r>
        <w:rPr>
          <w:u w:val="single"/>
        </w:rPr>
        <w:tab/>
      </w:r>
    </w:p>
  </w:footnote>
  <w:footnote w:type="continuationNotice" w:id="1">
    <w:p w:rsidR="00E645DB" w:rsidRDefault="00E645DB"/>
  </w:footnote>
  <w:footnote w:id="2">
    <w:p w:rsidR="00771D4A" w:rsidRPr="00BA44B0" w:rsidRDefault="00771D4A">
      <w:pPr>
        <w:pStyle w:val="FootnoteText"/>
        <w:rPr>
          <w:lang w:val="en-US"/>
        </w:rPr>
      </w:pPr>
      <w:r>
        <w:tab/>
      </w:r>
      <w:r>
        <w:rPr>
          <w:rStyle w:val="FootnoteReference"/>
        </w:rPr>
        <w:footnoteRef/>
      </w:r>
      <w:r>
        <w:tab/>
      </w:r>
      <w:r w:rsidRPr="001D75C3">
        <w:t>Human Rights Committee, general comment No. 35 (2014) on liberty and security of person</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713047C"/>
    <w:multiLevelType w:val="hybridMultilevel"/>
    <w:tmpl w:val="2A6E1BBA"/>
    <w:lvl w:ilvl="0" w:tplc="E64A327C">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
    <w:nsid w:val="3A6620F6"/>
    <w:multiLevelType w:val="hybridMultilevel"/>
    <w:tmpl w:val="6E9EFC4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46B13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156161E"/>
    <w:multiLevelType w:val="hybridMultilevel"/>
    <w:tmpl w:val="D9F89280"/>
    <w:lvl w:ilvl="0" w:tplc="938AA0C2">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CR"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DE"/>
    <w:rsid w:val="00005062"/>
    <w:rsid w:val="00016938"/>
    <w:rsid w:val="00031EFF"/>
    <w:rsid w:val="00050F6B"/>
    <w:rsid w:val="00053A8B"/>
    <w:rsid w:val="00064B13"/>
    <w:rsid w:val="0006642C"/>
    <w:rsid w:val="00072C8C"/>
    <w:rsid w:val="00073BA9"/>
    <w:rsid w:val="000852A5"/>
    <w:rsid w:val="00085C73"/>
    <w:rsid w:val="00091419"/>
    <w:rsid w:val="000931C0"/>
    <w:rsid w:val="000B175B"/>
    <w:rsid w:val="000B2F0E"/>
    <w:rsid w:val="000B3A0F"/>
    <w:rsid w:val="000C11CF"/>
    <w:rsid w:val="000E0415"/>
    <w:rsid w:val="000E34E1"/>
    <w:rsid w:val="001179D8"/>
    <w:rsid w:val="00143920"/>
    <w:rsid w:val="00147883"/>
    <w:rsid w:val="0015154E"/>
    <w:rsid w:val="001704BA"/>
    <w:rsid w:val="00172EF0"/>
    <w:rsid w:val="001775C3"/>
    <w:rsid w:val="001811BC"/>
    <w:rsid w:val="00184060"/>
    <w:rsid w:val="00187B54"/>
    <w:rsid w:val="00193AED"/>
    <w:rsid w:val="001A6246"/>
    <w:rsid w:val="001B35A2"/>
    <w:rsid w:val="001B4B04"/>
    <w:rsid w:val="001C43C1"/>
    <w:rsid w:val="001C571A"/>
    <w:rsid w:val="001C591F"/>
    <w:rsid w:val="001C6581"/>
    <w:rsid w:val="001C6663"/>
    <w:rsid w:val="001C7895"/>
    <w:rsid w:val="001D26DF"/>
    <w:rsid w:val="001D2FDC"/>
    <w:rsid w:val="001D75C3"/>
    <w:rsid w:val="00202588"/>
    <w:rsid w:val="002078D8"/>
    <w:rsid w:val="00207D6E"/>
    <w:rsid w:val="00211E0B"/>
    <w:rsid w:val="00214DC6"/>
    <w:rsid w:val="00226451"/>
    <w:rsid w:val="00237785"/>
    <w:rsid w:val="00241466"/>
    <w:rsid w:val="00287843"/>
    <w:rsid w:val="002A3B6B"/>
    <w:rsid w:val="002B0BF6"/>
    <w:rsid w:val="002B74D9"/>
    <w:rsid w:val="002D066B"/>
    <w:rsid w:val="002D1DB0"/>
    <w:rsid w:val="002D7893"/>
    <w:rsid w:val="003035BB"/>
    <w:rsid w:val="00306BCA"/>
    <w:rsid w:val="00307381"/>
    <w:rsid w:val="003107FA"/>
    <w:rsid w:val="003229D8"/>
    <w:rsid w:val="003734C0"/>
    <w:rsid w:val="00375AD5"/>
    <w:rsid w:val="00390B52"/>
    <w:rsid w:val="0039277A"/>
    <w:rsid w:val="003972E0"/>
    <w:rsid w:val="003A76BF"/>
    <w:rsid w:val="003C2CC4"/>
    <w:rsid w:val="003C3EDF"/>
    <w:rsid w:val="003C41F2"/>
    <w:rsid w:val="003D1C19"/>
    <w:rsid w:val="003D4B23"/>
    <w:rsid w:val="003E56B3"/>
    <w:rsid w:val="003E6AE5"/>
    <w:rsid w:val="003F38EB"/>
    <w:rsid w:val="003F63FD"/>
    <w:rsid w:val="004325CB"/>
    <w:rsid w:val="00436358"/>
    <w:rsid w:val="00446DE4"/>
    <w:rsid w:val="004566E2"/>
    <w:rsid w:val="00473FF8"/>
    <w:rsid w:val="004A4447"/>
    <w:rsid w:val="004A6D7E"/>
    <w:rsid w:val="004B41D8"/>
    <w:rsid w:val="004B45D2"/>
    <w:rsid w:val="004B51EB"/>
    <w:rsid w:val="004C5CEF"/>
    <w:rsid w:val="004D2704"/>
    <w:rsid w:val="004D33AE"/>
    <w:rsid w:val="004E593F"/>
    <w:rsid w:val="00505F82"/>
    <w:rsid w:val="00511D09"/>
    <w:rsid w:val="00530645"/>
    <w:rsid w:val="00534FC6"/>
    <w:rsid w:val="00535741"/>
    <w:rsid w:val="005420F2"/>
    <w:rsid w:val="0054574F"/>
    <w:rsid w:val="005566A1"/>
    <w:rsid w:val="00561D53"/>
    <w:rsid w:val="005629E1"/>
    <w:rsid w:val="00576F4E"/>
    <w:rsid w:val="0058793E"/>
    <w:rsid w:val="00595080"/>
    <w:rsid w:val="005A2E63"/>
    <w:rsid w:val="005A6030"/>
    <w:rsid w:val="005B0AB2"/>
    <w:rsid w:val="005B3DB3"/>
    <w:rsid w:val="005C15E7"/>
    <w:rsid w:val="005D0A82"/>
    <w:rsid w:val="005F6D52"/>
    <w:rsid w:val="00611FC4"/>
    <w:rsid w:val="006176FB"/>
    <w:rsid w:val="00621D4B"/>
    <w:rsid w:val="00640B26"/>
    <w:rsid w:val="00642948"/>
    <w:rsid w:val="0065366F"/>
    <w:rsid w:val="006541F9"/>
    <w:rsid w:val="00656DCD"/>
    <w:rsid w:val="00664A46"/>
    <w:rsid w:val="00666DED"/>
    <w:rsid w:val="00684ECD"/>
    <w:rsid w:val="006A7392"/>
    <w:rsid w:val="006C0D34"/>
    <w:rsid w:val="006C1945"/>
    <w:rsid w:val="006D21B5"/>
    <w:rsid w:val="006D3DC6"/>
    <w:rsid w:val="006D5154"/>
    <w:rsid w:val="006D5964"/>
    <w:rsid w:val="006E564B"/>
    <w:rsid w:val="006E6DD0"/>
    <w:rsid w:val="00701E0B"/>
    <w:rsid w:val="007052FB"/>
    <w:rsid w:val="00707AB2"/>
    <w:rsid w:val="0072632A"/>
    <w:rsid w:val="00732459"/>
    <w:rsid w:val="007337D0"/>
    <w:rsid w:val="007420EC"/>
    <w:rsid w:val="00751973"/>
    <w:rsid w:val="00751A67"/>
    <w:rsid w:val="00760107"/>
    <w:rsid w:val="00771D4A"/>
    <w:rsid w:val="007825EC"/>
    <w:rsid w:val="00797F57"/>
    <w:rsid w:val="007A396D"/>
    <w:rsid w:val="007B6BA5"/>
    <w:rsid w:val="007C3390"/>
    <w:rsid w:val="007C4F4B"/>
    <w:rsid w:val="007D324A"/>
    <w:rsid w:val="007E0554"/>
    <w:rsid w:val="007E16E8"/>
    <w:rsid w:val="007F6611"/>
    <w:rsid w:val="008143D1"/>
    <w:rsid w:val="008161C6"/>
    <w:rsid w:val="008172C5"/>
    <w:rsid w:val="008175E9"/>
    <w:rsid w:val="008242D7"/>
    <w:rsid w:val="0082434C"/>
    <w:rsid w:val="008325D8"/>
    <w:rsid w:val="0083270E"/>
    <w:rsid w:val="00834204"/>
    <w:rsid w:val="0085629E"/>
    <w:rsid w:val="00864730"/>
    <w:rsid w:val="00871FD5"/>
    <w:rsid w:val="0088166A"/>
    <w:rsid w:val="00886AFE"/>
    <w:rsid w:val="00891D4E"/>
    <w:rsid w:val="008979B1"/>
    <w:rsid w:val="008A6B25"/>
    <w:rsid w:val="008A6B49"/>
    <w:rsid w:val="008A6C4F"/>
    <w:rsid w:val="008C134B"/>
    <w:rsid w:val="008D2995"/>
    <w:rsid w:val="008E0E46"/>
    <w:rsid w:val="00916D0A"/>
    <w:rsid w:val="00934FF7"/>
    <w:rsid w:val="00947ABE"/>
    <w:rsid w:val="00953D98"/>
    <w:rsid w:val="00963CBA"/>
    <w:rsid w:val="009732B2"/>
    <w:rsid w:val="0099009D"/>
    <w:rsid w:val="00991261"/>
    <w:rsid w:val="009913B5"/>
    <w:rsid w:val="00994B6A"/>
    <w:rsid w:val="009A035A"/>
    <w:rsid w:val="009A178A"/>
    <w:rsid w:val="009E4D12"/>
    <w:rsid w:val="009E65E7"/>
    <w:rsid w:val="009F0DB7"/>
    <w:rsid w:val="00A022E4"/>
    <w:rsid w:val="00A02ACE"/>
    <w:rsid w:val="00A1427D"/>
    <w:rsid w:val="00A17B0A"/>
    <w:rsid w:val="00A21889"/>
    <w:rsid w:val="00A30FAA"/>
    <w:rsid w:val="00A557DA"/>
    <w:rsid w:val="00A72F22"/>
    <w:rsid w:val="00A748A6"/>
    <w:rsid w:val="00A75BCF"/>
    <w:rsid w:val="00A879A4"/>
    <w:rsid w:val="00A924D9"/>
    <w:rsid w:val="00A950CC"/>
    <w:rsid w:val="00AA2F64"/>
    <w:rsid w:val="00AA6B66"/>
    <w:rsid w:val="00AB48AF"/>
    <w:rsid w:val="00AB54B5"/>
    <w:rsid w:val="00AC4814"/>
    <w:rsid w:val="00AC6480"/>
    <w:rsid w:val="00AE2898"/>
    <w:rsid w:val="00AF2A4E"/>
    <w:rsid w:val="00AF552C"/>
    <w:rsid w:val="00AF7100"/>
    <w:rsid w:val="00AF710D"/>
    <w:rsid w:val="00B045E0"/>
    <w:rsid w:val="00B30179"/>
    <w:rsid w:val="00B33070"/>
    <w:rsid w:val="00B3317B"/>
    <w:rsid w:val="00B407EF"/>
    <w:rsid w:val="00B47584"/>
    <w:rsid w:val="00B513EF"/>
    <w:rsid w:val="00B54AC3"/>
    <w:rsid w:val="00B74B49"/>
    <w:rsid w:val="00B81E12"/>
    <w:rsid w:val="00B91F66"/>
    <w:rsid w:val="00B92B6C"/>
    <w:rsid w:val="00B93068"/>
    <w:rsid w:val="00B95818"/>
    <w:rsid w:val="00BA1CBB"/>
    <w:rsid w:val="00BA22FD"/>
    <w:rsid w:val="00BA44B0"/>
    <w:rsid w:val="00BC64B7"/>
    <w:rsid w:val="00BC74E9"/>
    <w:rsid w:val="00BE618E"/>
    <w:rsid w:val="00C015F2"/>
    <w:rsid w:val="00C02480"/>
    <w:rsid w:val="00C463DD"/>
    <w:rsid w:val="00C52108"/>
    <w:rsid w:val="00C55D85"/>
    <w:rsid w:val="00C573C0"/>
    <w:rsid w:val="00C61FDE"/>
    <w:rsid w:val="00C64E5D"/>
    <w:rsid w:val="00C66625"/>
    <w:rsid w:val="00C745C3"/>
    <w:rsid w:val="00C7540C"/>
    <w:rsid w:val="00CB2E01"/>
    <w:rsid w:val="00CB61F6"/>
    <w:rsid w:val="00CC30EC"/>
    <w:rsid w:val="00CC415B"/>
    <w:rsid w:val="00CD2B26"/>
    <w:rsid w:val="00CD483B"/>
    <w:rsid w:val="00CD5A7D"/>
    <w:rsid w:val="00CE4A8F"/>
    <w:rsid w:val="00D04566"/>
    <w:rsid w:val="00D1033A"/>
    <w:rsid w:val="00D17F18"/>
    <w:rsid w:val="00D2031B"/>
    <w:rsid w:val="00D22AB4"/>
    <w:rsid w:val="00D25FE2"/>
    <w:rsid w:val="00D33C0E"/>
    <w:rsid w:val="00D37D45"/>
    <w:rsid w:val="00D43252"/>
    <w:rsid w:val="00D52500"/>
    <w:rsid w:val="00D80FF7"/>
    <w:rsid w:val="00D978C6"/>
    <w:rsid w:val="00DA2AA0"/>
    <w:rsid w:val="00DA67AD"/>
    <w:rsid w:val="00DB2F41"/>
    <w:rsid w:val="00DB57FA"/>
    <w:rsid w:val="00DC1182"/>
    <w:rsid w:val="00DC1281"/>
    <w:rsid w:val="00DC4F57"/>
    <w:rsid w:val="00DD1A10"/>
    <w:rsid w:val="00DD26F2"/>
    <w:rsid w:val="00DD5C98"/>
    <w:rsid w:val="00DE0FA0"/>
    <w:rsid w:val="00DE2AC2"/>
    <w:rsid w:val="00DF5B54"/>
    <w:rsid w:val="00E026D0"/>
    <w:rsid w:val="00E130AB"/>
    <w:rsid w:val="00E2351C"/>
    <w:rsid w:val="00E41598"/>
    <w:rsid w:val="00E5345C"/>
    <w:rsid w:val="00E5644E"/>
    <w:rsid w:val="00E62299"/>
    <w:rsid w:val="00E645DB"/>
    <w:rsid w:val="00E677CF"/>
    <w:rsid w:val="00E7260F"/>
    <w:rsid w:val="00E96630"/>
    <w:rsid w:val="00EA1E85"/>
    <w:rsid w:val="00EA4678"/>
    <w:rsid w:val="00EA5CEF"/>
    <w:rsid w:val="00EB0287"/>
    <w:rsid w:val="00EB2753"/>
    <w:rsid w:val="00ED7A2A"/>
    <w:rsid w:val="00EE4931"/>
    <w:rsid w:val="00EE5192"/>
    <w:rsid w:val="00EF1D7F"/>
    <w:rsid w:val="00F152B8"/>
    <w:rsid w:val="00F1670E"/>
    <w:rsid w:val="00F40991"/>
    <w:rsid w:val="00F40E75"/>
    <w:rsid w:val="00F41BC4"/>
    <w:rsid w:val="00F47603"/>
    <w:rsid w:val="00F51686"/>
    <w:rsid w:val="00F534AD"/>
    <w:rsid w:val="00F604EA"/>
    <w:rsid w:val="00F627D3"/>
    <w:rsid w:val="00F77807"/>
    <w:rsid w:val="00F8492E"/>
    <w:rsid w:val="00F862D6"/>
    <w:rsid w:val="00F97747"/>
    <w:rsid w:val="00FA0682"/>
    <w:rsid w:val="00FA1271"/>
    <w:rsid w:val="00FB5D9C"/>
    <w:rsid w:val="00FC312C"/>
    <w:rsid w:val="00FC589D"/>
    <w:rsid w:val="00FC68B7"/>
    <w:rsid w:val="00FC68F3"/>
    <w:rsid w:val="00FE3F38"/>
    <w:rsid w:val="00FF77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753"/>
    <w:pPr>
      <w:suppressAutoHyphens/>
      <w:spacing w:line="240" w:lineRule="atLeast"/>
    </w:pPr>
    <w:rPr>
      <w:lang w:eastAsia="en-US"/>
    </w:rPr>
  </w:style>
  <w:style w:type="paragraph" w:styleId="Heading1">
    <w:name w:val="heading 1"/>
    <w:aliases w:val="Table_G"/>
    <w:basedOn w:val="SingleTxtG"/>
    <w:next w:val="SingleTxtG"/>
    <w:qFormat/>
    <w:rsid w:val="00C52108"/>
    <w:pPr>
      <w:spacing w:after="0" w:line="240" w:lineRule="auto"/>
      <w:ind w:right="0"/>
      <w:jc w:val="left"/>
      <w:outlineLvl w:val="0"/>
    </w:pPr>
  </w:style>
  <w:style w:type="paragraph" w:styleId="Heading2">
    <w:name w:val="heading 2"/>
    <w:basedOn w:val="Normal"/>
    <w:next w:val="Normal"/>
    <w:qFormat/>
    <w:rsid w:val="00C52108"/>
    <w:pPr>
      <w:spacing w:line="240" w:lineRule="auto"/>
      <w:outlineLvl w:val="1"/>
    </w:pPr>
  </w:style>
  <w:style w:type="paragraph" w:styleId="Heading3">
    <w:name w:val="heading 3"/>
    <w:basedOn w:val="Normal"/>
    <w:next w:val="Normal"/>
    <w:qFormat/>
    <w:rsid w:val="00C52108"/>
    <w:pPr>
      <w:spacing w:line="240" w:lineRule="auto"/>
      <w:outlineLvl w:val="2"/>
    </w:pPr>
  </w:style>
  <w:style w:type="paragraph" w:styleId="Heading4">
    <w:name w:val="heading 4"/>
    <w:basedOn w:val="Normal"/>
    <w:next w:val="Normal"/>
    <w:qFormat/>
    <w:rsid w:val="00C52108"/>
    <w:pPr>
      <w:spacing w:line="240" w:lineRule="auto"/>
      <w:outlineLvl w:val="3"/>
    </w:pPr>
  </w:style>
  <w:style w:type="paragraph" w:styleId="Heading5">
    <w:name w:val="heading 5"/>
    <w:basedOn w:val="Normal"/>
    <w:next w:val="Normal"/>
    <w:qFormat/>
    <w:rsid w:val="00C52108"/>
    <w:pPr>
      <w:spacing w:line="240" w:lineRule="auto"/>
      <w:outlineLvl w:val="4"/>
    </w:pPr>
  </w:style>
  <w:style w:type="paragraph" w:styleId="Heading6">
    <w:name w:val="heading 6"/>
    <w:basedOn w:val="Normal"/>
    <w:next w:val="Normal"/>
    <w:qFormat/>
    <w:rsid w:val="00C52108"/>
    <w:pPr>
      <w:spacing w:line="240" w:lineRule="auto"/>
      <w:outlineLvl w:val="5"/>
    </w:pPr>
  </w:style>
  <w:style w:type="paragraph" w:styleId="Heading7">
    <w:name w:val="heading 7"/>
    <w:basedOn w:val="Normal"/>
    <w:next w:val="Normal"/>
    <w:qFormat/>
    <w:rsid w:val="00C52108"/>
    <w:pPr>
      <w:spacing w:line="240" w:lineRule="auto"/>
      <w:outlineLvl w:val="6"/>
    </w:pPr>
  </w:style>
  <w:style w:type="paragraph" w:styleId="Heading8">
    <w:name w:val="heading 8"/>
    <w:basedOn w:val="Normal"/>
    <w:next w:val="Normal"/>
    <w:qFormat/>
    <w:rsid w:val="00C52108"/>
    <w:pPr>
      <w:spacing w:line="240" w:lineRule="auto"/>
      <w:outlineLvl w:val="7"/>
    </w:pPr>
  </w:style>
  <w:style w:type="paragraph" w:styleId="Heading9">
    <w:name w:val="heading 9"/>
    <w:basedOn w:val="Normal"/>
    <w:next w:val="Normal"/>
    <w:qFormat/>
    <w:rsid w:val="00C5210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5210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5210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5210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5210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5210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52108"/>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52108"/>
    <w:pPr>
      <w:spacing w:after="120"/>
      <w:ind w:left="1134" w:right="1134"/>
      <w:jc w:val="both"/>
    </w:pPr>
  </w:style>
  <w:style w:type="paragraph" w:customStyle="1" w:styleId="SLG">
    <w:name w:val="__S_L_G"/>
    <w:basedOn w:val="Normal"/>
    <w:next w:val="Normal"/>
    <w:rsid w:val="00C52108"/>
    <w:pPr>
      <w:keepNext/>
      <w:keepLines/>
      <w:spacing w:before="240" w:after="240" w:line="580" w:lineRule="exact"/>
      <w:ind w:left="1134" w:right="1134"/>
    </w:pPr>
    <w:rPr>
      <w:b/>
      <w:sz w:val="56"/>
    </w:rPr>
  </w:style>
  <w:style w:type="paragraph" w:customStyle="1" w:styleId="SMG">
    <w:name w:val="__S_M_G"/>
    <w:basedOn w:val="Normal"/>
    <w:next w:val="Normal"/>
    <w:rsid w:val="00C52108"/>
    <w:pPr>
      <w:keepNext/>
      <w:keepLines/>
      <w:spacing w:before="240" w:after="240" w:line="420" w:lineRule="exact"/>
      <w:ind w:left="1134" w:right="1134"/>
    </w:pPr>
    <w:rPr>
      <w:b/>
      <w:sz w:val="40"/>
    </w:rPr>
  </w:style>
  <w:style w:type="paragraph" w:customStyle="1" w:styleId="SSG">
    <w:name w:val="__S_S_G"/>
    <w:basedOn w:val="Normal"/>
    <w:next w:val="Normal"/>
    <w:rsid w:val="00C52108"/>
    <w:pPr>
      <w:keepNext/>
      <w:keepLines/>
      <w:spacing w:before="240" w:after="240" w:line="300" w:lineRule="exact"/>
      <w:ind w:left="1134" w:right="1134"/>
    </w:pPr>
    <w:rPr>
      <w:b/>
      <w:sz w:val="28"/>
    </w:rPr>
  </w:style>
  <w:style w:type="paragraph" w:customStyle="1" w:styleId="XLargeG">
    <w:name w:val="__XLarge_G"/>
    <w:basedOn w:val="Normal"/>
    <w:next w:val="Normal"/>
    <w:rsid w:val="00C52108"/>
    <w:pPr>
      <w:keepNext/>
      <w:keepLines/>
      <w:spacing w:before="240" w:after="240" w:line="420" w:lineRule="exact"/>
      <w:ind w:left="1134" w:right="1134"/>
    </w:pPr>
    <w:rPr>
      <w:b/>
      <w:sz w:val="40"/>
    </w:rPr>
  </w:style>
  <w:style w:type="paragraph" w:customStyle="1" w:styleId="Bullet1G">
    <w:name w:val="_Bullet 1_G"/>
    <w:basedOn w:val="Normal"/>
    <w:rsid w:val="00C52108"/>
    <w:pPr>
      <w:numPr>
        <w:numId w:val="1"/>
      </w:numPr>
      <w:spacing w:after="120"/>
      <w:ind w:right="1134"/>
      <w:jc w:val="both"/>
    </w:pPr>
  </w:style>
  <w:style w:type="paragraph" w:customStyle="1" w:styleId="Bullet2G">
    <w:name w:val="_Bullet 2_G"/>
    <w:basedOn w:val="Normal"/>
    <w:rsid w:val="00C52108"/>
    <w:pPr>
      <w:numPr>
        <w:numId w:val="2"/>
      </w:numPr>
      <w:spacing w:after="120"/>
      <w:ind w:right="1134"/>
      <w:jc w:val="both"/>
    </w:pPr>
  </w:style>
  <w:style w:type="character" w:styleId="FootnoteReference">
    <w:name w:val="footnote reference"/>
    <w:aliases w:val="4_G"/>
    <w:rsid w:val="00C52108"/>
    <w:rPr>
      <w:rFonts w:ascii="Times New Roman" w:hAnsi="Times New Roman"/>
      <w:sz w:val="18"/>
      <w:vertAlign w:val="superscript"/>
    </w:rPr>
  </w:style>
  <w:style w:type="character" w:styleId="EndnoteReference">
    <w:name w:val="endnote reference"/>
    <w:aliases w:val="1_G"/>
    <w:uiPriority w:val="99"/>
    <w:rsid w:val="00C52108"/>
    <w:rPr>
      <w:rFonts w:ascii="Times New Roman" w:hAnsi="Times New Roman"/>
      <w:sz w:val="18"/>
      <w:vertAlign w:val="superscript"/>
    </w:rPr>
  </w:style>
  <w:style w:type="paragraph" w:styleId="Header">
    <w:name w:val="header"/>
    <w:aliases w:val="6_G"/>
    <w:basedOn w:val="Normal"/>
    <w:rsid w:val="00C52108"/>
    <w:pPr>
      <w:pBdr>
        <w:bottom w:val="single" w:sz="4" w:space="4" w:color="auto"/>
      </w:pBdr>
      <w:spacing w:line="240" w:lineRule="auto"/>
    </w:pPr>
    <w:rPr>
      <w:b/>
      <w:sz w:val="18"/>
    </w:rPr>
  </w:style>
  <w:style w:type="table" w:styleId="TableGrid">
    <w:name w:val="Table Grid"/>
    <w:basedOn w:val="TableNormal"/>
    <w:semiHidden/>
    <w:rsid w:val="00C5210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52108"/>
    <w:rPr>
      <w:color w:val="auto"/>
      <w:u w:val="none"/>
    </w:rPr>
  </w:style>
  <w:style w:type="character" w:styleId="FollowedHyperlink">
    <w:name w:val="FollowedHyperlink"/>
    <w:semiHidden/>
    <w:rsid w:val="00C52108"/>
    <w:rPr>
      <w:color w:val="auto"/>
      <w:u w:val="none"/>
    </w:rPr>
  </w:style>
  <w:style w:type="paragraph" w:styleId="FootnoteText">
    <w:name w:val="footnote text"/>
    <w:aliases w:val="5_G"/>
    <w:basedOn w:val="Normal"/>
    <w:rsid w:val="00C52108"/>
    <w:pPr>
      <w:tabs>
        <w:tab w:val="right" w:pos="1021"/>
      </w:tabs>
      <w:spacing w:line="220" w:lineRule="exact"/>
      <w:ind w:left="1134" w:right="1134" w:hanging="1134"/>
    </w:pPr>
    <w:rPr>
      <w:sz w:val="18"/>
    </w:rPr>
  </w:style>
  <w:style w:type="paragraph" w:styleId="EndnoteText">
    <w:name w:val="endnote text"/>
    <w:aliases w:val="2_G"/>
    <w:basedOn w:val="FootnoteText"/>
    <w:rsid w:val="00C52108"/>
  </w:style>
  <w:style w:type="character" w:styleId="PageNumber">
    <w:name w:val="page number"/>
    <w:aliases w:val="7_G"/>
    <w:rsid w:val="00C52108"/>
    <w:rPr>
      <w:rFonts w:ascii="Times New Roman" w:hAnsi="Times New Roman"/>
      <w:b/>
      <w:sz w:val="18"/>
    </w:rPr>
  </w:style>
  <w:style w:type="paragraph" w:styleId="Footer">
    <w:name w:val="footer"/>
    <w:aliases w:val="3_G"/>
    <w:basedOn w:val="Normal"/>
    <w:rsid w:val="00C52108"/>
    <w:pPr>
      <w:spacing w:line="240" w:lineRule="auto"/>
    </w:pPr>
    <w:rPr>
      <w:sz w:val="16"/>
    </w:rPr>
  </w:style>
  <w:style w:type="paragraph" w:customStyle="1" w:styleId="BodyA">
    <w:name w:val="Body A"/>
    <w:rsid w:val="00E677CF"/>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eastAsia="en-US"/>
    </w:rPr>
  </w:style>
  <w:style w:type="paragraph" w:customStyle="1" w:styleId="Body">
    <w:name w:val="Body"/>
    <w:rsid w:val="00E677CF"/>
    <w:pPr>
      <w:pBdr>
        <w:top w:val="nil"/>
        <w:left w:val="nil"/>
        <w:bottom w:val="nil"/>
        <w:right w:val="nil"/>
        <w:between w:val="nil"/>
        <w:bar w:val="nil"/>
      </w:pBdr>
    </w:pPr>
    <w:rPr>
      <w:color w:val="000000"/>
      <w:sz w:val="24"/>
      <w:szCs w:val="24"/>
      <w:u w:color="000000"/>
      <w:bdr w:val="nil"/>
      <w:lang w:val="en-US" w:eastAsia="en-US"/>
    </w:rPr>
  </w:style>
  <w:style w:type="paragraph" w:styleId="NormalWeb">
    <w:name w:val="Normal (Web)"/>
    <w:uiPriority w:val="99"/>
    <w:rsid w:val="00E677CF"/>
    <w:pPr>
      <w:pBdr>
        <w:top w:val="nil"/>
        <w:left w:val="nil"/>
        <w:bottom w:val="nil"/>
        <w:right w:val="nil"/>
        <w:between w:val="nil"/>
        <w:bar w:val="nil"/>
      </w:pBdr>
      <w:spacing w:before="100" w:after="100"/>
    </w:pPr>
    <w:rPr>
      <w:color w:val="000000"/>
      <w:sz w:val="24"/>
      <w:szCs w:val="24"/>
      <w:u w:color="000000"/>
      <w:bdr w:val="nil"/>
      <w:lang w:val="en-US" w:eastAsia="en-US"/>
    </w:rPr>
  </w:style>
  <w:style w:type="character" w:customStyle="1" w:styleId="Hyperlink0">
    <w:name w:val="Hyperlink.0"/>
    <w:rsid w:val="00E677CF"/>
    <w:rPr>
      <w:color w:val="0000FF"/>
      <w:sz w:val="20"/>
      <w:szCs w:val="20"/>
      <w:u w:val="single" w:color="0000FF"/>
      <w:lang w:val="en-US"/>
    </w:rPr>
  </w:style>
  <w:style w:type="paragraph" w:customStyle="1" w:styleId="Default">
    <w:name w:val="Default"/>
    <w:rsid w:val="00E677CF"/>
    <w:pPr>
      <w:pBdr>
        <w:top w:val="nil"/>
        <w:left w:val="nil"/>
        <w:bottom w:val="nil"/>
        <w:right w:val="nil"/>
        <w:between w:val="nil"/>
        <w:bar w:val="nil"/>
      </w:pBdr>
    </w:pPr>
    <w:rPr>
      <w:color w:val="000000"/>
      <w:sz w:val="24"/>
      <w:szCs w:val="24"/>
      <w:u w:color="000000"/>
      <w:bdr w:val="nil"/>
      <w:lang w:val="en-US" w:eastAsia="en-US"/>
    </w:rPr>
  </w:style>
  <w:style w:type="paragraph" w:styleId="BalloonText">
    <w:name w:val="Balloon Text"/>
    <w:basedOn w:val="Normal"/>
    <w:link w:val="BalloonTextChar"/>
    <w:rsid w:val="00D52500"/>
    <w:pPr>
      <w:spacing w:line="240" w:lineRule="auto"/>
    </w:pPr>
    <w:rPr>
      <w:rFonts w:ascii="Segoe UI" w:hAnsi="Segoe UI" w:cs="Segoe UI"/>
      <w:sz w:val="18"/>
      <w:szCs w:val="18"/>
    </w:rPr>
  </w:style>
  <w:style w:type="character" w:customStyle="1" w:styleId="BalloonTextChar">
    <w:name w:val="Balloon Text Char"/>
    <w:link w:val="BalloonText"/>
    <w:rsid w:val="00D52500"/>
    <w:rPr>
      <w:rFonts w:ascii="Segoe UI" w:hAnsi="Segoe UI" w:cs="Segoe UI"/>
      <w:sz w:val="18"/>
      <w:szCs w:val="18"/>
      <w:lang w:eastAsia="en-US"/>
    </w:rPr>
  </w:style>
  <w:style w:type="paragraph" w:styleId="ListParagraph">
    <w:name w:val="List Paragraph"/>
    <w:basedOn w:val="Normal"/>
    <w:uiPriority w:val="34"/>
    <w:qFormat/>
    <w:rsid w:val="00B54AC3"/>
    <w:pPr>
      <w:suppressAutoHyphens w:val="0"/>
      <w:spacing w:after="200" w:line="276" w:lineRule="auto"/>
      <w:ind w:left="720"/>
      <w:contextualSpacing/>
    </w:pPr>
    <w:rPr>
      <w:rFonts w:ascii="Calibri" w:eastAsia="Calibri" w:hAnsi="Calibri"/>
      <w:sz w:val="22"/>
      <w:szCs w:val="22"/>
    </w:rPr>
  </w:style>
  <w:style w:type="character" w:styleId="CommentReference">
    <w:name w:val="annotation reference"/>
    <w:semiHidden/>
    <w:unhideWhenUsed/>
    <w:rsid w:val="001704BA"/>
    <w:rPr>
      <w:sz w:val="16"/>
      <w:szCs w:val="16"/>
    </w:rPr>
  </w:style>
  <w:style w:type="paragraph" w:styleId="CommentText">
    <w:name w:val="annotation text"/>
    <w:basedOn w:val="Normal"/>
    <w:link w:val="CommentTextChar"/>
    <w:semiHidden/>
    <w:unhideWhenUsed/>
    <w:rsid w:val="001704BA"/>
    <w:pPr>
      <w:spacing w:line="240" w:lineRule="auto"/>
    </w:pPr>
  </w:style>
  <w:style w:type="character" w:customStyle="1" w:styleId="CommentTextChar">
    <w:name w:val="Comment Text Char"/>
    <w:link w:val="CommentText"/>
    <w:semiHidden/>
    <w:rsid w:val="001704BA"/>
    <w:rPr>
      <w:lang w:eastAsia="en-US"/>
    </w:rPr>
  </w:style>
  <w:style w:type="paragraph" w:styleId="CommentSubject">
    <w:name w:val="annotation subject"/>
    <w:basedOn w:val="CommentText"/>
    <w:next w:val="CommentText"/>
    <w:link w:val="CommentSubjectChar"/>
    <w:semiHidden/>
    <w:unhideWhenUsed/>
    <w:rsid w:val="001704BA"/>
    <w:rPr>
      <w:b/>
      <w:bCs/>
    </w:rPr>
  </w:style>
  <w:style w:type="character" w:customStyle="1" w:styleId="CommentSubjectChar">
    <w:name w:val="Comment Subject Char"/>
    <w:link w:val="CommentSubject"/>
    <w:semiHidden/>
    <w:rsid w:val="001704BA"/>
    <w:rPr>
      <w:b/>
      <w:bCs/>
      <w:lang w:eastAsia="en-US"/>
    </w:rPr>
  </w:style>
  <w:style w:type="paragraph" w:styleId="Revision">
    <w:name w:val="Revision"/>
    <w:hidden/>
    <w:uiPriority w:val="99"/>
    <w:semiHidden/>
    <w:rsid w:val="001704B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753"/>
    <w:pPr>
      <w:suppressAutoHyphens/>
      <w:spacing w:line="240" w:lineRule="atLeast"/>
    </w:pPr>
    <w:rPr>
      <w:lang w:eastAsia="en-US"/>
    </w:rPr>
  </w:style>
  <w:style w:type="paragraph" w:styleId="Heading1">
    <w:name w:val="heading 1"/>
    <w:aliases w:val="Table_G"/>
    <w:basedOn w:val="SingleTxtG"/>
    <w:next w:val="SingleTxtG"/>
    <w:qFormat/>
    <w:rsid w:val="00C52108"/>
    <w:pPr>
      <w:spacing w:after="0" w:line="240" w:lineRule="auto"/>
      <w:ind w:right="0"/>
      <w:jc w:val="left"/>
      <w:outlineLvl w:val="0"/>
    </w:pPr>
  </w:style>
  <w:style w:type="paragraph" w:styleId="Heading2">
    <w:name w:val="heading 2"/>
    <w:basedOn w:val="Normal"/>
    <w:next w:val="Normal"/>
    <w:qFormat/>
    <w:rsid w:val="00C52108"/>
    <w:pPr>
      <w:spacing w:line="240" w:lineRule="auto"/>
      <w:outlineLvl w:val="1"/>
    </w:pPr>
  </w:style>
  <w:style w:type="paragraph" w:styleId="Heading3">
    <w:name w:val="heading 3"/>
    <w:basedOn w:val="Normal"/>
    <w:next w:val="Normal"/>
    <w:qFormat/>
    <w:rsid w:val="00C52108"/>
    <w:pPr>
      <w:spacing w:line="240" w:lineRule="auto"/>
      <w:outlineLvl w:val="2"/>
    </w:pPr>
  </w:style>
  <w:style w:type="paragraph" w:styleId="Heading4">
    <w:name w:val="heading 4"/>
    <w:basedOn w:val="Normal"/>
    <w:next w:val="Normal"/>
    <w:qFormat/>
    <w:rsid w:val="00C52108"/>
    <w:pPr>
      <w:spacing w:line="240" w:lineRule="auto"/>
      <w:outlineLvl w:val="3"/>
    </w:pPr>
  </w:style>
  <w:style w:type="paragraph" w:styleId="Heading5">
    <w:name w:val="heading 5"/>
    <w:basedOn w:val="Normal"/>
    <w:next w:val="Normal"/>
    <w:qFormat/>
    <w:rsid w:val="00C52108"/>
    <w:pPr>
      <w:spacing w:line="240" w:lineRule="auto"/>
      <w:outlineLvl w:val="4"/>
    </w:pPr>
  </w:style>
  <w:style w:type="paragraph" w:styleId="Heading6">
    <w:name w:val="heading 6"/>
    <w:basedOn w:val="Normal"/>
    <w:next w:val="Normal"/>
    <w:qFormat/>
    <w:rsid w:val="00C52108"/>
    <w:pPr>
      <w:spacing w:line="240" w:lineRule="auto"/>
      <w:outlineLvl w:val="5"/>
    </w:pPr>
  </w:style>
  <w:style w:type="paragraph" w:styleId="Heading7">
    <w:name w:val="heading 7"/>
    <w:basedOn w:val="Normal"/>
    <w:next w:val="Normal"/>
    <w:qFormat/>
    <w:rsid w:val="00C52108"/>
    <w:pPr>
      <w:spacing w:line="240" w:lineRule="auto"/>
      <w:outlineLvl w:val="6"/>
    </w:pPr>
  </w:style>
  <w:style w:type="paragraph" w:styleId="Heading8">
    <w:name w:val="heading 8"/>
    <w:basedOn w:val="Normal"/>
    <w:next w:val="Normal"/>
    <w:qFormat/>
    <w:rsid w:val="00C52108"/>
    <w:pPr>
      <w:spacing w:line="240" w:lineRule="auto"/>
      <w:outlineLvl w:val="7"/>
    </w:pPr>
  </w:style>
  <w:style w:type="paragraph" w:styleId="Heading9">
    <w:name w:val="heading 9"/>
    <w:basedOn w:val="Normal"/>
    <w:next w:val="Normal"/>
    <w:qFormat/>
    <w:rsid w:val="00C5210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5210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5210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5210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5210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5210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52108"/>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52108"/>
    <w:pPr>
      <w:spacing w:after="120"/>
      <w:ind w:left="1134" w:right="1134"/>
      <w:jc w:val="both"/>
    </w:pPr>
  </w:style>
  <w:style w:type="paragraph" w:customStyle="1" w:styleId="SLG">
    <w:name w:val="__S_L_G"/>
    <w:basedOn w:val="Normal"/>
    <w:next w:val="Normal"/>
    <w:rsid w:val="00C52108"/>
    <w:pPr>
      <w:keepNext/>
      <w:keepLines/>
      <w:spacing w:before="240" w:after="240" w:line="580" w:lineRule="exact"/>
      <w:ind w:left="1134" w:right="1134"/>
    </w:pPr>
    <w:rPr>
      <w:b/>
      <w:sz w:val="56"/>
    </w:rPr>
  </w:style>
  <w:style w:type="paragraph" w:customStyle="1" w:styleId="SMG">
    <w:name w:val="__S_M_G"/>
    <w:basedOn w:val="Normal"/>
    <w:next w:val="Normal"/>
    <w:rsid w:val="00C52108"/>
    <w:pPr>
      <w:keepNext/>
      <w:keepLines/>
      <w:spacing w:before="240" w:after="240" w:line="420" w:lineRule="exact"/>
      <w:ind w:left="1134" w:right="1134"/>
    </w:pPr>
    <w:rPr>
      <w:b/>
      <w:sz w:val="40"/>
    </w:rPr>
  </w:style>
  <w:style w:type="paragraph" w:customStyle="1" w:styleId="SSG">
    <w:name w:val="__S_S_G"/>
    <w:basedOn w:val="Normal"/>
    <w:next w:val="Normal"/>
    <w:rsid w:val="00C52108"/>
    <w:pPr>
      <w:keepNext/>
      <w:keepLines/>
      <w:spacing w:before="240" w:after="240" w:line="300" w:lineRule="exact"/>
      <w:ind w:left="1134" w:right="1134"/>
    </w:pPr>
    <w:rPr>
      <w:b/>
      <w:sz w:val="28"/>
    </w:rPr>
  </w:style>
  <w:style w:type="paragraph" w:customStyle="1" w:styleId="XLargeG">
    <w:name w:val="__XLarge_G"/>
    <w:basedOn w:val="Normal"/>
    <w:next w:val="Normal"/>
    <w:rsid w:val="00C52108"/>
    <w:pPr>
      <w:keepNext/>
      <w:keepLines/>
      <w:spacing w:before="240" w:after="240" w:line="420" w:lineRule="exact"/>
      <w:ind w:left="1134" w:right="1134"/>
    </w:pPr>
    <w:rPr>
      <w:b/>
      <w:sz w:val="40"/>
    </w:rPr>
  </w:style>
  <w:style w:type="paragraph" w:customStyle="1" w:styleId="Bullet1G">
    <w:name w:val="_Bullet 1_G"/>
    <w:basedOn w:val="Normal"/>
    <w:rsid w:val="00C52108"/>
    <w:pPr>
      <w:numPr>
        <w:numId w:val="1"/>
      </w:numPr>
      <w:spacing w:after="120"/>
      <w:ind w:right="1134"/>
      <w:jc w:val="both"/>
    </w:pPr>
  </w:style>
  <w:style w:type="paragraph" w:customStyle="1" w:styleId="Bullet2G">
    <w:name w:val="_Bullet 2_G"/>
    <w:basedOn w:val="Normal"/>
    <w:rsid w:val="00C52108"/>
    <w:pPr>
      <w:numPr>
        <w:numId w:val="2"/>
      </w:numPr>
      <w:spacing w:after="120"/>
      <w:ind w:right="1134"/>
      <w:jc w:val="both"/>
    </w:pPr>
  </w:style>
  <w:style w:type="character" w:styleId="FootnoteReference">
    <w:name w:val="footnote reference"/>
    <w:aliases w:val="4_G"/>
    <w:rsid w:val="00C52108"/>
    <w:rPr>
      <w:rFonts w:ascii="Times New Roman" w:hAnsi="Times New Roman"/>
      <w:sz w:val="18"/>
      <w:vertAlign w:val="superscript"/>
    </w:rPr>
  </w:style>
  <w:style w:type="character" w:styleId="EndnoteReference">
    <w:name w:val="endnote reference"/>
    <w:aliases w:val="1_G"/>
    <w:uiPriority w:val="99"/>
    <w:rsid w:val="00C52108"/>
    <w:rPr>
      <w:rFonts w:ascii="Times New Roman" w:hAnsi="Times New Roman"/>
      <w:sz w:val="18"/>
      <w:vertAlign w:val="superscript"/>
    </w:rPr>
  </w:style>
  <w:style w:type="paragraph" w:styleId="Header">
    <w:name w:val="header"/>
    <w:aliases w:val="6_G"/>
    <w:basedOn w:val="Normal"/>
    <w:rsid w:val="00C52108"/>
    <w:pPr>
      <w:pBdr>
        <w:bottom w:val="single" w:sz="4" w:space="4" w:color="auto"/>
      </w:pBdr>
      <w:spacing w:line="240" w:lineRule="auto"/>
    </w:pPr>
    <w:rPr>
      <w:b/>
      <w:sz w:val="18"/>
    </w:rPr>
  </w:style>
  <w:style w:type="table" w:styleId="TableGrid">
    <w:name w:val="Table Grid"/>
    <w:basedOn w:val="TableNormal"/>
    <w:semiHidden/>
    <w:rsid w:val="00C5210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52108"/>
    <w:rPr>
      <w:color w:val="auto"/>
      <w:u w:val="none"/>
    </w:rPr>
  </w:style>
  <w:style w:type="character" w:styleId="FollowedHyperlink">
    <w:name w:val="FollowedHyperlink"/>
    <w:semiHidden/>
    <w:rsid w:val="00C52108"/>
    <w:rPr>
      <w:color w:val="auto"/>
      <w:u w:val="none"/>
    </w:rPr>
  </w:style>
  <w:style w:type="paragraph" w:styleId="FootnoteText">
    <w:name w:val="footnote text"/>
    <w:aliases w:val="5_G"/>
    <w:basedOn w:val="Normal"/>
    <w:rsid w:val="00C52108"/>
    <w:pPr>
      <w:tabs>
        <w:tab w:val="right" w:pos="1021"/>
      </w:tabs>
      <w:spacing w:line="220" w:lineRule="exact"/>
      <w:ind w:left="1134" w:right="1134" w:hanging="1134"/>
    </w:pPr>
    <w:rPr>
      <w:sz w:val="18"/>
    </w:rPr>
  </w:style>
  <w:style w:type="paragraph" w:styleId="EndnoteText">
    <w:name w:val="endnote text"/>
    <w:aliases w:val="2_G"/>
    <w:basedOn w:val="FootnoteText"/>
    <w:rsid w:val="00C52108"/>
  </w:style>
  <w:style w:type="character" w:styleId="PageNumber">
    <w:name w:val="page number"/>
    <w:aliases w:val="7_G"/>
    <w:rsid w:val="00C52108"/>
    <w:rPr>
      <w:rFonts w:ascii="Times New Roman" w:hAnsi="Times New Roman"/>
      <w:b/>
      <w:sz w:val="18"/>
    </w:rPr>
  </w:style>
  <w:style w:type="paragraph" w:styleId="Footer">
    <w:name w:val="footer"/>
    <w:aliases w:val="3_G"/>
    <w:basedOn w:val="Normal"/>
    <w:rsid w:val="00C52108"/>
    <w:pPr>
      <w:spacing w:line="240" w:lineRule="auto"/>
    </w:pPr>
    <w:rPr>
      <w:sz w:val="16"/>
    </w:rPr>
  </w:style>
  <w:style w:type="paragraph" w:customStyle="1" w:styleId="BodyA">
    <w:name w:val="Body A"/>
    <w:rsid w:val="00E677CF"/>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eastAsia="en-US"/>
    </w:rPr>
  </w:style>
  <w:style w:type="paragraph" w:customStyle="1" w:styleId="Body">
    <w:name w:val="Body"/>
    <w:rsid w:val="00E677CF"/>
    <w:pPr>
      <w:pBdr>
        <w:top w:val="nil"/>
        <w:left w:val="nil"/>
        <w:bottom w:val="nil"/>
        <w:right w:val="nil"/>
        <w:between w:val="nil"/>
        <w:bar w:val="nil"/>
      </w:pBdr>
    </w:pPr>
    <w:rPr>
      <w:color w:val="000000"/>
      <w:sz w:val="24"/>
      <w:szCs w:val="24"/>
      <w:u w:color="000000"/>
      <w:bdr w:val="nil"/>
      <w:lang w:val="en-US" w:eastAsia="en-US"/>
    </w:rPr>
  </w:style>
  <w:style w:type="paragraph" w:styleId="NormalWeb">
    <w:name w:val="Normal (Web)"/>
    <w:uiPriority w:val="99"/>
    <w:rsid w:val="00E677CF"/>
    <w:pPr>
      <w:pBdr>
        <w:top w:val="nil"/>
        <w:left w:val="nil"/>
        <w:bottom w:val="nil"/>
        <w:right w:val="nil"/>
        <w:between w:val="nil"/>
        <w:bar w:val="nil"/>
      </w:pBdr>
      <w:spacing w:before="100" w:after="100"/>
    </w:pPr>
    <w:rPr>
      <w:color w:val="000000"/>
      <w:sz w:val="24"/>
      <w:szCs w:val="24"/>
      <w:u w:color="000000"/>
      <w:bdr w:val="nil"/>
      <w:lang w:val="en-US" w:eastAsia="en-US"/>
    </w:rPr>
  </w:style>
  <w:style w:type="character" w:customStyle="1" w:styleId="Hyperlink0">
    <w:name w:val="Hyperlink.0"/>
    <w:rsid w:val="00E677CF"/>
    <w:rPr>
      <w:color w:val="0000FF"/>
      <w:sz w:val="20"/>
      <w:szCs w:val="20"/>
      <w:u w:val="single" w:color="0000FF"/>
      <w:lang w:val="en-US"/>
    </w:rPr>
  </w:style>
  <w:style w:type="paragraph" w:customStyle="1" w:styleId="Default">
    <w:name w:val="Default"/>
    <w:rsid w:val="00E677CF"/>
    <w:pPr>
      <w:pBdr>
        <w:top w:val="nil"/>
        <w:left w:val="nil"/>
        <w:bottom w:val="nil"/>
        <w:right w:val="nil"/>
        <w:between w:val="nil"/>
        <w:bar w:val="nil"/>
      </w:pBdr>
    </w:pPr>
    <w:rPr>
      <w:color w:val="000000"/>
      <w:sz w:val="24"/>
      <w:szCs w:val="24"/>
      <w:u w:color="000000"/>
      <w:bdr w:val="nil"/>
      <w:lang w:val="en-US" w:eastAsia="en-US"/>
    </w:rPr>
  </w:style>
  <w:style w:type="paragraph" w:styleId="BalloonText">
    <w:name w:val="Balloon Text"/>
    <w:basedOn w:val="Normal"/>
    <w:link w:val="BalloonTextChar"/>
    <w:rsid w:val="00D52500"/>
    <w:pPr>
      <w:spacing w:line="240" w:lineRule="auto"/>
    </w:pPr>
    <w:rPr>
      <w:rFonts w:ascii="Segoe UI" w:hAnsi="Segoe UI" w:cs="Segoe UI"/>
      <w:sz w:val="18"/>
      <w:szCs w:val="18"/>
    </w:rPr>
  </w:style>
  <w:style w:type="character" w:customStyle="1" w:styleId="BalloonTextChar">
    <w:name w:val="Balloon Text Char"/>
    <w:link w:val="BalloonText"/>
    <w:rsid w:val="00D52500"/>
    <w:rPr>
      <w:rFonts w:ascii="Segoe UI" w:hAnsi="Segoe UI" w:cs="Segoe UI"/>
      <w:sz w:val="18"/>
      <w:szCs w:val="18"/>
      <w:lang w:eastAsia="en-US"/>
    </w:rPr>
  </w:style>
  <w:style w:type="paragraph" w:styleId="ListParagraph">
    <w:name w:val="List Paragraph"/>
    <w:basedOn w:val="Normal"/>
    <w:uiPriority w:val="34"/>
    <w:qFormat/>
    <w:rsid w:val="00B54AC3"/>
    <w:pPr>
      <w:suppressAutoHyphens w:val="0"/>
      <w:spacing w:after="200" w:line="276" w:lineRule="auto"/>
      <w:ind w:left="720"/>
      <w:contextualSpacing/>
    </w:pPr>
    <w:rPr>
      <w:rFonts w:ascii="Calibri" w:eastAsia="Calibri" w:hAnsi="Calibri"/>
      <w:sz w:val="22"/>
      <w:szCs w:val="22"/>
    </w:rPr>
  </w:style>
  <w:style w:type="character" w:styleId="CommentReference">
    <w:name w:val="annotation reference"/>
    <w:semiHidden/>
    <w:unhideWhenUsed/>
    <w:rsid w:val="001704BA"/>
    <w:rPr>
      <w:sz w:val="16"/>
      <w:szCs w:val="16"/>
    </w:rPr>
  </w:style>
  <w:style w:type="paragraph" w:styleId="CommentText">
    <w:name w:val="annotation text"/>
    <w:basedOn w:val="Normal"/>
    <w:link w:val="CommentTextChar"/>
    <w:semiHidden/>
    <w:unhideWhenUsed/>
    <w:rsid w:val="001704BA"/>
    <w:pPr>
      <w:spacing w:line="240" w:lineRule="auto"/>
    </w:pPr>
  </w:style>
  <w:style w:type="character" w:customStyle="1" w:styleId="CommentTextChar">
    <w:name w:val="Comment Text Char"/>
    <w:link w:val="CommentText"/>
    <w:semiHidden/>
    <w:rsid w:val="001704BA"/>
    <w:rPr>
      <w:lang w:eastAsia="en-US"/>
    </w:rPr>
  </w:style>
  <w:style w:type="paragraph" w:styleId="CommentSubject">
    <w:name w:val="annotation subject"/>
    <w:basedOn w:val="CommentText"/>
    <w:next w:val="CommentText"/>
    <w:link w:val="CommentSubjectChar"/>
    <w:semiHidden/>
    <w:unhideWhenUsed/>
    <w:rsid w:val="001704BA"/>
    <w:rPr>
      <w:b/>
      <w:bCs/>
    </w:rPr>
  </w:style>
  <w:style w:type="character" w:customStyle="1" w:styleId="CommentSubjectChar">
    <w:name w:val="Comment Subject Char"/>
    <w:link w:val="CommentSubject"/>
    <w:semiHidden/>
    <w:rsid w:val="001704BA"/>
    <w:rPr>
      <w:b/>
      <w:bCs/>
      <w:lang w:eastAsia="en-US"/>
    </w:rPr>
  </w:style>
  <w:style w:type="paragraph" w:styleId="Revision">
    <w:name w:val="Revision"/>
    <w:hidden/>
    <w:uiPriority w:val="99"/>
    <w:semiHidden/>
    <w:rsid w:val="001704B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O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AD9743-A1FD-4742-9C67-98F462A9E00C}"/>
</file>

<file path=customXml/itemProps2.xml><?xml version="1.0" encoding="utf-8"?>
<ds:datastoreItem xmlns:ds="http://schemas.openxmlformats.org/officeDocument/2006/customXml" ds:itemID="{328637DE-D6D1-4F15-9E5B-54FD07FF92E4}"/>
</file>

<file path=customXml/itemProps3.xml><?xml version="1.0" encoding="utf-8"?>
<ds:datastoreItem xmlns:ds="http://schemas.openxmlformats.org/officeDocument/2006/customXml" ds:itemID="{337FEC13-1FDA-43F5-8114-85A748066F6B}"/>
</file>

<file path=customXml/itemProps4.xml><?xml version="1.0" encoding="utf-8"?>
<ds:datastoreItem xmlns:ds="http://schemas.openxmlformats.org/officeDocument/2006/customXml" ds:itemID="{7233119D-264E-497C-94EB-F99CA57F7B66}"/>
</file>

<file path=docProps/app.xml><?xml version="1.0" encoding="utf-8"?>
<Properties xmlns="http://schemas.openxmlformats.org/officeDocument/2006/extended-properties" xmlns:vt="http://schemas.openxmlformats.org/officeDocument/2006/docPropsVTypes">
  <Template>CATOP_E</Template>
  <TotalTime>2</TotalTime>
  <Pages>4</Pages>
  <Words>1445</Words>
  <Characters>7806</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of persons institutionalized and medically treated without informed consent</dc:title>
  <dc:creator>Loic Florentin</dc:creator>
  <cp:lastModifiedBy>Joao NATAF</cp:lastModifiedBy>
  <cp:revision>2</cp:revision>
  <cp:lastPrinted>2015-10-08T08:21:00Z</cp:lastPrinted>
  <dcterms:created xsi:type="dcterms:W3CDTF">2015-12-17T19:05:00Z</dcterms:created>
  <dcterms:modified xsi:type="dcterms:W3CDTF">2015-12-17T19:05:00Z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3279800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