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1C9C" w14:textId="77777777" w:rsidR="002A6253" w:rsidRDefault="002A6253" w:rsidP="002A6253">
      <w:pPr>
        <w:shd w:val="clear" w:color="auto" w:fill="1F497D" w:themeFill="text2"/>
        <w:spacing w:after="0"/>
        <w:rPr>
          <w:b/>
          <w:color w:val="FFFFFF" w:themeColor="background1"/>
          <w:sz w:val="10"/>
          <w:szCs w:val="10"/>
        </w:rPr>
      </w:pPr>
      <w:bookmarkStart w:id="0" w:name="_GoBack"/>
      <w:bookmarkEnd w:id="0"/>
    </w:p>
    <w:p w14:paraId="4FE58196" w14:textId="4D6D7550" w:rsidR="00F30AF3" w:rsidRDefault="004D65A1" w:rsidP="002B555F">
      <w:pPr>
        <w:shd w:val="clear" w:color="auto" w:fill="1F497D" w:themeFill="text2"/>
        <w:spacing w:after="0"/>
        <w:jc w:val="center"/>
        <w:rPr>
          <w:b/>
          <w:color w:val="FFFFFF" w:themeColor="background1"/>
        </w:rPr>
      </w:pPr>
      <w:r w:rsidRPr="002A6253">
        <w:rPr>
          <w:b/>
          <w:color w:val="FFFFFF" w:themeColor="background1"/>
        </w:rPr>
        <w:t>3</w:t>
      </w:r>
      <w:r w:rsidRPr="002A6253">
        <w:rPr>
          <w:b/>
          <w:color w:val="FFFFFF" w:themeColor="background1"/>
          <w:vertAlign w:val="superscript"/>
        </w:rPr>
        <w:t>rd</w:t>
      </w:r>
      <w:r w:rsidRPr="002A6253">
        <w:rPr>
          <w:b/>
          <w:color w:val="FFFFFF" w:themeColor="background1"/>
        </w:rPr>
        <w:t xml:space="preserve"> CYCLE </w:t>
      </w:r>
      <w:r w:rsidR="002B555F">
        <w:rPr>
          <w:b/>
          <w:color w:val="FFFFFF" w:themeColor="background1"/>
        </w:rPr>
        <w:t xml:space="preserve">UNIVERSAL PERIODIC REVIEW </w:t>
      </w:r>
      <w:r w:rsidR="008042F6" w:rsidRPr="002A6253">
        <w:rPr>
          <w:b/>
          <w:color w:val="FFFFFF" w:themeColor="background1"/>
        </w:rPr>
        <w:t>NATIONAL REPORT</w:t>
      </w:r>
      <w:r w:rsidR="002B555F">
        <w:rPr>
          <w:b/>
          <w:color w:val="FFFFFF" w:themeColor="background1"/>
        </w:rPr>
        <w:t xml:space="preserve"> – GUIDANCE NOTE</w:t>
      </w:r>
    </w:p>
    <w:p w14:paraId="772077D1" w14:textId="77777777" w:rsidR="002A6253" w:rsidRPr="002A6253" w:rsidRDefault="002A6253" w:rsidP="002A6253">
      <w:pPr>
        <w:shd w:val="clear" w:color="auto" w:fill="1F497D" w:themeFill="text2"/>
        <w:spacing w:after="0"/>
        <w:rPr>
          <w:b/>
          <w:color w:val="FFFFFF" w:themeColor="background1"/>
        </w:rPr>
      </w:pPr>
    </w:p>
    <w:p w14:paraId="58B8BC52" w14:textId="77777777" w:rsidR="002A6253" w:rsidRPr="00E3525B" w:rsidRDefault="002A6253" w:rsidP="002A6253">
      <w:pPr>
        <w:spacing w:after="0"/>
        <w:jc w:val="center"/>
        <w:rPr>
          <w:b/>
          <w:color w:val="0070C0"/>
          <w:sz w:val="14"/>
          <w:szCs w:val="14"/>
        </w:rPr>
      </w:pPr>
    </w:p>
    <w:p w14:paraId="2F6F5F01" w14:textId="77777777" w:rsidR="0023425A" w:rsidRDefault="0023425A" w:rsidP="002A6253">
      <w:pPr>
        <w:shd w:val="clear" w:color="auto" w:fill="0070C0"/>
        <w:spacing w:after="0"/>
        <w:rPr>
          <w:color w:val="FFFFFF" w:themeColor="background1"/>
          <w:sz w:val="10"/>
          <w:szCs w:val="10"/>
        </w:rPr>
      </w:pPr>
    </w:p>
    <w:p w14:paraId="34A88200" w14:textId="1ABE88B3" w:rsidR="00974369" w:rsidRPr="00465068" w:rsidRDefault="00863957" w:rsidP="002A6253">
      <w:pPr>
        <w:shd w:val="clear" w:color="auto" w:fill="0070C0"/>
        <w:spacing w:after="0"/>
        <w:rPr>
          <w:b/>
          <w:color w:val="FFFFFF" w:themeColor="background1"/>
        </w:rPr>
      </w:pPr>
      <w:r w:rsidRPr="00465068">
        <w:rPr>
          <w:b/>
          <w:color w:val="FFFFFF" w:themeColor="background1"/>
        </w:rPr>
        <w:t xml:space="preserve"> </w:t>
      </w:r>
      <w:r w:rsidR="00F30AF3" w:rsidRPr="00465068">
        <w:rPr>
          <w:b/>
          <w:color w:val="FFFFFF" w:themeColor="background1"/>
        </w:rPr>
        <w:t>Focus and documentation of the third cycle of the Universal Periodic Review</w:t>
      </w:r>
    </w:p>
    <w:p w14:paraId="5E9C6647" w14:textId="77777777" w:rsidR="0023425A" w:rsidRPr="00863957" w:rsidRDefault="0023425A" w:rsidP="002A6253">
      <w:pPr>
        <w:shd w:val="clear" w:color="auto" w:fill="0070C0"/>
        <w:spacing w:after="0"/>
        <w:rPr>
          <w:color w:val="FFFFFF" w:themeColor="background1"/>
          <w:sz w:val="10"/>
          <w:szCs w:val="10"/>
        </w:rPr>
      </w:pPr>
    </w:p>
    <w:p w14:paraId="0BB7A45B" w14:textId="77777777" w:rsidR="00F30AF3" w:rsidRPr="008042F6" w:rsidRDefault="00F30AF3" w:rsidP="00F30AF3">
      <w:pPr>
        <w:pStyle w:val="Para"/>
        <w:numPr>
          <w:ilvl w:val="0"/>
          <w:numId w:val="0"/>
        </w:numPr>
        <w:spacing w:line="276" w:lineRule="auto"/>
        <w:jc w:val="both"/>
        <w:rPr>
          <w:rFonts w:asciiTheme="minorHAnsi" w:hAnsiTheme="minorHAnsi"/>
        </w:rPr>
      </w:pPr>
    </w:p>
    <w:p w14:paraId="3F8FFFE9" w14:textId="77777777" w:rsidR="00974369" w:rsidRPr="008042F6" w:rsidRDefault="00974369" w:rsidP="00F30AF3">
      <w:pPr>
        <w:pStyle w:val="Para"/>
        <w:numPr>
          <w:ilvl w:val="0"/>
          <w:numId w:val="4"/>
        </w:numPr>
        <w:spacing w:line="276" w:lineRule="auto"/>
        <w:jc w:val="both"/>
        <w:rPr>
          <w:rFonts w:asciiTheme="minorHAnsi" w:hAnsiTheme="minorHAnsi"/>
          <w:sz w:val="22"/>
          <w:szCs w:val="22"/>
        </w:rPr>
      </w:pPr>
      <w:r w:rsidRPr="008042F6">
        <w:rPr>
          <w:rFonts w:asciiTheme="minorHAnsi" w:hAnsiTheme="minorHAnsi"/>
          <w:sz w:val="22"/>
          <w:szCs w:val="22"/>
        </w:rPr>
        <w:t>The basis, principles and objectives of the universal periodic review as originally set forth in paragraphs 1, 2, 3 and 4 of the annex to Human Rights Council resolution 5/1 were reaffirmed in resolution 16/21.</w:t>
      </w:r>
    </w:p>
    <w:p w14:paraId="1259532E" w14:textId="77777777" w:rsidR="00FF24C2" w:rsidRPr="008042F6" w:rsidRDefault="00FF24C2" w:rsidP="00F30AF3">
      <w:pPr>
        <w:pStyle w:val="Para"/>
        <w:numPr>
          <w:ilvl w:val="0"/>
          <w:numId w:val="0"/>
        </w:numPr>
        <w:spacing w:line="276" w:lineRule="auto"/>
        <w:jc w:val="both"/>
        <w:rPr>
          <w:rFonts w:asciiTheme="minorHAnsi" w:hAnsiTheme="minorHAnsi"/>
          <w:sz w:val="22"/>
          <w:szCs w:val="22"/>
        </w:rPr>
      </w:pPr>
    </w:p>
    <w:p w14:paraId="07D8D4C5" w14:textId="77777777" w:rsidR="00FF24C2" w:rsidRPr="008042F6" w:rsidRDefault="00FF24C2" w:rsidP="00F30AF3">
      <w:pPr>
        <w:pStyle w:val="Para"/>
        <w:numPr>
          <w:ilvl w:val="0"/>
          <w:numId w:val="4"/>
        </w:numPr>
        <w:spacing w:line="276" w:lineRule="auto"/>
        <w:jc w:val="both"/>
        <w:rPr>
          <w:rFonts w:asciiTheme="minorHAnsi" w:hAnsiTheme="minorHAnsi"/>
          <w:sz w:val="22"/>
          <w:szCs w:val="22"/>
        </w:rPr>
      </w:pPr>
      <w:r w:rsidRPr="008042F6">
        <w:rPr>
          <w:rFonts w:asciiTheme="minorHAnsi" w:hAnsiTheme="minorHAnsi"/>
          <w:sz w:val="22"/>
          <w:szCs w:val="22"/>
        </w:rPr>
        <w:t xml:space="preserve">The review will continue to be based on </w:t>
      </w:r>
      <w:r w:rsidR="008F0277" w:rsidRPr="008042F6">
        <w:rPr>
          <w:rFonts w:asciiTheme="minorHAnsi" w:hAnsiTheme="minorHAnsi"/>
          <w:sz w:val="22"/>
          <w:szCs w:val="22"/>
        </w:rPr>
        <w:t xml:space="preserve">the </w:t>
      </w:r>
      <w:r w:rsidRPr="008042F6">
        <w:rPr>
          <w:rFonts w:asciiTheme="minorHAnsi" w:hAnsiTheme="minorHAnsi"/>
          <w:sz w:val="22"/>
          <w:szCs w:val="22"/>
        </w:rPr>
        <w:t>three documents identified in paragraph 15 of the annex to Council resolution 5/1, namely:</w:t>
      </w:r>
      <w:r w:rsidR="00975B2F" w:rsidRPr="008042F6">
        <w:rPr>
          <w:rFonts w:asciiTheme="minorHAnsi" w:hAnsiTheme="minorHAnsi"/>
          <w:sz w:val="22"/>
          <w:szCs w:val="22"/>
        </w:rPr>
        <w:t xml:space="preserve"> the national report, the compilation of UN information and the summary of stakeholders’ submissions.</w:t>
      </w:r>
    </w:p>
    <w:p w14:paraId="246740DE" w14:textId="77777777" w:rsidR="00FF24C2" w:rsidRPr="008042F6" w:rsidRDefault="00FF24C2" w:rsidP="00F30AF3">
      <w:pPr>
        <w:pStyle w:val="Para"/>
        <w:numPr>
          <w:ilvl w:val="0"/>
          <w:numId w:val="0"/>
        </w:numPr>
        <w:spacing w:line="276" w:lineRule="auto"/>
        <w:jc w:val="both"/>
        <w:rPr>
          <w:rFonts w:asciiTheme="minorHAnsi" w:hAnsiTheme="minorHAnsi"/>
          <w:sz w:val="22"/>
          <w:szCs w:val="22"/>
        </w:rPr>
      </w:pPr>
    </w:p>
    <w:p w14:paraId="28303A13" w14:textId="58828C08" w:rsidR="00974369" w:rsidRPr="008042F6" w:rsidRDefault="00974369" w:rsidP="00F30AF3">
      <w:pPr>
        <w:pStyle w:val="Para"/>
        <w:numPr>
          <w:ilvl w:val="0"/>
          <w:numId w:val="4"/>
        </w:numPr>
        <w:spacing w:line="276" w:lineRule="auto"/>
        <w:jc w:val="both"/>
        <w:rPr>
          <w:rFonts w:asciiTheme="minorHAnsi" w:hAnsiTheme="minorHAnsi"/>
          <w:sz w:val="22"/>
          <w:szCs w:val="22"/>
        </w:rPr>
      </w:pPr>
      <w:r w:rsidRPr="008042F6">
        <w:rPr>
          <w:rFonts w:asciiTheme="minorHAnsi" w:hAnsiTheme="minorHAnsi"/>
          <w:sz w:val="22"/>
          <w:szCs w:val="22"/>
        </w:rPr>
        <w:t xml:space="preserve">Resolution 16/21 further provides clarification on the </w:t>
      </w:r>
      <w:r w:rsidRPr="008042F6">
        <w:rPr>
          <w:rFonts w:asciiTheme="minorHAnsi" w:hAnsiTheme="minorHAnsi"/>
          <w:b/>
          <w:sz w:val="22"/>
          <w:szCs w:val="22"/>
        </w:rPr>
        <w:t>focus and documentation</w:t>
      </w:r>
      <w:r w:rsidRPr="008042F6">
        <w:rPr>
          <w:rFonts w:asciiTheme="minorHAnsi" w:hAnsiTheme="minorHAnsi"/>
          <w:sz w:val="22"/>
          <w:szCs w:val="22"/>
        </w:rPr>
        <w:t xml:space="preserve"> to be used during the review</w:t>
      </w:r>
      <w:r w:rsidR="0010302F">
        <w:rPr>
          <w:rFonts w:asciiTheme="minorHAnsi" w:hAnsiTheme="minorHAnsi"/>
          <w:sz w:val="22"/>
          <w:szCs w:val="22"/>
        </w:rPr>
        <w:t>:</w:t>
      </w:r>
    </w:p>
    <w:p w14:paraId="5D30B1EF" w14:textId="77777777" w:rsidR="00974369" w:rsidRPr="008042F6" w:rsidRDefault="00974369" w:rsidP="00F30AF3">
      <w:pPr>
        <w:pStyle w:val="Para"/>
        <w:numPr>
          <w:ilvl w:val="0"/>
          <w:numId w:val="0"/>
        </w:numPr>
        <w:spacing w:line="276" w:lineRule="auto"/>
        <w:ind w:left="720"/>
        <w:jc w:val="both"/>
        <w:rPr>
          <w:rFonts w:asciiTheme="minorHAnsi" w:hAnsiTheme="minorHAnsi"/>
          <w:sz w:val="22"/>
          <w:szCs w:val="22"/>
        </w:rPr>
      </w:pPr>
    </w:p>
    <w:p w14:paraId="3026FF28" w14:textId="77777777" w:rsidR="00974369" w:rsidRPr="008042F6" w:rsidRDefault="00974369" w:rsidP="00F30AF3">
      <w:pPr>
        <w:pStyle w:val="ListParagraph"/>
        <w:numPr>
          <w:ilvl w:val="0"/>
          <w:numId w:val="7"/>
        </w:numPr>
        <w:autoSpaceDE w:val="0"/>
        <w:autoSpaceDN w:val="0"/>
        <w:adjustRightInd w:val="0"/>
        <w:spacing w:after="0"/>
        <w:jc w:val="both"/>
      </w:pPr>
      <w:r w:rsidRPr="008042F6">
        <w:rPr>
          <w:rFonts w:cstheme="majorBidi"/>
          <w:u w:val="single"/>
          <w:lang w:eastAsia="en-GB"/>
        </w:rPr>
        <w:t>The review should focus on, inter alia, the implementation of the accepted recommendations and the development of the human rights situation in the State under review.</w:t>
      </w:r>
      <w:r w:rsidRPr="008042F6">
        <w:rPr>
          <w:rFonts w:cstheme="majorBidi"/>
          <w:lang w:eastAsia="en-GB"/>
        </w:rPr>
        <w:t xml:space="preserve"> As such, </w:t>
      </w:r>
      <w:r w:rsidRPr="008042F6">
        <w:rPr>
          <w:rFonts w:cstheme="majorBidi"/>
          <w:u w:val="single"/>
          <w:lang w:eastAsia="en-GB"/>
        </w:rPr>
        <w:t>States</w:t>
      </w:r>
      <w:r w:rsidRPr="008042F6">
        <w:rPr>
          <w:rFonts w:cstheme="majorBidi"/>
          <w:lang w:eastAsia="en-GB"/>
        </w:rPr>
        <w:t xml:space="preserve"> </w:t>
      </w:r>
      <w:r w:rsidRPr="008042F6">
        <w:rPr>
          <w:rFonts w:eastAsia="SimSun" w:cstheme="majorBidi"/>
          <w:lang w:val="en-US" w:eastAsia="zh-CN"/>
        </w:rPr>
        <w:t xml:space="preserve">are encouraged to focus their contribution on assessments of implementation of past recommendations from previous cycles and impact thereon.  </w:t>
      </w:r>
    </w:p>
    <w:p w14:paraId="6317797F" w14:textId="77777777" w:rsidR="00974369" w:rsidRPr="008042F6" w:rsidRDefault="00974369" w:rsidP="00F30AF3">
      <w:pPr>
        <w:pStyle w:val="ListParagraph"/>
        <w:spacing w:after="0"/>
        <w:jc w:val="both"/>
        <w:rPr>
          <w:rFonts w:eastAsia="Times New Roman" w:cs="Times New Roman"/>
          <w:b/>
          <w:bCs/>
          <w:color w:val="000000"/>
          <w:lang w:eastAsia="en-GB"/>
        </w:rPr>
      </w:pPr>
    </w:p>
    <w:p w14:paraId="169CE06B" w14:textId="77777777" w:rsidR="00FF24C2" w:rsidRPr="008042F6" w:rsidRDefault="00C009AC" w:rsidP="00F30AF3">
      <w:pPr>
        <w:pStyle w:val="ListParagraph"/>
        <w:numPr>
          <w:ilvl w:val="0"/>
          <w:numId w:val="4"/>
        </w:numPr>
        <w:suppressAutoHyphens/>
        <w:autoSpaceDE w:val="0"/>
        <w:autoSpaceDN w:val="0"/>
        <w:adjustRightInd w:val="0"/>
        <w:spacing w:after="0"/>
        <w:jc w:val="both"/>
        <w:rPr>
          <w:rFonts w:eastAsia="Times New Roman" w:cs="Times New Roman"/>
          <w:b/>
          <w:bCs/>
          <w:color w:val="000000"/>
          <w:lang w:eastAsia="en-GB"/>
        </w:rPr>
      </w:pPr>
      <w:r w:rsidRPr="008042F6">
        <w:rPr>
          <w:rFonts w:eastAsia="Times New Roman" w:cs="Times New Roman"/>
          <w:bCs/>
          <w:color w:val="000000"/>
          <w:lang w:eastAsia="en-GB"/>
        </w:rPr>
        <w:t>Decision 17/119</w:t>
      </w:r>
      <w:r w:rsidRPr="008042F6">
        <w:rPr>
          <w:rFonts w:eastAsia="Times New Roman" w:cs="Times New Roman"/>
          <w:b/>
          <w:bCs/>
          <w:color w:val="000000"/>
          <w:lang w:eastAsia="en-GB"/>
        </w:rPr>
        <w:t xml:space="preserve"> </w:t>
      </w:r>
      <w:r w:rsidRPr="008042F6">
        <w:rPr>
          <w:rFonts w:eastAsia="Times New Roman" w:cs="Times New Roman"/>
          <w:bCs/>
          <w:color w:val="000000"/>
          <w:lang w:eastAsia="en-GB"/>
        </w:rPr>
        <w:t>provides general guidelines for the preparation of information under the UPR</w:t>
      </w:r>
      <w:r w:rsidR="00975B2F" w:rsidRPr="008042F6">
        <w:rPr>
          <w:rStyle w:val="FootnoteReference"/>
          <w:rFonts w:eastAsia="Times New Roman" w:cs="Times New Roman"/>
          <w:bCs/>
          <w:color w:val="000000"/>
          <w:lang w:eastAsia="en-GB"/>
        </w:rPr>
        <w:footnoteReference w:id="1"/>
      </w:r>
    </w:p>
    <w:p w14:paraId="1B5A3633" w14:textId="77777777" w:rsidR="00495892" w:rsidRPr="008042F6" w:rsidRDefault="00495892" w:rsidP="00F30AF3">
      <w:pPr>
        <w:suppressAutoHyphens/>
        <w:autoSpaceDE w:val="0"/>
        <w:autoSpaceDN w:val="0"/>
        <w:adjustRightInd w:val="0"/>
        <w:spacing w:after="0"/>
        <w:jc w:val="both"/>
        <w:rPr>
          <w:rFonts w:eastAsia="Times New Roman" w:cs="Times New Roman"/>
          <w:b/>
          <w:bCs/>
          <w:color w:val="000000"/>
          <w:lang w:eastAsia="en-GB"/>
        </w:rPr>
      </w:pPr>
    </w:p>
    <w:p w14:paraId="5464C74A" w14:textId="77777777" w:rsidR="00863957" w:rsidRPr="00863957" w:rsidRDefault="00863957" w:rsidP="00863957">
      <w:pPr>
        <w:shd w:val="clear" w:color="auto" w:fill="0070C0"/>
        <w:spacing w:after="0"/>
        <w:rPr>
          <w:color w:val="FFFFFF" w:themeColor="background1"/>
          <w:sz w:val="10"/>
          <w:szCs w:val="10"/>
        </w:rPr>
      </w:pPr>
    </w:p>
    <w:p w14:paraId="6EDE0762" w14:textId="27460EB0" w:rsidR="00FF24C2" w:rsidRPr="00465068" w:rsidRDefault="00863957" w:rsidP="00863957">
      <w:pPr>
        <w:shd w:val="clear" w:color="auto" w:fill="0070C0"/>
        <w:spacing w:after="0"/>
        <w:rPr>
          <w:b/>
          <w:color w:val="FFFFFF" w:themeColor="background1"/>
        </w:rPr>
      </w:pPr>
      <w:r w:rsidRPr="00465068">
        <w:rPr>
          <w:b/>
          <w:color w:val="FFFFFF" w:themeColor="background1"/>
        </w:rPr>
        <w:t xml:space="preserve"> </w:t>
      </w:r>
      <w:r w:rsidR="00FF24C2" w:rsidRPr="00465068">
        <w:rPr>
          <w:b/>
          <w:color w:val="FFFFFF" w:themeColor="background1"/>
        </w:rPr>
        <w:t>National reports – moving towards the third cycle</w:t>
      </w:r>
    </w:p>
    <w:p w14:paraId="393E54C0" w14:textId="77777777" w:rsidR="00863957" w:rsidRPr="00863957" w:rsidRDefault="00863957" w:rsidP="00863957">
      <w:pPr>
        <w:shd w:val="clear" w:color="auto" w:fill="0070C0"/>
        <w:spacing w:after="0"/>
        <w:rPr>
          <w:color w:val="FFFFFF" w:themeColor="background1"/>
          <w:sz w:val="10"/>
          <w:szCs w:val="10"/>
        </w:rPr>
      </w:pPr>
    </w:p>
    <w:p w14:paraId="56CE3808" w14:textId="77777777" w:rsidR="008F0277" w:rsidRPr="008042F6" w:rsidRDefault="008F0277" w:rsidP="00F30AF3">
      <w:pPr>
        <w:spacing w:after="0"/>
        <w:jc w:val="both"/>
      </w:pPr>
    </w:p>
    <w:p w14:paraId="40486771" w14:textId="77777777" w:rsidR="00FF24C2" w:rsidRPr="008042F6" w:rsidRDefault="00FF24C2" w:rsidP="00F30AF3">
      <w:pPr>
        <w:spacing w:after="0"/>
        <w:jc w:val="both"/>
      </w:pPr>
      <w:r w:rsidRPr="008042F6">
        <w:t>In view of the above resolutions</w:t>
      </w:r>
      <w:r w:rsidR="00CE2884" w:rsidRPr="008042F6">
        <w:t xml:space="preserve"> and</w:t>
      </w:r>
      <w:r w:rsidRPr="008042F6">
        <w:t xml:space="preserve"> decisions, and </w:t>
      </w:r>
      <w:r w:rsidR="008C7655" w:rsidRPr="008042F6">
        <w:t xml:space="preserve">in line with the </w:t>
      </w:r>
      <w:r w:rsidR="00975B2F" w:rsidRPr="008042F6">
        <w:t xml:space="preserve">general </w:t>
      </w:r>
      <w:r w:rsidR="008C7655" w:rsidRPr="008042F6">
        <w:t xml:space="preserve">guidelines, below </w:t>
      </w:r>
      <w:r w:rsidR="00E27B09" w:rsidRPr="008042F6">
        <w:t xml:space="preserve">is </w:t>
      </w:r>
      <w:r w:rsidR="008C7655" w:rsidRPr="008042F6">
        <w:t xml:space="preserve">a suggested format of the national report that could be used by States in preparing their </w:t>
      </w:r>
      <w:r w:rsidR="00780B31" w:rsidRPr="008042F6">
        <w:t>submission</w:t>
      </w:r>
      <w:r w:rsidR="008C7655" w:rsidRPr="008042F6">
        <w:t>:</w:t>
      </w:r>
    </w:p>
    <w:p w14:paraId="34B54067" w14:textId="77777777" w:rsidR="008E2393" w:rsidRPr="008042F6" w:rsidRDefault="008E2393" w:rsidP="00F30AF3">
      <w:pPr>
        <w:spacing w:after="0"/>
        <w:jc w:val="both"/>
        <w:rPr>
          <w:b/>
          <w:u w:val="single"/>
        </w:rPr>
      </w:pPr>
    </w:p>
    <w:p w14:paraId="09F5B0EB" w14:textId="10788808" w:rsidR="00695D81" w:rsidRPr="004D65A1" w:rsidRDefault="00863957" w:rsidP="00863957">
      <w:pPr>
        <w:shd w:val="clear" w:color="auto" w:fill="FABF8F" w:themeFill="accent6" w:themeFillTint="99"/>
        <w:spacing w:after="0"/>
        <w:jc w:val="center"/>
        <w:rPr>
          <w:b/>
        </w:rPr>
      </w:pPr>
      <w:r w:rsidRPr="004D65A1">
        <w:rPr>
          <w:b/>
        </w:rPr>
        <w:t>Suggested format of the national report</w:t>
      </w:r>
    </w:p>
    <w:p w14:paraId="15FE6607" w14:textId="77777777" w:rsidR="00863957" w:rsidRDefault="00863957" w:rsidP="00F30AF3">
      <w:pPr>
        <w:spacing w:after="0"/>
        <w:jc w:val="both"/>
        <w:rPr>
          <w:b/>
        </w:rPr>
      </w:pPr>
    </w:p>
    <w:p w14:paraId="3190E676" w14:textId="77777777" w:rsidR="0098631C" w:rsidRDefault="00695D81" w:rsidP="00F30AF3">
      <w:pPr>
        <w:spacing w:after="0"/>
        <w:jc w:val="both"/>
        <w:rPr>
          <w:i/>
        </w:rPr>
      </w:pPr>
      <w:r w:rsidRPr="008042F6">
        <w:rPr>
          <w:b/>
        </w:rPr>
        <w:t>A</w:t>
      </w:r>
      <w:r w:rsidR="008C7655" w:rsidRPr="008042F6">
        <w:rPr>
          <w:b/>
        </w:rPr>
        <w:t>/ Process for the preparation of the report</w:t>
      </w:r>
      <w:r w:rsidR="008C7655" w:rsidRPr="008042F6">
        <w:t xml:space="preserve">: </w:t>
      </w:r>
      <w:r w:rsidR="0098631C" w:rsidRPr="008042F6">
        <w:rPr>
          <w:i/>
        </w:rPr>
        <w:t>[Corresponds to para. A of the guidelines as included in Chapter II, 2 of HRC decision 17/119]</w:t>
      </w:r>
    </w:p>
    <w:p w14:paraId="60AFD8B5" w14:textId="77777777" w:rsidR="004E2F3D" w:rsidRPr="008042F6" w:rsidRDefault="004E2F3D" w:rsidP="00F30AF3">
      <w:pPr>
        <w:spacing w:after="0"/>
        <w:jc w:val="both"/>
        <w:rPr>
          <w:i/>
        </w:rPr>
      </w:pPr>
    </w:p>
    <w:p w14:paraId="1EE61476" w14:textId="77777777" w:rsidR="0098631C" w:rsidRPr="008042F6" w:rsidRDefault="008C7655" w:rsidP="00F30AF3">
      <w:pPr>
        <w:pStyle w:val="ListParagraph"/>
        <w:numPr>
          <w:ilvl w:val="0"/>
          <w:numId w:val="7"/>
        </w:numPr>
        <w:spacing w:after="0"/>
        <w:jc w:val="both"/>
        <w:rPr>
          <w:i/>
        </w:rPr>
      </w:pPr>
      <w:r w:rsidRPr="008042F6">
        <w:t xml:space="preserve">methodology used, </w:t>
      </w:r>
    </w:p>
    <w:p w14:paraId="7BABB34D" w14:textId="77777777" w:rsidR="0098631C" w:rsidRPr="008042F6" w:rsidRDefault="008C7655" w:rsidP="00F30AF3">
      <w:pPr>
        <w:pStyle w:val="ListParagraph"/>
        <w:numPr>
          <w:ilvl w:val="0"/>
          <w:numId w:val="7"/>
        </w:numPr>
        <w:spacing w:after="0"/>
        <w:jc w:val="both"/>
        <w:rPr>
          <w:i/>
        </w:rPr>
      </w:pPr>
      <w:r w:rsidRPr="008042F6">
        <w:t xml:space="preserve">description of the national follow-up process including whether a standing coordinating body for implementation and reporting has been set up, </w:t>
      </w:r>
    </w:p>
    <w:p w14:paraId="050A9945" w14:textId="5AF001A6" w:rsidR="0098631C" w:rsidRPr="008042F6" w:rsidRDefault="008C7655" w:rsidP="00F30AF3">
      <w:pPr>
        <w:pStyle w:val="ListParagraph"/>
        <w:numPr>
          <w:ilvl w:val="0"/>
          <w:numId w:val="7"/>
        </w:numPr>
        <w:spacing w:after="0"/>
        <w:jc w:val="both"/>
      </w:pPr>
      <w:r w:rsidRPr="008042F6">
        <w:t>information on the inter-institutional consultations held in prepa</w:t>
      </w:r>
      <w:r w:rsidR="00A64F12">
        <w:t>ration of the report and review</w:t>
      </w:r>
      <w:r w:rsidR="00E27B09" w:rsidRPr="008042F6">
        <w:t>,</w:t>
      </w:r>
      <w:r w:rsidR="0010302F">
        <w:t xml:space="preserve"> including with the legislative branch, </w:t>
      </w:r>
    </w:p>
    <w:p w14:paraId="02A6AF22" w14:textId="77777777" w:rsidR="00E27B09" w:rsidRDefault="00E27B09" w:rsidP="00F30AF3">
      <w:pPr>
        <w:pStyle w:val="ListParagraph"/>
        <w:numPr>
          <w:ilvl w:val="0"/>
          <w:numId w:val="7"/>
        </w:numPr>
        <w:spacing w:after="0"/>
        <w:jc w:val="both"/>
      </w:pPr>
      <w:r w:rsidRPr="008042F6">
        <w:t>Information on any broader consultations held, including with NHRIs and civil society.</w:t>
      </w:r>
    </w:p>
    <w:p w14:paraId="6C179B5B" w14:textId="77777777" w:rsidR="004E2F3D" w:rsidRPr="008042F6" w:rsidRDefault="004E2F3D" w:rsidP="004E2F3D">
      <w:pPr>
        <w:pStyle w:val="ListParagraph"/>
        <w:spacing w:after="0"/>
        <w:ind w:left="1287"/>
        <w:jc w:val="both"/>
      </w:pPr>
    </w:p>
    <w:p w14:paraId="4F994E44" w14:textId="77777777" w:rsidR="008C7655" w:rsidRPr="008042F6" w:rsidRDefault="008C7655" w:rsidP="00F30AF3">
      <w:pPr>
        <w:spacing w:after="0"/>
        <w:jc w:val="both"/>
        <w:rPr>
          <w:i/>
        </w:rPr>
      </w:pPr>
      <w:r w:rsidRPr="008042F6">
        <w:rPr>
          <w:b/>
        </w:rPr>
        <w:t>B/ Implementation of recommendations</w:t>
      </w:r>
      <w:r w:rsidR="0098631C" w:rsidRPr="008042F6">
        <w:rPr>
          <w:b/>
        </w:rPr>
        <w:t xml:space="preserve"> from the previous cycles</w:t>
      </w:r>
      <w:r w:rsidR="00C22C75" w:rsidRPr="008042F6">
        <w:rPr>
          <w:rStyle w:val="FootnoteReference"/>
        </w:rPr>
        <w:footnoteReference w:id="2"/>
      </w:r>
      <w:r w:rsidRPr="008042F6">
        <w:rPr>
          <w:i/>
        </w:rPr>
        <w:t xml:space="preserve">: </w:t>
      </w:r>
      <w:r w:rsidR="00FF5C6A" w:rsidRPr="008042F6">
        <w:rPr>
          <w:i/>
        </w:rPr>
        <w:t xml:space="preserve">[Corresponds to paras </w:t>
      </w:r>
      <w:r w:rsidR="0098631C" w:rsidRPr="008042F6">
        <w:rPr>
          <w:i/>
        </w:rPr>
        <w:t xml:space="preserve">B, C, </w:t>
      </w:r>
      <w:r w:rsidR="00FF5C6A" w:rsidRPr="008042F6">
        <w:rPr>
          <w:i/>
        </w:rPr>
        <w:t>D and E of the guidelines]</w:t>
      </w:r>
    </w:p>
    <w:p w14:paraId="475C7945" w14:textId="77777777" w:rsidR="00C05AF2" w:rsidRDefault="00C05AF2" w:rsidP="00F30AF3">
      <w:pPr>
        <w:spacing w:after="0"/>
        <w:jc w:val="both"/>
        <w:rPr>
          <w:i/>
        </w:rPr>
      </w:pPr>
      <w:r w:rsidRPr="008042F6">
        <w:rPr>
          <w:i/>
        </w:rPr>
        <w:lastRenderedPageBreak/>
        <w:t>[Under each section, insert sub-headings by theme on the basis of thematically clustered recommendations, for example on the basis of clusters used by national human rights action plans, on the basis of clusters used by OHCHR for its UPR documents as reflected in Annex 2]</w:t>
      </w:r>
    </w:p>
    <w:p w14:paraId="55199243" w14:textId="77777777" w:rsidR="004E2F3D" w:rsidRPr="008042F6" w:rsidRDefault="004E2F3D" w:rsidP="00F30AF3">
      <w:pPr>
        <w:spacing w:after="0"/>
        <w:jc w:val="both"/>
        <w:rPr>
          <w:i/>
        </w:rPr>
      </w:pPr>
    </w:p>
    <w:p w14:paraId="41A5327E" w14:textId="77777777" w:rsidR="00E27B09" w:rsidRPr="008042F6" w:rsidRDefault="00E27B09" w:rsidP="00F30AF3">
      <w:pPr>
        <w:spacing w:after="0"/>
        <w:jc w:val="both"/>
      </w:pPr>
      <w:r w:rsidRPr="008042F6">
        <w:rPr>
          <w:i/>
        </w:rPr>
        <w:t>1/ Full implementation of recommendations:</w:t>
      </w:r>
    </w:p>
    <w:p w14:paraId="798EF139" w14:textId="77777777" w:rsidR="008C7655" w:rsidRPr="008042F6" w:rsidRDefault="008C7655" w:rsidP="00F30AF3">
      <w:pPr>
        <w:pStyle w:val="ListParagraph"/>
        <w:numPr>
          <w:ilvl w:val="0"/>
          <w:numId w:val="10"/>
        </w:numPr>
        <w:spacing w:after="0"/>
        <w:jc w:val="both"/>
      </w:pPr>
      <w:r w:rsidRPr="008042F6">
        <w:t xml:space="preserve">reporting on </w:t>
      </w:r>
      <w:r w:rsidR="00E27B09" w:rsidRPr="008042F6">
        <w:t xml:space="preserve">any </w:t>
      </w:r>
      <w:r w:rsidRPr="008042F6">
        <w:t xml:space="preserve">full implementation of recommendations and impact </w:t>
      </w:r>
    </w:p>
    <w:p w14:paraId="7BC915A8" w14:textId="77777777" w:rsidR="00E27B09" w:rsidRPr="008042F6" w:rsidRDefault="00E27B09" w:rsidP="00F30AF3">
      <w:pPr>
        <w:spacing w:after="0"/>
        <w:jc w:val="both"/>
      </w:pPr>
    </w:p>
    <w:p w14:paraId="6C50DB45" w14:textId="77777777" w:rsidR="00E27B09" w:rsidRPr="008042F6" w:rsidRDefault="00E27B09" w:rsidP="00F30AF3">
      <w:pPr>
        <w:spacing w:after="0"/>
        <w:jc w:val="both"/>
        <w:rPr>
          <w:i/>
        </w:rPr>
      </w:pPr>
      <w:r w:rsidRPr="008042F6">
        <w:rPr>
          <w:i/>
        </w:rPr>
        <w:t>2/ Partial implementation of recommendations:</w:t>
      </w:r>
    </w:p>
    <w:p w14:paraId="74F8CF0A" w14:textId="77777777" w:rsidR="00FF5C6A" w:rsidRDefault="00FF5C6A" w:rsidP="00F30AF3">
      <w:pPr>
        <w:pStyle w:val="ListParagraph"/>
        <w:numPr>
          <w:ilvl w:val="0"/>
          <w:numId w:val="7"/>
        </w:numPr>
        <w:spacing w:after="0"/>
        <w:jc w:val="both"/>
      </w:pPr>
      <w:r w:rsidRPr="008042F6">
        <w:t>reporting on steps taken to implement supported recommendations – identify remaining actions, time-frame, resources, actors, remaining challenges and measures to overcome them</w:t>
      </w:r>
      <w:r w:rsidR="00E27B09" w:rsidRPr="008042F6">
        <w:t>, including on specific technical cooperation needs</w:t>
      </w:r>
    </w:p>
    <w:p w14:paraId="690CE8A1" w14:textId="77777777" w:rsidR="00D143B3" w:rsidRPr="008042F6" w:rsidRDefault="00D143B3" w:rsidP="00D143B3">
      <w:pPr>
        <w:pStyle w:val="ListParagraph"/>
        <w:spacing w:after="0"/>
        <w:ind w:left="1287"/>
        <w:jc w:val="both"/>
      </w:pPr>
    </w:p>
    <w:p w14:paraId="082B9EE8" w14:textId="77777777" w:rsidR="00E27B09" w:rsidRPr="008042F6" w:rsidRDefault="00E27B09" w:rsidP="00F30AF3">
      <w:pPr>
        <w:spacing w:after="0"/>
        <w:jc w:val="both"/>
        <w:rPr>
          <w:i/>
        </w:rPr>
      </w:pPr>
      <w:r w:rsidRPr="008042F6">
        <w:rPr>
          <w:i/>
        </w:rPr>
        <w:t>3/ Pending recommendations</w:t>
      </w:r>
    </w:p>
    <w:p w14:paraId="0C7BEFE5" w14:textId="77777777" w:rsidR="00E27B09" w:rsidRPr="008042F6" w:rsidRDefault="00E27B09" w:rsidP="00F30AF3">
      <w:pPr>
        <w:pStyle w:val="ListParagraph"/>
        <w:numPr>
          <w:ilvl w:val="0"/>
          <w:numId w:val="7"/>
        </w:numPr>
        <w:spacing w:after="0"/>
        <w:jc w:val="both"/>
        <w:rPr>
          <w:i/>
        </w:rPr>
      </w:pPr>
      <w:r w:rsidRPr="008042F6">
        <w:t>reporting on recommendations for which implementation is still pending – identify reasons for the delay in implementation, challenges, steps considered/taken to overcome them</w:t>
      </w:r>
    </w:p>
    <w:p w14:paraId="09AECDDB" w14:textId="77777777" w:rsidR="00E27B09" w:rsidRPr="008042F6" w:rsidRDefault="00E27B09" w:rsidP="00F30AF3">
      <w:pPr>
        <w:spacing w:after="0"/>
        <w:jc w:val="both"/>
        <w:rPr>
          <w:i/>
        </w:rPr>
      </w:pPr>
    </w:p>
    <w:p w14:paraId="121BFDBD" w14:textId="77777777" w:rsidR="00E27B09" w:rsidRPr="008042F6" w:rsidRDefault="00E27B09" w:rsidP="00F30AF3">
      <w:pPr>
        <w:spacing w:after="0"/>
        <w:jc w:val="both"/>
        <w:rPr>
          <w:i/>
        </w:rPr>
      </w:pPr>
      <w:r w:rsidRPr="008042F6">
        <w:rPr>
          <w:i/>
        </w:rPr>
        <w:t>4/ Noted recommendations</w:t>
      </w:r>
    </w:p>
    <w:p w14:paraId="56E1F175" w14:textId="447C2C0C" w:rsidR="00FF5C6A" w:rsidRDefault="00FF5C6A" w:rsidP="00F30AF3">
      <w:pPr>
        <w:pStyle w:val="ListParagraph"/>
        <w:numPr>
          <w:ilvl w:val="0"/>
          <w:numId w:val="7"/>
        </w:numPr>
        <w:spacing w:after="0"/>
        <w:jc w:val="both"/>
      </w:pPr>
      <w:r w:rsidRPr="008042F6">
        <w:t>reporting on consideration/s</w:t>
      </w:r>
      <w:r w:rsidR="00F04A8B" w:rsidRPr="008042F6">
        <w:t>teps towards the implementation</w:t>
      </w:r>
      <w:r w:rsidRPr="008042F6">
        <w:t xml:space="preserve"> of noted recommendations</w:t>
      </w:r>
      <w:r w:rsidR="0010302F">
        <w:t>, if any</w:t>
      </w:r>
      <w:r w:rsidRPr="008042F6">
        <w:t xml:space="preserve"> – States might wish to report on any steps which might have been taken to address noted recommendations</w:t>
      </w:r>
    </w:p>
    <w:p w14:paraId="2F455463" w14:textId="77777777" w:rsidR="00D143B3" w:rsidRPr="008042F6" w:rsidRDefault="00D143B3" w:rsidP="00D143B3">
      <w:pPr>
        <w:pStyle w:val="ListParagraph"/>
        <w:spacing w:after="0"/>
        <w:ind w:left="1287"/>
        <w:jc w:val="both"/>
      </w:pPr>
    </w:p>
    <w:p w14:paraId="34F8FF61" w14:textId="77777777" w:rsidR="0098631C" w:rsidRDefault="0098631C" w:rsidP="00F30AF3">
      <w:pPr>
        <w:spacing w:after="0"/>
        <w:jc w:val="both"/>
        <w:rPr>
          <w:i/>
        </w:rPr>
      </w:pPr>
      <w:r w:rsidRPr="008042F6">
        <w:rPr>
          <w:b/>
        </w:rPr>
        <w:t>C/ Status of implementation of voluntary pledges</w:t>
      </w:r>
      <w:r w:rsidRPr="008042F6">
        <w:t xml:space="preserve">, including those made in the context of the HRC membership </w:t>
      </w:r>
      <w:r w:rsidRPr="008042F6">
        <w:rPr>
          <w:i/>
        </w:rPr>
        <w:t>[Corresponds to para. D of the guidelines]</w:t>
      </w:r>
    </w:p>
    <w:p w14:paraId="11C32306" w14:textId="77777777" w:rsidR="00D143B3" w:rsidRPr="008042F6" w:rsidRDefault="00D143B3" w:rsidP="00F30AF3">
      <w:pPr>
        <w:spacing w:after="0"/>
        <w:jc w:val="both"/>
        <w:rPr>
          <w:i/>
        </w:rPr>
      </w:pPr>
    </w:p>
    <w:p w14:paraId="4F69F8F7" w14:textId="77777777" w:rsidR="0098631C" w:rsidRDefault="0098631C" w:rsidP="00F30AF3">
      <w:pPr>
        <w:spacing w:after="0"/>
        <w:jc w:val="both"/>
        <w:rPr>
          <w:i/>
        </w:rPr>
      </w:pPr>
      <w:r w:rsidRPr="008042F6">
        <w:rPr>
          <w:b/>
        </w:rPr>
        <w:t>D/ New and emerging issues, including advances and challenges</w:t>
      </w:r>
      <w:r w:rsidR="00712C76" w:rsidRPr="008042F6">
        <w:rPr>
          <w:b/>
        </w:rPr>
        <w:t xml:space="preserve"> in that regard</w:t>
      </w:r>
      <w:r w:rsidRPr="008042F6">
        <w:t xml:space="preserve"> </w:t>
      </w:r>
      <w:r w:rsidRPr="008042F6">
        <w:rPr>
          <w:i/>
        </w:rPr>
        <w:t>[Corresponds to paras. B and F of the guidelines]</w:t>
      </w:r>
    </w:p>
    <w:p w14:paraId="0623547B" w14:textId="77777777" w:rsidR="00D143B3" w:rsidRPr="008042F6" w:rsidRDefault="00D143B3" w:rsidP="00F30AF3">
      <w:pPr>
        <w:spacing w:after="0"/>
        <w:jc w:val="both"/>
        <w:rPr>
          <w:i/>
        </w:rPr>
      </w:pPr>
    </w:p>
    <w:p w14:paraId="2F80F592" w14:textId="77777777" w:rsidR="00712C76" w:rsidRDefault="00712C76" w:rsidP="00F30AF3">
      <w:pPr>
        <w:spacing w:after="0"/>
        <w:jc w:val="both"/>
        <w:rPr>
          <w:i/>
        </w:rPr>
      </w:pPr>
      <w:r w:rsidRPr="008042F6">
        <w:rPr>
          <w:b/>
        </w:rPr>
        <w:t>E/Challenges which would require the support of the international community</w:t>
      </w:r>
      <w:r w:rsidRPr="008042F6">
        <w:t xml:space="preserve"> </w:t>
      </w:r>
      <w:r w:rsidRPr="008042F6">
        <w:rPr>
          <w:i/>
        </w:rPr>
        <w:t>[Corresponds to para G of the guidelines]</w:t>
      </w:r>
    </w:p>
    <w:p w14:paraId="146CA81C" w14:textId="77777777" w:rsidR="00D143B3" w:rsidRPr="008042F6" w:rsidRDefault="00D143B3" w:rsidP="00F30AF3">
      <w:pPr>
        <w:spacing w:after="0"/>
        <w:jc w:val="both"/>
        <w:rPr>
          <w:i/>
        </w:rPr>
      </w:pPr>
    </w:p>
    <w:p w14:paraId="513ECC37" w14:textId="6D576CD6" w:rsidR="00C77D22" w:rsidRPr="00C77D22" w:rsidRDefault="00C77D22" w:rsidP="00C77D22">
      <w:pPr>
        <w:autoSpaceDE w:val="0"/>
        <w:autoSpaceDN w:val="0"/>
        <w:adjustRightInd w:val="0"/>
        <w:spacing w:after="0" w:line="240" w:lineRule="auto"/>
        <w:jc w:val="both"/>
        <w:rPr>
          <w:rFonts w:cs="Helv"/>
          <w:color w:val="000000"/>
        </w:rPr>
      </w:pPr>
      <w:r w:rsidRPr="00C77D22">
        <w:rPr>
          <w:rFonts w:cs="Helv"/>
          <w:b/>
          <w:bCs/>
          <w:color w:val="000000"/>
        </w:rPr>
        <w:t>Annex -</w:t>
      </w:r>
      <w:r w:rsidRPr="00C77D22">
        <w:rPr>
          <w:rFonts w:cs="Helv"/>
          <w:color w:val="000000"/>
        </w:rPr>
        <w:t xml:space="preserve"> States are strongly encouraged to annex to their national report a table of recommendations, ideally thematically clustered, including a column providing a self-assessment of the status of implementation of each recommendation. States may also wish to note that to assist in this </w:t>
      </w:r>
      <w:proofErr w:type="gramStart"/>
      <w:r w:rsidRPr="00C77D22">
        <w:rPr>
          <w:rFonts w:cs="Helv"/>
          <w:color w:val="000000"/>
        </w:rPr>
        <w:t>task</w:t>
      </w:r>
      <w:r w:rsidR="00B67977">
        <w:rPr>
          <w:rFonts w:cs="Helv"/>
          <w:color w:val="000000"/>
        </w:rPr>
        <w:t>,</w:t>
      </w:r>
      <w:proofErr w:type="gramEnd"/>
      <w:r w:rsidRPr="00C77D22">
        <w:rPr>
          <w:rFonts w:cs="Helv"/>
          <w:color w:val="000000"/>
        </w:rPr>
        <w:t xml:space="preserve"> the OHCHR will make such tables available on the individual country pages of the UPR website, in advance of the relevant 3</w:t>
      </w:r>
      <w:r w:rsidRPr="00C77D22">
        <w:rPr>
          <w:rFonts w:cs="Helv"/>
          <w:color w:val="000000"/>
          <w:vertAlign w:val="superscript"/>
        </w:rPr>
        <w:t>rd</w:t>
      </w:r>
      <w:r w:rsidRPr="00C77D22">
        <w:rPr>
          <w:rFonts w:cs="Helv"/>
          <w:color w:val="000000"/>
        </w:rPr>
        <w:t xml:space="preserve"> cycle sessions:</w:t>
      </w:r>
    </w:p>
    <w:p w14:paraId="712D2F2C" w14:textId="77777777" w:rsidR="00C77D22" w:rsidRDefault="00C5160F" w:rsidP="00C77D22">
      <w:pPr>
        <w:autoSpaceDE w:val="0"/>
        <w:autoSpaceDN w:val="0"/>
        <w:adjustRightInd w:val="0"/>
        <w:spacing w:after="0" w:line="240" w:lineRule="auto"/>
        <w:jc w:val="both"/>
        <w:rPr>
          <w:rFonts w:ascii="Helv" w:hAnsi="Helv" w:cs="Helv"/>
          <w:color w:val="000000"/>
        </w:rPr>
      </w:pPr>
      <w:hyperlink r:id="rId9" w:history="1">
        <w:r w:rsidR="00C77D22" w:rsidRPr="00C77D22">
          <w:rPr>
            <w:rFonts w:cs="Helv"/>
            <w:color w:val="0000FF"/>
            <w:u w:val="single"/>
          </w:rPr>
          <w:t>http://www.ohchr.org/EN/HRBodies/UPR/Pages/Documentation.aspx</w:t>
        </w:r>
      </w:hyperlink>
    </w:p>
    <w:p w14:paraId="277A0135" w14:textId="77777777" w:rsidR="00D143B3" w:rsidRPr="008042F6" w:rsidRDefault="00D143B3" w:rsidP="00F30AF3">
      <w:pPr>
        <w:spacing w:after="0"/>
        <w:jc w:val="both"/>
      </w:pPr>
    </w:p>
    <w:p w14:paraId="76AA945B" w14:textId="4338B087" w:rsidR="00695D81" w:rsidRDefault="00D143B3" w:rsidP="00D143B3">
      <w:pPr>
        <w:shd w:val="clear" w:color="auto" w:fill="FABF8F" w:themeFill="accent6" w:themeFillTint="99"/>
        <w:spacing w:after="0"/>
        <w:jc w:val="center"/>
        <w:rPr>
          <w:b/>
        </w:rPr>
      </w:pPr>
      <w:r w:rsidRPr="008042F6">
        <w:rPr>
          <w:b/>
        </w:rPr>
        <w:t>Practical suggestions</w:t>
      </w:r>
    </w:p>
    <w:p w14:paraId="70D91643" w14:textId="77777777" w:rsidR="00D143B3" w:rsidRPr="008042F6" w:rsidRDefault="00D143B3" w:rsidP="00F30AF3">
      <w:pPr>
        <w:pStyle w:val="ListParagraph"/>
        <w:spacing w:after="0"/>
      </w:pPr>
    </w:p>
    <w:p w14:paraId="090A5163" w14:textId="77777777" w:rsidR="008E2393" w:rsidRDefault="008E2393" w:rsidP="00F30AF3">
      <w:pPr>
        <w:pStyle w:val="ListParagraph"/>
        <w:numPr>
          <w:ilvl w:val="0"/>
          <w:numId w:val="9"/>
        </w:numPr>
        <w:spacing w:after="0"/>
      </w:pPr>
      <w:r w:rsidRPr="008042F6">
        <w:t>States are encouraged to refer to the tentative deadline</w:t>
      </w:r>
      <w:r w:rsidR="00270CDD" w:rsidRPr="008042F6">
        <w:t xml:space="preserve"> and </w:t>
      </w:r>
      <w:r w:rsidR="007E311B" w:rsidRPr="008042F6">
        <w:t xml:space="preserve">set an internal </w:t>
      </w:r>
      <w:r w:rsidR="00270CDD" w:rsidRPr="008042F6">
        <w:t xml:space="preserve">reverse timeline </w:t>
      </w:r>
      <w:r w:rsidR="002A4E0C" w:rsidRPr="008042F6">
        <w:t>identifying the various steps for the compilation of information, identification of the format of the report, drafting of the sections of the report, consultation process, finalization and clearance process before final submission to the Secretariat</w:t>
      </w:r>
      <w:r w:rsidR="00270CDD" w:rsidRPr="008042F6">
        <w:t>.</w:t>
      </w:r>
    </w:p>
    <w:p w14:paraId="34EE27A3" w14:textId="77777777" w:rsidR="002F78B6" w:rsidRPr="008042F6" w:rsidRDefault="002F78B6" w:rsidP="002F78B6">
      <w:pPr>
        <w:pStyle w:val="ListParagraph"/>
        <w:spacing w:after="0"/>
      </w:pPr>
    </w:p>
    <w:p w14:paraId="6BE0ECD9" w14:textId="77777777" w:rsidR="00270CDD" w:rsidRDefault="00270CDD" w:rsidP="00F30AF3">
      <w:pPr>
        <w:pStyle w:val="ListParagraph"/>
        <w:numPr>
          <w:ilvl w:val="0"/>
          <w:numId w:val="9"/>
        </w:numPr>
        <w:spacing w:after="0"/>
        <w:jc w:val="both"/>
      </w:pPr>
      <w:r w:rsidRPr="008042F6">
        <w:t>State</w:t>
      </w:r>
      <w:r w:rsidR="007E311B" w:rsidRPr="008042F6">
        <w:t>s are</w:t>
      </w:r>
      <w:r w:rsidRPr="008042F6">
        <w:t xml:space="preserve"> encouraged to share details on the national processes and systems for follow-up and reporting on previous recommendations, whenever they exist. </w:t>
      </w:r>
    </w:p>
    <w:p w14:paraId="2F73780D" w14:textId="77777777" w:rsidR="002F78B6" w:rsidRPr="008042F6" w:rsidRDefault="002F78B6" w:rsidP="002F78B6">
      <w:pPr>
        <w:spacing w:after="0"/>
        <w:jc w:val="both"/>
      </w:pPr>
    </w:p>
    <w:p w14:paraId="2EEB2F47" w14:textId="77777777" w:rsidR="003415D2" w:rsidRPr="008042F6" w:rsidRDefault="003415D2" w:rsidP="00F30AF3">
      <w:pPr>
        <w:pStyle w:val="ListParagraph"/>
        <w:numPr>
          <w:ilvl w:val="0"/>
          <w:numId w:val="9"/>
        </w:numPr>
        <w:spacing w:after="0"/>
        <w:jc w:val="both"/>
      </w:pPr>
      <w:r w:rsidRPr="008042F6">
        <w:lastRenderedPageBreak/>
        <w:t>The report should focus on measures and steps taken to imp</w:t>
      </w:r>
      <w:r w:rsidR="0039205F" w:rsidRPr="008042F6">
        <w:t>lement previous recommendations. It should thus focus on the period elapsed since the previous review.</w:t>
      </w:r>
    </w:p>
    <w:p w14:paraId="0F8186BF" w14:textId="77777777" w:rsidR="003415D2" w:rsidRDefault="003415D2" w:rsidP="00F30AF3">
      <w:pPr>
        <w:pStyle w:val="ListParagraph"/>
        <w:numPr>
          <w:ilvl w:val="0"/>
          <w:numId w:val="9"/>
        </w:numPr>
        <w:spacing w:after="0"/>
        <w:jc w:val="both"/>
      </w:pPr>
      <w:r w:rsidRPr="008042F6">
        <w:t>When referring to the recommendations, their clear identification is encouraged – recommendations number, document number, relevant cycle.</w:t>
      </w:r>
    </w:p>
    <w:p w14:paraId="372F2BCE" w14:textId="77777777" w:rsidR="002F78B6" w:rsidRPr="008042F6" w:rsidRDefault="002F78B6" w:rsidP="002F78B6">
      <w:pPr>
        <w:pStyle w:val="ListParagraph"/>
        <w:spacing w:after="0"/>
        <w:jc w:val="both"/>
      </w:pPr>
    </w:p>
    <w:p w14:paraId="771AF997" w14:textId="0658FFE6" w:rsidR="0039205F" w:rsidRDefault="0039205F" w:rsidP="00F30AF3">
      <w:pPr>
        <w:pStyle w:val="ListParagraph"/>
        <w:numPr>
          <w:ilvl w:val="0"/>
          <w:numId w:val="9"/>
        </w:numPr>
        <w:spacing w:after="0"/>
        <w:jc w:val="both"/>
      </w:pPr>
      <w:r w:rsidRPr="008042F6">
        <w:t xml:space="preserve">Voluntary pledges and commitments </w:t>
      </w:r>
      <w:r w:rsidR="0010302F">
        <w:t>c</w:t>
      </w:r>
      <w:r w:rsidRPr="008042F6">
        <w:t>ould be clearly identified.</w:t>
      </w:r>
    </w:p>
    <w:p w14:paraId="27B0549B" w14:textId="77777777" w:rsidR="002F78B6" w:rsidRPr="008042F6" w:rsidRDefault="002F78B6" w:rsidP="002F78B6">
      <w:pPr>
        <w:spacing w:after="0"/>
        <w:jc w:val="both"/>
      </w:pPr>
    </w:p>
    <w:p w14:paraId="60E61C80" w14:textId="5495C5F4" w:rsidR="00A16E1C" w:rsidRDefault="00A16E1C" w:rsidP="00F30AF3">
      <w:pPr>
        <w:pStyle w:val="ListParagraph"/>
        <w:numPr>
          <w:ilvl w:val="0"/>
          <w:numId w:val="9"/>
        </w:numPr>
        <w:spacing w:after="0"/>
        <w:jc w:val="both"/>
      </w:pPr>
      <w:r w:rsidRPr="008042F6">
        <w:t xml:space="preserve">The use of </w:t>
      </w:r>
      <w:r w:rsidR="00CB6BBC" w:rsidRPr="008042F6">
        <w:t xml:space="preserve">human rights </w:t>
      </w:r>
      <w:r w:rsidRPr="008042F6">
        <w:t>indicators that may have been defined by the State – preferably as pa</w:t>
      </w:r>
      <w:r w:rsidR="008A4324">
        <w:t xml:space="preserve">rt of its follow-up action plan </w:t>
      </w:r>
      <w:r w:rsidR="008A4324" w:rsidRPr="008042F6">
        <w:t>–</w:t>
      </w:r>
      <w:r w:rsidRPr="008042F6">
        <w:t xml:space="preserve"> is encouraged to assess the </w:t>
      </w:r>
      <w:r w:rsidR="00E27B09" w:rsidRPr="008042F6">
        <w:t xml:space="preserve">impact </w:t>
      </w:r>
      <w:r w:rsidRPr="008042F6">
        <w:t>of implementation of the recommendation</w:t>
      </w:r>
      <w:r w:rsidR="0010302F">
        <w:t>s, and to use in the reporting.</w:t>
      </w:r>
    </w:p>
    <w:p w14:paraId="1EE225C4" w14:textId="77777777" w:rsidR="002F78B6" w:rsidRPr="008042F6" w:rsidRDefault="002F78B6" w:rsidP="002F78B6">
      <w:pPr>
        <w:spacing w:after="0"/>
        <w:jc w:val="both"/>
      </w:pPr>
    </w:p>
    <w:p w14:paraId="76E04412" w14:textId="77777777" w:rsidR="00A16E1C" w:rsidRDefault="00A16E1C" w:rsidP="00F30AF3">
      <w:pPr>
        <w:pStyle w:val="ListParagraph"/>
        <w:numPr>
          <w:ilvl w:val="0"/>
          <w:numId w:val="9"/>
        </w:numPr>
        <w:spacing w:after="0"/>
        <w:jc w:val="both"/>
      </w:pPr>
      <w:r w:rsidRPr="008042F6">
        <w:t>States could use categories such as “fully implemented”, “partially implemented”, “in the process of implementation”, “not implemented yet”.</w:t>
      </w:r>
    </w:p>
    <w:p w14:paraId="0C302CE9" w14:textId="77777777" w:rsidR="002F78B6" w:rsidRPr="008042F6" w:rsidRDefault="002F78B6" w:rsidP="002F78B6">
      <w:pPr>
        <w:spacing w:after="0"/>
        <w:jc w:val="both"/>
      </w:pPr>
    </w:p>
    <w:p w14:paraId="14A0641F" w14:textId="77777777" w:rsidR="00A16E1C" w:rsidRDefault="0039205F" w:rsidP="00F30AF3">
      <w:pPr>
        <w:pStyle w:val="ListParagraph"/>
        <w:numPr>
          <w:ilvl w:val="0"/>
          <w:numId w:val="9"/>
        </w:numPr>
        <w:spacing w:after="0"/>
        <w:jc w:val="both"/>
      </w:pPr>
      <w:r w:rsidRPr="008042F6">
        <w:t>Use and reference to the mid-term report – if submitted- should be made.</w:t>
      </w:r>
    </w:p>
    <w:p w14:paraId="7B42681F" w14:textId="77777777" w:rsidR="002F78B6" w:rsidRPr="008042F6" w:rsidRDefault="002F78B6" w:rsidP="002F78B6">
      <w:pPr>
        <w:spacing w:after="0"/>
        <w:jc w:val="both"/>
      </w:pPr>
    </w:p>
    <w:p w14:paraId="682DBD38" w14:textId="77777777" w:rsidR="00A16E1C" w:rsidRDefault="00A16E1C" w:rsidP="00F30AF3">
      <w:pPr>
        <w:pStyle w:val="ListParagraph"/>
        <w:numPr>
          <w:ilvl w:val="0"/>
          <w:numId w:val="9"/>
        </w:numPr>
        <w:spacing w:after="0"/>
        <w:jc w:val="both"/>
      </w:pPr>
      <w:r w:rsidRPr="008042F6">
        <w:t>When a recommendation has been fully implemented, details on how the action has been completed and assessment on impact on the ground should be provided.</w:t>
      </w:r>
    </w:p>
    <w:p w14:paraId="2949B36E" w14:textId="77777777" w:rsidR="002F78B6" w:rsidRPr="008042F6" w:rsidRDefault="002F78B6" w:rsidP="002F78B6">
      <w:pPr>
        <w:spacing w:after="0"/>
        <w:jc w:val="both"/>
      </w:pPr>
    </w:p>
    <w:p w14:paraId="3DC103E1" w14:textId="78567261" w:rsidR="00A16E1C" w:rsidRDefault="00A16E1C" w:rsidP="00F30AF3">
      <w:pPr>
        <w:pStyle w:val="ListParagraph"/>
        <w:numPr>
          <w:ilvl w:val="0"/>
          <w:numId w:val="9"/>
        </w:numPr>
        <w:spacing w:after="0"/>
        <w:jc w:val="both"/>
      </w:pPr>
      <w:r w:rsidRPr="008042F6">
        <w:t xml:space="preserve">When a recommendation is in the process of implementation, details on the level of implementation - steps and measures already </w:t>
      </w:r>
      <w:r w:rsidR="00F04A8B" w:rsidRPr="008042F6">
        <w:t xml:space="preserve">taken </w:t>
      </w:r>
      <w:r w:rsidRPr="008042F6">
        <w:t>together with steps and measures to be taken in the future- should be provided. Time-fram</w:t>
      </w:r>
      <w:r w:rsidR="008A29DF" w:rsidRPr="008042F6">
        <w:t>e</w:t>
      </w:r>
      <w:r w:rsidRPr="008042F6">
        <w:t xml:space="preserve">, actors, resources, indicators </w:t>
      </w:r>
      <w:r w:rsidR="0010302F">
        <w:t>c</w:t>
      </w:r>
      <w:r w:rsidRPr="008042F6">
        <w:t>ould be identified.</w:t>
      </w:r>
    </w:p>
    <w:p w14:paraId="6FA6348A" w14:textId="77777777" w:rsidR="002F78B6" w:rsidRPr="008042F6" w:rsidRDefault="002F78B6" w:rsidP="002F78B6">
      <w:pPr>
        <w:spacing w:after="0"/>
        <w:jc w:val="both"/>
      </w:pPr>
    </w:p>
    <w:p w14:paraId="3E5163F4" w14:textId="72A5F73B" w:rsidR="002F78B6" w:rsidRDefault="008A29DF" w:rsidP="002F78B6">
      <w:pPr>
        <w:pStyle w:val="ListParagraph"/>
        <w:numPr>
          <w:ilvl w:val="0"/>
          <w:numId w:val="9"/>
        </w:numPr>
        <w:spacing w:after="0"/>
        <w:jc w:val="both"/>
      </w:pPr>
      <w:r w:rsidRPr="008042F6">
        <w:t xml:space="preserve">When a recommendation is partially implemented or not implemented yet, explanation </w:t>
      </w:r>
      <w:r w:rsidR="0010302F">
        <w:t>c</w:t>
      </w:r>
      <w:r w:rsidRPr="008042F6">
        <w:t>ould be provided, indicating any challenges, difficulties faced and/or needs for technical assistance.</w:t>
      </w:r>
    </w:p>
    <w:p w14:paraId="6971D51E" w14:textId="77777777" w:rsidR="002F78B6" w:rsidRPr="008042F6" w:rsidRDefault="002F78B6" w:rsidP="002F78B6">
      <w:pPr>
        <w:spacing w:after="0"/>
        <w:jc w:val="both"/>
      </w:pPr>
    </w:p>
    <w:p w14:paraId="1F612FE7" w14:textId="77777777" w:rsidR="00E27B09" w:rsidRDefault="00E27B09" w:rsidP="00F30AF3">
      <w:pPr>
        <w:pStyle w:val="ListParagraph"/>
        <w:numPr>
          <w:ilvl w:val="0"/>
          <w:numId w:val="9"/>
        </w:numPr>
        <w:spacing w:after="0"/>
        <w:jc w:val="both"/>
      </w:pPr>
      <w:r w:rsidRPr="008042F6">
        <w:t>Information and assessment could be substantiated by data. Information submitted to other UN human rights mechanisms could also be used to categorize the reporting by States.</w:t>
      </w:r>
    </w:p>
    <w:p w14:paraId="7772EA09" w14:textId="77777777" w:rsidR="002F78B6" w:rsidRPr="008042F6" w:rsidRDefault="002F78B6" w:rsidP="002F78B6">
      <w:pPr>
        <w:spacing w:after="0"/>
        <w:jc w:val="both"/>
      </w:pPr>
    </w:p>
    <w:p w14:paraId="6E77752D" w14:textId="77777777" w:rsidR="0039205F" w:rsidRDefault="0039205F" w:rsidP="00F30AF3">
      <w:pPr>
        <w:pStyle w:val="ListParagraph"/>
        <w:numPr>
          <w:ilvl w:val="0"/>
          <w:numId w:val="9"/>
        </w:numPr>
        <w:spacing w:after="0"/>
        <w:jc w:val="both"/>
      </w:pPr>
      <w:r w:rsidRPr="008042F6">
        <w:t>Developments, changes, new and emerging issues should be included in separate section unless they form part of the explanation of the delay/challenges/difficulties faced to implement recommendations.</w:t>
      </w:r>
    </w:p>
    <w:p w14:paraId="0EB3D75E" w14:textId="77777777" w:rsidR="002F78B6" w:rsidRPr="008042F6" w:rsidRDefault="002F78B6" w:rsidP="002F78B6">
      <w:pPr>
        <w:spacing w:after="0"/>
        <w:jc w:val="both"/>
      </w:pPr>
    </w:p>
    <w:p w14:paraId="77D72B64" w14:textId="77777777" w:rsidR="0039205F" w:rsidRPr="008042F6" w:rsidRDefault="0039205F" w:rsidP="00F30AF3">
      <w:pPr>
        <w:pStyle w:val="ListParagraph"/>
        <w:numPr>
          <w:ilvl w:val="0"/>
          <w:numId w:val="9"/>
        </w:numPr>
        <w:spacing w:after="0"/>
        <w:jc w:val="both"/>
      </w:pPr>
      <w:r w:rsidRPr="008042F6">
        <w:t>States are</w:t>
      </w:r>
      <w:r w:rsidR="007E311B" w:rsidRPr="008042F6">
        <w:t xml:space="preserve"> respectfully</w:t>
      </w:r>
      <w:r w:rsidRPr="008042F6">
        <w:t xml:space="preserve"> encouraged to refrain from including bilateral and/or political matters and disputes in the report.</w:t>
      </w:r>
    </w:p>
    <w:p w14:paraId="14A898D6" w14:textId="77777777" w:rsidR="00695D81" w:rsidRPr="008042F6" w:rsidRDefault="00695D81" w:rsidP="00F30AF3">
      <w:pPr>
        <w:pStyle w:val="ListParagraph"/>
        <w:spacing w:after="0"/>
        <w:jc w:val="both"/>
      </w:pPr>
    </w:p>
    <w:p w14:paraId="7F9DA7D8" w14:textId="7C54525F" w:rsidR="00695D81" w:rsidRDefault="00B15711" w:rsidP="00B15711">
      <w:pPr>
        <w:shd w:val="clear" w:color="auto" w:fill="FABF8F" w:themeFill="accent6" w:themeFillTint="99"/>
        <w:spacing w:after="0"/>
        <w:jc w:val="center"/>
        <w:rPr>
          <w:b/>
        </w:rPr>
      </w:pPr>
      <w:r w:rsidRPr="008042F6">
        <w:rPr>
          <w:b/>
        </w:rPr>
        <w:t>Technical guidelines</w:t>
      </w:r>
    </w:p>
    <w:p w14:paraId="49E90BE2" w14:textId="77777777" w:rsidR="00B15711" w:rsidRPr="008042F6" w:rsidRDefault="00B15711" w:rsidP="00F30AF3">
      <w:pPr>
        <w:pStyle w:val="ListParagraph"/>
        <w:spacing w:after="0"/>
        <w:jc w:val="both"/>
      </w:pPr>
    </w:p>
    <w:p w14:paraId="5E3D07A5" w14:textId="77777777" w:rsidR="00712C76" w:rsidRPr="008042F6" w:rsidRDefault="00712C76" w:rsidP="00F30AF3">
      <w:pPr>
        <w:pStyle w:val="ListParagraph"/>
        <w:numPr>
          <w:ilvl w:val="0"/>
          <w:numId w:val="8"/>
        </w:numPr>
        <w:spacing w:after="0"/>
        <w:jc w:val="both"/>
      </w:pPr>
      <w:r w:rsidRPr="008042F6">
        <w:rPr>
          <w:i/>
          <w:u w:val="single"/>
        </w:rPr>
        <w:t>Length</w:t>
      </w:r>
      <w:r w:rsidRPr="008042F6">
        <w:t>: the report should not exceed 10,700 words</w:t>
      </w:r>
    </w:p>
    <w:p w14:paraId="665B40A5" w14:textId="77777777" w:rsidR="00712C76" w:rsidRPr="008042F6" w:rsidRDefault="00712C76" w:rsidP="00F30AF3">
      <w:pPr>
        <w:pStyle w:val="ListParagraph"/>
        <w:numPr>
          <w:ilvl w:val="0"/>
          <w:numId w:val="8"/>
        </w:numPr>
        <w:spacing w:after="0"/>
        <w:jc w:val="both"/>
      </w:pPr>
      <w:r w:rsidRPr="008042F6">
        <w:rPr>
          <w:i/>
          <w:u w:val="single"/>
        </w:rPr>
        <w:t>Format</w:t>
      </w:r>
      <w:r w:rsidRPr="008042F6">
        <w:t>: the document should be submitted in Word Format</w:t>
      </w:r>
    </w:p>
    <w:p w14:paraId="55CBF5DF" w14:textId="77777777" w:rsidR="00712C76" w:rsidRPr="008042F6" w:rsidRDefault="00712C76" w:rsidP="00F30AF3">
      <w:pPr>
        <w:pStyle w:val="ListParagraph"/>
        <w:numPr>
          <w:ilvl w:val="0"/>
          <w:numId w:val="8"/>
        </w:numPr>
        <w:spacing w:after="0"/>
        <w:jc w:val="both"/>
      </w:pPr>
      <w:r w:rsidRPr="008042F6">
        <w:rPr>
          <w:i/>
          <w:u w:val="single"/>
        </w:rPr>
        <w:t>Use of endnotes</w:t>
      </w:r>
      <w:r w:rsidRPr="008042F6">
        <w:t>: Endnotes/footnotes are not part of the 10,700 words word-count. They are not translated. They could be used to reference the information included in the report</w:t>
      </w:r>
      <w:r w:rsidR="00780B31" w:rsidRPr="008042F6">
        <w:t>.</w:t>
      </w:r>
    </w:p>
    <w:p w14:paraId="0CA4567D" w14:textId="77777777" w:rsidR="00780B31" w:rsidRPr="008042F6" w:rsidRDefault="00495892" w:rsidP="00F30AF3">
      <w:pPr>
        <w:pStyle w:val="ListParagraph"/>
        <w:numPr>
          <w:ilvl w:val="0"/>
          <w:numId w:val="8"/>
        </w:numPr>
        <w:spacing w:after="0"/>
        <w:jc w:val="both"/>
      </w:pPr>
      <w:r w:rsidRPr="008042F6">
        <w:rPr>
          <w:i/>
          <w:u w:val="single"/>
        </w:rPr>
        <w:t>Annex</w:t>
      </w:r>
      <w:r w:rsidRPr="008042F6">
        <w:t>: t</w:t>
      </w:r>
      <w:r w:rsidR="00780B31" w:rsidRPr="008042F6">
        <w:t>he annex with the thematically clustered recommendations do not form part of the word count and would not be translated.</w:t>
      </w:r>
    </w:p>
    <w:p w14:paraId="1796B129" w14:textId="77777777" w:rsidR="00712C76" w:rsidRPr="008042F6" w:rsidRDefault="00712C76" w:rsidP="00F30AF3">
      <w:pPr>
        <w:pStyle w:val="ListParagraph"/>
        <w:numPr>
          <w:ilvl w:val="0"/>
          <w:numId w:val="8"/>
        </w:numPr>
        <w:spacing w:after="0"/>
        <w:jc w:val="both"/>
      </w:pPr>
      <w:r w:rsidRPr="008042F6">
        <w:rPr>
          <w:i/>
          <w:u w:val="single"/>
        </w:rPr>
        <w:t>Numbering of paragraphs and pages</w:t>
      </w:r>
      <w:r w:rsidRPr="008042F6">
        <w:t>: For ease of reference, paragraphs and pages should be numbered</w:t>
      </w:r>
    </w:p>
    <w:p w14:paraId="0B172AC5" w14:textId="77777777" w:rsidR="00712C76" w:rsidRPr="008042F6" w:rsidRDefault="00712C76" w:rsidP="00F30AF3">
      <w:pPr>
        <w:pStyle w:val="ListParagraph"/>
        <w:numPr>
          <w:ilvl w:val="0"/>
          <w:numId w:val="8"/>
        </w:numPr>
        <w:spacing w:after="0"/>
        <w:jc w:val="both"/>
      </w:pPr>
      <w:r w:rsidRPr="008042F6">
        <w:rPr>
          <w:i/>
          <w:u w:val="single"/>
        </w:rPr>
        <w:lastRenderedPageBreak/>
        <w:t>Language</w:t>
      </w:r>
      <w:r w:rsidRPr="008042F6">
        <w:t>: the report should be submitted in one of the six official languages of the United Nations</w:t>
      </w:r>
    </w:p>
    <w:p w14:paraId="6246CF97" w14:textId="084FC621" w:rsidR="00695D81" w:rsidRPr="008042F6" w:rsidRDefault="00712C76" w:rsidP="00F56BA2">
      <w:pPr>
        <w:pStyle w:val="ListParagraph"/>
        <w:numPr>
          <w:ilvl w:val="0"/>
          <w:numId w:val="8"/>
        </w:numPr>
        <w:spacing w:after="0"/>
        <w:jc w:val="both"/>
      </w:pPr>
      <w:r w:rsidRPr="008042F6">
        <w:rPr>
          <w:i/>
          <w:u w:val="single"/>
        </w:rPr>
        <w:t>Editing</w:t>
      </w:r>
      <w:r w:rsidRPr="008042F6">
        <w:t>: reports are not edited</w:t>
      </w:r>
    </w:p>
    <w:p w14:paraId="03902339" w14:textId="2E40360F" w:rsidR="00695D81" w:rsidRDefault="00B15711" w:rsidP="00B15711">
      <w:pPr>
        <w:shd w:val="clear" w:color="auto" w:fill="FABF8F" w:themeFill="accent6" w:themeFillTint="99"/>
        <w:spacing w:after="0"/>
        <w:jc w:val="center"/>
        <w:rPr>
          <w:b/>
        </w:rPr>
      </w:pPr>
      <w:r w:rsidRPr="008042F6">
        <w:rPr>
          <w:b/>
        </w:rPr>
        <w:t>When to submit the national report</w:t>
      </w:r>
    </w:p>
    <w:p w14:paraId="36B42AC6" w14:textId="77777777" w:rsidR="00B15711" w:rsidRPr="008042F6" w:rsidRDefault="00B15711" w:rsidP="00F30AF3">
      <w:pPr>
        <w:spacing w:after="0"/>
        <w:jc w:val="both"/>
        <w:rPr>
          <w:i/>
          <w:u w:val="single"/>
        </w:rPr>
      </w:pPr>
    </w:p>
    <w:p w14:paraId="4BA3E9A5" w14:textId="494302B4" w:rsidR="00CE2884" w:rsidRPr="008042F6" w:rsidRDefault="00CE2884" w:rsidP="00F30AF3">
      <w:pPr>
        <w:spacing w:after="0"/>
        <w:jc w:val="both"/>
      </w:pPr>
      <w:r w:rsidRPr="008042F6">
        <w:rPr>
          <w:i/>
          <w:u w:val="single"/>
        </w:rPr>
        <w:t>Tentative deadlines</w:t>
      </w:r>
      <w:r w:rsidRPr="008042F6">
        <w:t xml:space="preserve"> are included in the calendar of the cycle as posted on the OHCHR website –</w:t>
      </w:r>
      <w:r w:rsidR="00490F4B" w:rsidRPr="00490F4B">
        <w:t xml:space="preserve"> </w:t>
      </w:r>
      <w:hyperlink r:id="rId10" w:history="1">
        <w:r w:rsidR="00490F4B" w:rsidRPr="00AB7B31">
          <w:rPr>
            <w:rStyle w:val="Hyperlink"/>
          </w:rPr>
          <w:t>http://www.ohchr.org/EN/HRBodies/UPR/Pages/UPRMain.aspx-</w:t>
        </w:r>
      </w:hyperlink>
      <w:r w:rsidR="00490F4B">
        <w:t xml:space="preserve"> </w:t>
      </w:r>
      <w:r w:rsidRPr="008042F6">
        <w:t xml:space="preserve"> For States considered at the early session of the year, the deadline is usually set for October of the previous year. For States considered at the April-May session, the deadline is usually set for January-February of the same year. For States considered at the October-November session, deadline is usually set for July-August of the same year.</w:t>
      </w:r>
    </w:p>
    <w:p w14:paraId="3278FEAD" w14:textId="77777777" w:rsidR="009F4397" w:rsidRDefault="009F4397" w:rsidP="00F30AF3">
      <w:pPr>
        <w:spacing w:after="0"/>
        <w:jc w:val="both"/>
        <w:rPr>
          <w:i/>
          <w:u w:val="single"/>
        </w:rPr>
      </w:pPr>
    </w:p>
    <w:p w14:paraId="6A4731A9" w14:textId="050D4D5E" w:rsidR="00CE2884" w:rsidRPr="008042F6" w:rsidRDefault="00CE2884" w:rsidP="00F30AF3">
      <w:pPr>
        <w:spacing w:after="0"/>
        <w:jc w:val="both"/>
      </w:pPr>
      <w:r w:rsidRPr="008042F6">
        <w:rPr>
          <w:i/>
          <w:u w:val="single"/>
        </w:rPr>
        <w:t>Final deadlines</w:t>
      </w:r>
      <w:r w:rsidRPr="008042F6">
        <w:t xml:space="preserve"> </w:t>
      </w:r>
      <w:r w:rsidR="0010302F">
        <w:t>–</w:t>
      </w:r>
      <w:r w:rsidR="004B3508">
        <w:t>corresponding to approximately</w:t>
      </w:r>
      <w:r w:rsidR="0010302F">
        <w:t xml:space="preserve"> 13 to 12 weeks prior to the session- </w:t>
      </w:r>
      <w:r w:rsidRPr="008042F6">
        <w:t>are communicated by formal correspondence once the dates of the sessions are confirmed</w:t>
      </w:r>
      <w:r w:rsidR="004B3508">
        <w:t>.</w:t>
      </w:r>
    </w:p>
    <w:p w14:paraId="0173D43F" w14:textId="77777777" w:rsidR="00C22C75" w:rsidRDefault="00C22C75" w:rsidP="00F30AF3">
      <w:pPr>
        <w:spacing w:after="0"/>
        <w:jc w:val="both"/>
        <w:rPr>
          <w:b/>
          <w:u w:val="single"/>
        </w:rPr>
      </w:pPr>
    </w:p>
    <w:p w14:paraId="39CB349E" w14:textId="7066A2D5" w:rsidR="00B15711" w:rsidRDefault="00B15711" w:rsidP="00B15711">
      <w:pPr>
        <w:shd w:val="clear" w:color="auto" w:fill="FABF8F" w:themeFill="accent6" w:themeFillTint="99"/>
        <w:spacing w:after="0"/>
        <w:jc w:val="center"/>
        <w:rPr>
          <w:b/>
        </w:rPr>
      </w:pPr>
      <w:r w:rsidRPr="008042F6">
        <w:rPr>
          <w:b/>
        </w:rPr>
        <w:t>Where and how to submit the national report</w:t>
      </w:r>
    </w:p>
    <w:p w14:paraId="1374CA6F" w14:textId="77777777" w:rsidR="00B15711" w:rsidRPr="008042F6" w:rsidRDefault="00B15711" w:rsidP="00F30AF3">
      <w:pPr>
        <w:spacing w:after="0"/>
        <w:jc w:val="both"/>
        <w:rPr>
          <w:b/>
          <w:u w:val="single"/>
        </w:rPr>
      </w:pPr>
    </w:p>
    <w:p w14:paraId="53A235EC" w14:textId="77777777" w:rsidR="00CE2884" w:rsidRPr="008042F6" w:rsidRDefault="00CE2884" w:rsidP="00F30AF3">
      <w:pPr>
        <w:spacing w:after="0"/>
        <w:jc w:val="both"/>
      </w:pPr>
      <w:r w:rsidRPr="008042F6">
        <w:t xml:space="preserve">The report should be submitted in Word format and sent by email to </w:t>
      </w:r>
      <w:hyperlink r:id="rId11" w:history="1">
        <w:r w:rsidRPr="008042F6">
          <w:rPr>
            <w:rStyle w:val="Hyperlink"/>
          </w:rPr>
          <w:t>UPRStates@ohchr.org</w:t>
        </w:r>
      </w:hyperlink>
      <w:r w:rsidRPr="008042F6">
        <w:t>. The Secretariat can guarantee the processing of a report only if submitted in Word and to the correct email address. A document submitted in hard copy or PDF format cannot be processed. A submission to a different recipient would unnecessarily delay the submission of the report.</w:t>
      </w:r>
    </w:p>
    <w:p w14:paraId="0A96D3D9" w14:textId="77777777" w:rsidR="00B15711" w:rsidRDefault="00B15711" w:rsidP="00F30AF3">
      <w:pPr>
        <w:spacing w:after="0"/>
        <w:jc w:val="both"/>
        <w:rPr>
          <w:b/>
        </w:rPr>
      </w:pPr>
    </w:p>
    <w:p w14:paraId="1F342E55" w14:textId="42567A18" w:rsidR="00D908AF" w:rsidRPr="008042F6" w:rsidRDefault="00B15711" w:rsidP="00B15711">
      <w:pPr>
        <w:shd w:val="clear" w:color="auto" w:fill="FABF8F" w:themeFill="accent6" w:themeFillTint="99"/>
        <w:spacing w:after="0"/>
        <w:jc w:val="center"/>
      </w:pPr>
      <w:r w:rsidRPr="008042F6">
        <w:rPr>
          <w:b/>
        </w:rPr>
        <w:t>Distribution of the national report</w:t>
      </w:r>
    </w:p>
    <w:p w14:paraId="5749D93D" w14:textId="77777777" w:rsidR="00B15711" w:rsidRDefault="00B15711" w:rsidP="00F30AF3">
      <w:pPr>
        <w:spacing w:after="0"/>
        <w:jc w:val="both"/>
      </w:pPr>
    </w:p>
    <w:p w14:paraId="2FE23CAF" w14:textId="3A4EA1BF" w:rsidR="00CE2884" w:rsidRPr="008042F6" w:rsidRDefault="00CE2884" w:rsidP="00F30AF3">
      <w:pPr>
        <w:spacing w:after="0"/>
        <w:jc w:val="both"/>
      </w:pPr>
      <w:r w:rsidRPr="008042F6">
        <w:t>The national report is posted on the official OHCHR website, UPR page corresponding to each country under consideration. The report is submitted along the other two background documents prepared by the OHCHR. The reports can only be accessible and downl</w:t>
      </w:r>
      <w:r w:rsidR="004B3508">
        <w:t>oaded once they are available in</w:t>
      </w:r>
      <w:r w:rsidRPr="008042F6">
        <w:t xml:space="preserve"> the six official UN languages This usually takes place four weeks prior to the beginning of the session.</w:t>
      </w:r>
    </w:p>
    <w:p w14:paraId="153EDC32" w14:textId="77777777" w:rsidR="00C22C75" w:rsidRPr="008042F6" w:rsidRDefault="00C22C75" w:rsidP="00F30AF3">
      <w:pPr>
        <w:spacing w:after="0"/>
        <w:jc w:val="both"/>
        <w:rPr>
          <w:b/>
          <w:i/>
          <w:sz w:val="28"/>
          <w:szCs w:val="28"/>
          <w:u w:val="single"/>
        </w:rPr>
      </w:pPr>
    </w:p>
    <w:p w14:paraId="27921CBE" w14:textId="77777777" w:rsidR="00C22C75" w:rsidRPr="008042F6" w:rsidRDefault="00C22C75" w:rsidP="00F30AF3">
      <w:pPr>
        <w:spacing w:after="0"/>
        <w:jc w:val="both"/>
        <w:rPr>
          <w:b/>
          <w:i/>
          <w:sz w:val="28"/>
          <w:szCs w:val="28"/>
          <w:u w:val="single"/>
        </w:rPr>
      </w:pPr>
    </w:p>
    <w:p w14:paraId="2B656FCE" w14:textId="77777777" w:rsidR="00C22C75" w:rsidRPr="008042F6" w:rsidRDefault="00C22C75" w:rsidP="00F30AF3">
      <w:pPr>
        <w:spacing w:after="0"/>
        <w:jc w:val="both"/>
        <w:rPr>
          <w:b/>
          <w:i/>
          <w:sz w:val="28"/>
          <w:szCs w:val="28"/>
          <w:u w:val="single"/>
        </w:rPr>
      </w:pPr>
    </w:p>
    <w:p w14:paraId="6D7EEFF3" w14:textId="77777777" w:rsidR="00C22C75" w:rsidRPr="008042F6" w:rsidRDefault="00C22C75" w:rsidP="00F30AF3">
      <w:pPr>
        <w:spacing w:after="0"/>
        <w:jc w:val="both"/>
        <w:rPr>
          <w:b/>
          <w:i/>
          <w:sz w:val="28"/>
          <w:szCs w:val="28"/>
          <w:u w:val="single"/>
        </w:rPr>
      </w:pPr>
    </w:p>
    <w:p w14:paraId="39C82D5F" w14:textId="77777777" w:rsidR="00C22C75" w:rsidRPr="008042F6" w:rsidRDefault="00C22C75" w:rsidP="00F30AF3">
      <w:pPr>
        <w:spacing w:after="0"/>
        <w:jc w:val="both"/>
        <w:rPr>
          <w:b/>
          <w:i/>
          <w:sz w:val="28"/>
          <w:szCs w:val="28"/>
          <w:u w:val="single"/>
        </w:rPr>
      </w:pPr>
    </w:p>
    <w:p w14:paraId="4F816529" w14:textId="77777777" w:rsidR="00C22C75" w:rsidRPr="008042F6" w:rsidRDefault="00C22C75" w:rsidP="00F30AF3">
      <w:pPr>
        <w:spacing w:after="0"/>
        <w:jc w:val="both"/>
        <w:rPr>
          <w:b/>
          <w:i/>
          <w:sz w:val="28"/>
          <w:szCs w:val="28"/>
          <w:u w:val="single"/>
        </w:rPr>
      </w:pPr>
    </w:p>
    <w:p w14:paraId="3212B2F5" w14:textId="77777777" w:rsidR="00C22C75" w:rsidRPr="008042F6" w:rsidRDefault="00C22C75" w:rsidP="00F30AF3">
      <w:pPr>
        <w:spacing w:after="0"/>
        <w:jc w:val="both"/>
        <w:rPr>
          <w:b/>
          <w:i/>
          <w:sz w:val="28"/>
          <w:szCs w:val="28"/>
          <w:u w:val="single"/>
        </w:rPr>
      </w:pPr>
    </w:p>
    <w:p w14:paraId="12682B69" w14:textId="77777777" w:rsidR="00C22C75" w:rsidRPr="008042F6" w:rsidRDefault="00C22C75" w:rsidP="00F30AF3">
      <w:pPr>
        <w:spacing w:after="0"/>
        <w:jc w:val="both"/>
        <w:rPr>
          <w:b/>
          <w:i/>
          <w:sz w:val="28"/>
          <w:szCs w:val="28"/>
          <w:u w:val="single"/>
        </w:rPr>
      </w:pPr>
    </w:p>
    <w:p w14:paraId="41561CC8" w14:textId="77777777" w:rsidR="00C22C75" w:rsidRPr="008042F6" w:rsidRDefault="00C22C75" w:rsidP="00F30AF3">
      <w:pPr>
        <w:spacing w:after="0"/>
        <w:jc w:val="both"/>
        <w:rPr>
          <w:b/>
          <w:i/>
          <w:sz w:val="28"/>
          <w:szCs w:val="28"/>
          <w:u w:val="single"/>
        </w:rPr>
      </w:pPr>
    </w:p>
    <w:p w14:paraId="1F9B02FE" w14:textId="77777777" w:rsidR="00C22C75" w:rsidRPr="008042F6" w:rsidRDefault="00C22C75" w:rsidP="00F30AF3">
      <w:pPr>
        <w:spacing w:after="0"/>
        <w:jc w:val="both"/>
        <w:rPr>
          <w:b/>
          <w:i/>
          <w:sz w:val="28"/>
          <w:szCs w:val="28"/>
          <w:u w:val="single"/>
        </w:rPr>
      </w:pPr>
    </w:p>
    <w:p w14:paraId="18CE980D" w14:textId="77777777" w:rsidR="00C22C75" w:rsidRPr="008042F6" w:rsidRDefault="00C22C75" w:rsidP="00F30AF3">
      <w:pPr>
        <w:spacing w:after="0"/>
        <w:jc w:val="both"/>
        <w:rPr>
          <w:b/>
          <w:i/>
          <w:sz w:val="28"/>
          <w:szCs w:val="28"/>
          <w:u w:val="single"/>
        </w:rPr>
      </w:pPr>
    </w:p>
    <w:p w14:paraId="48ABF307" w14:textId="77777777" w:rsidR="00C22C75" w:rsidRPr="008042F6" w:rsidRDefault="00C22C75" w:rsidP="00F30AF3">
      <w:pPr>
        <w:spacing w:after="0"/>
        <w:jc w:val="both"/>
        <w:rPr>
          <w:b/>
          <w:i/>
          <w:sz w:val="28"/>
          <w:szCs w:val="28"/>
          <w:u w:val="single"/>
        </w:rPr>
      </w:pPr>
    </w:p>
    <w:p w14:paraId="07973840" w14:textId="77777777" w:rsidR="00C22C75" w:rsidRPr="008042F6" w:rsidRDefault="00C22C75" w:rsidP="00F30AF3">
      <w:pPr>
        <w:spacing w:after="0"/>
        <w:jc w:val="both"/>
        <w:rPr>
          <w:b/>
          <w:i/>
          <w:sz w:val="28"/>
          <w:szCs w:val="28"/>
          <w:u w:val="single"/>
        </w:rPr>
      </w:pPr>
    </w:p>
    <w:p w14:paraId="2E0C5E9F" w14:textId="77777777" w:rsidR="00575BA3" w:rsidRDefault="00575BA3">
      <w:pPr>
        <w:rPr>
          <w:b/>
          <w:i/>
          <w:sz w:val="28"/>
          <w:szCs w:val="28"/>
          <w:u w:val="single"/>
        </w:rPr>
      </w:pPr>
      <w:r>
        <w:rPr>
          <w:b/>
          <w:i/>
          <w:sz w:val="28"/>
          <w:szCs w:val="28"/>
          <w:u w:val="single"/>
        </w:rPr>
        <w:br w:type="page"/>
      </w:r>
    </w:p>
    <w:p w14:paraId="4F55A785" w14:textId="48FD0743" w:rsidR="008E2393" w:rsidRPr="00575BA3" w:rsidRDefault="008E2393" w:rsidP="00575BA3">
      <w:pPr>
        <w:shd w:val="clear" w:color="auto" w:fill="1F497D" w:themeFill="text2"/>
        <w:spacing w:after="0"/>
        <w:jc w:val="center"/>
        <w:rPr>
          <w:b/>
          <w:i/>
          <w:color w:val="FFFFFF" w:themeColor="background1"/>
          <w:sz w:val="28"/>
          <w:szCs w:val="28"/>
        </w:rPr>
      </w:pPr>
      <w:r w:rsidRPr="00575BA3">
        <w:rPr>
          <w:b/>
          <w:i/>
          <w:color w:val="FFFFFF" w:themeColor="background1"/>
          <w:sz w:val="28"/>
          <w:szCs w:val="28"/>
        </w:rPr>
        <w:lastRenderedPageBreak/>
        <w:t>Annex</w:t>
      </w:r>
      <w:r w:rsidR="00F04A8B" w:rsidRPr="00575BA3">
        <w:rPr>
          <w:b/>
          <w:i/>
          <w:color w:val="FFFFFF" w:themeColor="background1"/>
          <w:sz w:val="28"/>
          <w:szCs w:val="28"/>
        </w:rPr>
        <w:t xml:space="preserve"> 1</w:t>
      </w:r>
    </w:p>
    <w:p w14:paraId="2B96C5F7" w14:textId="77777777" w:rsidR="00575BA3" w:rsidRDefault="00575BA3" w:rsidP="00F30AF3">
      <w:pPr>
        <w:spacing w:after="0"/>
        <w:jc w:val="both"/>
        <w:rPr>
          <w:b/>
          <w:u w:val="single"/>
        </w:rPr>
      </w:pPr>
    </w:p>
    <w:p w14:paraId="240882F8" w14:textId="77777777" w:rsidR="00975B2F" w:rsidRPr="00575BA3" w:rsidRDefault="00975B2F" w:rsidP="00575BA3">
      <w:pPr>
        <w:shd w:val="clear" w:color="auto" w:fill="FABF8F" w:themeFill="accent6" w:themeFillTint="99"/>
        <w:spacing w:after="0"/>
        <w:jc w:val="both"/>
        <w:rPr>
          <w:b/>
        </w:rPr>
      </w:pPr>
      <w:r w:rsidRPr="00575BA3">
        <w:rPr>
          <w:b/>
        </w:rPr>
        <w:t>Decision 17/119</w:t>
      </w:r>
      <w:r w:rsidR="008E2393" w:rsidRPr="00575BA3">
        <w:rPr>
          <w:b/>
        </w:rPr>
        <w:t xml:space="preserve"> – Guidelines of the national report</w:t>
      </w:r>
    </w:p>
    <w:p w14:paraId="52356427" w14:textId="77777777" w:rsidR="00575BA3" w:rsidRPr="008042F6" w:rsidRDefault="00575BA3" w:rsidP="00F30AF3">
      <w:pPr>
        <w:spacing w:after="0"/>
        <w:jc w:val="both"/>
        <w:rPr>
          <w:b/>
          <w:u w:val="single"/>
        </w:rPr>
      </w:pPr>
    </w:p>
    <w:p w14:paraId="75951BEA" w14:textId="77777777" w:rsidR="00975B2F" w:rsidRPr="008042F6" w:rsidRDefault="00975B2F" w:rsidP="00F30AF3">
      <w:pPr>
        <w:pStyle w:val="ListParagraph"/>
        <w:numPr>
          <w:ilvl w:val="0"/>
          <w:numId w:val="5"/>
        </w:numPr>
        <w:autoSpaceDE w:val="0"/>
        <w:autoSpaceDN w:val="0"/>
        <w:adjustRightInd w:val="0"/>
        <w:spacing w:after="0"/>
        <w:ind w:left="1080"/>
        <w:jc w:val="both"/>
        <w:rPr>
          <w:rFonts w:cs="Times New Roman"/>
        </w:rPr>
      </w:pPr>
      <w:r w:rsidRPr="008042F6">
        <w:rPr>
          <w:rFonts w:cs="Times New Roman"/>
        </w:rPr>
        <w:t>Description of the methodology and the broad consultation process followed for the preparation of information provided under the universal periodic review;</w:t>
      </w:r>
    </w:p>
    <w:p w14:paraId="745CC635" w14:textId="77777777" w:rsidR="00975B2F" w:rsidRPr="008042F6" w:rsidRDefault="00975B2F" w:rsidP="00F30AF3">
      <w:pPr>
        <w:autoSpaceDE w:val="0"/>
        <w:autoSpaceDN w:val="0"/>
        <w:adjustRightInd w:val="0"/>
        <w:spacing w:after="0"/>
        <w:ind w:left="360"/>
        <w:jc w:val="both"/>
        <w:rPr>
          <w:rFonts w:cs="Times New Roman"/>
        </w:rPr>
      </w:pPr>
    </w:p>
    <w:p w14:paraId="262CD62B" w14:textId="77777777" w:rsidR="00975B2F" w:rsidRPr="008042F6" w:rsidRDefault="00975B2F" w:rsidP="00F30AF3">
      <w:pPr>
        <w:pStyle w:val="ListParagraph"/>
        <w:numPr>
          <w:ilvl w:val="0"/>
          <w:numId w:val="5"/>
        </w:numPr>
        <w:autoSpaceDE w:val="0"/>
        <w:autoSpaceDN w:val="0"/>
        <w:adjustRightInd w:val="0"/>
        <w:spacing w:after="0"/>
        <w:ind w:left="1080"/>
        <w:jc w:val="both"/>
        <w:rPr>
          <w:rFonts w:cs="Times New Roman"/>
        </w:rPr>
      </w:pPr>
      <w:r w:rsidRPr="008042F6">
        <w:rPr>
          <w:rFonts w:cs="Times New Roman"/>
        </w:rPr>
        <w:t>Developments since the previous review in background of the State under review and framework, particularly normative and institutional framework, for the promotion and protection of human rights: Constitution, legislation, policy measures, national jurisprudence, human rights infrastructure including national human rights institutions and scope of international obligations identified in the “basis of review” in resolution 5/1, annex, section IA;</w:t>
      </w:r>
    </w:p>
    <w:p w14:paraId="2120ED4A" w14:textId="77777777" w:rsidR="00975B2F" w:rsidRPr="008042F6" w:rsidRDefault="00975B2F" w:rsidP="00F30AF3">
      <w:pPr>
        <w:pStyle w:val="ListParagraph"/>
        <w:spacing w:after="0"/>
        <w:ind w:left="1080"/>
        <w:jc w:val="both"/>
        <w:rPr>
          <w:rFonts w:cs="Times New Roman"/>
        </w:rPr>
      </w:pPr>
    </w:p>
    <w:p w14:paraId="073BF62B" w14:textId="77777777" w:rsidR="00975B2F" w:rsidRPr="008042F6" w:rsidRDefault="00975B2F" w:rsidP="00F30AF3">
      <w:pPr>
        <w:pStyle w:val="ListParagraph"/>
        <w:numPr>
          <w:ilvl w:val="0"/>
          <w:numId w:val="5"/>
        </w:numPr>
        <w:autoSpaceDE w:val="0"/>
        <w:autoSpaceDN w:val="0"/>
        <w:adjustRightInd w:val="0"/>
        <w:spacing w:after="0"/>
        <w:ind w:left="1080"/>
        <w:jc w:val="both"/>
        <w:rPr>
          <w:rFonts w:cs="Times New Roman"/>
        </w:rPr>
      </w:pPr>
      <w:r w:rsidRPr="008042F6">
        <w:rPr>
          <w:rFonts w:cs="Times New Roman"/>
        </w:rPr>
        <w:t>Promotion and protection of human rights on the ground: implementation of international human rights obligations identified in the “basis of review” in resolution 5/1,annex, section IA, national legislation and voluntary commitments, national human rights institutions activities, public awareness of human rights, cooperation with human rights mechanisms …;</w:t>
      </w:r>
    </w:p>
    <w:p w14:paraId="225F91A3" w14:textId="77777777" w:rsidR="00975B2F" w:rsidRPr="008042F6" w:rsidRDefault="00975B2F" w:rsidP="00F30AF3">
      <w:pPr>
        <w:pStyle w:val="ListParagraph"/>
        <w:spacing w:after="0"/>
        <w:ind w:left="1080"/>
        <w:jc w:val="both"/>
        <w:rPr>
          <w:rFonts w:cs="Times New Roman"/>
        </w:rPr>
      </w:pPr>
    </w:p>
    <w:p w14:paraId="4762CEAA" w14:textId="77777777" w:rsidR="00975B2F" w:rsidRPr="008042F6" w:rsidRDefault="00975B2F" w:rsidP="00F30AF3">
      <w:pPr>
        <w:pStyle w:val="ListParagraph"/>
        <w:numPr>
          <w:ilvl w:val="0"/>
          <w:numId w:val="5"/>
        </w:numPr>
        <w:autoSpaceDE w:val="0"/>
        <w:autoSpaceDN w:val="0"/>
        <w:adjustRightInd w:val="0"/>
        <w:spacing w:after="0"/>
        <w:ind w:left="1080"/>
        <w:jc w:val="both"/>
        <w:rPr>
          <w:rFonts w:cs="Times New Roman"/>
        </w:rPr>
      </w:pPr>
      <w:r w:rsidRPr="008042F6">
        <w:rPr>
          <w:rFonts w:cs="Times New Roman"/>
        </w:rPr>
        <w:t>Presentation by the State concerned of the follow-up to the previous review;</w:t>
      </w:r>
    </w:p>
    <w:p w14:paraId="349F2F4B" w14:textId="77777777" w:rsidR="00975B2F" w:rsidRPr="008042F6" w:rsidRDefault="00975B2F" w:rsidP="00F30AF3">
      <w:pPr>
        <w:pStyle w:val="ListParagraph"/>
        <w:spacing w:after="0"/>
        <w:ind w:left="1080"/>
        <w:jc w:val="both"/>
        <w:rPr>
          <w:rFonts w:cs="Times New Roman"/>
        </w:rPr>
      </w:pPr>
    </w:p>
    <w:p w14:paraId="59E61A6D" w14:textId="77777777" w:rsidR="00975B2F" w:rsidRPr="008042F6" w:rsidRDefault="00975B2F" w:rsidP="00F30AF3">
      <w:pPr>
        <w:pStyle w:val="ListParagraph"/>
        <w:numPr>
          <w:ilvl w:val="0"/>
          <w:numId w:val="5"/>
        </w:numPr>
        <w:autoSpaceDE w:val="0"/>
        <w:autoSpaceDN w:val="0"/>
        <w:adjustRightInd w:val="0"/>
        <w:spacing w:after="0"/>
        <w:ind w:left="1080"/>
        <w:jc w:val="both"/>
        <w:rPr>
          <w:rFonts w:cs="Times New Roman"/>
        </w:rPr>
      </w:pPr>
      <w:r w:rsidRPr="008042F6">
        <w:rPr>
          <w:rFonts w:cs="Times New Roman"/>
        </w:rPr>
        <w:t>Identification of achievements, best practices, challenges and constraints in relation to the implementation of accepted recommendations and the development of human rights situations in the State;</w:t>
      </w:r>
    </w:p>
    <w:p w14:paraId="6B909AB1" w14:textId="77777777" w:rsidR="00975B2F" w:rsidRPr="008042F6" w:rsidRDefault="00975B2F" w:rsidP="00F30AF3">
      <w:pPr>
        <w:pStyle w:val="ListParagraph"/>
        <w:spacing w:after="0"/>
        <w:ind w:left="1080"/>
        <w:jc w:val="both"/>
        <w:rPr>
          <w:rFonts w:cs="Times New Roman"/>
        </w:rPr>
      </w:pPr>
    </w:p>
    <w:p w14:paraId="258B6300" w14:textId="77777777" w:rsidR="00975B2F" w:rsidRPr="008042F6" w:rsidRDefault="00975B2F" w:rsidP="00F30AF3">
      <w:pPr>
        <w:pStyle w:val="ListParagraph"/>
        <w:numPr>
          <w:ilvl w:val="0"/>
          <w:numId w:val="5"/>
        </w:numPr>
        <w:autoSpaceDE w:val="0"/>
        <w:autoSpaceDN w:val="0"/>
        <w:adjustRightInd w:val="0"/>
        <w:spacing w:after="0"/>
        <w:ind w:left="1080"/>
        <w:jc w:val="both"/>
        <w:rPr>
          <w:rFonts w:cs="Times New Roman"/>
        </w:rPr>
      </w:pPr>
      <w:r w:rsidRPr="008042F6">
        <w:rPr>
          <w:rFonts w:cs="Times New Roman"/>
        </w:rPr>
        <w:t>Key national priorities, initiatives and commitments that the State concerned has undertaken and intends to undertake to overcome those challenges and constraints and improve human rights situations on the ground;</w:t>
      </w:r>
    </w:p>
    <w:p w14:paraId="6F61C3A6" w14:textId="77777777" w:rsidR="00975B2F" w:rsidRPr="008042F6" w:rsidRDefault="00975B2F" w:rsidP="00F30AF3">
      <w:pPr>
        <w:pStyle w:val="ListParagraph"/>
        <w:spacing w:after="0"/>
        <w:ind w:left="1080"/>
        <w:jc w:val="both"/>
        <w:rPr>
          <w:rFonts w:cs="Times New Roman"/>
        </w:rPr>
      </w:pPr>
    </w:p>
    <w:p w14:paraId="149BB08B" w14:textId="77777777" w:rsidR="00975B2F" w:rsidRPr="008042F6" w:rsidRDefault="00975B2F" w:rsidP="00F30AF3">
      <w:pPr>
        <w:pStyle w:val="ListParagraph"/>
        <w:numPr>
          <w:ilvl w:val="0"/>
          <w:numId w:val="5"/>
        </w:numPr>
        <w:autoSpaceDE w:val="0"/>
        <w:autoSpaceDN w:val="0"/>
        <w:adjustRightInd w:val="0"/>
        <w:spacing w:after="0"/>
        <w:ind w:left="1080"/>
        <w:jc w:val="both"/>
        <w:rPr>
          <w:rFonts w:cs="Times New Roman"/>
        </w:rPr>
      </w:pPr>
      <w:r w:rsidRPr="008042F6">
        <w:rPr>
          <w:rFonts w:cs="Times New Roman"/>
        </w:rPr>
        <w:t>Expectations of the State concerned in terms of capacity-building and requests, if any, for technical assistance and support received.</w:t>
      </w:r>
    </w:p>
    <w:p w14:paraId="33D07414" w14:textId="77777777" w:rsidR="00975B2F" w:rsidRPr="008042F6" w:rsidRDefault="00975B2F" w:rsidP="00F30AF3">
      <w:pPr>
        <w:spacing w:after="0"/>
        <w:jc w:val="both"/>
      </w:pPr>
    </w:p>
    <w:p w14:paraId="4D1CA8B4" w14:textId="77777777" w:rsidR="00575BA3" w:rsidRDefault="00575BA3">
      <w:pPr>
        <w:rPr>
          <w:b/>
          <w:i/>
          <w:sz w:val="28"/>
          <w:szCs w:val="28"/>
          <w:u w:val="single"/>
        </w:rPr>
      </w:pPr>
      <w:r>
        <w:rPr>
          <w:b/>
          <w:i/>
          <w:sz w:val="28"/>
          <w:szCs w:val="28"/>
          <w:u w:val="single"/>
        </w:rPr>
        <w:br w:type="page"/>
      </w:r>
    </w:p>
    <w:p w14:paraId="5F01E3DA" w14:textId="7165E3C9" w:rsidR="00C22C75" w:rsidRPr="00B05C15" w:rsidRDefault="00F84423" w:rsidP="00B05C15">
      <w:pPr>
        <w:shd w:val="clear" w:color="auto" w:fill="1F497D" w:themeFill="text2"/>
        <w:spacing w:after="0"/>
        <w:jc w:val="center"/>
        <w:rPr>
          <w:b/>
          <w:i/>
          <w:color w:val="FFFFFF" w:themeColor="background1"/>
          <w:sz w:val="28"/>
          <w:szCs w:val="28"/>
        </w:rPr>
      </w:pPr>
      <w:r>
        <w:rPr>
          <w:b/>
          <w:i/>
          <w:color w:val="FFFFFF" w:themeColor="background1"/>
          <w:sz w:val="28"/>
          <w:szCs w:val="28"/>
        </w:rPr>
        <w:lastRenderedPageBreak/>
        <w:t>Annex 2</w:t>
      </w:r>
    </w:p>
    <w:p w14:paraId="5F80E844" w14:textId="77777777" w:rsidR="00575BA3" w:rsidRPr="00AD35B4" w:rsidRDefault="00575BA3" w:rsidP="00F30AF3">
      <w:pPr>
        <w:spacing w:after="0"/>
        <w:jc w:val="center"/>
        <w:rPr>
          <w:b/>
          <w:u w:val="single"/>
        </w:rPr>
      </w:pPr>
    </w:p>
    <w:p w14:paraId="21673325" w14:textId="59B57109" w:rsidR="00B05C15" w:rsidRPr="00B05C15" w:rsidRDefault="00B05C15" w:rsidP="00B05C15">
      <w:pPr>
        <w:shd w:val="clear" w:color="auto" w:fill="FABF8F" w:themeFill="accent6" w:themeFillTint="99"/>
        <w:spacing w:after="0"/>
        <w:jc w:val="both"/>
        <w:rPr>
          <w:b/>
        </w:rPr>
      </w:pPr>
      <w:r w:rsidRPr="00B05C15">
        <w:rPr>
          <w:b/>
        </w:rPr>
        <w:t>Guidance on thematic clustering</w:t>
      </w:r>
    </w:p>
    <w:p w14:paraId="0B77DF5E" w14:textId="77777777" w:rsidR="00B05C15" w:rsidRDefault="00B05C15" w:rsidP="00F30AF3">
      <w:pPr>
        <w:spacing w:after="0"/>
        <w:rPr>
          <w:i/>
          <w:sz w:val="24"/>
          <w:szCs w:val="24"/>
        </w:rPr>
      </w:pPr>
    </w:p>
    <w:p w14:paraId="668F1210" w14:textId="1169A4E2" w:rsidR="00C22C75" w:rsidRDefault="00C22C75" w:rsidP="00F30AF3">
      <w:pPr>
        <w:spacing w:after="0"/>
        <w:rPr>
          <w:i/>
          <w:sz w:val="24"/>
          <w:szCs w:val="24"/>
        </w:rPr>
      </w:pPr>
      <w:r w:rsidRPr="008042F6">
        <w:rPr>
          <w:i/>
          <w:sz w:val="24"/>
          <w:szCs w:val="24"/>
        </w:rPr>
        <w:t>The below sections aim at providing</w:t>
      </w:r>
      <w:r w:rsidR="009923E8">
        <w:rPr>
          <w:i/>
          <w:sz w:val="24"/>
          <w:szCs w:val="24"/>
        </w:rPr>
        <w:t xml:space="preserve"> examples</w:t>
      </w:r>
      <w:r w:rsidR="009923E8" w:rsidRPr="008042F6">
        <w:rPr>
          <w:i/>
          <w:sz w:val="24"/>
          <w:szCs w:val="24"/>
        </w:rPr>
        <w:t xml:space="preserve"> </w:t>
      </w:r>
      <w:r w:rsidRPr="008042F6">
        <w:rPr>
          <w:i/>
          <w:sz w:val="24"/>
          <w:szCs w:val="24"/>
        </w:rPr>
        <w:t xml:space="preserve">to States in the way in which </w:t>
      </w:r>
      <w:r w:rsidR="009923E8">
        <w:rPr>
          <w:i/>
          <w:sz w:val="24"/>
          <w:szCs w:val="24"/>
        </w:rPr>
        <w:t>the information provided in the national report may be</w:t>
      </w:r>
      <w:r w:rsidR="00A50350">
        <w:rPr>
          <w:i/>
          <w:sz w:val="24"/>
          <w:szCs w:val="24"/>
        </w:rPr>
        <w:t xml:space="preserve"> </w:t>
      </w:r>
      <w:r w:rsidRPr="008042F6">
        <w:rPr>
          <w:i/>
          <w:sz w:val="24"/>
          <w:szCs w:val="24"/>
        </w:rPr>
        <w:t xml:space="preserve">thematically </w:t>
      </w:r>
      <w:r w:rsidR="006072F1">
        <w:rPr>
          <w:i/>
          <w:sz w:val="24"/>
          <w:szCs w:val="24"/>
        </w:rPr>
        <w:t>organize</w:t>
      </w:r>
      <w:r w:rsidR="009923E8">
        <w:rPr>
          <w:i/>
          <w:sz w:val="24"/>
          <w:szCs w:val="24"/>
        </w:rPr>
        <w:t>d</w:t>
      </w:r>
      <w:r w:rsidRPr="008042F6">
        <w:rPr>
          <w:i/>
          <w:sz w:val="24"/>
          <w:szCs w:val="24"/>
        </w:rPr>
        <w:t xml:space="preserve">. </w:t>
      </w:r>
      <w:r w:rsidR="006C4156" w:rsidRPr="008042F6">
        <w:rPr>
          <w:i/>
          <w:sz w:val="24"/>
          <w:szCs w:val="24"/>
        </w:rPr>
        <w:t xml:space="preserve">The below listing could be amended as appropriate. </w:t>
      </w:r>
      <w:r w:rsidRPr="008042F6">
        <w:rPr>
          <w:i/>
          <w:sz w:val="24"/>
          <w:szCs w:val="24"/>
        </w:rPr>
        <w:t xml:space="preserve">States are invited to </w:t>
      </w:r>
      <w:r w:rsidR="00E66BCF">
        <w:rPr>
          <w:i/>
          <w:sz w:val="24"/>
          <w:szCs w:val="24"/>
        </w:rPr>
        <w:t>provide</w:t>
      </w:r>
      <w:r w:rsidR="00E66BCF" w:rsidRPr="008042F6">
        <w:rPr>
          <w:i/>
          <w:sz w:val="24"/>
          <w:szCs w:val="24"/>
        </w:rPr>
        <w:t xml:space="preserve"> </w:t>
      </w:r>
      <w:r w:rsidR="006C4156" w:rsidRPr="008042F6">
        <w:rPr>
          <w:i/>
          <w:sz w:val="24"/>
          <w:szCs w:val="24"/>
        </w:rPr>
        <w:t xml:space="preserve">the </w:t>
      </w:r>
      <w:r w:rsidR="00E66BCF">
        <w:rPr>
          <w:i/>
          <w:sz w:val="24"/>
          <w:szCs w:val="24"/>
        </w:rPr>
        <w:t xml:space="preserve">official </w:t>
      </w:r>
      <w:r w:rsidR="006C4156" w:rsidRPr="008042F6">
        <w:rPr>
          <w:i/>
          <w:sz w:val="24"/>
          <w:szCs w:val="24"/>
        </w:rPr>
        <w:t>number of the recommendations on which they are providing information on the state of implementation.</w:t>
      </w:r>
      <w:r w:rsidRPr="008042F6">
        <w:rPr>
          <w:i/>
          <w:sz w:val="24"/>
          <w:szCs w:val="24"/>
        </w:rPr>
        <w:t xml:space="preserve"> </w:t>
      </w:r>
    </w:p>
    <w:p w14:paraId="6F5B619A" w14:textId="77777777" w:rsidR="00575BA3" w:rsidRPr="008042F6" w:rsidRDefault="00575BA3" w:rsidP="00F30AF3">
      <w:pPr>
        <w:spacing w:after="0"/>
        <w:rPr>
          <w:i/>
          <w:sz w:val="24"/>
          <w:szCs w:val="24"/>
        </w:rPr>
      </w:pPr>
    </w:p>
    <w:p w14:paraId="19B4D0EC" w14:textId="77777777" w:rsidR="006C4156" w:rsidRPr="008042F6" w:rsidRDefault="00AA1272" w:rsidP="00F30AF3">
      <w:pPr>
        <w:pStyle w:val="ListParagraph"/>
        <w:numPr>
          <w:ilvl w:val="0"/>
          <w:numId w:val="14"/>
        </w:numPr>
        <w:spacing w:after="0"/>
        <w:rPr>
          <w:b/>
          <w:i/>
          <w:sz w:val="24"/>
          <w:szCs w:val="24"/>
          <w:u w:val="single"/>
        </w:rPr>
      </w:pPr>
      <w:r w:rsidRPr="008042F6">
        <w:rPr>
          <w:b/>
          <w:sz w:val="24"/>
          <w:szCs w:val="24"/>
        </w:rPr>
        <w:t xml:space="preserve">Cross cutting issues </w:t>
      </w:r>
    </w:p>
    <w:p w14:paraId="48BFB0CC" w14:textId="77777777" w:rsidR="006C4156" w:rsidRPr="008042F6" w:rsidRDefault="00AA1272" w:rsidP="00F30AF3">
      <w:pPr>
        <w:pStyle w:val="ListParagraph"/>
        <w:numPr>
          <w:ilvl w:val="0"/>
          <w:numId w:val="15"/>
        </w:numPr>
        <w:spacing w:after="0"/>
      </w:pPr>
      <w:r w:rsidRPr="008042F6">
        <w:t>Equality and non-discrimination</w:t>
      </w:r>
      <w:r w:rsidRPr="008042F6">
        <w:tab/>
      </w:r>
      <w:bookmarkStart w:id="1" w:name="III_B_Right_to_life_liberty_security"/>
      <w:r w:rsidRPr="008042F6">
        <w:tab/>
      </w:r>
    </w:p>
    <w:p w14:paraId="7CEE4B63" w14:textId="77777777" w:rsidR="006C4156" w:rsidRPr="008042F6" w:rsidRDefault="006C4156" w:rsidP="00F30AF3">
      <w:pPr>
        <w:pStyle w:val="ListParagraph"/>
        <w:numPr>
          <w:ilvl w:val="0"/>
          <w:numId w:val="15"/>
        </w:numPr>
        <w:spacing w:after="0"/>
        <w:rPr>
          <w:i/>
          <w:u w:val="single"/>
        </w:rPr>
      </w:pPr>
      <w:r w:rsidRPr="008042F6">
        <w:t>R</w:t>
      </w:r>
      <w:r w:rsidR="00AA1272" w:rsidRPr="008042F6">
        <w:t xml:space="preserve">ight to development </w:t>
      </w:r>
    </w:p>
    <w:p w14:paraId="5CCF0787" w14:textId="77777777" w:rsidR="006C4156" w:rsidRPr="008042F6" w:rsidRDefault="00AA1272" w:rsidP="00F30AF3">
      <w:pPr>
        <w:pStyle w:val="ListParagraph"/>
        <w:numPr>
          <w:ilvl w:val="0"/>
          <w:numId w:val="15"/>
        </w:numPr>
        <w:spacing w:after="0"/>
      </w:pPr>
      <w:r w:rsidRPr="008042F6">
        <w:t xml:space="preserve">Environmental issues </w:t>
      </w:r>
    </w:p>
    <w:p w14:paraId="0D60BBE9" w14:textId="77777777" w:rsidR="006C4156" w:rsidRPr="008042F6" w:rsidRDefault="00AA1272" w:rsidP="00F30AF3">
      <w:pPr>
        <w:pStyle w:val="ListParagraph"/>
        <w:numPr>
          <w:ilvl w:val="0"/>
          <w:numId w:val="15"/>
        </w:numPr>
        <w:spacing w:after="0"/>
      </w:pPr>
      <w:r w:rsidRPr="008042F6">
        <w:t xml:space="preserve">Human rights and counter-terrorism </w:t>
      </w:r>
    </w:p>
    <w:p w14:paraId="53158268" w14:textId="77777777" w:rsidR="006C4156" w:rsidRPr="008042F6" w:rsidRDefault="006C4156" w:rsidP="00F30AF3">
      <w:pPr>
        <w:spacing w:after="0"/>
      </w:pPr>
    </w:p>
    <w:p w14:paraId="7B38A26D" w14:textId="77777777" w:rsidR="00AA1272" w:rsidRPr="008042F6" w:rsidRDefault="00AA1272" w:rsidP="00F30AF3">
      <w:pPr>
        <w:pStyle w:val="ListParagraph"/>
        <w:numPr>
          <w:ilvl w:val="0"/>
          <w:numId w:val="14"/>
        </w:numPr>
        <w:spacing w:after="0"/>
        <w:rPr>
          <w:b/>
          <w:i/>
          <w:sz w:val="24"/>
          <w:szCs w:val="24"/>
          <w:u w:val="single"/>
        </w:rPr>
      </w:pPr>
      <w:r w:rsidRPr="008042F6">
        <w:rPr>
          <w:b/>
          <w:sz w:val="24"/>
          <w:szCs w:val="24"/>
        </w:rPr>
        <w:t xml:space="preserve">Civil and political rights </w:t>
      </w:r>
    </w:p>
    <w:p w14:paraId="46BC16D9" w14:textId="77777777" w:rsidR="00AA1272" w:rsidRPr="008042F6" w:rsidRDefault="00AA1272" w:rsidP="00F30AF3">
      <w:pPr>
        <w:pStyle w:val="SingleTxtG"/>
        <w:numPr>
          <w:ilvl w:val="0"/>
          <w:numId w:val="16"/>
        </w:numPr>
        <w:spacing w:after="0" w:line="276" w:lineRule="auto"/>
        <w:rPr>
          <w:rFonts w:asciiTheme="minorHAnsi" w:hAnsiTheme="minorHAnsi"/>
          <w:color w:val="0070C0"/>
          <w:sz w:val="22"/>
          <w:szCs w:val="22"/>
        </w:rPr>
      </w:pPr>
      <w:r w:rsidRPr="008042F6">
        <w:rPr>
          <w:rFonts w:asciiTheme="minorHAnsi" w:hAnsiTheme="minorHAnsi"/>
          <w:sz w:val="22"/>
          <w:szCs w:val="22"/>
        </w:rPr>
        <w:t>Right to life, liberty and security of the person</w:t>
      </w:r>
      <w:bookmarkEnd w:id="1"/>
      <w:r w:rsidRPr="008042F6">
        <w:rPr>
          <w:rFonts w:asciiTheme="minorHAnsi" w:hAnsiTheme="minorHAnsi"/>
          <w:sz w:val="22"/>
          <w:szCs w:val="22"/>
        </w:rPr>
        <w:t xml:space="preserve"> </w:t>
      </w:r>
    </w:p>
    <w:p w14:paraId="38C5685C" w14:textId="77777777" w:rsidR="00AA1272" w:rsidRPr="008042F6" w:rsidRDefault="00AA1272" w:rsidP="00F30AF3">
      <w:pPr>
        <w:pStyle w:val="SingleTxtG"/>
        <w:numPr>
          <w:ilvl w:val="0"/>
          <w:numId w:val="16"/>
        </w:numPr>
        <w:spacing w:after="0" w:line="276" w:lineRule="auto"/>
        <w:rPr>
          <w:rFonts w:asciiTheme="minorHAnsi" w:hAnsiTheme="minorHAnsi"/>
          <w:sz w:val="22"/>
          <w:szCs w:val="22"/>
        </w:rPr>
      </w:pPr>
      <w:bookmarkStart w:id="2" w:name="III_C_Administration_of_justice"/>
      <w:r w:rsidRPr="008042F6">
        <w:rPr>
          <w:rFonts w:asciiTheme="minorHAnsi" w:hAnsiTheme="minorHAnsi"/>
          <w:sz w:val="22"/>
          <w:szCs w:val="22"/>
        </w:rPr>
        <w:t>Administration of justice, including impunity</w:t>
      </w:r>
      <w:bookmarkEnd w:id="2"/>
      <w:r w:rsidRPr="008042F6">
        <w:rPr>
          <w:rFonts w:asciiTheme="minorHAnsi" w:hAnsiTheme="minorHAnsi"/>
          <w:sz w:val="22"/>
          <w:szCs w:val="22"/>
        </w:rPr>
        <w:t xml:space="preserve"> and the rule of law </w:t>
      </w:r>
      <w:bookmarkStart w:id="3" w:name="III_D_Privacy_marriage_famiy_life"/>
    </w:p>
    <w:p w14:paraId="08416FFC" w14:textId="77777777" w:rsidR="006C4156" w:rsidRPr="008042F6" w:rsidRDefault="00AA1272" w:rsidP="00F30AF3">
      <w:pPr>
        <w:pStyle w:val="SingleTxtG"/>
        <w:numPr>
          <w:ilvl w:val="0"/>
          <w:numId w:val="16"/>
        </w:numPr>
        <w:spacing w:after="0" w:line="276" w:lineRule="auto"/>
        <w:rPr>
          <w:rFonts w:asciiTheme="minorHAnsi" w:hAnsiTheme="minorHAnsi"/>
          <w:sz w:val="22"/>
          <w:szCs w:val="22"/>
        </w:rPr>
      </w:pPr>
      <w:r w:rsidRPr="008042F6">
        <w:rPr>
          <w:rFonts w:asciiTheme="minorHAnsi" w:hAnsiTheme="minorHAnsi"/>
          <w:sz w:val="22"/>
          <w:szCs w:val="22"/>
        </w:rPr>
        <w:t xml:space="preserve">Fundamental freedoms and participation in public and political life </w:t>
      </w:r>
    </w:p>
    <w:p w14:paraId="5171D2DD" w14:textId="77777777" w:rsidR="006C4156" w:rsidRPr="008042F6" w:rsidRDefault="00AA1272" w:rsidP="00F30AF3">
      <w:pPr>
        <w:pStyle w:val="SingleTxtG"/>
        <w:numPr>
          <w:ilvl w:val="0"/>
          <w:numId w:val="16"/>
        </w:numPr>
        <w:spacing w:after="0" w:line="276" w:lineRule="auto"/>
        <w:rPr>
          <w:rFonts w:asciiTheme="minorHAnsi" w:hAnsiTheme="minorHAnsi"/>
          <w:sz w:val="22"/>
          <w:szCs w:val="22"/>
        </w:rPr>
      </w:pPr>
      <w:r w:rsidRPr="008042F6">
        <w:rPr>
          <w:rFonts w:asciiTheme="minorHAnsi" w:hAnsiTheme="minorHAnsi"/>
          <w:sz w:val="22"/>
          <w:szCs w:val="22"/>
        </w:rPr>
        <w:t>Prohibition of all forms of slavery</w:t>
      </w:r>
    </w:p>
    <w:p w14:paraId="16B34A98" w14:textId="77777777" w:rsidR="006C4156" w:rsidRPr="008042F6" w:rsidRDefault="00AA1272" w:rsidP="00F30AF3">
      <w:pPr>
        <w:pStyle w:val="SingleTxtG"/>
        <w:numPr>
          <w:ilvl w:val="0"/>
          <w:numId w:val="16"/>
        </w:numPr>
        <w:spacing w:after="0" w:line="276" w:lineRule="auto"/>
        <w:rPr>
          <w:rFonts w:asciiTheme="minorHAnsi" w:hAnsiTheme="minorHAnsi"/>
          <w:sz w:val="22"/>
          <w:szCs w:val="22"/>
        </w:rPr>
      </w:pPr>
      <w:r w:rsidRPr="008042F6">
        <w:rPr>
          <w:rFonts w:asciiTheme="minorHAnsi" w:hAnsiTheme="minorHAnsi"/>
          <w:sz w:val="22"/>
          <w:szCs w:val="22"/>
        </w:rPr>
        <w:t>Right to privacy and family life</w:t>
      </w:r>
      <w:bookmarkEnd w:id="3"/>
      <w:r w:rsidRPr="008042F6">
        <w:rPr>
          <w:rFonts w:asciiTheme="minorHAnsi" w:hAnsiTheme="minorHAnsi"/>
          <w:sz w:val="22"/>
          <w:szCs w:val="22"/>
        </w:rPr>
        <w:tab/>
      </w:r>
      <w:bookmarkStart w:id="4" w:name="III_G_Work_just_conditions"/>
    </w:p>
    <w:p w14:paraId="774168AE" w14:textId="77777777" w:rsidR="006C4156" w:rsidRPr="008042F6" w:rsidRDefault="006C4156" w:rsidP="00F30AF3">
      <w:pPr>
        <w:pStyle w:val="SingleTxtG"/>
        <w:spacing w:after="0" w:line="276" w:lineRule="auto"/>
        <w:ind w:left="0"/>
        <w:rPr>
          <w:rFonts w:asciiTheme="minorHAnsi" w:hAnsiTheme="minorHAnsi"/>
          <w:sz w:val="22"/>
          <w:szCs w:val="22"/>
        </w:rPr>
      </w:pPr>
    </w:p>
    <w:p w14:paraId="2359D5A5" w14:textId="77777777" w:rsidR="006C4156" w:rsidRPr="008042F6" w:rsidRDefault="00AA1272" w:rsidP="00F30AF3">
      <w:pPr>
        <w:pStyle w:val="SingleTxtG"/>
        <w:numPr>
          <w:ilvl w:val="0"/>
          <w:numId w:val="14"/>
        </w:numPr>
        <w:spacing w:after="0" w:line="276" w:lineRule="auto"/>
        <w:rPr>
          <w:rFonts w:asciiTheme="minorHAnsi" w:hAnsiTheme="minorHAnsi"/>
          <w:b/>
          <w:sz w:val="24"/>
          <w:szCs w:val="24"/>
        </w:rPr>
      </w:pPr>
      <w:r w:rsidRPr="008042F6">
        <w:rPr>
          <w:rFonts w:asciiTheme="minorHAnsi" w:hAnsiTheme="minorHAnsi"/>
          <w:b/>
          <w:sz w:val="24"/>
          <w:szCs w:val="24"/>
        </w:rPr>
        <w:t xml:space="preserve">Economic, Social and Cultural Rights </w:t>
      </w:r>
    </w:p>
    <w:p w14:paraId="4865ED4A" w14:textId="77777777" w:rsidR="006C4156" w:rsidRPr="008042F6" w:rsidRDefault="00AA1272" w:rsidP="00F30AF3">
      <w:pPr>
        <w:pStyle w:val="SingleTxtG"/>
        <w:numPr>
          <w:ilvl w:val="0"/>
          <w:numId w:val="17"/>
        </w:numPr>
        <w:spacing w:after="0" w:line="276" w:lineRule="auto"/>
        <w:rPr>
          <w:rFonts w:asciiTheme="minorHAnsi" w:hAnsiTheme="minorHAnsi"/>
          <w:sz w:val="22"/>
          <w:szCs w:val="22"/>
        </w:rPr>
      </w:pPr>
      <w:r w:rsidRPr="008042F6">
        <w:rPr>
          <w:rFonts w:asciiTheme="minorHAnsi" w:hAnsiTheme="minorHAnsi"/>
          <w:sz w:val="22"/>
          <w:szCs w:val="22"/>
        </w:rPr>
        <w:t>Right to work and to just and favourable conditions of work</w:t>
      </w:r>
      <w:bookmarkStart w:id="5" w:name="III_H_Social_security_adequate_living"/>
      <w:bookmarkEnd w:id="4"/>
    </w:p>
    <w:p w14:paraId="094CFB44" w14:textId="77777777" w:rsidR="006C4156" w:rsidRPr="008042F6" w:rsidRDefault="00AA1272" w:rsidP="00F30AF3">
      <w:pPr>
        <w:pStyle w:val="SingleTxtG"/>
        <w:numPr>
          <w:ilvl w:val="0"/>
          <w:numId w:val="17"/>
        </w:numPr>
        <w:spacing w:after="0" w:line="276" w:lineRule="auto"/>
        <w:rPr>
          <w:rFonts w:asciiTheme="minorHAnsi" w:hAnsiTheme="minorHAnsi"/>
          <w:sz w:val="22"/>
          <w:szCs w:val="22"/>
        </w:rPr>
      </w:pPr>
      <w:r w:rsidRPr="008042F6">
        <w:rPr>
          <w:rFonts w:asciiTheme="minorHAnsi" w:hAnsiTheme="minorHAnsi"/>
          <w:sz w:val="22"/>
          <w:szCs w:val="22"/>
        </w:rPr>
        <w:t>Right to social security</w:t>
      </w:r>
      <w:bookmarkStart w:id="6" w:name="III_I_Health"/>
      <w:bookmarkEnd w:id="5"/>
    </w:p>
    <w:p w14:paraId="695008D6" w14:textId="77777777" w:rsidR="006C4156" w:rsidRPr="008042F6" w:rsidRDefault="00AA1272" w:rsidP="00F30AF3">
      <w:pPr>
        <w:pStyle w:val="SingleTxtG"/>
        <w:numPr>
          <w:ilvl w:val="0"/>
          <w:numId w:val="17"/>
        </w:numPr>
        <w:spacing w:after="0" w:line="276" w:lineRule="auto"/>
        <w:rPr>
          <w:rFonts w:asciiTheme="minorHAnsi" w:hAnsiTheme="minorHAnsi"/>
          <w:sz w:val="22"/>
          <w:szCs w:val="22"/>
        </w:rPr>
      </w:pPr>
      <w:r w:rsidRPr="008042F6">
        <w:rPr>
          <w:rFonts w:asciiTheme="minorHAnsi" w:hAnsiTheme="minorHAnsi"/>
          <w:sz w:val="22"/>
          <w:szCs w:val="22"/>
        </w:rPr>
        <w:t>Right to an adequate standard of living</w:t>
      </w:r>
      <w:r w:rsidR="006C4156" w:rsidRPr="008042F6">
        <w:rPr>
          <w:rFonts w:asciiTheme="minorHAnsi" w:hAnsiTheme="minorHAnsi"/>
          <w:sz w:val="22"/>
          <w:szCs w:val="22"/>
        </w:rPr>
        <w:t xml:space="preserve"> </w:t>
      </w:r>
      <w:r w:rsidRPr="008042F6">
        <w:rPr>
          <w:rFonts w:asciiTheme="minorHAnsi" w:hAnsiTheme="minorHAnsi"/>
          <w:i/>
          <w:color w:val="0070C0"/>
          <w:sz w:val="22"/>
          <w:szCs w:val="22"/>
        </w:rPr>
        <w:t xml:space="preserve">(text </w:t>
      </w:r>
      <w:r w:rsidR="00CB6BBC" w:rsidRPr="008042F6">
        <w:rPr>
          <w:rFonts w:asciiTheme="minorHAnsi" w:hAnsiTheme="minorHAnsi"/>
          <w:i/>
          <w:color w:val="0070C0"/>
          <w:sz w:val="22"/>
          <w:szCs w:val="22"/>
        </w:rPr>
        <w:t xml:space="preserve">could </w:t>
      </w:r>
      <w:r w:rsidRPr="008042F6">
        <w:rPr>
          <w:rFonts w:asciiTheme="minorHAnsi" w:hAnsiTheme="minorHAnsi"/>
          <w:i/>
          <w:color w:val="0070C0"/>
          <w:sz w:val="22"/>
          <w:szCs w:val="22"/>
        </w:rPr>
        <w:t>include information on poverty, food, housing, water and sanitation and land)</w:t>
      </w:r>
    </w:p>
    <w:p w14:paraId="3E6FEF3B" w14:textId="77777777" w:rsidR="006C4156" w:rsidRPr="008042F6" w:rsidRDefault="00AA1272" w:rsidP="00F30AF3">
      <w:pPr>
        <w:pStyle w:val="SingleTxtG"/>
        <w:numPr>
          <w:ilvl w:val="0"/>
          <w:numId w:val="17"/>
        </w:numPr>
        <w:spacing w:after="0" w:line="276" w:lineRule="auto"/>
        <w:rPr>
          <w:rFonts w:asciiTheme="minorHAnsi" w:hAnsiTheme="minorHAnsi"/>
          <w:sz w:val="22"/>
          <w:szCs w:val="22"/>
        </w:rPr>
      </w:pPr>
      <w:r w:rsidRPr="008042F6">
        <w:rPr>
          <w:rFonts w:asciiTheme="minorHAnsi" w:hAnsiTheme="minorHAnsi"/>
          <w:sz w:val="22"/>
          <w:szCs w:val="22"/>
        </w:rPr>
        <w:t>Right to health</w:t>
      </w:r>
      <w:bookmarkEnd w:id="6"/>
      <w:r w:rsidRPr="008042F6">
        <w:rPr>
          <w:rFonts w:asciiTheme="minorHAnsi" w:hAnsiTheme="minorHAnsi"/>
          <w:sz w:val="22"/>
          <w:szCs w:val="22"/>
        </w:rPr>
        <w:t xml:space="preserve"> </w:t>
      </w:r>
      <w:bookmarkStart w:id="7" w:name="III_J_Education"/>
    </w:p>
    <w:p w14:paraId="67397D14" w14:textId="77777777" w:rsidR="006C4156" w:rsidRPr="008042F6" w:rsidRDefault="00AA1272" w:rsidP="00F30AF3">
      <w:pPr>
        <w:pStyle w:val="SingleTxtG"/>
        <w:numPr>
          <w:ilvl w:val="0"/>
          <w:numId w:val="17"/>
        </w:numPr>
        <w:spacing w:after="0" w:line="276" w:lineRule="auto"/>
        <w:rPr>
          <w:rFonts w:asciiTheme="minorHAnsi" w:hAnsiTheme="minorHAnsi"/>
          <w:sz w:val="22"/>
          <w:szCs w:val="22"/>
        </w:rPr>
      </w:pPr>
      <w:r w:rsidRPr="008042F6">
        <w:rPr>
          <w:rFonts w:asciiTheme="minorHAnsi" w:hAnsiTheme="minorHAnsi"/>
          <w:sz w:val="22"/>
          <w:szCs w:val="22"/>
        </w:rPr>
        <w:t>Right to education</w:t>
      </w:r>
      <w:bookmarkEnd w:id="7"/>
    </w:p>
    <w:p w14:paraId="23804F85" w14:textId="77777777" w:rsidR="006C4156" w:rsidRPr="008042F6" w:rsidRDefault="006C4156" w:rsidP="00F30AF3">
      <w:pPr>
        <w:pStyle w:val="SingleTxtG"/>
        <w:spacing w:after="0" w:line="276" w:lineRule="auto"/>
        <w:ind w:left="0"/>
        <w:rPr>
          <w:rFonts w:asciiTheme="minorHAnsi" w:hAnsiTheme="minorHAnsi"/>
          <w:sz w:val="22"/>
          <w:szCs w:val="22"/>
        </w:rPr>
      </w:pPr>
    </w:p>
    <w:p w14:paraId="0C776056" w14:textId="77777777" w:rsidR="006C4156" w:rsidRPr="008042F6" w:rsidRDefault="00AA1272" w:rsidP="00F30AF3">
      <w:pPr>
        <w:pStyle w:val="SingleTxtG"/>
        <w:numPr>
          <w:ilvl w:val="0"/>
          <w:numId w:val="14"/>
        </w:numPr>
        <w:spacing w:after="0" w:line="276" w:lineRule="auto"/>
        <w:rPr>
          <w:rFonts w:asciiTheme="minorHAnsi" w:hAnsiTheme="minorHAnsi"/>
          <w:b/>
          <w:sz w:val="24"/>
          <w:szCs w:val="24"/>
        </w:rPr>
      </w:pPr>
      <w:r w:rsidRPr="008042F6">
        <w:rPr>
          <w:rFonts w:asciiTheme="minorHAnsi" w:hAnsiTheme="minorHAnsi"/>
          <w:b/>
          <w:sz w:val="24"/>
          <w:szCs w:val="24"/>
        </w:rPr>
        <w:t>Rights of s</w:t>
      </w:r>
      <w:r w:rsidR="006C4156" w:rsidRPr="008042F6">
        <w:rPr>
          <w:rFonts w:asciiTheme="minorHAnsi" w:hAnsiTheme="minorHAnsi"/>
          <w:b/>
          <w:sz w:val="24"/>
          <w:szCs w:val="24"/>
        </w:rPr>
        <w:t>pecific persons or groups</w:t>
      </w:r>
    </w:p>
    <w:p w14:paraId="5AB76D80" w14:textId="77777777" w:rsidR="00AA1272" w:rsidRPr="008042F6" w:rsidRDefault="00AA1272" w:rsidP="00F30AF3">
      <w:pPr>
        <w:pStyle w:val="SingleTxtG"/>
        <w:numPr>
          <w:ilvl w:val="0"/>
          <w:numId w:val="18"/>
        </w:numPr>
        <w:spacing w:after="0" w:line="276" w:lineRule="auto"/>
        <w:rPr>
          <w:rFonts w:asciiTheme="minorHAnsi" w:hAnsiTheme="minorHAnsi"/>
          <w:color w:val="0070C0"/>
          <w:sz w:val="22"/>
          <w:szCs w:val="22"/>
        </w:rPr>
      </w:pPr>
      <w:r w:rsidRPr="008042F6">
        <w:rPr>
          <w:rFonts w:asciiTheme="minorHAnsi" w:hAnsiTheme="minorHAnsi"/>
          <w:sz w:val="22"/>
          <w:szCs w:val="22"/>
        </w:rPr>
        <w:t>Women</w:t>
      </w:r>
      <w:r w:rsidRPr="008042F6">
        <w:rPr>
          <w:rFonts w:asciiTheme="minorHAnsi" w:hAnsiTheme="minorHAnsi"/>
          <w:color w:val="548DD4"/>
          <w:sz w:val="22"/>
          <w:szCs w:val="22"/>
        </w:rPr>
        <w:tab/>
      </w:r>
    </w:p>
    <w:p w14:paraId="49F0B26C" w14:textId="77777777" w:rsidR="006C4156" w:rsidRPr="008042F6" w:rsidRDefault="00AA1272" w:rsidP="00F30AF3">
      <w:pPr>
        <w:pStyle w:val="SingleTxtG"/>
        <w:numPr>
          <w:ilvl w:val="0"/>
          <w:numId w:val="18"/>
        </w:numPr>
        <w:spacing w:after="0" w:line="276" w:lineRule="auto"/>
        <w:rPr>
          <w:rFonts w:asciiTheme="minorHAnsi" w:hAnsiTheme="minorHAnsi"/>
          <w:color w:val="0070C0"/>
          <w:sz w:val="22"/>
          <w:szCs w:val="22"/>
        </w:rPr>
      </w:pPr>
      <w:r w:rsidRPr="008042F6">
        <w:rPr>
          <w:rFonts w:asciiTheme="minorHAnsi" w:hAnsiTheme="minorHAnsi"/>
          <w:sz w:val="22"/>
          <w:szCs w:val="22"/>
        </w:rPr>
        <w:t>Children</w:t>
      </w:r>
      <w:bookmarkStart w:id="8" w:name="III_L_Persons_with_disabilities"/>
      <w:r w:rsidRPr="008042F6">
        <w:rPr>
          <w:rFonts w:asciiTheme="minorHAnsi" w:hAnsiTheme="minorHAnsi"/>
          <w:color w:val="0070C0"/>
          <w:sz w:val="22"/>
          <w:szCs w:val="22"/>
        </w:rPr>
        <w:tab/>
      </w:r>
    </w:p>
    <w:p w14:paraId="31F9BACB" w14:textId="77777777" w:rsidR="006C4156" w:rsidRPr="008042F6" w:rsidRDefault="00AA1272" w:rsidP="00F30AF3">
      <w:pPr>
        <w:pStyle w:val="SingleTxtG"/>
        <w:numPr>
          <w:ilvl w:val="0"/>
          <w:numId w:val="18"/>
        </w:numPr>
        <w:spacing w:after="0" w:line="276" w:lineRule="auto"/>
        <w:rPr>
          <w:rFonts w:asciiTheme="minorHAnsi" w:hAnsiTheme="minorHAnsi"/>
          <w:sz w:val="22"/>
          <w:szCs w:val="22"/>
        </w:rPr>
      </w:pPr>
      <w:r w:rsidRPr="008042F6">
        <w:rPr>
          <w:rFonts w:asciiTheme="minorHAnsi" w:hAnsiTheme="minorHAnsi"/>
          <w:sz w:val="22"/>
          <w:szCs w:val="22"/>
        </w:rPr>
        <w:t>Persons with disabilities</w:t>
      </w:r>
      <w:bookmarkStart w:id="9" w:name="III_M_Minorities_indigenous_peoples"/>
      <w:bookmarkEnd w:id="8"/>
    </w:p>
    <w:p w14:paraId="547FC441" w14:textId="3F2AAA02" w:rsidR="006C4156" w:rsidRPr="008042F6" w:rsidRDefault="00AA1272" w:rsidP="00F30AF3">
      <w:pPr>
        <w:pStyle w:val="SingleTxtG"/>
        <w:numPr>
          <w:ilvl w:val="0"/>
          <w:numId w:val="18"/>
        </w:numPr>
        <w:spacing w:after="0" w:line="276" w:lineRule="auto"/>
        <w:rPr>
          <w:rFonts w:asciiTheme="minorHAnsi" w:hAnsiTheme="minorHAnsi"/>
          <w:sz w:val="22"/>
          <w:szCs w:val="22"/>
        </w:rPr>
      </w:pPr>
      <w:r w:rsidRPr="008042F6">
        <w:rPr>
          <w:rFonts w:asciiTheme="minorHAnsi" w:hAnsiTheme="minorHAnsi"/>
          <w:sz w:val="22"/>
          <w:szCs w:val="22"/>
        </w:rPr>
        <w:t>Minorities and indigenous peoples</w:t>
      </w:r>
      <w:bookmarkEnd w:id="9"/>
      <w:r w:rsidRPr="008042F6">
        <w:rPr>
          <w:rFonts w:asciiTheme="minorHAnsi" w:hAnsiTheme="minorHAnsi"/>
          <w:sz w:val="22"/>
          <w:szCs w:val="22"/>
        </w:rPr>
        <w:t xml:space="preserve"> </w:t>
      </w:r>
      <w:bookmarkStart w:id="10" w:name="III_N_Migrants_refugees_asylum"/>
    </w:p>
    <w:p w14:paraId="4498C888" w14:textId="1742E6D3" w:rsidR="00695D81" w:rsidRPr="008042F6" w:rsidRDefault="00AA1272" w:rsidP="00F30AF3">
      <w:pPr>
        <w:pStyle w:val="SingleTxtG"/>
        <w:numPr>
          <w:ilvl w:val="0"/>
          <w:numId w:val="18"/>
        </w:numPr>
        <w:spacing w:after="0" w:line="276" w:lineRule="auto"/>
        <w:rPr>
          <w:rFonts w:asciiTheme="minorHAnsi" w:hAnsiTheme="minorHAnsi"/>
          <w:color w:val="548DD4"/>
          <w:sz w:val="22"/>
          <w:szCs w:val="22"/>
        </w:rPr>
      </w:pPr>
      <w:r w:rsidRPr="008042F6">
        <w:rPr>
          <w:rFonts w:asciiTheme="minorHAnsi" w:hAnsiTheme="minorHAnsi"/>
          <w:sz w:val="22"/>
          <w:szCs w:val="22"/>
        </w:rPr>
        <w:t>Migrants, refugees, asylum seekers</w:t>
      </w:r>
      <w:bookmarkEnd w:id="10"/>
      <w:r w:rsidRPr="008042F6">
        <w:rPr>
          <w:rFonts w:asciiTheme="minorHAnsi" w:hAnsiTheme="minorHAnsi"/>
          <w:sz w:val="22"/>
          <w:szCs w:val="22"/>
        </w:rPr>
        <w:t xml:space="preserve"> and internally displaced persons </w:t>
      </w:r>
    </w:p>
    <w:p w14:paraId="3451D7DB" w14:textId="77777777" w:rsidR="00AA1272" w:rsidRPr="008042F6" w:rsidRDefault="00AA1272" w:rsidP="00F30AF3">
      <w:pPr>
        <w:pStyle w:val="SingleTxtG"/>
        <w:numPr>
          <w:ilvl w:val="0"/>
          <w:numId w:val="18"/>
        </w:numPr>
        <w:spacing w:after="0" w:line="276" w:lineRule="auto"/>
        <w:rPr>
          <w:rFonts w:asciiTheme="minorHAnsi" w:hAnsiTheme="minorHAnsi"/>
          <w:color w:val="548DD4"/>
          <w:sz w:val="22"/>
          <w:szCs w:val="22"/>
        </w:rPr>
      </w:pPr>
      <w:r w:rsidRPr="008042F6">
        <w:rPr>
          <w:rFonts w:asciiTheme="minorHAnsi" w:hAnsiTheme="minorHAnsi"/>
          <w:sz w:val="22"/>
          <w:szCs w:val="22"/>
        </w:rPr>
        <w:t xml:space="preserve">Stateless </w:t>
      </w:r>
    </w:p>
    <w:p w14:paraId="42D2CD37" w14:textId="77777777" w:rsidR="00695D81" w:rsidRPr="008042F6" w:rsidRDefault="00695D81" w:rsidP="00F30AF3">
      <w:pPr>
        <w:spacing w:after="0"/>
        <w:jc w:val="both"/>
      </w:pPr>
      <w:bookmarkStart w:id="11" w:name="III_R_Specific_territories"/>
    </w:p>
    <w:p w14:paraId="2C179CF6" w14:textId="77777777" w:rsidR="00F04A8B" w:rsidRPr="008042F6" w:rsidRDefault="00AA1272" w:rsidP="00F30AF3">
      <w:pPr>
        <w:pStyle w:val="ListParagraph"/>
        <w:numPr>
          <w:ilvl w:val="0"/>
          <w:numId w:val="14"/>
        </w:numPr>
        <w:spacing w:after="0"/>
        <w:jc w:val="both"/>
        <w:rPr>
          <w:b/>
          <w:sz w:val="24"/>
          <w:szCs w:val="24"/>
        </w:rPr>
      </w:pPr>
      <w:r w:rsidRPr="008042F6">
        <w:rPr>
          <w:b/>
          <w:sz w:val="24"/>
          <w:szCs w:val="24"/>
        </w:rPr>
        <w:t>Specific regions or territories</w:t>
      </w:r>
      <w:bookmarkEnd w:id="11"/>
      <w:r w:rsidRPr="008042F6">
        <w:rPr>
          <w:b/>
          <w:sz w:val="24"/>
          <w:szCs w:val="24"/>
        </w:rPr>
        <w:t xml:space="preserve"> </w:t>
      </w:r>
    </w:p>
    <w:sectPr w:rsidR="00F04A8B" w:rsidRPr="008042F6" w:rsidSect="00C56A38">
      <w:footerReference w:type="even" r:id="rId12"/>
      <w:footerReference w:type="default" r:id="rId13"/>
      <w:pgSz w:w="11906" w:h="16838"/>
      <w:pgMar w:top="1077" w:right="1077" w:bottom="1077" w:left="1077"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65D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CE560" w14:textId="77777777" w:rsidR="003B4C92" w:rsidRDefault="003B4C92" w:rsidP="00975B2F">
      <w:pPr>
        <w:spacing w:after="0" w:line="240" w:lineRule="auto"/>
      </w:pPr>
      <w:r>
        <w:separator/>
      </w:r>
    </w:p>
  </w:endnote>
  <w:endnote w:type="continuationSeparator" w:id="0">
    <w:p w14:paraId="122DA985" w14:textId="77777777" w:rsidR="003B4C92" w:rsidRDefault="003B4C92" w:rsidP="0097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93A5" w14:textId="77777777" w:rsidR="00C56A38" w:rsidRDefault="00C56A38" w:rsidP="004C1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AE575" w14:textId="77777777" w:rsidR="00C56A38" w:rsidRDefault="00C56A38" w:rsidP="00C56A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1D21" w14:textId="77777777" w:rsidR="00C56A38" w:rsidRDefault="00C56A38" w:rsidP="004C1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60F">
      <w:rPr>
        <w:rStyle w:val="PageNumber"/>
        <w:noProof/>
      </w:rPr>
      <w:t>6</w:t>
    </w:r>
    <w:r>
      <w:rPr>
        <w:rStyle w:val="PageNumber"/>
      </w:rPr>
      <w:fldChar w:fldCharType="end"/>
    </w:r>
  </w:p>
  <w:p w14:paraId="21EADC88" w14:textId="77777777" w:rsidR="00C56A38" w:rsidRDefault="00C56A38" w:rsidP="00C56A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5B6F" w14:textId="77777777" w:rsidR="003B4C92" w:rsidRDefault="003B4C92" w:rsidP="00975B2F">
      <w:pPr>
        <w:spacing w:after="0" w:line="240" w:lineRule="auto"/>
      </w:pPr>
      <w:r>
        <w:separator/>
      </w:r>
    </w:p>
  </w:footnote>
  <w:footnote w:type="continuationSeparator" w:id="0">
    <w:p w14:paraId="68E60380" w14:textId="77777777" w:rsidR="003B4C92" w:rsidRDefault="003B4C92" w:rsidP="00975B2F">
      <w:pPr>
        <w:spacing w:after="0" w:line="240" w:lineRule="auto"/>
      </w:pPr>
      <w:r>
        <w:continuationSeparator/>
      </w:r>
    </w:p>
  </w:footnote>
  <w:footnote w:id="1">
    <w:p w14:paraId="39F359F7" w14:textId="77777777" w:rsidR="00975B2F" w:rsidRPr="00975B2F" w:rsidRDefault="00975B2F">
      <w:pPr>
        <w:pStyle w:val="FootnoteText"/>
      </w:pPr>
      <w:r>
        <w:rPr>
          <w:rStyle w:val="FootnoteReference"/>
        </w:rPr>
        <w:footnoteRef/>
      </w:r>
      <w:r>
        <w:t xml:space="preserve"> </w:t>
      </w:r>
      <w:r w:rsidRPr="00975B2F">
        <w:t>See Annex</w:t>
      </w:r>
      <w:r w:rsidR="00C22C75">
        <w:t xml:space="preserve"> 1</w:t>
      </w:r>
      <w:r w:rsidRPr="00975B2F">
        <w:t xml:space="preserve"> </w:t>
      </w:r>
    </w:p>
  </w:footnote>
  <w:footnote w:id="2">
    <w:p w14:paraId="47CF2D2D" w14:textId="77777777" w:rsidR="00C22C75" w:rsidRPr="00C22C75" w:rsidRDefault="00C22C75">
      <w:pPr>
        <w:pStyle w:val="FootnoteText"/>
      </w:pPr>
      <w:r>
        <w:rPr>
          <w:rStyle w:val="FootnoteReference"/>
        </w:rPr>
        <w:footnoteRef/>
      </w:r>
      <w:r>
        <w:t xml:space="preserve"> </w:t>
      </w:r>
      <w:r w:rsidRPr="00C22C75">
        <w:t xml:space="preserve">For guidance on </w:t>
      </w:r>
      <w:r>
        <w:t>how to thematically cluster the recommendations,</w:t>
      </w:r>
      <w:r w:rsidRPr="00C22C75">
        <w:t xml:space="preserve"> see Annex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92D"/>
    <w:multiLevelType w:val="hybridMultilevel"/>
    <w:tmpl w:val="770210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53EDE"/>
    <w:multiLevelType w:val="hybridMultilevel"/>
    <w:tmpl w:val="739A4F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F91AA9"/>
    <w:multiLevelType w:val="hybridMultilevel"/>
    <w:tmpl w:val="14CA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350537"/>
    <w:multiLevelType w:val="hybridMultilevel"/>
    <w:tmpl w:val="A68CEE0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92B23"/>
    <w:multiLevelType w:val="hybridMultilevel"/>
    <w:tmpl w:val="434893E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2235B4"/>
    <w:multiLevelType w:val="hybridMultilevel"/>
    <w:tmpl w:val="134A4394"/>
    <w:lvl w:ilvl="0" w:tplc="B59EF20C">
      <w:start w:val="2006"/>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DA770BB"/>
    <w:multiLevelType w:val="hybridMultilevel"/>
    <w:tmpl w:val="1866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C37710"/>
    <w:multiLevelType w:val="hybridMultilevel"/>
    <w:tmpl w:val="0BB0C9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494F2870"/>
    <w:multiLevelType w:val="hybridMultilevel"/>
    <w:tmpl w:val="AC9C6D34"/>
    <w:lvl w:ilvl="0" w:tplc="BD46DCE6">
      <w:start w:val="1"/>
      <w:numFmt w:val="decimal"/>
      <w:lvlText w:val="%1."/>
      <w:lvlJc w:val="left"/>
      <w:pPr>
        <w:ind w:left="1500" w:hanging="360"/>
      </w:pPr>
      <w:rPr>
        <w:rFonts w:hint="default"/>
        <w:color w:val="auto"/>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nsid w:val="4E96058D"/>
    <w:multiLevelType w:val="hybridMultilevel"/>
    <w:tmpl w:val="2920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983033"/>
    <w:multiLevelType w:val="hybridMultilevel"/>
    <w:tmpl w:val="0298FF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EF3503"/>
    <w:multiLevelType w:val="hybridMultilevel"/>
    <w:tmpl w:val="B1A6A3E8"/>
    <w:lvl w:ilvl="0" w:tplc="7ABC1644">
      <w:start w:val="1"/>
      <w:numFmt w:val="upperLetter"/>
      <w:lvlText w:val="%1."/>
      <w:lvlJc w:val="left"/>
      <w:pPr>
        <w:ind w:left="720" w:hanging="360"/>
      </w:pPr>
      <w:rPr>
        <w:rFonts w:hint="default"/>
        <w:b w:val="0"/>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C56AB3"/>
    <w:multiLevelType w:val="hybridMultilevel"/>
    <w:tmpl w:val="BAAC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EE1DEB"/>
    <w:multiLevelType w:val="hybridMultilevel"/>
    <w:tmpl w:val="12B88B0E"/>
    <w:lvl w:ilvl="0" w:tplc="08090015">
      <w:start w:val="1"/>
      <w:numFmt w:val="upperLetter"/>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7E2A18"/>
    <w:multiLevelType w:val="hybridMultilevel"/>
    <w:tmpl w:val="98081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1E2F76"/>
    <w:multiLevelType w:val="hybridMultilevel"/>
    <w:tmpl w:val="EEDA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59068C"/>
    <w:multiLevelType w:val="hybridMultilevel"/>
    <w:tmpl w:val="D6C6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042E40"/>
    <w:multiLevelType w:val="hybridMultilevel"/>
    <w:tmpl w:val="FA5671E4"/>
    <w:lvl w:ilvl="0" w:tplc="0ADC0F8E">
      <w:start w:val="1"/>
      <w:numFmt w:val="decimal"/>
      <w:pStyle w:val="Para"/>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5"/>
  </w:num>
  <w:num w:numId="4">
    <w:abstractNumId w:val="14"/>
  </w:num>
  <w:num w:numId="5">
    <w:abstractNumId w:val="1"/>
  </w:num>
  <w:num w:numId="6">
    <w:abstractNumId w:val="9"/>
  </w:num>
  <w:num w:numId="7">
    <w:abstractNumId w:val="7"/>
  </w:num>
  <w:num w:numId="8">
    <w:abstractNumId w:val="2"/>
  </w:num>
  <w:num w:numId="9">
    <w:abstractNumId w:val="16"/>
  </w:num>
  <w:num w:numId="10">
    <w:abstractNumId w:val="15"/>
  </w:num>
  <w:num w:numId="11">
    <w:abstractNumId w:val="8"/>
  </w:num>
  <w:num w:numId="12">
    <w:abstractNumId w:val="10"/>
  </w:num>
  <w:num w:numId="13">
    <w:abstractNumId w:val="11"/>
  </w:num>
  <w:num w:numId="14">
    <w:abstractNumId w:val="13"/>
  </w:num>
  <w:num w:numId="15">
    <w:abstractNumId w:val="6"/>
  </w:num>
  <w:num w:numId="16">
    <w:abstractNumId w:val="4"/>
  </w:num>
  <w:num w:numId="17">
    <w:abstractNumId w:val="12"/>
  </w:num>
  <w:num w:numId="1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Gervais">
    <w15:presenceInfo w15:providerId="Windows Live" w15:userId="9dfb0b7c3b7899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69"/>
    <w:rsid w:val="00010620"/>
    <w:rsid w:val="0010302F"/>
    <w:rsid w:val="00131FE9"/>
    <w:rsid w:val="00167E9F"/>
    <w:rsid w:val="00190727"/>
    <w:rsid w:val="00207342"/>
    <w:rsid w:val="0023425A"/>
    <w:rsid w:val="002576F6"/>
    <w:rsid w:val="00270CDD"/>
    <w:rsid w:val="002A4E0C"/>
    <w:rsid w:val="002A6253"/>
    <w:rsid w:val="002B555F"/>
    <w:rsid w:val="002F78B6"/>
    <w:rsid w:val="003415D2"/>
    <w:rsid w:val="0039205F"/>
    <w:rsid w:val="003B4C92"/>
    <w:rsid w:val="00407329"/>
    <w:rsid w:val="00465068"/>
    <w:rsid w:val="00483659"/>
    <w:rsid w:val="00490F4B"/>
    <w:rsid w:val="00495892"/>
    <w:rsid w:val="004B3508"/>
    <w:rsid w:val="004D65A1"/>
    <w:rsid w:val="004E2F3D"/>
    <w:rsid w:val="004F309A"/>
    <w:rsid w:val="00567544"/>
    <w:rsid w:val="00575BA3"/>
    <w:rsid w:val="005F72F7"/>
    <w:rsid w:val="006072F1"/>
    <w:rsid w:val="006353B7"/>
    <w:rsid w:val="00663599"/>
    <w:rsid w:val="00695D81"/>
    <w:rsid w:val="006B2662"/>
    <w:rsid w:val="006C4156"/>
    <w:rsid w:val="00712C76"/>
    <w:rsid w:val="00757B51"/>
    <w:rsid w:val="00780B31"/>
    <w:rsid w:val="007E311B"/>
    <w:rsid w:val="008042F6"/>
    <w:rsid w:val="008165A1"/>
    <w:rsid w:val="00863957"/>
    <w:rsid w:val="0088028E"/>
    <w:rsid w:val="008A29DF"/>
    <w:rsid w:val="008A4324"/>
    <w:rsid w:val="008C7655"/>
    <w:rsid w:val="008E2393"/>
    <w:rsid w:val="008F0277"/>
    <w:rsid w:val="00974369"/>
    <w:rsid w:val="00975B2F"/>
    <w:rsid w:val="0098631C"/>
    <w:rsid w:val="009923E8"/>
    <w:rsid w:val="009F4397"/>
    <w:rsid w:val="00A16E1C"/>
    <w:rsid w:val="00A50350"/>
    <w:rsid w:val="00A64F12"/>
    <w:rsid w:val="00A9777B"/>
    <w:rsid w:val="00AA1272"/>
    <w:rsid w:val="00AB099F"/>
    <w:rsid w:val="00AD35B4"/>
    <w:rsid w:val="00AF37F3"/>
    <w:rsid w:val="00B05C15"/>
    <w:rsid w:val="00B15711"/>
    <w:rsid w:val="00B55BF4"/>
    <w:rsid w:val="00B67977"/>
    <w:rsid w:val="00BD651C"/>
    <w:rsid w:val="00C009AC"/>
    <w:rsid w:val="00C05AF2"/>
    <w:rsid w:val="00C22C75"/>
    <w:rsid w:val="00C429B6"/>
    <w:rsid w:val="00C5160F"/>
    <w:rsid w:val="00C56A38"/>
    <w:rsid w:val="00C77D22"/>
    <w:rsid w:val="00CA5364"/>
    <w:rsid w:val="00CB6BBC"/>
    <w:rsid w:val="00CC02B8"/>
    <w:rsid w:val="00CE2884"/>
    <w:rsid w:val="00D143B3"/>
    <w:rsid w:val="00D60213"/>
    <w:rsid w:val="00D63DED"/>
    <w:rsid w:val="00D67773"/>
    <w:rsid w:val="00D908AF"/>
    <w:rsid w:val="00DF0F2E"/>
    <w:rsid w:val="00E27B09"/>
    <w:rsid w:val="00E3525B"/>
    <w:rsid w:val="00E62022"/>
    <w:rsid w:val="00E66BCF"/>
    <w:rsid w:val="00ED6D62"/>
    <w:rsid w:val="00EF799A"/>
    <w:rsid w:val="00F00748"/>
    <w:rsid w:val="00F04A8B"/>
    <w:rsid w:val="00F30AF3"/>
    <w:rsid w:val="00F56BA2"/>
    <w:rsid w:val="00F74368"/>
    <w:rsid w:val="00F84423"/>
    <w:rsid w:val="00FC69CF"/>
    <w:rsid w:val="00FF24C2"/>
    <w:rsid w:val="00FF5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69"/>
  </w:style>
  <w:style w:type="paragraph" w:styleId="Heading2">
    <w:name w:val="heading 2"/>
    <w:basedOn w:val="Normal"/>
    <w:next w:val="Normal"/>
    <w:link w:val="Heading2Char"/>
    <w:unhideWhenUsed/>
    <w:qFormat/>
    <w:rsid w:val="00974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369"/>
    <w:rPr>
      <w:rFonts w:asciiTheme="majorHAnsi" w:eastAsiaTheme="majorEastAsia" w:hAnsiTheme="majorHAnsi" w:cstheme="majorBidi"/>
      <w:b/>
      <w:bCs/>
      <w:color w:val="4F81BD" w:themeColor="accent1"/>
      <w:sz w:val="26"/>
      <w:szCs w:val="26"/>
    </w:rPr>
  </w:style>
  <w:style w:type="paragraph" w:customStyle="1" w:styleId="Para">
    <w:name w:val="Para"/>
    <w:basedOn w:val="Normal"/>
    <w:rsid w:val="00974369"/>
    <w:pPr>
      <w:numPr>
        <w:numId w:val="2"/>
      </w:num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74369"/>
    <w:pPr>
      <w:ind w:left="720"/>
      <w:contextualSpacing/>
    </w:pPr>
  </w:style>
  <w:style w:type="character" w:styleId="Hyperlink">
    <w:name w:val="Hyperlink"/>
    <w:basedOn w:val="DefaultParagraphFont"/>
    <w:uiPriority w:val="99"/>
    <w:unhideWhenUsed/>
    <w:rsid w:val="00CE2884"/>
    <w:rPr>
      <w:color w:val="0000FF" w:themeColor="hyperlink"/>
      <w:u w:val="single"/>
    </w:rPr>
  </w:style>
  <w:style w:type="character" w:styleId="CommentReference">
    <w:name w:val="annotation reference"/>
    <w:basedOn w:val="DefaultParagraphFont"/>
    <w:unhideWhenUsed/>
    <w:rsid w:val="0039205F"/>
    <w:rPr>
      <w:sz w:val="16"/>
      <w:szCs w:val="16"/>
    </w:rPr>
  </w:style>
  <w:style w:type="paragraph" w:styleId="CommentText">
    <w:name w:val="annotation text"/>
    <w:basedOn w:val="Normal"/>
    <w:link w:val="CommentTextChar"/>
    <w:unhideWhenUsed/>
    <w:rsid w:val="0039205F"/>
    <w:pPr>
      <w:spacing w:line="240" w:lineRule="auto"/>
    </w:pPr>
    <w:rPr>
      <w:sz w:val="20"/>
      <w:szCs w:val="20"/>
    </w:rPr>
  </w:style>
  <w:style w:type="character" w:customStyle="1" w:styleId="CommentTextChar">
    <w:name w:val="Comment Text Char"/>
    <w:basedOn w:val="DefaultParagraphFont"/>
    <w:link w:val="CommentText"/>
    <w:rsid w:val="0039205F"/>
    <w:rPr>
      <w:sz w:val="20"/>
      <w:szCs w:val="20"/>
    </w:rPr>
  </w:style>
  <w:style w:type="paragraph" w:styleId="CommentSubject">
    <w:name w:val="annotation subject"/>
    <w:basedOn w:val="CommentText"/>
    <w:next w:val="CommentText"/>
    <w:link w:val="CommentSubjectChar"/>
    <w:uiPriority w:val="99"/>
    <w:semiHidden/>
    <w:unhideWhenUsed/>
    <w:rsid w:val="0039205F"/>
    <w:rPr>
      <w:b/>
      <w:bCs/>
    </w:rPr>
  </w:style>
  <w:style w:type="character" w:customStyle="1" w:styleId="CommentSubjectChar">
    <w:name w:val="Comment Subject Char"/>
    <w:basedOn w:val="CommentTextChar"/>
    <w:link w:val="CommentSubject"/>
    <w:uiPriority w:val="99"/>
    <w:semiHidden/>
    <w:rsid w:val="0039205F"/>
    <w:rPr>
      <w:b/>
      <w:bCs/>
      <w:sz w:val="20"/>
      <w:szCs w:val="20"/>
    </w:rPr>
  </w:style>
  <w:style w:type="paragraph" w:styleId="BalloonText">
    <w:name w:val="Balloon Text"/>
    <w:basedOn w:val="Normal"/>
    <w:link w:val="BalloonTextChar"/>
    <w:uiPriority w:val="99"/>
    <w:semiHidden/>
    <w:unhideWhenUsed/>
    <w:rsid w:val="0039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5F"/>
    <w:rPr>
      <w:rFonts w:ascii="Tahoma" w:hAnsi="Tahoma" w:cs="Tahoma"/>
      <w:sz w:val="16"/>
      <w:szCs w:val="16"/>
    </w:rPr>
  </w:style>
  <w:style w:type="paragraph" w:styleId="FootnoteText">
    <w:name w:val="footnote text"/>
    <w:basedOn w:val="Normal"/>
    <w:link w:val="FootnoteTextChar"/>
    <w:uiPriority w:val="99"/>
    <w:semiHidden/>
    <w:unhideWhenUsed/>
    <w:rsid w:val="00975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B2F"/>
    <w:rPr>
      <w:sz w:val="20"/>
      <w:szCs w:val="20"/>
    </w:rPr>
  </w:style>
  <w:style w:type="character" w:styleId="FootnoteReference">
    <w:name w:val="footnote reference"/>
    <w:basedOn w:val="DefaultParagraphFont"/>
    <w:uiPriority w:val="99"/>
    <w:semiHidden/>
    <w:unhideWhenUsed/>
    <w:rsid w:val="00975B2F"/>
    <w:rPr>
      <w:vertAlign w:val="superscript"/>
    </w:rPr>
  </w:style>
  <w:style w:type="paragraph" w:customStyle="1" w:styleId="SingleTxtG">
    <w:name w:val="_ Single Txt_G"/>
    <w:basedOn w:val="Normal"/>
    <w:rsid w:val="00AA1272"/>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1G">
    <w:name w:val="_ H_1_G"/>
    <w:basedOn w:val="Normal"/>
    <w:next w:val="Normal"/>
    <w:link w:val="H1GChar"/>
    <w:rsid w:val="00AA127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AA1272"/>
    <w:rPr>
      <w:rFonts w:ascii="Times New Roman" w:eastAsia="Times New Roman" w:hAnsi="Times New Roman" w:cs="Times New Roman"/>
      <w:b/>
      <w:sz w:val="24"/>
      <w:szCs w:val="20"/>
    </w:rPr>
  </w:style>
  <w:style w:type="table" w:styleId="TableGrid">
    <w:name w:val="Table Grid"/>
    <w:basedOn w:val="TableNormal"/>
    <w:uiPriority w:val="59"/>
    <w:rsid w:val="0069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6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38"/>
  </w:style>
  <w:style w:type="character" w:styleId="PageNumber">
    <w:name w:val="page number"/>
    <w:basedOn w:val="DefaultParagraphFont"/>
    <w:uiPriority w:val="99"/>
    <w:semiHidden/>
    <w:unhideWhenUsed/>
    <w:rsid w:val="00C5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69"/>
  </w:style>
  <w:style w:type="paragraph" w:styleId="Heading2">
    <w:name w:val="heading 2"/>
    <w:basedOn w:val="Normal"/>
    <w:next w:val="Normal"/>
    <w:link w:val="Heading2Char"/>
    <w:unhideWhenUsed/>
    <w:qFormat/>
    <w:rsid w:val="00974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369"/>
    <w:rPr>
      <w:rFonts w:asciiTheme="majorHAnsi" w:eastAsiaTheme="majorEastAsia" w:hAnsiTheme="majorHAnsi" w:cstheme="majorBidi"/>
      <w:b/>
      <w:bCs/>
      <w:color w:val="4F81BD" w:themeColor="accent1"/>
      <w:sz w:val="26"/>
      <w:szCs w:val="26"/>
    </w:rPr>
  </w:style>
  <w:style w:type="paragraph" w:customStyle="1" w:styleId="Para">
    <w:name w:val="Para"/>
    <w:basedOn w:val="Normal"/>
    <w:rsid w:val="00974369"/>
    <w:pPr>
      <w:numPr>
        <w:numId w:val="2"/>
      </w:num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74369"/>
    <w:pPr>
      <w:ind w:left="720"/>
      <w:contextualSpacing/>
    </w:pPr>
  </w:style>
  <w:style w:type="character" w:styleId="Hyperlink">
    <w:name w:val="Hyperlink"/>
    <w:basedOn w:val="DefaultParagraphFont"/>
    <w:uiPriority w:val="99"/>
    <w:unhideWhenUsed/>
    <w:rsid w:val="00CE2884"/>
    <w:rPr>
      <w:color w:val="0000FF" w:themeColor="hyperlink"/>
      <w:u w:val="single"/>
    </w:rPr>
  </w:style>
  <w:style w:type="character" w:styleId="CommentReference">
    <w:name w:val="annotation reference"/>
    <w:basedOn w:val="DefaultParagraphFont"/>
    <w:unhideWhenUsed/>
    <w:rsid w:val="0039205F"/>
    <w:rPr>
      <w:sz w:val="16"/>
      <w:szCs w:val="16"/>
    </w:rPr>
  </w:style>
  <w:style w:type="paragraph" w:styleId="CommentText">
    <w:name w:val="annotation text"/>
    <w:basedOn w:val="Normal"/>
    <w:link w:val="CommentTextChar"/>
    <w:unhideWhenUsed/>
    <w:rsid w:val="0039205F"/>
    <w:pPr>
      <w:spacing w:line="240" w:lineRule="auto"/>
    </w:pPr>
    <w:rPr>
      <w:sz w:val="20"/>
      <w:szCs w:val="20"/>
    </w:rPr>
  </w:style>
  <w:style w:type="character" w:customStyle="1" w:styleId="CommentTextChar">
    <w:name w:val="Comment Text Char"/>
    <w:basedOn w:val="DefaultParagraphFont"/>
    <w:link w:val="CommentText"/>
    <w:rsid w:val="0039205F"/>
    <w:rPr>
      <w:sz w:val="20"/>
      <w:szCs w:val="20"/>
    </w:rPr>
  </w:style>
  <w:style w:type="paragraph" w:styleId="CommentSubject">
    <w:name w:val="annotation subject"/>
    <w:basedOn w:val="CommentText"/>
    <w:next w:val="CommentText"/>
    <w:link w:val="CommentSubjectChar"/>
    <w:uiPriority w:val="99"/>
    <w:semiHidden/>
    <w:unhideWhenUsed/>
    <w:rsid w:val="0039205F"/>
    <w:rPr>
      <w:b/>
      <w:bCs/>
    </w:rPr>
  </w:style>
  <w:style w:type="character" w:customStyle="1" w:styleId="CommentSubjectChar">
    <w:name w:val="Comment Subject Char"/>
    <w:basedOn w:val="CommentTextChar"/>
    <w:link w:val="CommentSubject"/>
    <w:uiPriority w:val="99"/>
    <w:semiHidden/>
    <w:rsid w:val="0039205F"/>
    <w:rPr>
      <w:b/>
      <w:bCs/>
      <w:sz w:val="20"/>
      <w:szCs w:val="20"/>
    </w:rPr>
  </w:style>
  <w:style w:type="paragraph" w:styleId="BalloonText">
    <w:name w:val="Balloon Text"/>
    <w:basedOn w:val="Normal"/>
    <w:link w:val="BalloonTextChar"/>
    <w:uiPriority w:val="99"/>
    <w:semiHidden/>
    <w:unhideWhenUsed/>
    <w:rsid w:val="0039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5F"/>
    <w:rPr>
      <w:rFonts w:ascii="Tahoma" w:hAnsi="Tahoma" w:cs="Tahoma"/>
      <w:sz w:val="16"/>
      <w:szCs w:val="16"/>
    </w:rPr>
  </w:style>
  <w:style w:type="paragraph" w:styleId="FootnoteText">
    <w:name w:val="footnote text"/>
    <w:basedOn w:val="Normal"/>
    <w:link w:val="FootnoteTextChar"/>
    <w:uiPriority w:val="99"/>
    <w:semiHidden/>
    <w:unhideWhenUsed/>
    <w:rsid w:val="00975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B2F"/>
    <w:rPr>
      <w:sz w:val="20"/>
      <w:szCs w:val="20"/>
    </w:rPr>
  </w:style>
  <w:style w:type="character" w:styleId="FootnoteReference">
    <w:name w:val="footnote reference"/>
    <w:basedOn w:val="DefaultParagraphFont"/>
    <w:uiPriority w:val="99"/>
    <w:semiHidden/>
    <w:unhideWhenUsed/>
    <w:rsid w:val="00975B2F"/>
    <w:rPr>
      <w:vertAlign w:val="superscript"/>
    </w:rPr>
  </w:style>
  <w:style w:type="paragraph" w:customStyle="1" w:styleId="SingleTxtG">
    <w:name w:val="_ Single Txt_G"/>
    <w:basedOn w:val="Normal"/>
    <w:rsid w:val="00AA1272"/>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1G">
    <w:name w:val="_ H_1_G"/>
    <w:basedOn w:val="Normal"/>
    <w:next w:val="Normal"/>
    <w:link w:val="H1GChar"/>
    <w:rsid w:val="00AA127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AA1272"/>
    <w:rPr>
      <w:rFonts w:ascii="Times New Roman" w:eastAsia="Times New Roman" w:hAnsi="Times New Roman" w:cs="Times New Roman"/>
      <w:b/>
      <w:sz w:val="24"/>
      <w:szCs w:val="20"/>
    </w:rPr>
  </w:style>
  <w:style w:type="table" w:styleId="TableGrid">
    <w:name w:val="Table Grid"/>
    <w:basedOn w:val="TableNormal"/>
    <w:uiPriority w:val="59"/>
    <w:rsid w:val="0069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6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38"/>
  </w:style>
  <w:style w:type="character" w:styleId="PageNumber">
    <w:name w:val="page number"/>
    <w:basedOn w:val="DefaultParagraphFont"/>
    <w:uiPriority w:val="99"/>
    <w:semiHidden/>
    <w:unhideWhenUsed/>
    <w:rsid w:val="00C5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States@ohch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hchr.org/EN/HRBodies/UPR/Pages/UPRMain.aspx-"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ohchr.org/EN/HRBodies/UPR/Pages/Document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C11829-AF87-4036-9881-70B7B7688675}"/>
</file>

<file path=customXml/itemProps2.xml><?xml version="1.0" encoding="utf-8"?>
<ds:datastoreItem xmlns:ds="http://schemas.openxmlformats.org/officeDocument/2006/customXml" ds:itemID="{C9446614-ED45-4F21-93C2-7ECA2B875BF7}"/>
</file>

<file path=customXml/itemProps3.xml><?xml version="1.0" encoding="utf-8"?>
<ds:datastoreItem xmlns:ds="http://schemas.openxmlformats.org/officeDocument/2006/customXml" ds:itemID="{42C8D145-C640-4654-B021-62C9681134BB}"/>
</file>

<file path=customXml/itemProps4.xml><?xml version="1.0" encoding="utf-8"?>
<ds:datastoreItem xmlns:ds="http://schemas.openxmlformats.org/officeDocument/2006/customXml" ds:itemID="{E3280A73-5AD4-4895-94C2-53845EF566AB}"/>
</file>

<file path=docProps/app.xml><?xml version="1.0" encoding="utf-8"?>
<Properties xmlns="http://schemas.openxmlformats.org/officeDocument/2006/extended-properties" xmlns:vt="http://schemas.openxmlformats.org/officeDocument/2006/docPropsVTypes">
  <Template>Normal.dotm</Template>
  <TotalTime>2</TotalTime>
  <Pages>6</Pages>
  <Words>1838</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Tebourbi</dc:creator>
  <cp:lastModifiedBy>Irina Tabirta</cp:lastModifiedBy>
  <cp:revision>2</cp:revision>
  <dcterms:created xsi:type="dcterms:W3CDTF">2016-11-08T14:15:00Z</dcterms:created>
  <dcterms:modified xsi:type="dcterms:W3CDTF">2016-11-08T14:15:00Z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