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010CF" w:rsidRDefault="000010CF" w:rsidP="000D16D6">
      <w:pPr>
        <w:shd w:val="clear" w:color="auto" w:fill="17365D" w:themeFill="text2" w:themeFillShade="BF"/>
        <w:jc w:val="center"/>
        <w:rPr>
          <w:rFonts w:ascii="Times New Roman" w:hAnsi="Times New Roman" w:cs="Times New Roman"/>
          <w:b/>
          <w:lang w:val="fr-CH"/>
        </w:rPr>
      </w:pPr>
    </w:p>
    <w:p w:rsidR="00DD102A" w:rsidRDefault="00026A47" w:rsidP="000D16D6">
      <w:pPr>
        <w:shd w:val="clear" w:color="auto" w:fill="17365D" w:themeFill="text2" w:themeFillShade="BF"/>
        <w:jc w:val="center"/>
        <w:rPr>
          <w:rFonts w:cs="Times New Roman"/>
          <w:b/>
          <w:sz w:val="28"/>
          <w:szCs w:val="28"/>
          <w:lang w:val="fr-CH"/>
        </w:rPr>
      </w:pPr>
      <w:r w:rsidRPr="009E489E">
        <w:rPr>
          <w:rFonts w:cs="Times New Roman"/>
          <w:b/>
          <w:sz w:val="28"/>
          <w:szCs w:val="28"/>
          <w:lang w:val="fr-CH"/>
        </w:rPr>
        <w:t>Rapport national pour le 3</w:t>
      </w:r>
      <w:r w:rsidRPr="009E489E">
        <w:rPr>
          <w:rFonts w:cs="Times New Roman"/>
          <w:b/>
          <w:sz w:val="28"/>
          <w:szCs w:val="28"/>
          <w:vertAlign w:val="superscript"/>
          <w:lang w:val="fr-CH"/>
        </w:rPr>
        <w:t>e</w:t>
      </w:r>
      <w:r w:rsidR="00A35A98" w:rsidRPr="009E489E">
        <w:rPr>
          <w:rFonts w:cs="Times New Roman"/>
          <w:b/>
          <w:sz w:val="28"/>
          <w:szCs w:val="28"/>
          <w:lang w:val="fr-CH"/>
        </w:rPr>
        <w:t xml:space="preserve"> Cycle de l’E</w:t>
      </w:r>
      <w:r w:rsidRPr="009E489E">
        <w:rPr>
          <w:rFonts w:cs="Times New Roman"/>
          <w:b/>
          <w:sz w:val="28"/>
          <w:szCs w:val="28"/>
          <w:lang w:val="fr-CH"/>
        </w:rPr>
        <w:t xml:space="preserve">xamen Périodique Universel </w:t>
      </w:r>
    </w:p>
    <w:p w:rsidR="000010CF" w:rsidRPr="009E489E" w:rsidRDefault="00026A47" w:rsidP="000D16D6">
      <w:pPr>
        <w:shd w:val="clear" w:color="auto" w:fill="17365D" w:themeFill="text2" w:themeFillShade="BF"/>
        <w:jc w:val="center"/>
        <w:rPr>
          <w:rFonts w:cs="Times New Roman"/>
          <w:b/>
          <w:sz w:val="28"/>
          <w:szCs w:val="28"/>
          <w:lang w:val="fr-CH"/>
        </w:rPr>
      </w:pPr>
      <w:r w:rsidRPr="009E489E">
        <w:rPr>
          <w:rFonts w:cs="Times New Roman"/>
          <w:b/>
          <w:sz w:val="28"/>
          <w:szCs w:val="28"/>
          <w:lang w:val="fr-CH"/>
        </w:rPr>
        <w:t xml:space="preserve"> Note d’orientation</w:t>
      </w:r>
    </w:p>
    <w:p w:rsidR="000010CF" w:rsidRPr="009E489E" w:rsidRDefault="000010CF" w:rsidP="000D16D6">
      <w:pPr>
        <w:shd w:val="clear" w:color="auto" w:fill="17365D" w:themeFill="text2" w:themeFillShade="BF"/>
        <w:jc w:val="center"/>
        <w:rPr>
          <w:rFonts w:cs="Times New Roman"/>
          <w:b/>
          <w:lang w:val="fr-CH"/>
        </w:rPr>
      </w:pPr>
    </w:p>
    <w:p w:rsidR="000010CF" w:rsidRPr="009E489E" w:rsidRDefault="000010CF" w:rsidP="00026A47">
      <w:pPr>
        <w:jc w:val="both"/>
        <w:rPr>
          <w:rFonts w:cs="Times New Roman"/>
          <w:b/>
          <w:lang w:val="fr-CH"/>
        </w:rPr>
      </w:pPr>
    </w:p>
    <w:p w:rsidR="00026A47" w:rsidRPr="009E489E" w:rsidRDefault="00A35A98" w:rsidP="000D16D6">
      <w:pPr>
        <w:shd w:val="clear" w:color="auto" w:fill="DBE5F1" w:themeFill="accent1" w:themeFillTint="33"/>
        <w:jc w:val="both"/>
        <w:rPr>
          <w:rFonts w:cs="Times New Roman"/>
          <w:b/>
          <w:lang w:val="fr-CH"/>
        </w:rPr>
      </w:pPr>
      <w:r w:rsidRPr="009E489E">
        <w:rPr>
          <w:rFonts w:cs="Times New Roman"/>
          <w:b/>
          <w:lang w:val="fr-CH"/>
        </w:rPr>
        <w:t>D</w:t>
      </w:r>
      <w:r w:rsidR="00026A47" w:rsidRPr="009E489E">
        <w:rPr>
          <w:rFonts w:cs="Times New Roman"/>
          <w:b/>
          <w:lang w:val="fr-CH"/>
        </w:rPr>
        <w:t xml:space="preserve">ocumentation pour le troisième cycle de l’Examen Périodique Universel </w:t>
      </w:r>
    </w:p>
    <w:p w:rsidR="00026A47" w:rsidRPr="009E489E" w:rsidRDefault="00026A47" w:rsidP="00026A47">
      <w:pPr>
        <w:pStyle w:val="ListParagraph"/>
        <w:numPr>
          <w:ilvl w:val="0"/>
          <w:numId w:val="1"/>
        </w:numPr>
        <w:jc w:val="both"/>
        <w:rPr>
          <w:rFonts w:cs="Times New Roman"/>
          <w:lang w:val="fr-CH"/>
        </w:rPr>
      </w:pPr>
      <w:r w:rsidRPr="009E489E">
        <w:rPr>
          <w:rFonts w:cs="Times New Roman"/>
          <w:lang w:val="fr-CH"/>
        </w:rPr>
        <w:t>La base, les principes et les objectifs de l’examen périodique universel</w:t>
      </w:r>
      <w:r w:rsidR="00DE3C20">
        <w:rPr>
          <w:rFonts w:cs="Times New Roman"/>
          <w:lang w:val="fr-CH"/>
        </w:rPr>
        <w:t xml:space="preserve"> (EPU)</w:t>
      </w:r>
      <w:r w:rsidRPr="009E489E">
        <w:rPr>
          <w:rFonts w:cs="Times New Roman"/>
          <w:lang w:val="fr-CH"/>
        </w:rPr>
        <w:t>, tels qu’ils ont été décrits aux paragraphes 1,</w:t>
      </w:r>
      <w:r w:rsidR="00FB0729">
        <w:rPr>
          <w:rFonts w:cs="Times New Roman"/>
          <w:lang w:val="fr-CH"/>
        </w:rPr>
        <w:t xml:space="preserve"> </w:t>
      </w:r>
      <w:r w:rsidRPr="009E489E">
        <w:rPr>
          <w:rFonts w:cs="Times New Roman"/>
          <w:lang w:val="fr-CH"/>
        </w:rPr>
        <w:t>2, 3 et 4 de l’annexe de la résolution 5/1 du Conseil des droits de l</w:t>
      </w:r>
      <w:r w:rsidR="00CC4E0B" w:rsidRPr="009E489E">
        <w:rPr>
          <w:rFonts w:cs="Times New Roman"/>
          <w:lang w:val="fr-CH"/>
        </w:rPr>
        <w:t>’homme, ont été</w:t>
      </w:r>
      <w:r w:rsidRPr="009E489E">
        <w:rPr>
          <w:rFonts w:cs="Times New Roman"/>
          <w:lang w:val="fr-CH"/>
        </w:rPr>
        <w:t xml:space="preserve"> réaffirmés</w:t>
      </w:r>
      <w:r w:rsidR="00CC4E0B" w:rsidRPr="009E489E">
        <w:rPr>
          <w:rFonts w:cs="Times New Roman"/>
          <w:lang w:val="fr-CH"/>
        </w:rPr>
        <w:t xml:space="preserve"> par la résolution 16/21</w:t>
      </w:r>
      <w:r w:rsidRPr="009E489E">
        <w:rPr>
          <w:rFonts w:cs="Times New Roman"/>
          <w:lang w:val="fr-CH"/>
        </w:rPr>
        <w:t xml:space="preserve">. </w:t>
      </w:r>
    </w:p>
    <w:p w:rsidR="00CC4E0B" w:rsidRPr="009E489E" w:rsidRDefault="00026A47" w:rsidP="00026A47">
      <w:pPr>
        <w:pStyle w:val="ListParagraph"/>
        <w:numPr>
          <w:ilvl w:val="0"/>
          <w:numId w:val="1"/>
        </w:numPr>
        <w:jc w:val="both"/>
        <w:rPr>
          <w:rFonts w:cs="Times New Roman"/>
          <w:lang w:val="fr-CH"/>
        </w:rPr>
      </w:pPr>
      <w:r w:rsidRPr="009E489E">
        <w:rPr>
          <w:rFonts w:cs="Times New Roman"/>
          <w:lang w:val="fr-CH"/>
        </w:rPr>
        <w:t xml:space="preserve">L’examen continuera à être fondé sur les trois documents mentionnés au paragraphe 15 de l’annexe de la résolution 5/1, c’est-à-dire : le rapport national, </w:t>
      </w:r>
      <w:r w:rsidR="00CC4E0B" w:rsidRPr="009E489E">
        <w:rPr>
          <w:rFonts w:cs="Times New Roman"/>
          <w:lang w:val="fr-CH"/>
        </w:rPr>
        <w:t xml:space="preserve">la compilation de renseignements établie par les Nations Unies et le résumé des </w:t>
      </w:r>
      <w:r w:rsidR="00A35A98" w:rsidRPr="009E489E">
        <w:rPr>
          <w:rFonts w:cs="Times New Roman"/>
          <w:lang w:val="fr-CH"/>
        </w:rPr>
        <w:t>informations</w:t>
      </w:r>
      <w:r w:rsidR="00CC4E0B" w:rsidRPr="009E489E">
        <w:rPr>
          <w:rFonts w:cs="Times New Roman"/>
          <w:lang w:val="fr-CH"/>
        </w:rPr>
        <w:t xml:space="preserve"> fournies par les autres parties prenantes concernées. </w:t>
      </w:r>
    </w:p>
    <w:p w:rsidR="00CC4E0B" w:rsidRPr="009E489E" w:rsidRDefault="00CC4E0B" w:rsidP="00026A47">
      <w:pPr>
        <w:pStyle w:val="ListParagraph"/>
        <w:numPr>
          <w:ilvl w:val="0"/>
          <w:numId w:val="1"/>
        </w:numPr>
        <w:jc w:val="both"/>
        <w:rPr>
          <w:rFonts w:cs="Times New Roman"/>
          <w:lang w:val="fr-CH"/>
        </w:rPr>
      </w:pPr>
      <w:r w:rsidRPr="009E489E">
        <w:rPr>
          <w:rFonts w:cs="Times New Roman"/>
          <w:lang w:val="fr-CH"/>
        </w:rPr>
        <w:t xml:space="preserve">La résolution 16/21 fournit des éclaircissements supplémentaires quant à la </w:t>
      </w:r>
      <w:r w:rsidRPr="009E489E">
        <w:rPr>
          <w:rFonts w:cs="Times New Roman"/>
          <w:b/>
          <w:lang w:val="fr-CH"/>
        </w:rPr>
        <w:t>focalisation et à la documentation</w:t>
      </w:r>
      <w:r w:rsidRPr="009E489E">
        <w:rPr>
          <w:rFonts w:cs="Times New Roman"/>
          <w:lang w:val="fr-CH"/>
        </w:rPr>
        <w:t xml:space="preserve"> qui doivent être utilisées pendant l’examen : </w:t>
      </w:r>
    </w:p>
    <w:p w:rsidR="00CC4E0B" w:rsidRPr="009E489E" w:rsidRDefault="00CC4E0B" w:rsidP="00CC4E0B">
      <w:pPr>
        <w:pStyle w:val="ListParagraph"/>
        <w:numPr>
          <w:ilvl w:val="0"/>
          <w:numId w:val="2"/>
        </w:numPr>
        <w:jc w:val="both"/>
        <w:rPr>
          <w:rFonts w:cs="Times New Roman"/>
          <w:lang w:val="fr-CH"/>
        </w:rPr>
      </w:pPr>
      <w:r w:rsidRPr="009E489E">
        <w:rPr>
          <w:rFonts w:cs="Times New Roman"/>
          <w:lang w:val="fr-CH"/>
        </w:rPr>
        <w:t>L’examen devrait être axé, entre autres, sur la mise en œuvre des recommandations acceptées et l’évolution de la situation des droits de l’homm</w:t>
      </w:r>
      <w:r w:rsidR="000F5A30" w:rsidRPr="009E489E">
        <w:rPr>
          <w:rFonts w:cs="Times New Roman"/>
          <w:lang w:val="fr-CH"/>
        </w:rPr>
        <w:t>e dans l’É</w:t>
      </w:r>
      <w:r w:rsidRPr="009E489E">
        <w:rPr>
          <w:rFonts w:cs="Times New Roman"/>
          <w:lang w:val="fr-CH"/>
        </w:rPr>
        <w:t xml:space="preserve">tat examiné. </w:t>
      </w:r>
    </w:p>
    <w:p w:rsidR="00CC4E0B" w:rsidRPr="009E489E" w:rsidRDefault="00CC4E0B" w:rsidP="00CC4E0B">
      <w:pPr>
        <w:pStyle w:val="ListParagraph"/>
        <w:numPr>
          <w:ilvl w:val="0"/>
          <w:numId w:val="1"/>
        </w:numPr>
        <w:jc w:val="both"/>
        <w:rPr>
          <w:rFonts w:cs="Times New Roman"/>
          <w:lang w:val="fr-CH"/>
        </w:rPr>
      </w:pPr>
      <w:r w:rsidRPr="009E489E">
        <w:rPr>
          <w:rFonts w:cs="Times New Roman"/>
          <w:lang w:val="fr-CH"/>
        </w:rPr>
        <w:t xml:space="preserve">La décision 17/119 indique les lignes générales d’orientation pour la préparation </w:t>
      </w:r>
      <w:r w:rsidR="000F5A30" w:rsidRPr="009E489E">
        <w:rPr>
          <w:rFonts w:cs="Times New Roman"/>
          <w:lang w:val="fr-CH"/>
        </w:rPr>
        <w:t>des informations</w:t>
      </w:r>
      <w:r w:rsidRPr="009E489E">
        <w:rPr>
          <w:rFonts w:cs="Times New Roman"/>
          <w:lang w:val="fr-CH"/>
        </w:rPr>
        <w:t xml:space="preserve"> lors de l’EPU</w:t>
      </w:r>
      <w:r w:rsidR="000F5A30" w:rsidRPr="009E489E">
        <w:rPr>
          <w:rStyle w:val="FootnoteReference"/>
          <w:rFonts w:cs="Times New Roman"/>
          <w:lang w:val="fr-CH"/>
        </w:rPr>
        <w:footnoteReference w:id="1"/>
      </w:r>
      <w:r w:rsidRPr="009E489E">
        <w:rPr>
          <w:rFonts w:cs="Times New Roman"/>
          <w:lang w:val="fr-CH"/>
        </w:rPr>
        <w:t xml:space="preserve">. </w:t>
      </w:r>
    </w:p>
    <w:p w:rsidR="00CC4E0B" w:rsidRPr="009E489E" w:rsidRDefault="00CC4E0B" w:rsidP="000D16D6">
      <w:pPr>
        <w:shd w:val="clear" w:color="auto" w:fill="DBE5F1" w:themeFill="accent1" w:themeFillTint="33"/>
        <w:jc w:val="both"/>
        <w:rPr>
          <w:rFonts w:cs="Times New Roman"/>
          <w:b/>
          <w:lang w:val="fr-CH"/>
        </w:rPr>
      </w:pPr>
      <w:r w:rsidRPr="009E489E">
        <w:rPr>
          <w:rFonts w:cs="Times New Roman"/>
          <w:b/>
          <w:lang w:val="fr-CH"/>
        </w:rPr>
        <w:t>Rapports nationaux –</w:t>
      </w:r>
      <w:r w:rsidR="00CB2F0B" w:rsidRPr="009E489E">
        <w:rPr>
          <w:rFonts w:cs="Times New Roman"/>
          <w:b/>
          <w:lang w:val="fr-CH"/>
        </w:rPr>
        <w:t xml:space="preserve"> </w:t>
      </w:r>
      <w:r w:rsidR="00965F1F" w:rsidRPr="009E489E">
        <w:rPr>
          <w:rFonts w:cs="Times New Roman"/>
          <w:b/>
          <w:lang w:val="fr-CH"/>
        </w:rPr>
        <w:t xml:space="preserve">vers le troisième cycle </w:t>
      </w:r>
    </w:p>
    <w:p w:rsidR="00CC4E0B" w:rsidRPr="009E489E" w:rsidRDefault="007F2F1C" w:rsidP="00CC4E0B">
      <w:pPr>
        <w:jc w:val="both"/>
        <w:rPr>
          <w:rFonts w:cs="Times New Roman"/>
          <w:lang w:val="fr-CH"/>
        </w:rPr>
      </w:pPr>
      <w:r w:rsidRPr="009E489E">
        <w:rPr>
          <w:rFonts w:cs="Times New Roman"/>
          <w:lang w:val="fr-CH"/>
        </w:rPr>
        <w:t xml:space="preserve">Sur la base </w:t>
      </w:r>
      <w:r w:rsidR="00965F1F" w:rsidRPr="009E489E">
        <w:rPr>
          <w:rFonts w:cs="Times New Roman"/>
          <w:lang w:val="fr-CH"/>
        </w:rPr>
        <w:t xml:space="preserve"> des résolutions et décisions mentionnées ci-dessus, et en accord avec les lignes </w:t>
      </w:r>
      <w:r w:rsidR="001E37FC" w:rsidRPr="009E489E">
        <w:rPr>
          <w:rFonts w:cs="Times New Roman"/>
          <w:lang w:val="fr-CH"/>
        </w:rPr>
        <w:t>directrices</w:t>
      </w:r>
      <w:r w:rsidR="00965F1F" w:rsidRPr="009E489E">
        <w:rPr>
          <w:rFonts w:cs="Times New Roman"/>
          <w:lang w:val="fr-CH"/>
        </w:rPr>
        <w:t xml:space="preserve">, </w:t>
      </w:r>
      <w:r w:rsidR="00297995" w:rsidRPr="009E489E">
        <w:rPr>
          <w:rFonts w:cs="Times New Roman"/>
          <w:lang w:val="fr-CH"/>
        </w:rPr>
        <w:t>telles que reflétées dans la décision 17/119</w:t>
      </w:r>
      <w:r w:rsidRPr="009E489E">
        <w:rPr>
          <w:rFonts w:cs="Times New Roman"/>
          <w:lang w:val="fr-CH"/>
        </w:rPr>
        <w:t xml:space="preserve"> du Conseil</w:t>
      </w:r>
      <w:r w:rsidR="00297995" w:rsidRPr="009E489E">
        <w:rPr>
          <w:rFonts w:cs="Times New Roman"/>
          <w:lang w:val="fr-CH"/>
        </w:rPr>
        <w:t xml:space="preserve">, </w:t>
      </w:r>
      <w:r w:rsidRPr="009E489E">
        <w:rPr>
          <w:rFonts w:cs="Times New Roman"/>
          <w:lang w:val="fr-CH"/>
        </w:rPr>
        <w:t xml:space="preserve">un </w:t>
      </w:r>
      <w:r w:rsidR="00965F1F" w:rsidRPr="009E489E">
        <w:rPr>
          <w:rFonts w:cs="Times New Roman"/>
          <w:lang w:val="fr-CH"/>
        </w:rPr>
        <w:t xml:space="preserve"> format d</w:t>
      </w:r>
      <w:r w:rsidR="00297995" w:rsidRPr="009E489E">
        <w:rPr>
          <w:rFonts w:cs="Times New Roman"/>
          <w:lang w:val="fr-CH"/>
        </w:rPr>
        <w:t>e</w:t>
      </w:r>
      <w:r w:rsidR="00965F1F" w:rsidRPr="009E489E">
        <w:rPr>
          <w:rFonts w:cs="Times New Roman"/>
          <w:lang w:val="fr-CH"/>
        </w:rPr>
        <w:t xml:space="preserve"> rapport national</w:t>
      </w:r>
      <w:r w:rsidRPr="009E489E">
        <w:rPr>
          <w:rFonts w:cs="Times New Roman"/>
          <w:lang w:val="fr-CH"/>
        </w:rPr>
        <w:t xml:space="preserve"> </w:t>
      </w:r>
      <w:r w:rsidR="00965F1F" w:rsidRPr="009E489E">
        <w:rPr>
          <w:rFonts w:cs="Times New Roman"/>
          <w:lang w:val="fr-CH"/>
        </w:rPr>
        <w:t xml:space="preserve">qui pourrait </w:t>
      </w:r>
      <w:r w:rsidR="00B46231" w:rsidRPr="009E489E">
        <w:rPr>
          <w:rFonts w:cs="Times New Roman"/>
          <w:lang w:val="fr-CH"/>
        </w:rPr>
        <w:t>être</w:t>
      </w:r>
      <w:r w:rsidR="000F5A30" w:rsidRPr="009E489E">
        <w:rPr>
          <w:rFonts w:cs="Times New Roman"/>
          <w:lang w:val="fr-CH"/>
        </w:rPr>
        <w:t xml:space="preserve"> utilisé par les É</w:t>
      </w:r>
      <w:r w:rsidR="00965F1F" w:rsidRPr="009E489E">
        <w:rPr>
          <w:rFonts w:cs="Times New Roman"/>
          <w:lang w:val="fr-CH"/>
        </w:rPr>
        <w:t>tats lorsqu’ils préparent leur examen</w:t>
      </w:r>
      <w:r w:rsidRPr="009E489E">
        <w:rPr>
          <w:rFonts w:cs="Times New Roman"/>
          <w:lang w:val="fr-CH"/>
        </w:rPr>
        <w:t xml:space="preserve"> est suggéré ci-dessous</w:t>
      </w:r>
      <w:r w:rsidR="00965F1F" w:rsidRPr="009E489E">
        <w:rPr>
          <w:rFonts w:cs="Times New Roman"/>
          <w:lang w:val="fr-CH"/>
        </w:rPr>
        <w:t xml:space="preserve"> : </w:t>
      </w:r>
    </w:p>
    <w:p w:rsidR="00965F1F" w:rsidRPr="009E489E" w:rsidRDefault="005B6EFF" w:rsidP="000D16D6">
      <w:pPr>
        <w:shd w:val="clear" w:color="auto" w:fill="FBD4B4" w:themeFill="accent6" w:themeFillTint="66"/>
        <w:jc w:val="center"/>
        <w:rPr>
          <w:rFonts w:cs="Times New Roman"/>
          <w:b/>
          <w:lang w:val="fr-CH"/>
        </w:rPr>
      </w:pPr>
      <w:r w:rsidRPr="009E489E">
        <w:rPr>
          <w:rFonts w:cs="Times New Roman"/>
          <w:b/>
          <w:lang w:val="fr-CH"/>
        </w:rPr>
        <w:t xml:space="preserve">Format </w:t>
      </w:r>
      <w:r w:rsidR="00297995" w:rsidRPr="009E489E">
        <w:rPr>
          <w:rFonts w:cs="Times New Roman"/>
          <w:b/>
          <w:lang w:val="fr-CH"/>
        </w:rPr>
        <w:t xml:space="preserve">suggéré </w:t>
      </w:r>
      <w:r w:rsidR="00965F1F" w:rsidRPr="009E489E">
        <w:rPr>
          <w:rFonts w:cs="Times New Roman"/>
          <w:b/>
          <w:lang w:val="fr-CH"/>
        </w:rPr>
        <w:t>pour le rapport national</w:t>
      </w:r>
    </w:p>
    <w:p w:rsidR="00965F1F" w:rsidRPr="009E489E" w:rsidRDefault="00965F1F" w:rsidP="00CC4E0B">
      <w:pPr>
        <w:jc w:val="both"/>
        <w:rPr>
          <w:rFonts w:cs="Times New Roman"/>
          <w:lang w:val="fr-CH"/>
        </w:rPr>
      </w:pPr>
      <w:r w:rsidRPr="009E489E">
        <w:rPr>
          <w:rFonts w:cs="Times New Roman"/>
          <w:lang w:val="fr-CH"/>
        </w:rPr>
        <w:t xml:space="preserve">A/ </w:t>
      </w:r>
      <w:r w:rsidR="00CA189E" w:rsidRPr="009E489E">
        <w:rPr>
          <w:rFonts w:cs="Times New Roman"/>
          <w:lang w:val="fr-CH"/>
        </w:rPr>
        <w:t>Processus et modalités de</w:t>
      </w:r>
      <w:r w:rsidRPr="009E489E">
        <w:rPr>
          <w:rFonts w:cs="Times New Roman"/>
          <w:lang w:val="fr-CH"/>
        </w:rPr>
        <w:t xml:space="preserve"> </w:t>
      </w:r>
      <w:r w:rsidR="000F5A30" w:rsidRPr="009E489E">
        <w:rPr>
          <w:rFonts w:cs="Times New Roman"/>
          <w:lang w:val="fr-CH"/>
        </w:rPr>
        <w:t>rédaction</w:t>
      </w:r>
      <w:r w:rsidRPr="009E489E">
        <w:rPr>
          <w:rFonts w:cs="Times New Roman"/>
          <w:lang w:val="fr-CH"/>
        </w:rPr>
        <w:t xml:space="preserve"> du rapport : </w:t>
      </w:r>
      <w:r w:rsidRPr="009E489E">
        <w:rPr>
          <w:rFonts w:cs="Times New Roman"/>
          <w:i/>
          <w:lang w:val="fr-CH"/>
        </w:rPr>
        <w:t>[Correspond au paragraphe A des lignes directrices</w:t>
      </w:r>
      <w:r w:rsidR="001E37FC" w:rsidRPr="009E489E">
        <w:rPr>
          <w:rFonts w:cs="Times New Roman"/>
          <w:i/>
          <w:lang w:val="fr-CH"/>
        </w:rPr>
        <w:t xml:space="preserve"> </w:t>
      </w:r>
      <w:r w:rsidR="000F5A30" w:rsidRPr="009E489E">
        <w:rPr>
          <w:rFonts w:cs="Times New Roman"/>
          <w:i/>
          <w:lang w:val="fr-CH"/>
        </w:rPr>
        <w:t>telles que mentionnées</w:t>
      </w:r>
      <w:r w:rsidR="001E37FC" w:rsidRPr="009E489E">
        <w:rPr>
          <w:rFonts w:cs="Times New Roman"/>
          <w:i/>
          <w:lang w:val="fr-CH"/>
        </w:rPr>
        <w:t xml:space="preserve"> </w:t>
      </w:r>
      <w:r w:rsidR="000F5A30" w:rsidRPr="009E489E">
        <w:rPr>
          <w:rFonts w:cs="Times New Roman"/>
          <w:i/>
          <w:lang w:val="fr-CH"/>
        </w:rPr>
        <w:t>au</w:t>
      </w:r>
      <w:r w:rsidR="001E37FC" w:rsidRPr="009E489E">
        <w:rPr>
          <w:rFonts w:cs="Times New Roman"/>
          <w:i/>
          <w:lang w:val="fr-CH"/>
        </w:rPr>
        <w:t xml:space="preserve"> Chapitre II</w:t>
      </w:r>
      <w:r w:rsidR="000F5A30" w:rsidRPr="009E489E">
        <w:rPr>
          <w:rFonts w:cs="Times New Roman"/>
          <w:i/>
          <w:lang w:val="fr-CH"/>
        </w:rPr>
        <w:t>, 2 de la décision 17/119 du Conseil des droits de l’homme</w:t>
      </w:r>
      <w:r w:rsidR="001E37FC" w:rsidRPr="009E489E">
        <w:rPr>
          <w:rFonts w:cs="Times New Roman"/>
          <w:i/>
          <w:lang w:val="fr-CH"/>
        </w:rPr>
        <w:t>]</w:t>
      </w:r>
      <w:r w:rsidR="001E37FC" w:rsidRPr="009E489E">
        <w:rPr>
          <w:rFonts w:cs="Times New Roman"/>
          <w:lang w:val="fr-CH"/>
        </w:rPr>
        <w:t xml:space="preserve"> </w:t>
      </w:r>
    </w:p>
    <w:p w:rsidR="001E37FC" w:rsidRPr="009E489E" w:rsidRDefault="00CB2F0B" w:rsidP="001E37FC">
      <w:pPr>
        <w:pStyle w:val="ListParagraph"/>
        <w:numPr>
          <w:ilvl w:val="0"/>
          <w:numId w:val="2"/>
        </w:numPr>
        <w:jc w:val="both"/>
        <w:rPr>
          <w:rFonts w:cs="Times New Roman"/>
          <w:lang w:val="fr-CH"/>
        </w:rPr>
      </w:pPr>
      <w:r w:rsidRPr="009E489E">
        <w:rPr>
          <w:rFonts w:cs="Times New Roman"/>
          <w:lang w:val="fr-CH"/>
        </w:rPr>
        <w:t>m</w:t>
      </w:r>
      <w:r w:rsidR="001E37FC" w:rsidRPr="009E489E">
        <w:rPr>
          <w:rFonts w:cs="Times New Roman"/>
          <w:lang w:val="fr-CH"/>
        </w:rPr>
        <w:t xml:space="preserve">éthodologie utilisée, </w:t>
      </w:r>
    </w:p>
    <w:p w:rsidR="001E37FC" w:rsidRPr="009E489E" w:rsidRDefault="00CB2F0B" w:rsidP="001E37FC">
      <w:pPr>
        <w:pStyle w:val="ListParagraph"/>
        <w:numPr>
          <w:ilvl w:val="0"/>
          <w:numId w:val="2"/>
        </w:numPr>
        <w:jc w:val="both"/>
        <w:rPr>
          <w:rFonts w:cs="Times New Roman"/>
          <w:lang w:val="fr-CH"/>
        </w:rPr>
      </w:pPr>
      <w:r w:rsidRPr="009E489E">
        <w:rPr>
          <w:rFonts w:cs="Times New Roman"/>
          <w:lang w:val="fr-CH"/>
        </w:rPr>
        <w:t>d</w:t>
      </w:r>
      <w:r w:rsidR="001E37FC" w:rsidRPr="009E489E">
        <w:rPr>
          <w:rFonts w:cs="Times New Roman"/>
          <w:lang w:val="fr-CH"/>
        </w:rPr>
        <w:t xml:space="preserve">escription du processus de suivi national, indiquant </w:t>
      </w:r>
      <w:r w:rsidR="00AE4A92" w:rsidRPr="009E489E">
        <w:rPr>
          <w:rFonts w:cs="Times New Roman"/>
          <w:lang w:val="fr-CH"/>
        </w:rPr>
        <w:t xml:space="preserve">notamment </w:t>
      </w:r>
      <w:r w:rsidR="001E37FC" w:rsidRPr="009E489E">
        <w:rPr>
          <w:rFonts w:cs="Times New Roman"/>
          <w:lang w:val="fr-CH"/>
        </w:rPr>
        <w:t xml:space="preserve">si un </w:t>
      </w:r>
      <w:r w:rsidR="00AE4A92" w:rsidRPr="009E489E">
        <w:rPr>
          <w:rFonts w:cs="Times New Roman"/>
          <w:lang w:val="fr-CH"/>
        </w:rPr>
        <w:t>organisme</w:t>
      </w:r>
      <w:r w:rsidR="001E37FC" w:rsidRPr="009E489E">
        <w:rPr>
          <w:rFonts w:cs="Times New Roman"/>
          <w:lang w:val="fr-CH"/>
        </w:rPr>
        <w:t xml:space="preserve"> </w:t>
      </w:r>
      <w:r w:rsidR="00CA189E" w:rsidRPr="009E489E">
        <w:rPr>
          <w:rFonts w:cs="Times New Roman"/>
          <w:lang w:val="fr-CH"/>
        </w:rPr>
        <w:t xml:space="preserve">permanent </w:t>
      </w:r>
      <w:r w:rsidR="001E37FC" w:rsidRPr="009E489E">
        <w:rPr>
          <w:rFonts w:cs="Times New Roman"/>
          <w:lang w:val="fr-CH"/>
        </w:rPr>
        <w:t xml:space="preserve">de coordination et </w:t>
      </w:r>
      <w:r w:rsidR="00AE4A92" w:rsidRPr="009E489E">
        <w:rPr>
          <w:rFonts w:cs="Times New Roman"/>
          <w:lang w:val="fr-CH"/>
        </w:rPr>
        <w:t xml:space="preserve">de </w:t>
      </w:r>
      <w:r w:rsidR="00A60F02" w:rsidRPr="009E489E">
        <w:rPr>
          <w:rFonts w:cs="Times New Roman"/>
          <w:lang w:val="fr-CH"/>
        </w:rPr>
        <w:t>contrôle</w:t>
      </w:r>
      <w:r w:rsidR="001E37FC" w:rsidRPr="009E489E">
        <w:rPr>
          <w:rFonts w:cs="Times New Roman"/>
          <w:lang w:val="fr-CH"/>
        </w:rPr>
        <w:t xml:space="preserve"> a été mis en place</w:t>
      </w:r>
      <w:r w:rsidR="00AE4A92" w:rsidRPr="009E489E">
        <w:rPr>
          <w:rFonts w:cs="Times New Roman"/>
          <w:lang w:val="fr-CH"/>
        </w:rPr>
        <w:t>,</w:t>
      </w:r>
      <w:r w:rsidR="00A60F02" w:rsidRPr="009E489E">
        <w:rPr>
          <w:rFonts w:cs="Times New Roman"/>
          <w:lang w:val="fr-CH"/>
        </w:rPr>
        <w:t> </w:t>
      </w:r>
    </w:p>
    <w:p w:rsidR="00A60F02" w:rsidRPr="009E489E" w:rsidRDefault="00CB2F0B" w:rsidP="001E37FC">
      <w:pPr>
        <w:pStyle w:val="ListParagraph"/>
        <w:numPr>
          <w:ilvl w:val="0"/>
          <w:numId w:val="2"/>
        </w:numPr>
        <w:jc w:val="both"/>
        <w:rPr>
          <w:rFonts w:cs="Times New Roman"/>
          <w:lang w:val="fr-CH"/>
        </w:rPr>
      </w:pPr>
      <w:r w:rsidRPr="009E489E">
        <w:rPr>
          <w:rFonts w:cs="Times New Roman"/>
          <w:lang w:val="fr-CH"/>
        </w:rPr>
        <w:t>renseignements</w:t>
      </w:r>
      <w:r w:rsidR="00A60F02" w:rsidRPr="009E489E">
        <w:rPr>
          <w:rFonts w:cs="Times New Roman"/>
          <w:lang w:val="fr-CH"/>
        </w:rPr>
        <w:t xml:space="preserve"> sur l</w:t>
      </w:r>
      <w:r w:rsidRPr="009E489E">
        <w:rPr>
          <w:rFonts w:cs="Times New Roman"/>
          <w:lang w:val="fr-CH"/>
        </w:rPr>
        <w:t>es consultations</w:t>
      </w:r>
      <w:r w:rsidR="00AE4A92" w:rsidRPr="009E489E">
        <w:rPr>
          <w:rFonts w:cs="Times New Roman"/>
          <w:lang w:val="fr-CH"/>
        </w:rPr>
        <w:t xml:space="preserve"> menées </w:t>
      </w:r>
      <w:r w:rsidRPr="009E489E">
        <w:rPr>
          <w:rFonts w:cs="Times New Roman"/>
          <w:lang w:val="fr-CH"/>
        </w:rPr>
        <w:t xml:space="preserve"> entre les institutions en préparation du rapport et de l’</w:t>
      </w:r>
      <w:r w:rsidR="00AE4A92" w:rsidRPr="009E489E">
        <w:rPr>
          <w:rFonts w:cs="Times New Roman"/>
          <w:lang w:val="fr-CH"/>
        </w:rPr>
        <w:t>examen, notamment avec la branche législative,</w:t>
      </w:r>
    </w:p>
    <w:p w:rsidR="00CB2F0B" w:rsidRPr="009E489E" w:rsidRDefault="00CB2F0B" w:rsidP="001E37FC">
      <w:pPr>
        <w:pStyle w:val="ListParagraph"/>
        <w:numPr>
          <w:ilvl w:val="0"/>
          <w:numId w:val="2"/>
        </w:numPr>
        <w:jc w:val="both"/>
        <w:rPr>
          <w:rFonts w:cs="Times New Roman"/>
          <w:lang w:val="fr-CH"/>
        </w:rPr>
      </w:pPr>
      <w:r w:rsidRPr="009E489E">
        <w:rPr>
          <w:rFonts w:cs="Times New Roman"/>
          <w:lang w:val="fr-CH"/>
        </w:rPr>
        <w:t xml:space="preserve">renseignements sur </w:t>
      </w:r>
      <w:r w:rsidR="00AE4A92" w:rsidRPr="009E489E">
        <w:rPr>
          <w:rFonts w:cs="Times New Roman"/>
          <w:lang w:val="fr-CH"/>
        </w:rPr>
        <w:t xml:space="preserve">la tenue </w:t>
      </w:r>
      <w:r w:rsidRPr="009E489E">
        <w:rPr>
          <w:rFonts w:cs="Times New Roman"/>
          <w:lang w:val="fr-CH"/>
        </w:rPr>
        <w:t xml:space="preserve">de plus amples consultations, notamment avec des institutions nationales </w:t>
      </w:r>
      <w:r w:rsidR="00AE4A92" w:rsidRPr="009E489E">
        <w:rPr>
          <w:rFonts w:cs="Times New Roman"/>
          <w:lang w:val="fr-CH"/>
        </w:rPr>
        <w:t xml:space="preserve">de droits </w:t>
      </w:r>
      <w:r w:rsidRPr="009E489E">
        <w:rPr>
          <w:rFonts w:cs="Times New Roman"/>
          <w:lang w:val="fr-CH"/>
        </w:rPr>
        <w:t>de l’homme et la société civile</w:t>
      </w:r>
      <w:r w:rsidR="00AE4A92" w:rsidRPr="009E489E">
        <w:rPr>
          <w:rFonts w:cs="Times New Roman"/>
          <w:lang w:val="fr-CH"/>
        </w:rPr>
        <w:t>.</w:t>
      </w:r>
      <w:r w:rsidRPr="009E489E">
        <w:rPr>
          <w:rFonts w:cs="Times New Roman"/>
          <w:lang w:val="fr-CH"/>
        </w:rPr>
        <w:t xml:space="preserve"> </w:t>
      </w:r>
    </w:p>
    <w:p w:rsidR="00CB2F0B" w:rsidRPr="009E489E" w:rsidRDefault="00CB2F0B" w:rsidP="00CB2F0B">
      <w:pPr>
        <w:jc w:val="both"/>
        <w:rPr>
          <w:rFonts w:cs="Times New Roman"/>
          <w:lang w:val="fr-CH"/>
        </w:rPr>
      </w:pPr>
      <w:r w:rsidRPr="009E489E">
        <w:rPr>
          <w:rFonts w:cs="Times New Roman"/>
          <w:b/>
          <w:lang w:val="fr-CH"/>
        </w:rPr>
        <w:lastRenderedPageBreak/>
        <w:t xml:space="preserve">B/ Mise en </w:t>
      </w:r>
      <w:r w:rsidR="0086373F" w:rsidRPr="009E489E">
        <w:rPr>
          <w:rFonts w:cs="Times New Roman"/>
          <w:b/>
          <w:lang w:val="fr-CH"/>
        </w:rPr>
        <w:t>œuvre</w:t>
      </w:r>
      <w:r w:rsidR="00CA189E" w:rsidRPr="009E489E">
        <w:rPr>
          <w:rFonts w:cs="Times New Roman"/>
          <w:b/>
          <w:lang w:val="fr-CH"/>
        </w:rPr>
        <w:t xml:space="preserve"> </w:t>
      </w:r>
      <w:r w:rsidR="006D2E5A" w:rsidRPr="009E489E">
        <w:rPr>
          <w:rFonts w:cs="Times New Roman"/>
          <w:b/>
          <w:lang w:val="fr-CH"/>
        </w:rPr>
        <w:t>des recommandations des</w:t>
      </w:r>
      <w:r w:rsidRPr="009E489E">
        <w:rPr>
          <w:rFonts w:cs="Times New Roman"/>
          <w:b/>
          <w:lang w:val="fr-CH"/>
        </w:rPr>
        <w:t xml:space="preserve"> </w:t>
      </w:r>
      <w:r w:rsidR="006D2E5A" w:rsidRPr="009E489E">
        <w:rPr>
          <w:rFonts w:cs="Times New Roman"/>
          <w:b/>
          <w:lang w:val="fr-CH"/>
        </w:rPr>
        <w:t xml:space="preserve">cycles </w:t>
      </w:r>
      <w:r w:rsidRPr="009E489E">
        <w:rPr>
          <w:rFonts w:cs="Times New Roman"/>
          <w:b/>
          <w:lang w:val="fr-CH"/>
        </w:rPr>
        <w:t>précédents</w:t>
      </w:r>
      <w:r w:rsidR="006D2E5A" w:rsidRPr="009E489E">
        <w:rPr>
          <w:rStyle w:val="FootnoteReference"/>
          <w:rFonts w:cs="Times New Roman"/>
          <w:b/>
          <w:lang w:val="fr-CH"/>
        </w:rPr>
        <w:footnoteReference w:id="2"/>
      </w:r>
      <w:r w:rsidR="006D2E5A" w:rsidRPr="009E489E">
        <w:rPr>
          <w:rFonts w:cs="Times New Roman"/>
          <w:lang w:val="fr-CH"/>
        </w:rPr>
        <w:t xml:space="preserve"> </w:t>
      </w:r>
      <w:r w:rsidRPr="009E489E">
        <w:rPr>
          <w:rFonts w:cs="Times New Roman"/>
          <w:lang w:val="fr-CH"/>
        </w:rPr>
        <w:t xml:space="preserve">: </w:t>
      </w:r>
      <w:r w:rsidRPr="009E489E">
        <w:rPr>
          <w:rFonts w:cs="Times New Roman"/>
          <w:i/>
          <w:lang w:val="fr-CH"/>
        </w:rPr>
        <w:t xml:space="preserve">[Correspond aux paragraphes B, C, D et E des lignes directrices] </w:t>
      </w:r>
    </w:p>
    <w:p w:rsidR="004864C2" w:rsidRPr="009E489E" w:rsidRDefault="004864C2" w:rsidP="00CB2F0B">
      <w:pPr>
        <w:jc w:val="both"/>
        <w:rPr>
          <w:rFonts w:cs="Times New Roman"/>
          <w:lang w:val="fr-CH"/>
        </w:rPr>
      </w:pPr>
      <w:r w:rsidRPr="009E489E">
        <w:rPr>
          <w:rFonts w:cs="Times New Roman"/>
          <w:lang w:val="fr-CH"/>
        </w:rPr>
        <w:t>[Sous chaque section, insérer des rubriques par thème sur la base de recommandations groupées thématiqueme</w:t>
      </w:r>
      <w:r w:rsidR="00387E0F" w:rsidRPr="009E489E">
        <w:rPr>
          <w:rFonts w:cs="Times New Roman"/>
          <w:lang w:val="fr-CH"/>
        </w:rPr>
        <w:t>nt, par exemple sur la base de</w:t>
      </w:r>
      <w:r w:rsidR="006D2E5A" w:rsidRPr="009E489E">
        <w:rPr>
          <w:rFonts w:cs="Times New Roman"/>
          <w:lang w:val="fr-CH"/>
        </w:rPr>
        <w:t xml:space="preserve">s catégories </w:t>
      </w:r>
      <w:r w:rsidR="00387E0F" w:rsidRPr="009E489E">
        <w:rPr>
          <w:rFonts w:cs="Times New Roman"/>
          <w:lang w:val="fr-CH"/>
        </w:rPr>
        <w:t>utilisé</w:t>
      </w:r>
      <w:r w:rsidR="006D2E5A" w:rsidRPr="009E489E">
        <w:rPr>
          <w:rFonts w:cs="Times New Roman"/>
          <w:lang w:val="fr-CH"/>
        </w:rPr>
        <w:t>e</w:t>
      </w:r>
      <w:r w:rsidR="00387E0F" w:rsidRPr="009E489E">
        <w:rPr>
          <w:rFonts w:cs="Times New Roman"/>
          <w:lang w:val="fr-CH"/>
        </w:rPr>
        <w:t xml:space="preserve">s dans les plans d’action nationaux sur les droits de l’homme, ou </w:t>
      </w:r>
      <w:r w:rsidR="006C32D5" w:rsidRPr="009E489E">
        <w:rPr>
          <w:rFonts w:cs="Times New Roman"/>
          <w:lang w:val="fr-CH"/>
        </w:rPr>
        <w:t xml:space="preserve">sur la base des </w:t>
      </w:r>
      <w:r w:rsidR="00387E0F" w:rsidRPr="009E489E">
        <w:rPr>
          <w:rFonts w:cs="Times New Roman"/>
          <w:lang w:val="fr-CH"/>
        </w:rPr>
        <w:t xml:space="preserve"> documents de l’EPU </w:t>
      </w:r>
      <w:r w:rsidR="006C32D5" w:rsidRPr="009E489E">
        <w:rPr>
          <w:rFonts w:cs="Times New Roman"/>
          <w:lang w:val="fr-CH"/>
        </w:rPr>
        <w:t xml:space="preserve">préparés </w:t>
      </w:r>
      <w:r w:rsidR="00387E0F" w:rsidRPr="009E489E">
        <w:rPr>
          <w:rFonts w:cs="Times New Roman"/>
          <w:lang w:val="fr-CH"/>
        </w:rPr>
        <w:t xml:space="preserve">par </w:t>
      </w:r>
      <w:r w:rsidR="006D2E5A" w:rsidRPr="009E489E">
        <w:rPr>
          <w:rFonts w:cs="Times New Roman"/>
          <w:lang w:val="fr-CH"/>
        </w:rPr>
        <w:t>l</w:t>
      </w:r>
      <w:r w:rsidR="006C32D5" w:rsidRPr="009E489E">
        <w:rPr>
          <w:rFonts w:cs="Times New Roman"/>
          <w:lang w:val="fr-CH"/>
        </w:rPr>
        <w:t>e HCDH</w:t>
      </w:r>
      <w:r w:rsidR="00387E0F" w:rsidRPr="009E489E">
        <w:rPr>
          <w:rFonts w:cs="Times New Roman"/>
          <w:lang w:val="fr-CH"/>
        </w:rPr>
        <w:t xml:space="preserve"> comme indiqué en Annexe 2] : </w:t>
      </w:r>
    </w:p>
    <w:p w:rsidR="00387E0F" w:rsidRPr="009E489E" w:rsidRDefault="00387E0F" w:rsidP="00CB2F0B">
      <w:pPr>
        <w:jc w:val="both"/>
        <w:rPr>
          <w:rFonts w:cs="Times New Roman"/>
          <w:i/>
          <w:lang w:val="fr-CH"/>
        </w:rPr>
      </w:pPr>
      <w:r w:rsidRPr="009E489E">
        <w:rPr>
          <w:rFonts w:cs="Times New Roman"/>
          <w:i/>
          <w:lang w:val="fr-CH"/>
        </w:rPr>
        <w:t xml:space="preserve">1/ Mise en œuvre totale de recommandations : </w:t>
      </w:r>
    </w:p>
    <w:p w:rsidR="00387E0F" w:rsidRPr="009E489E" w:rsidRDefault="007975C1" w:rsidP="00387E0F">
      <w:pPr>
        <w:pStyle w:val="ListParagraph"/>
        <w:numPr>
          <w:ilvl w:val="0"/>
          <w:numId w:val="3"/>
        </w:numPr>
        <w:jc w:val="both"/>
        <w:rPr>
          <w:rFonts w:cs="Times New Roman"/>
          <w:lang w:val="fr-CH"/>
        </w:rPr>
      </w:pPr>
      <w:r w:rsidRPr="009E489E">
        <w:rPr>
          <w:rFonts w:cs="Times New Roman"/>
          <w:lang w:val="fr-CH"/>
        </w:rPr>
        <w:t xml:space="preserve">signaler les </w:t>
      </w:r>
      <w:r w:rsidR="00387E0F" w:rsidRPr="009E489E">
        <w:rPr>
          <w:rFonts w:cs="Times New Roman"/>
          <w:lang w:val="fr-CH"/>
        </w:rPr>
        <w:t>éventuelles recommandations mises en œuvre intégralement et l</w:t>
      </w:r>
      <w:r w:rsidR="007F2F1C" w:rsidRPr="009E489E">
        <w:rPr>
          <w:rFonts w:cs="Times New Roman"/>
          <w:lang w:val="fr-CH"/>
        </w:rPr>
        <w:t>’i</w:t>
      </w:r>
      <w:r w:rsidR="00387E0F" w:rsidRPr="009E489E">
        <w:rPr>
          <w:rFonts w:cs="Times New Roman"/>
          <w:lang w:val="fr-CH"/>
        </w:rPr>
        <w:t>mpact</w:t>
      </w:r>
      <w:r w:rsidR="007F2F1C" w:rsidRPr="009E489E">
        <w:rPr>
          <w:rFonts w:cs="Times New Roman"/>
          <w:lang w:val="fr-CH"/>
        </w:rPr>
        <w:t xml:space="preserve"> de leur mise en application.</w:t>
      </w:r>
      <w:r w:rsidR="00387E0F" w:rsidRPr="009E489E">
        <w:rPr>
          <w:rFonts w:cs="Times New Roman"/>
          <w:lang w:val="fr-CH"/>
        </w:rPr>
        <w:t xml:space="preserve"> </w:t>
      </w:r>
    </w:p>
    <w:p w:rsidR="00387E0F" w:rsidRPr="009E489E" w:rsidRDefault="00387E0F" w:rsidP="00387E0F">
      <w:pPr>
        <w:jc w:val="both"/>
        <w:rPr>
          <w:rFonts w:cs="Times New Roman"/>
          <w:i/>
          <w:lang w:val="fr-CH"/>
        </w:rPr>
      </w:pPr>
      <w:r w:rsidRPr="009E489E">
        <w:rPr>
          <w:rFonts w:cs="Times New Roman"/>
          <w:i/>
          <w:lang w:val="fr-CH"/>
        </w:rPr>
        <w:t xml:space="preserve">2/ Mise en œuvre partielle de recommandations : </w:t>
      </w:r>
    </w:p>
    <w:p w:rsidR="00307259" w:rsidRPr="009E489E" w:rsidRDefault="007975C1" w:rsidP="00387E0F">
      <w:pPr>
        <w:pStyle w:val="ListParagraph"/>
        <w:numPr>
          <w:ilvl w:val="0"/>
          <w:numId w:val="3"/>
        </w:numPr>
        <w:jc w:val="both"/>
        <w:rPr>
          <w:rFonts w:cs="Times New Roman"/>
          <w:lang w:val="fr-CH"/>
        </w:rPr>
      </w:pPr>
      <w:r w:rsidRPr="009E489E">
        <w:rPr>
          <w:rFonts w:cs="Times New Roman"/>
          <w:lang w:val="fr-CH"/>
        </w:rPr>
        <w:t xml:space="preserve">signaler </w:t>
      </w:r>
      <w:r w:rsidR="00387E0F" w:rsidRPr="009E489E">
        <w:rPr>
          <w:rFonts w:cs="Times New Roman"/>
          <w:lang w:val="fr-CH"/>
        </w:rPr>
        <w:t xml:space="preserve">les mesures prises pour mettre en œuvre les recommandations  - </w:t>
      </w:r>
      <w:r w:rsidR="006D2E5A" w:rsidRPr="009E489E">
        <w:rPr>
          <w:rFonts w:cs="Times New Roman"/>
          <w:lang w:val="fr-CH"/>
        </w:rPr>
        <w:t>recensement d</w:t>
      </w:r>
      <w:r w:rsidR="00387E0F" w:rsidRPr="009E489E">
        <w:rPr>
          <w:rFonts w:cs="Times New Roman"/>
          <w:lang w:val="fr-CH"/>
        </w:rPr>
        <w:t>es actio</w:t>
      </w:r>
      <w:r w:rsidR="00307259" w:rsidRPr="009E489E">
        <w:rPr>
          <w:rFonts w:cs="Times New Roman"/>
          <w:lang w:val="fr-CH"/>
        </w:rPr>
        <w:t>ns qui restent à prendre, les délais</w:t>
      </w:r>
      <w:r w:rsidR="00387E0F" w:rsidRPr="009E489E">
        <w:rPr>
          <w:rFonts w:cs="Times New Roman"/>
          <w:lang w:val="fr-CH"/>
        </w:rPr>
        <w:t xml:space="preserve">, les ressources, les acteurs, les </w:t>
      </w:r>
      <w:r w:rsidR="006D2E5A" w:rsidRPr="009E489E">
        <w:rPr>
          <w:rFonts w:cs="Times New Roman"/>
          <w:lang w:val="fr-CH"/>
        </w:rPr>
        <w:t>difficultés présentes</w:t>
      </w:r>
      <w:r w:rsidR="00387E0F" w:rsidRPr="009E489E">
        <w:rPr>
          <w:rFonts w:cs="Times New Roman"/>
          <w:lang w:val="fr-CH"/>
        </w:rPr>
        <w:t xml:space="preserve"> et les mesures pour les </w:t>
      </w:r>
      <w:r w:rsidR="00307259" w:rsidRPr="009E489E">
        <w:rPr>
          <w:rFonts w:cs="Times New Roman"/>
          <w:lang w:val="fr-CH"/>
        </w:rPr>
        <w:t>surmonter</w:t>
      </w:r>
      <w:r w:rsidR="006D2E5A" w:rsidRPr="009E489E">
        <w:rPr>
          <w:rFonts w:cs="Times New Roman"/>
          <w:lang w:val="fr-CH"/>
        </w:rPr>
        <w:t>, notamment d’</w:t>
      </w:r>
      <w:r w:rsidR="00307259" w:rsidRPr="009E489E">
        <w:rPr>
          <w:rFonts w:cs="Times New Roman"/>
          <w:lang w:val="fr-CH"/>
        </w:rPr>
        <w:t xml:space="preserve">éventuels besoins spécifiques </w:t>
      </w:r>
      <w:r w:rsidR="006D2E5A" w:rsidRPr="009E489E">
        <w:rPr>
          <w:rFonts w:cs="Times New Roman"/>
          <w:lang w:val="fr-CH"/>
        </w:rPr>
        <w:t xml:space="preserve">d’assistance et aide </w:t>
      </w:r>
      <w:r w:rsidR="00307259" w:rsidRPr="009E489E">
        <w:rPr>
          <w:rFonts w:cs="Times New Roman"/>
          <w:lang w:val="fr-CH"/>
        </w:rPr>
        <w:t xml:space="preserve">technique </w:t>
      </w:r>
    </w:p>
    <w:p w:rsidR="00307259" w:rsidRPr="009E489E" w:rsidRDefault="00307259" w:rsidP="00307259">
      <w:pPr>
        <w:jc w:val="both"/>
        <w:rPr>
          <w:rFonts w:cs="Times New Roman"/>
          <w:i/>
          <w:lang w:val="fr-CH"/>
        </w:rPr>
      </w:pPr>
      <w:r w:rsidRPr="009E489E">
        <w:rPr>
          <w:rFonts w:cs="Times New Roman"/>
          <w:i/>
          <w:lang w:val="fr-CH"/>
        </w:rPr>
        <w:t xml:space="preserve">3/ Recommandations en attente </w:t>
      </w:r>
    </w:p>
    <w:p w:rsidR="00387E0F" w:rsidRPr="009E489E" w:rsidRDefault="007975C1" w:rsidP="00307259">
      <w:pPr>
        <w:pStyle w:val="ListParagraph"/>
        <w:numPr>
          <w:ilvl w:val="0"/>
          <w:numId w:val="3"/>
        </w:numPr>
        <w:jc w:val="both"/>
        <w:rPr>
          <w:rFonts w:cs="Times New Roman"/>
          <w:lang w:val="fr-CH"/>
        </w:rPr>
      </w:pPr>
      <w:r w:rsidRPr="009E489E">
        <w:rPr>
          <w:rFonts w:cs="Times New Roman"/>
          <w:lang w:val="fr-CH"/>
        </w:rPr>
        <w:t>signaler</w:t>
      </w:r>
      <w:r w:rsidR="00307259" w:rsidRPr="009E489E">
        <w:rPr>
          <w:rFonts w:cs="Times New Roman"/>
          <w:lang w:val="fr-CH"/>
        </w:rPr>
        <w:t xml:space="preserve"> les recommandations pour lesquelles la mise en œuvre est toujours en attente – identification des raisons expliquant le délai de mise en œuvre, les défis, les mesures à prendre /prises pour les surmonter </w:t>
      </w:r>
    </w:p>
    <w:p w:rsidR="00307259" w:rsidRPr="009E489E" w:rsidRDefault="00307259" w:rsidP="00307259">
      <w:pPr>
        <w:jc w:val="both"/>
        <w:rPr>
          <w:rFonts w:cs="Times New Roman"/>
          <w:i/>
          <w:lang w:val="fr-CH"/>
        </w:rPr>
      </w:pPr>
      <w:r w:rsidRPr="009E489E">
        <w:rPr>
          <w:rFonts w:cs="Times New Roman"/>
          <w:i/>
          <w:lang w:val="fr-CH"/>
        </w:rPr>
        <w:t xml:space="preserve">4/ Recommandations notées </w:t>
      </w:r>
    </w:p>
    <w:p w:rsidR="00307259" w:rsidRPr="009E489E" w:rsidRDefault="007975C1" w:rsidP="00307259">
      <w:pPr>
        <w:pStyle w:val="ListParagraph"/>
        <w:numPr>
          <w:ilvl w:val="0"/>
          <w:numId w:val="3"/>
        </w:numPr>
        <w:jc w:val="both"/>
        <w:rPr>
          <w:rFonts w:cs="Times New Roman"/>
          <w:lang w:val="fr-CH"/>
        </w:rPr>
      </w:pPr>
      <w:r w:rsidRPr="009E489E">
        <w:rPr>
          <w:rFonts w:cs="Times New Roman"/>
          <w:lang w:val="fr-CH"/>
        </w:rPr>
        <w:t>signaler</w:t>
      </w:r>
      <w:r w:rsidR="00307259" w:rsidRPr="009E489E">
        <w:rPr>
          <w:rFonts w:cs="Times New Roman"/>
          <w:lang w:val="fr-CH"/>
        </w:rPr>
        <w:t xml:space="preserve"> </w:t>
      </w:r>
      <w:r w:rsidR="00DC639A" w:rsidRPr="009E489E">
        <w:rPr>
          <w:rFonts w:cs="Times New Roman"/>
          <w:lang w:val="fr-CH"/>
        </w:rPr>
        <w:t xml:space="preserve">les mesures </w:t>
      </w:r>
      <w:r w:rsidR="00FC60E2" w:rsidRPr="009E489E">
        <w:rPr>
          <w:rFonts w:cs="Times New Roman"/>
          <w:lang w:val="fr-CH"/>
        </w:rPr>
        <w:t>envisagées</w:t>
      </w:r>
      <w:r w:rsidR="00DC639A" w:rsidRPr="009E489E">
        <w:rPr>
          <w:rFonts w:cs="Times New Roman"/>
          <w:lang w:val="fr-CH"/>
        </w:rPr>
        <w:t xml:space="preserve"> </w:t>
      </w:r>
      <w:r w:rsidR="00FC60E2" w:rsidRPr="009E489E">
        <w:rPr>
          <w:rFonts w:cs="Times New Roman"/>
          <w:lang w:val="fr-CH"/>
        </w:rPr>
        <w:t xml:space="preserve">–s’il y en a- </w:t>
      </w:r>
      <w:r w:rsidR="00DC639A" w:rsidRPr="009E489E">
        <w:rPr>
          <w:rFonts w:cs="Times New Roman"/>
          <w:lang w:val="fr-CH"/>
        </w:rPr>
        <w:t xml:space="preserve">pour la mise en œuvre des recommandations notées, les </w:t>
      </w:r>
      <w:r w:rsidRPr="009E489E">
        <w:rPr>
          <w:rFonts w:cs="Times New Roman"/>
          <w:lang w:val="fr-CH"/>
        </w:rPr>
        <w:t>É</w:t>
      </w:r>
      <w:r w:rsidR="00DC639A" w:rsidRPr="009E489E">
        <w:rPr>
          <w:rFonts w:cs="Times New Roman"/>
          <w:lang w:val="fr-CH"/>
        </w:rPr>
        <w:t xml:space="preserve">tats pourraient </w:t>
      </w:r>
      <w:r w:rsidR="00E64ED2" w:rsidRPr="009E489E">
        <w:rPr>
          <w:rFonts w:cs="Times New Roman"/>
          <w:lang w:val="fr-CH"/>
        </w:rPr>
        <w:t xml:space="preserve">vouloir </w:t>
      </w:r>
      <w:r w:rsidR="00705A93" w:rsidRPr="009E489E">
        <w:rPr>
          <w:rFonts w:cs="Times New Roman"/>
          <w:lang w:val="fr-CH"/>
        </w:rPr>
        <w:t>porter à la connaissance de tou</w:t>
      </w:r>
      <w:r w:rsidR="00631733">
        <w:rPr>
          <w:rFonts w:cs="Times New Roman"/>
          <w:lang w:val="fr-CH"/>
        </w:rPr>
        <w:t>te</w:t>
      </w:r>
      <w:r w:rsidR="00705A93" w:rsidRPr="009E489E">
        <w:rPr>
          <w:rFonts w:cs="Times New Roman"/>
          <w:lang w:val="fr-CH"/>
        </w:rPr>
        <w:t>s</w:t>
      </w:r>
      <w:r w:rsidR="004906AE">
        <w:rPr>
          <w:rFonts w:cs="Times New Roman"/>
          <w:lang w:val="fr-CH"/>
        </w:rPr>
        <w:t xml:space="preserve"> les </w:t>
      </w:r>
      <w:r w:rsidR="00FC60E2" w:rsidRPr="009E489E">
        <w:rPr>
          <w:rFonts w:cs="Times New Roman"/>
          <w:lang w:val="fr-CH"/>
        </w:rPr>
        <w:t xml:space="preserve">mesures </w:t>
      </w:r>
      <w:r w:rsidR="00DC639A" w:rsidRPr="009E489E">
        <w:rPr>
          <w:rFonts w:cs="Times New Roman"/>
          <w:lang w:val="fr-CH"/>
        </w:rPr>
        <w:t xml:space="preserve">éventuelles qui </w:t>
      </w:r>
      <w:r w:rsidR="00FC60E2" w:rsidRPr="009E489E">
        <w:rPr>
          <w:rFonts w:cs="Times New Roman"/>
          <w:lang w:val="fr-CH"/>
        </w:rPr>
        <w:t xml:space="preserve">auraient </w:t>
      </w:r>
      <w:r w:rsidR="00DC639A" w:rsidRPr="009E489E">
        <w:rPr>
          <w:rFonts w:cs="Times New Roman"/>
          <w:lang w:val="fr-CH"/>
        </w:rPr>
        <w:t xml:space="preserve"> été prises pour prendre en compte des recommandations notées </w:t>
      </w:r>
    </w:p>
    <w:p w:rsidR="00DC639A" w:rsidRPr="009E489E" w:rsidRDefault="00DC639A" w:rsidP="00DC639A">
      <w:pPr>
        <w:jc w:val="both"/>
        <w:rPr>
          <w:rFonts w:cs="Times New Roman"/>
          <w:lang w:val="fr-CH"/>
        </w:rPr>
      </w:pPr>
      <w:r w:rsidRPr="009E489E">
        <w:rPr>
          <w:rFonts w:cs="Times New Roman"/>
          <w:b/>
          <w:lang w:val="fr-CH"/>
        </w:rPr>
        <w:t xml:space="preserve">C/ </w:t>
      </w:r>
      <w:r w:rsidR="007975C1" w:rsidRPr="009E489E">
        <w:rPr>
          <w:rFonts w:cs="Times New Roman"/>
          <w:b/>
          <w:lang w:val="fr-CH"/>
        </w:rPr>
        <w:t>É</w:t>
      </w:r>
      <w:r w:rsidRPr="009E489E">
        <w:rPr>
          <w:rFonts w:cs="Times New Roman"/>
          <w:b/>
          <w:lang w:val="fr-CH"/>
        </w:rPr>
        <w:t>tat de la mise en œuvre d’engagements volontaires</w:t>
      </w:r>
      <w:r w:rsidRPr="009E489E">
        <w:rPr>
          <w:rFonts w:cs="Times New Roman"/>
          <w:lang w:val="fr-CH"/>
        </w:rPr>
        <w:t xml:space="preserve">, notamment ceux pris dans le contexte de l’adhésion en tant que membre au Conseil des droits de l’homme </w:t>
      </w:r>
      <w:r w:rsidRPr="009E489E">
        <w:rPr>
          <w:rFonts w:cs="Times New Roman"/>
          <w:i/>
          <w:lang w:val="fr-CH"/>
        </w:rPr>
        <w:t>[Correspond au paragraphe D des lignes directrices]</w:t>
      </w:r>
    </w:p>
    <w:p w:rsidR="00DC639A" w:rsidRPr="009E489E" w:rsidRDefault="00DC639A" w:rsidP="00DC639A">
      <w:pPr>
        <w:jc w:val="both"/>
        <w:rPr>
          <w:rFonts w:cs="Times New Roman"/>
          <w:lang w:val="fr-CH"/>
        </w:rPr>
      </w:pPr>
      <w:r w:rsidRPr="009E489E">
        <w:rPr>
          <w:rFonts w:cs="Times New Roman"/>
          <w:b/>
          <w:lang w:val="fr-CH"/>
        </w:rPr>
        <w:t>D/</w:t>
      </w:r>
      <w:r w:rsidR="00F27BCD" w:rsidRPr="009E489E">
        <w:rPr>
          <w:rFonts w:cs="Times New Roman"/>
          <w:b/>
          <w:lang w:val="fr-CH"/>
        </w:rPr>
        <w:t xml:space="preserve"> Nouveaux enjeux</w:t>
      </w:r>
      <w:r w:rsidRPr="009E489E">
        <w:rPr>
          <w:rFonts w:cs="Times New Roman"/>
          <w:b/>
          <w:lang w:val="fr-CH"/>
        </w:rPr>
        <w:t xml:space="preserve">, notamment </w:t>
      </w:r>
      <w:r w:rsidR="001336B4" w:rsidRPr="009E489E">
        <w:rPr>
          <w:rFonts w:cs="Times New Roman"/>
          <w:b/>
          <w:lang w:val="fr-CH"/>
        </w:rPr>
        <w:t xml:space="preserve">les </w:t>
      </w:r>
      <w:r w:rsidRPr="009E489E">
        <w:rPr>
          <w:rFonts w:cs="Times New Roman"/>
          <w:b/>
          <w:lang w:val="fr-CH"/>
        </w:rPr>
        <w:t xml:space="preserve">avancées et </w:t>
      </w:r>
      <w:r w:rsidR="001336B4" w:rsidRPr="009E489E">
        <w:rPr>
          <w:rFonts w:cs="Times New Roman"/>
          <w:b/>
          <w:lang w:val="fr-CH"/>
        </w:rPr>
        <w:t xml:space="preserve">les difficultés </w:t>
      </w:r>
      <w:r w:rsidR="00F27BCD" w:rsidRPr="009E489E">
        <w:rPr>
          <w:rFonts w:cs="Times New Roman"/>
          <w:b/>
          <w:lang w:val="fr-CH"/>
        </w:rPr>
        <w:t xml:space="preserve">rencontrées </w:t>
      </w:r>
      <w:r w:rsidRPr="009E489E">
        <w:rPr>
          <w:rFonts w:cs="Times New Roman"/>
          <w:i/>
          <w:lang w:val="fr-CH"/>
        </w:rPr>
        <w:t>[Correspond au</w:t>
      </w:r>
      <w:r w:rsidR="00FC60E2" w:rsidRPr="009E489E">
        <w:rPr>
          <w:rFonts w:cs="Times New Roman"/>
          <w:i/>
          <w:lang w:val="fr-CH"/>
        </w:rPr>
        <w:t>x</w:t>
      </w:r>
      <w:r w:rsidRPr="009E489E">
        <w:rPr>
          <w:rFonts w:cs="Times New Roman"/>
          <w:i/>
          <w:lang w:val="fr-CH"/>
        </w:rPr>
        <w:t xml:space="preserve"> paragraphe</w:t>
      </w:r>
      <w:r w:rsidR="00FC60E2" w:rsidRPr="009E489E">
        <w:rPr>
          <w:rFonts w:cs="Times New Roman"/>
          <w:i/>
          <w:lang w:val="fr-CH"/>
        </w:rPr>
        <w:t>s</w:t>
      </w:r>
      <w:r w:rsidRPr="009E489E">
        <w:rPr>
          <w:rFonts w:cs="Times New Roman"/>
          <w:i/>
          <w:lang w:val="fr-CH"/>
        </w:rPr>
        <w:t xml:space="preserve"> B et F des lignes directrices]</w:t>
      </w:r>
      <w:r w:rsidRPr="009E489E">
        <w:rPr>
          <w:rFonts w:cs="Times New Roman"/>
          <w:lang w:val="fr-CH"/>
        </w:rPr>
        <w:t xml:space="preserve"> </w:t>
      </w:r>
    </w:p>
    <w:p w:rsidR="007A605A" w:rsidRPr="009E489E" w:rsidRDefault="007A605A" w:rsidP="00DC639A">
      <w:pPr>
        <w:jc w:val="both"/>
        <w:rPr>
          <w:rFonts w:cs="Times New Roman"/>
          <w:lang w:val="fr-CH"/>
        </w:rPr>
      </w:pPr>
      <w:r w:rsidRPr="009E489E">
        <w:rPr>
          <w:rFonts w:cs="Times New Roman"/>
          <w:b/>
          <w:lang w:val="fr-CH"/>
        </w:rPr>
        <w:t xml:space="preserve">E/ </w:t>
      </w:r>
      <w:r w:rsidR="001336B4" w:rsidRPr="009E489E">
        <w:rPr>
          <w:rFonts w:cs="Times New Roman"/>
          <w:b/>
          <w:lang w:val="fr-CH"/>
        </w:rPr>
        <w:t>Difficultés</w:t>
      </w:r>
      <w:r w:rsidRPr="009E489E">
        <w:rPr>
          <w:rFonts w:cs="Times New Roman"/>
          <w:b/>
          <w:lang w:val="fr-CH"/>
        </w:rPr>
        <w:t xml:space="preserve"> qui peuvent requérir le </w:t>
      </w:r>
      <w:r w:rsidR="0046197F" w:rsidRPr="009E489E">
        <w:rPr>
          <w:rFonts w:cs="Times New Roman"/>
          <w:b/>
          <w:lang w:val="fr-CH"/>
        </w:rPr>
        <w:t xml:space="preserve">soutien </w:t>
      </w:r>
      <w:r w:rsidRPr="009E489E">
        <w:rPr>
          <w:rFonts w:cs="Times New Roman"/>
          <w:b/>
          <w:lang w:val="fr-CH"/>
        </w:rPr>
        <w:t xml:space="preserve"> de la communauté internationale</w:t>
      </w:r>
      <w:r w:rsidRPr="009E489E">
        <w:rPr>
          <w:rFonts w:cs="Times New Roman"/>
          <w:lang w:val="fr-CH"/>
        </w:rPr>
        <w:t xml:space="preserve"> </w:t>
      </w:r>
      <w:r w:rsidRPr="009E489E">
        <w:rPr>
          <w:rFonts w:cs="Times New Roman"/>
          <w:i/>
          <w:lang w:val="fr-CH"/>
        </w:rPr>
        <w:t>[Correspond au paragraphe G des lignes directrices]</w:t>
      </w:r>
      <w:r w:rsidRPr="009E489E">
        <w:rPr>
          <w:rFonts w:cs="Times New Roman"/>
          <w:lang w:val="fr-CH"/>
        </w:rPr>
        <w:t xml:space="preserve"> </w:t>
      </w:r>
    </w:p>
    <w:p w:rsidR="00E64ED2" w:rsidRPr="009E489E" w:rsidRDefault="007A605A" w:rsidP="00DC639A">
      <w:pPr>
        <w:jc w:val="both"/>
        <w:rPr>
          <w:rFonts w:cs="Times New Roman"/>
          <w:lang w:val="fr-CH"/>
        </w:rPr>
      </w:pPr>
      <w:r w:rsidRPr="009E489E">
        <w:rPr>
          <w:rFonts w:cs="Times New Roman"/>
          <w:b/>
          <w:lang w:val="fr-CH"/>
        </w:rPr>
        <w:t>Annexe</w:t>
      </w:r>
      <w:r w:rsidRPr="009E489E">
        <w:rPr>
          <w:rFonts w:cs="Times New Roman"/>
          <w:lang w:val="fr-CH"/>
        </w:rPr>
        <w:t xml:space="preserve"> – Les </w:t>
      </w:r>
      <w:r w:rsidR="00390AA3" w:rsidRPr="009E489E">
        <w:rPr>
          <w:rFonts w:cs="Times New Roman"/>
          <w:lang w:val="fr-CH"/>
        </w:rPr>
        <w:t>É</w:t>
      </w:r>
      <w:r w:rsidRPr="009E489E">
        <w:rPr>
          <w:rFonts w:cs="Times New Roman"/>
          <w:lang w:val="fr-CH"/>
        </w:rPr>
        <w:t xml:space="preserve">tats sont vivement encouragés </w:t>
      </w:r>
      <w:r w:rsidR="00390AA3" w:rsidRPr="009E489E">
        <w:rPr>
          <w:rFonts w:cs="Times New Roman"/>
          <w:lang w:val="fr-CH"/>
        </w:rPr>
        <w:t>à</w:t>
      </w:r>
      <w:r w:rsidRPr="009E489E">
        <w:rPr>
          <w:rFonts w:cs="Times New Roman"/>
          <w:lang w:val="fr-CH"/>
        </w:rPr>
        <w:t xml:space="preserve"> </w:t>
      </w:r>
      <w:r w:rsidR="00705A93" w:rsidRPr="009E489E">
        <w:rPr>
          <w:rFonts w:cs="Times New Roman"/>
          <w:lang w:val="fr-CH"/>
        </w:rPr>
        <w:t>produire</w:t>
      </w:r>
      <w:r w:rsidRPr="009E489E">
        <w:rPr>
          <w:rFonts w:cs="Times New Roman"/>
          <w:lang w:val="fr-CH"/>
        </w:rPr>
        <w:t xml:space="preserve">, en annexe de leur rapport national, une table des recommandations, </w:t>
      </w:r>
      <w:r w:rsidR="00705A93" w:rsidRPr="009E489E">
        <w:rPr>
          <w:rFonts w:cs="Times New Roman"/>
          <w:lang w:val="fr-CH"/>
        </w:rPr>
        <w:t>qui,</w:t>
      </w:r>
      <w:r w:rsidR="00390AA3" w:rsidRPr="009E489E">
        <w:rPr>
          <w:rFonts w:cs="Times New Roman"/>
          <w:lang w:val="fr-CH"/>
        </w:rPr>
        <w:t xml:space="preserve"> </w:t>
      </w:r>
      <w:r w:rsidRPr="009E489E">
        <w:rPr>
          <w:rFonts w:cs="Times New Roman"/>
          <w:lang w:val="fr-CH"/>
        </w:rPr>
        <w:t xml:space="preserve">idéalement </w:t>
      </w:r>
      <w:r w:rsidR="00705A93" w:rsidRPr="009E489E">
        <w:rPr>
          <w:rFonts w:cs="Times New Roman"/>
          <w:lang w:val="fr-CH"/>
        </w:rPr>
        <w:t xml:space="preserve">seraient </w:t>
      </w:r>
      <w:r w:rsidR="00390AA3" w:rsidRPr="009E489E">
        <w:rPr>
          <w:rFonts w:cs="Times New Roman"/>
          <w:lang w:val="fr-CH"/>
        </w:rPr>
        <w:t>re</w:t>
      </w:r>
      <w:r w:rsidRPr="009E489E">
        <w:rPr>
          <w:rFonts w:cs="Times New Roman"/>
          <w:lang w:val="fr-CH"/>
        </w:rPr>
        <w:t xml:space="preserve">groupées par thème, </w:t>
      </w:r>
      <w:r w:rsidR="00390AA3" w:rsidRPr="009E489E">
        <w:rPr>
          <w:rFonts w:cs="Times New Roman"/>
          <w:lang w:val="fr-CH"/>
        </w:rPr>
        <w:t xml:space="preserve">et </w:t>
      </w:r>
      <w:r w:rsidR="00705A93" w:rsidRPr="009E489E">
        <w:rPr>
          <w:rFonts w:cs="Times New Roman"/>
          <w:lang w:val="fr-CH"/>
        </w:rPr>
        <w:t>dont l’état de mise en œuvre ferait l’objet d’une évaluation fournie par l’Etat lui-même.</w:t>
      </w:r>
      <w:r w:rsidRPr="009E489E">
        <w:rPr>
          <w:rFonts w:cs="Times New Roman"/>
          <w:lang w:val="fr-CH"/>
        </w:rPr>
        <w:t xml:space="preserve"> </w:t>
      </w:r>
      <w:r w:rsidR="00705A93" w:rsidRPr="009E489E">
        <w:rPr>
          <w:rFonts w:cs="Times New Roman"/>
          <w:lang w:val="fr-CH"/>
        </w:rPr>
        <w:t>Afin de les aider dans cette tâche, l</w:t>
      </w:r>
      <w:r w:rsidR="00390AA3" w:rsidRPr="009E489E">
        <w:rPr>
          <w:rFonts w:cs="Times New Roman"/>
          <w:lang w:val="fr-CH"/>
        </w:rPr>
        <w:t>es É</w:t>
      </w:r>
      <w:r w:rsidRPr="009E489E">
        <w:rPr>
          <w:rFonts w:cs="Times New Roman"/>
          <w:lang w:val="fr-CH"/>
        </w:rPr>
        <w:t>tats p</w:t>
      </w:r>
      <w:r w:rsidR="00705A93" w:rsidRPr="009E489E">
        <w:rPr>
          <w:rFonts w:cs="Times New Roman"/>
          <w:lang w:val="fr-CH"/>
        </w:rPr>
        <w:t xml:space="preserve">ourraient également utiliser et se prévaloir des tables de suivi  préparées par le HCDH et qui seront </w:t>
      </w:r>
      <w:r w:rsidRPr="009E489E">
        <w:rPr>
          <w:rFonts w:cs="Times New Roman"/>
          <w:lang w:val="fr-CH"/>
        </w:rPr>
        <w:t>disponibles sur les pages individuelles de</w:t>
      </w:r>
      <w:r w:rsidR="00E64ED2" w:rsidRPr="009E489E">
        <w:rPr>
          <w:rFonts w:cs="Times New Roman"/>
          <w:lang w:val="fr-CH"/>
        </w:rPr>
        <w:t>s</w:t>
      </w:r>
      <w:r w:rsidRPr="009E489E">
        <w:rPr>
          <w:rFonts w:cs="Times New Roman"/>
          <w:lang w:val="fr-CH"/>
        </w:rPr>
        <w:t xml:space="preserve"> pays sur le site de l’EPU, </w:t>
      </w:r>
      <w:r w:rsidR="00705A93" w:rsidRPr="009E489E">
        <w:rPr>
          <w:rFonts w:cs="Times New Roman"/>
          <w:lang w:val="fr-CH"/>
        </w:rPr>
        <w:t xml:space="preserve">avant les sessions </w:t>
      </w:r>
      <w:r w:rsidRPr="009E489E">
        <w:rPr>
          <w:rFonts w:cs="Times New Roman"/>
          <w:lang w:val="fr-CH"/>
        </w:rPr>
        <w:t xml:space="preserve"> du 3</w:t>
      </w:r>
      <w:r w:rsidRPr="009E489E">
        <w:rPr>
          <w:rFonts w:cs="Times New Roman"/>
          <w:vertAlign w:val="superscript"/>
          <w:lang w:val="fr-CH"/>
        </w:rPr>
        <w:t>e</w:t>
      </w:r>
      <w:r w:rsidRPr="009E489E">
        <w:rPr>
          <w:rFonts w:cs="Times New Roman"/>
          <w:lang w:val="fr-CH"/>
        </w:rPr>
        <w:t xml:space="preserve"> cycle :</w:t>
      </w:r>
      <w:r w:rsidR="00E64ED2" w:rsidRPr="009E489E">
        <w:rPr>
          <w:rFonts w:cs="Times New Roman"/>
          <w:lang w:val="fr-CH"/>
        </w:rPr>
        <w:t xml:space="preserve"> </w:t>
      </w:r>
    </w:p>
    <w:p w:rsidR="007A605A" w:rsidRPr="009E489E" w:rsidRDefault="007A605A" w:rsidP="00DC639A">
      <w:pPr>
        <w:jc w:val="both"/>
        <w:rPr>
          <w:rFonts w:cs="Times New Roman"/>
          <w:lang w:val="fr-CH"/>
        </w:rPr>
      </w:pPr>
      <w:r w:rsidRPr="009E489E">
        <w:rPr>
          <w:rFonts w:cs="Times New Roman"/>
          <w:u w:val="single"/>
          <w:lang w:val="fr-CH"/>
        </w:rPr>
        <w:lastRenderedPageBreak/>
        <w:t xml:space="preserve">http://www.ohchr.org/NET/HRBodies/UPR/Pages/Documentation.aspx </w:t>
      </w:r>
    </w:p>
    <w:p w:rsidR="007A605A" w:rsidRPr="009E489E" w:rsidRDefault="003C03DE" w:rsidP="000D16D6">
      <w:pPr>
        <w:shd w:val="clear" w:color="auto" w:fill="FBD4B4" w:themeFill="accent6" w:themeFillTint="66"/>
        <w:jc w:val="center"/>
        <w:rPr>
          <w:rFonts w:cs="Times New Roman"/>
          <w:b/>
          <w:lang w:val="fr-CH"/>
        </w:rPr>
      </w:pPr>
      <w:r w:rsidRPr="009E489E">
        <w:rPr>
          <w:rFonts w:cs="Times New Roman"/>
          <w:b/>
          <w:lang w:val="fr-CH"/>
        </w:rPr>
        <w:t>Conseils</w:t>
      </w:r>
      <w:r w:rsidR="007A605A" w:rsidRPr="009E489E">
        <w:rPr>
          <w:rFonts w:cs="Times New Roman"/>
          <w:b/>
          <w:lang w:val="fr-CH"/>
        </w:rPr>
        <w:t xml:space="preserve"> d’ordre pratique</w:t>
      </w:r>
    </w:p>
    <w:p w:rsidR="00CC4E0B" w:rsidRPr="009E489E" w:rsidRDefault="00E64ED2" w:rsidP="00705A93">
      <w:pPr>
        <w:pStyle w:val="ListParagraph"/>
        <w:numPr>
          <w:ilvl w:val="0"/>
          <w:numId w:val="3"/>
        </w:numPr>
        <w:jc w:val="both"/>
        <w:rPr>
          <w:rFonts w:cs="Times New Roman"/>
          <w:lang w:val="fr-CH"/>
        </w:rPr>
      </w:pPr>
      <w:r w:rsidRPr="009E489E">
        <w:rPr>
          <w:rFonts w:cs="Times New Roman"/>
          <w:lang w:val="fr-CH"/>
        </w:rPr>
        <w:t>Les É</w:t>
      </w:r>
      <w:r w:rsidR="007A605A" w:rsidRPr="009E489E">
        <w:rPr>
          <w:rFonts w:cs="Times New Roman"/>
          <w:lang w:val="fr-CH"/>
        </w:rPr>
        <w:t xml:space="preserve">tats sont encouragés à se référer </w:t>
      </w:r>
      <w:r w:rsidR="00705A93" w:rsidRPr="009E489E">
        <w:rPr>
          <w:rFonts w:cs="Times New Roman"/>
          <w:lang w:val="fr-CH"/>
        </w:rPr>
        <w:t>à la date butoir, provisoire, pour la soumission du rapport afin de</w:t>
      </w:r>
      <w:r w:rsidR="007A605A" w:rsidRPr="009E489E">
        <w:rPr>
          <w:rFonts w:cs="Times New Roman"/>
          <w:lang w:val="fr-CH"/>
        </w:rPr>
        <w:t xml:space="preserve"> mettre en place un échéancier</w:t>
      </w:r>
      <w:r w:rsidR="00574D0C" w:rsidRPr="009E489E">
        <w:rPr>
          <w:rFonts w:cs="Times New Roman"/>
          <w:lang w:val="fr-CH"/>
        </w:rPr>
        <w:t xml:space="preserve"> à rebours, </w:t>
      </w:r>
      <w:r w:rsidRPr="009E489E">
        <w:rPr>
          <w:rFonts w:cs="Times New Roman"/>
          <w:lang w:val="fr-CH"/>
        </w:rPr>
        <w:t xml:space="preserve">recensant </w:t>
      </w:r>
      <w:r w:rsidR="00574D0C" w:rsidRPr="009E489E">
        <w:rPr>
          <w:rFonts w:cs="Times New Roman"/>
          <w:lang w:val="fr-CH"/>
        </w:rPr>
        <w:t xml:space="preserve">les différentes mesures pour la compilation des renseignements, l’identification du format du rapport, l’élaboration des sections du rapport, le processus de consultation et de finalisation avant la transmission finale au Secrétariat. </w:t>
      </w:r>
    </w:p>
    <w:p w:rsidR="00574D0C" w:rsidRPr="009E489E" w:rsidRDefault="00E64ED2" w:rsidP="00CC4E0B">
      <w:pPr>
        <w:pStyle w:val="ListParagraph"/>
        <w:numPr>
          <w:ilvl w:val="0"/>
          <w:numId w:val="3"/>
        </w:numPr>
        <w:jc w:val="both"/>
        <w:rPr>
          <w:rFonts w:cs="Times New Roman"/>
          <w:lang w:val="fr-CH"/>
        </w:rPr>
      </w:pPr>
      <w:r w:rsidRPr="009E489E">
        <w:rPr>
          <w:rFonts w:cs="Times New Roman"/>
          <w:lang w:val="fr-CH"/>
        </w:rPr>
        <w:t>Les É</w:t>
      </w:r>
      <w:r w:rsidR="00574D0C" w:rsidRPr="009E489E">
        <w:rPr>
          <w:rFonts w:cs="Times New Roman"/>
          <w:lang w:val="fr-CH"/>
        </w:rPr>
        <w:t>tats sont encouragés à partager les détails sur les processus et systè</w:t>
      </w:r>
      <w:r w:rsidRPr="009E489E">
        <w:rPr>
          <w:rFonts w:cs="Times New Roman"/>
          <w:lang w:val="fr-CH"/>
        </w:rPr>
        <w:t>mes nationaux de suivi</w:t>
      </w:r>
      <w:r w:rsidR="00574D0C" w:rsidRPr="009E489E">
        <w:rPr>
          <w:rFonts w:cs="Times New Roman"/>
          <w:lang w:val="fr-CH"/>
        </w:rPr>
        <w:t xml:space="preserve"> des recommandations précédentes, quand </w:t>
      </w:r>
      <w:r w:rsidR="00656DC7" w:rsidRPr="009E489E">
        <w:rPr>
          <w:rFonts w:cs="Times New Roman"/>
          <w:lang w:val="fr-CH"/>
        </w:rPr>
        <w:t>de tels</w:t>
      </w:r>
      <w:r w:rsidR="00665E5A">
        <w:rPr>
          <w:rFonts w:cs="Times New Roman"/>
          <w:lang w:val="fr-CH"/>
        </w:rPr>
        <w:t xml:space="preserve"> processus et systèmes existent</w:t>
      </w:r>
      <w:r w:rsidR="00574D0C" w:rsidRPr="009E489E">
        <w:rPr>
          <w:rFonts w:cs="Times New Roman"/>
          <w:lang w:val="fr-CH"/>
        </w:rPr>
        <w:t xml:space="preserve">. </w:t>
      </w:r>
    </w:p>
    <w:p w:rsidR="00866E10" w:rsidRPr="009E489E" w:rsidRDefault="00574D0C" w:rsidP="00CC4E0B">
      <w:pPr>
        <w:pStyle w:val="ListParagraph"/>
        <w:numPr>
          <w:ilvl w:val="0"/>
          <w:numId w:val="3"/>
        </w:numPr>
        <w:jc w:val="both"/>
        <w:rPr>
          <w:rFonts w:cs="Times New Roman"/>
          <w:lang w:val="fr-CH"/>
        </w:rPr>
      </w:pPr>
      <w:r w:rsidRPr="009E489E">
        <w:rPr>
          <w:rFonts w:cs="Times New Roman"/>
          <w:lang w:val="fr-CH"/>
        </w:rPr>
        <w:t>Le rapport devrait se concentrer sur les mesures prises pour mettre en œuvre les recommandations précédentes. Il devrait</w:t>
      </w:r>
      <w:r w:rsidR="00866E10" w:rsidRPr="009E489E">
        <w:rPr>
          <w:rFonts w:cs="Times New Roman"/>
          <w:lang w:val="fr-CH"/>
        </w:rPr>
        <w:t xml:space="preserve"> </w:t>
      </w:r>
      <w:r w:rsidR="005E5985" w:rsidRPr="009E489E">
        <w:rPr>
          <w:rFonts w:cs="Times New Roman"/>
          <w:lang w:val="fr-CH"/>
        </w:rPr>
        <w:t>ainsi</w:t>
      </w:r>
      <w:r w:rsidRPr="009E489E">
        <w:rPr>
          <w:rFonts w:cs="Times New Roman"/>
          <w:lang w:val="fr-CH"/>
        </w:rPr>
        <w:t xml:space="preserve"> se concentrer</w:t>
      </w:r>
      <w:r w:rsidR="00866E10" w:rsidRPr="009E489E">
        <w:rPr>
          <w:rFonts w:cs="Times New Roman"/>
          <w:lang w:val="fr-CH"/>
        </w:rPr>
        <w:t xml:space="preserve"> sur la période écoulée depuis l’examen précédent. </w:t>
      </w:r>
    </w:p>
    <w:p w:rsidR="00574D0C" w:rsidRPr="009E489E" w:rsidRDefault="00866E10" w:rsidP="00CC4E0B">
      <w:pPr>
        <w:pStyle w:val="ListParagraph"/>
        <w:numPr>
          <w:ilvl w:val="0"/>
          <w:numId w:val="3"/>
        </w:numPr>
        <w:jc w:val="both"/>
        <w:rPr>
          <w:rFonts w:cs="Times New Roman"/>
          <w:lang w:val="fr-CH"/>
        </w:rPr>
      </w:pPr>
      <w:r w:rsidRPr="009E489E">
        <w:rPr>
          <w:rFonts w:cs="Times New Roman"/>
          <w:lang w:val="fr-CH"/>
        </w:rPr>
        <w:t xml:space="preserve">Les engagements volontaires devraient être clairement </w:t>
      </w:r>
      <w:r w:rsidR="005E5985" w:rsidRPr="009E489E">
        <w:rPr>
          <w:rFonts w:cs="Times New Roman"/>
          <w:lang w:val="fr-CH"/>
        </w:rPr>
        <w:t>recensés</w:t>
      </w:r>
      <w:r w:rsidRPr="009E489E">
        <w:rPr>
          <w:rFonts w:cs="Times New Roman"/>
          <w:lang w:val="fr-CH"/>
        </w:rPr>
        <w:t xml:space="preserve">. </w:t>
      </w:r>
    </w:p>
    <w:p w:rsidR="00866E10" w:rsidRPr="009E489E" w:rsidRDefault="00866E10" w:rsidP="00CC4E0B">
      <w:pPr>
        <w:pStyle w:val="ListParagraph"/>
        <w:numPr>
          <w:ilvl w:val="0"/>
          <w:numId w:val="3"/>
        </w:numPr>
        <w:jc w:val="both"/>
        <w:rPr>
          <w:rFonts w:cs="Times New Roman"/>
          <w:lang w:val="fr-CH"/>
        </w:rPr>
      </w:pPr>
      <w:r w:rsidRPr="009E489E">
        <w:rPr>
          <w:rFonts w:cs="Times New Roman"/>
          <w:lang w:val="fr-CH"/>
        </w:rPr>
        <w:t>L’utilisation d</w:t>
      </w:r>
      <w:r w:rsidR="00656DC7" w:rsidRPr="009E489E">
        <w:rPr>
          <w:rFonts w:cs="Times New Roman"/>
          <w:lang w:val="fr-CH"/>
        </w:rPr>
        <w:t>’</w:t>
      </w:r>
      <w:r w:rsidRPr="009E489E">
        <w:rPr>
          <w:rFonts w:cs="Times New Roman"/>
          <w:lang w:val="fr-CH"/>
        </w:rPr>
        <w:t xml:space="preserve">indicateurs </w:t>
      </w:r>
      <w:r w:rsidR="005309F6" w:rsidRPr="009E489E">
        <w:rPr>
          <w:rFonts w:cs="Times New Roman"/>
          <w:lang w:val="fr-CH"/>
        </w:rPr>
        <w:t>des</w:t>
      </w:r>
      <w:r w:rsidRPr="009E489E">
        <w:rPr>
          <w:rFonts w:cs="Times New Roman"/>
          <w:lang w:val="fr-CH"/>
        </w:rPr>
        <w:t xml:space="preserve"> droits de l’homme </w:t>
      </w:r>
      <w:r w:rsidR="005309F6" w:rsidRPr="009E489E">
        <w:rPr>
          <w:rFonts w:cs="Times New Roman"/>
          <w:lang w:val="fr-CH"/>
        </w:rPr>
        <w:t>qui peuvent avoir été définis par l’</w:t>
      </w:r>
      <w:r w:rsidR="005E5985" w:rsidRPr="009E489E">
        <w:rPr>
          <w:rFonts w:cs="Times New Roman"/>
          <w:lang w:val="fr-CH"/>
        </w:rPr>
        <w:t>É</w:t>
      </w:r>
      <w:r w:rsidR="005309F6" w:rsidRPr="009E489E">
        <w:rPr>
          <w:rFonts w:cs="Times New Roman"/>
          <w:lang w:val="fr-CH"/>
        </w:rPr>
        <w:t xml:space="preserve">tat – de </w:t>
      </w:r>
      <w:r w:rsidR="005E5985" w:rsidRPr="009E489E">
        <w:rPr>
          <w:rFonts w:cs="Times New Roman"/>
          <w:lang w:val="fr-CH"/>
        </w:rPr>
        <w:t>préférence pour le</w:t>
      </w:r>
      <w:r w:rsidR="005309F6" w:rsidRPr="009E489E">
        <w:rPr>
          <w:rFonts w:cs="Times New Roman"/>
          <w:lang w:val="fr-CH"/>
        </w:rPr>
        <w:t xml:space="preserve"> suivi </w:t>
      </w:r>
      <w:r w:rsidR="005E5985" w:rsidRPr="009E489E">
        <w:rPr>
          <w:rFonts w:cs="Times New Roman"/>
          <w:lang w:val="fr-CH"/>
        </w:rPr>
        <w:t>de son</w:t>
      </w:r>
      <w:r w:rsidR="005309F6" w:rsidRPr="009E489E">
        <w:rPr>
          <w:rFonts w:cs="Times New Roman"/>
          <w:lang w:val="fr-CH"/>
        </w:rPr>
        <w:t xml:space="preserve"> plan </w:t>
      </w:r>
      <w:r w:rsidR="005E5985" w:rsidRPr="009E489E">
        <w:rPr>
          <w:rFonts w:cs="Times New Roman"/>
          <w:lang w:val="fr-CH"/>
        </w:rPr>
        <w:t xml:space="preserve">d’action </w:t>
      </w:r>
      <w:r w:rsidR="005309F6" w:rsidRPr="009E489E">
        <w:rPr>
          <w:rFonts w:cs="Times New Roman"/>
          <w:lang w:val="fr-CH"/>
        </w:rPr>
        <w:t xml:space="preserve">– est encouragée pour </w:t>
      </w:r>
      <w:r w:rsidR="00586C23" w:rsidRPr="009E489E">
        <w:rPr>
          <w:rFonts w:cs="Times New Roman"/>
          <w:lang w:val="fr-CH"/>
        </w:rPr>
        <w:t xml:space="preserve">évaluer l’impact de la mise en œuvre des recommandations, et afin de l’utiliser dans le rapport. </w:t>
      </w:r>
    </w:p>
    <w:p w:rsidR="00586C23" w:rsidRPr="009E489E" w:rsidRDefault="005E5985" w:rsidP="00586C23">
      <w:pPr>
        <w:pStyle w:val="ListParagraph"/>
        <w:numPr>
          <w:ilvl w:val="0"/>
          <w:numId w:val="3"/>
        </w:numPr>
        <w:jc w:val="both"/>
        <w:rPr>
          <w:rFonts w:cs="Times New Roman"/>
          <w:lang w:val="fr-CH"/>
        </w:rPr>
      </w:pPr>
      <w:r w:rsidRPr="009E489E">
        <w:rPr>
          <w:rFonts w:cs="Times New Roman"/>
          <w:lang w:val="fr-CH"/>
        </w:rPr>
        <w:t>Les É</w:t>
      </w:r>
      <w:r w:rsidR="00586C23" w:rsidRPr="009E489E">
        <w:rPr>
          <w:rFonts w:cs="Times New Roman"/>
          <w:lang w:val="fr-CH"/>
        </w:rPr>
        <w:t xml:space="preserve">tats pourraient utiliser des catégories comme « entièrement mis en œuvre », « partiellement mis en œuvre », « en cours </w:t>
      </w:r>
      <w:r w:rsidRPr="009E489E">
        <w:rPr>
          <w:rFonts w:cs="Times New Roman"/>
          <w:lang w:val="fr-CH"/>
        </w:rPr>
        <w:t>de mise en œuvre</w:t>
      </w:r>
      <w:r w:rsidR="00586C23" w:rsidRPr="009E489E">
        <w:rPr>
          <w:rFonts w:cs="Times New Roman"/>
          <w:lang w:val="fr-CH"/>
        </w:rPr>
        <w:t xml:space="preserve"> », « pas mis en œuvre à ce jour ». </w:t>
      </w:r>
    </w:p>
    <w:p w:rsidR="00586C23" w:rsidRPr="009E489E" w:rsidRDefault="00586C23" w:rsidP="00586C23">
      <w:pPr>
        <w:pStyle w:val="ListParagraph"/>
        <w:numPr>
          <w:ilvl w:val="0"/>
          <w:numId w:val="3"/>
        </w:numPr>
        <w:jc w:val="both"/>
        <w:rPr>
          <w:rFonts w:cs="Times New Roman"/>
          <w:lang w:val="fr-CH"/>
        </w:rPr>
      </w:pPr>
      <w:r w:rsidRPr="009E489E">
        <w:rPr>
          <w:rFonts w:cs="Times New Roman"/>
          <w:lang w:val="fr-CH"/>
        </w:rPr>
        <w:t xml:space="preserve">Des références devraient être faites au rapport à mi-parcours s’il y en a un. </w:t>
      </w:r>
    </w:p>
    <w:p w:rsidR="00586C23" w:rsidRPr="009E489E" w:rsidRDefault="00586C23" w:rsidP="00586C23">
      <w:pPr>
        <w:pStyle w:val="ListParagraph"/>
        <w:numPr>
          <w:ilvl w:val="0"/>
          <w:numId w:val="3"/>
        </w:numPr>
        <w:jc w:val="both"/>
        <w:rPr>
          <w:rFonts w:cs="Times New Roman"/>
          <w:lang w:val="fr-CH"/>
        </w:rPr>
      </w:pPr>
      <w:r w:rsidRPr="009E489E">
        <w:rPr>
          <w:rFonts w:cs="Times New Roman"/>
          <w:lang w:val="fr-CH"/>
        </w:rPr>
        <w:t>Quand une recommandation a été pleinement mise en œuvre, des détails sur la manière dont la mesure</w:t>
      </w:r>
      <w:r w:rsidR="005E5985" w:rsidRPr="009E489E">
        <w:rPr>
          <w:rFonts w:cs="Times New Roman"/>
          <w:lang w:val="fr-CH"/>
        </w:rPr>
        <w:t xml:space="preserve"> a été appliquée</w:t>
      </w:r>
      <w:r w:rsidRPr="009E489E">
        <w:rPr>
          <w:rFonts w:cs="Times New Roman"/>
          <w:lang w:val="fr-CH"/>
        </w:rPr>
        <w:t xml:space="preserve"> et l’évaluation de l’impact sur le terrain devraient être fournis. </w:t>
      </w:r>
    </w:p>
    <w:p w:rsidR="00586C23" w:rsidRPr="009E489E" w:rsidRDefault="00586C23" w:rsidP="00586C23">
      <w:pPr>
        <w:pStyle w:val="ListParagraph"/>
        <w:numPr>
          <w:ilvl w:val="0"/>
          <w:numId w:val="3"/>
        </w:numPr>
        <w:jc w:val="both"/>
        <w:rPr>
          <w:rFonts w:cs="Times New Roman"/>
          <w:lang w:val="fr-CH"/>
        </w:rPr>
      </w:pPr>
      <w:r w:rsidRPr="009E489E">
        <w:rPr>
          <w:rFonts w:cs="Times New Roman"/>
          <w:lang w:val="fr-CH"/>
        </w:rPr>
        <w:t>Quand une recommandation est en cours de mise en œuvre,</w:t>
      </w:r>
      <w:r w:rsidR="005E5985" w:rsidRPr="009E489E">
        <w:rPr>
          <w:rFonts w:cs="Times New Roman"/>
          <w:lang w:val="fr-CH"/>
        </w:rPr>
        <w:t xml:space="preserve"> des détails sur l’avancement </w:t>
      </w:r>
      <w:r w:rsidRPr="009E489E">
        <w:rPr>
          <w:rFonts w:cs="Times New Roman"/>
          <w:lang w:val="fr-CH"/>
        </w:rPr>
        <w:t xml:space="preserve">de </w:t>
      </w:r>
      <w:r w:rsidR="005E5985" w:rsidRPr="009E489E">
        <w:rPr>
          <w:rFonts w:cs="Times New Roman"/>
          <w:lang w:val="fr-CH"/>
        </w:rPr>
        <w:t xml:space="preserve">sa </w:t>
      </w:r>
      <w:r w:rsidRPr="009E489E">
        <w:rPr>
          <w:rFonts w:cs="Times New Roman"/>
          <w:lang w:val="fr-CH"/>
        </w:rPr>
        <w:t>mi</w:t>
      </w:r>
      <w:r w:rsidR="00614AF8" w:rsidRPr="009E489E">
        <w:rPr>
          <w:rFonts w:cs="Times New Roman"/>
          <w:lang w:val="fr-CH"/>
        </w:rPr>
        <w:t>s</w:t>
      </w:r>
      <w:r w:rsidRPr="009E489E">
        <w:rPr>
          <w:rFonts w:cs="Times New Roman"/>
          <w:lang w:val="fr-CH"/>
        </w:rPr>
        <w:t>e en œuvre –</w:t>
      </w:r>
      <w:r w:rsidR="005E5985" w:rsidRPr="009E489E">
        <w:rPr>
          <w:rFonts w:cs="Times New Roman"/>
          <w:lang w:val="fr-CH"/>
        </w:rPr>
        <w:t xml:space="preserve"> </w:t>
      </w:r>
      <w:r w:rsidR="00614AF8" w:rsidRPr="009E489E">
        <w:rPr>
          <w:rFonts w:cs="Times New Roman"/>
          <w:lang w:val="fr-CH"/>
        </w:rPr>
        <w:t xml:space="preserve">les </w:t>
      </w:r>
      <w:r w:rsidRPr="009E489E">
        <w:rPr>
          <w:rFonts w:cs="Times New Roman"/>
          <w:lang w:val="fr-CH"/>
        </w:rPr>
        <w:t xml:space="preserve">mesures déjà prises </w:t>
      </w:r>
      <w:r w:rsidR="00614AF8" w:rsidRPr="009E489E">
        <w:rPr>
          <w:rFonts w:cs="Times New Roman"/>
          <w:lang w:val="fr-CH"/>
        </w:rPr>
        <w:t>ainsi que les mesures à prendre dans le futur devraient être fournis. L’échéancier, les acteurs, les ressources et les indicateurs devraient être</w:t>
      </w:r>
      <w:r w:rsidR="005E5985" w:rsidRPr="009E489E">
        <w:rPr>
          <w:rFonts w:cs="Times New Roman"/>
          <w:lang w:val="fr-CH"/>
        </w:rPr>
        <w:t xml:space="preserve"> recensés</w:t>
      </w:r>
      <w:r w:rsidR="00614AF8" w:rsidRPr="009E489E">
        <w:rPr>
          <w:rFonts w:cs="Times New Roman"/>
          <w:lang w:val="fr-CH"/>
        </w:rPr>
        <w:t xml:space="preserve">. </w:t>
      </w:r>
    </w:p>
    <w:p w:rsidR="00614AF8" w:rsidRPr="009E489E" w:rsidRDefault="00614AF8" w:rsidP="00586C23">
      <w:pPr>
        <w:pStyle w:val="ListParagraph"/>
        <w:numPr>
          <w:ilvl w:val="0"/>
          <w:numId w:val="3"/>
        </w:numPr>
        <w:jc w:val="both"/>
        <w:rPr>
          <w:rFonts w:cs="Times New Roman"/>
          <w:lang w:val="fr-CH"/>
        </w:rPr>
      </w:pPr>
      <w:r w:rsidRPr="009E489E">
        <w:rPr>
          <w:rFonts w:cs="Times New Roman"/>
          <w:lang w:val="fr-CH"/>
        </w:rPr>
        <w:t>Quand une recommandation est partiellement mise en œuvre ou pas encore mise en œuvre, une explication devrait être</w:t>
      </w:r>
      <w:r w:rsidR="005E5985" w:rsidRPr="009E489E">
        <w:rPr>
          <w:rFonts w:cs="Times New Roman"/>
          <w:lang w:val="fr-CH"/>
        </w:rPr>
        <w:t xml:space="preserve"> fournie, indiquant </w:t>
      </w:r>
      <w:r w:rsidRPr="009E489E">
        <w:rPr>
          <w:rFonts w:cs="Times New Roman"/>
          <w:lang w:val="fr-CH"/>
        </w:rPr>
        <w:t>les difficultés rencontrées</w:t>
      </w:r>
      <w:r w:rsidR="005E5985" w:rsidRPr="009E489E">
        <w:rPr>
          <w:rFonts w:cs="Times New Roman"/>
          <w:lang w:val="fr-CH"/>
        </w:rPr>
        <w:t xml:space="preserve"> et/ou les besoins</w:t>
      </w:r>
      <w:r w:rsidR="00656DC7" w:rsidRPr="009E489E">
        <w:rPr>
          <w:rFonts w:cs="Times New Roman"/>
          <w:lang w:val="fr-CH"/>
        </w:rPr>
        <w:t xml:space="preserve"> potentiels</w:t>
      </w:r>
      <w:r w:rsidR="005E5985" w:rsidRPr="009E489E">
        <w:rPr>
          <w:rFonts w:cs="Times New Roman"/>
          <w:lang w:val="fr-CH"/>
        </w:rPr>
        <w:t xml:space="preserve"> pour une assistance</w:t>
      </w:r>
      <w:r w:rsidRPr="009E489E">
        <w:rPr>
          <w:rFonts w:cs="Times New Roman"/>
          <w:lang w:val="fr-CH"/>
        </w:rPr>
        <w:t xml:space="preserve"> technique. </w:t>
      </w:r>
    </w:p>
    <w:p w:rsidR="00614AF8" w:rsidRPr="009E489E" w:rsidRDefault="005E5985" w:rsidP="00586C23">
      <w:pPr>
        <w:pStyle w:val="ListParagraph"/>
        <w:numPr>
          <w:ilvl w:val="0"/>
          <w:numId w:val="3"/>
        </w:numPr>
        <w:jc w:val="both"/>
        <w:rPr>
          <w:rFonts w:cs="Times New Roman"/>
          <w:lang w:val="fr-CH"/>
        </w:rPr>
      </w:pPr>
      <w:r w:rsidRPr="009E489E">
        <w:rPr>
          <w:rFonts w:cs="Times New Roman"/>
          <w:lang w:val="fr-CH"/>
        </w:rPr>
        <w:t>L</w:t>
      </w:r>
      <w:r w:rsidR="00614AF8" w:rsidRPr="009E489E">
        <w:rPr>
          <w:rFonts w:cs="Times New Roman"/>
          <w:lang w:val="fr-CH"/>
        </w:rPr>
        <w:t xml:space="preserve">es renseignements et l’évaluation devraient être étayés par des données chiffrées. Les renseignements transmis par d’autres mécanismes des droits de l’homme des Nations Unies pourraient également être utilisés </w:t>
      </w:r>
      <w:r w:rsidR="00A079A7" w:rsidRPr="009E489E">
        <w:rPr>
          <w:rFonts w:cs="Times New Roman"/>
          <w:lang w:val="fr-CH"/>
        </w:rPr>
        <w:t>afin de</w:t>
      </w:r>
      <w:r w:rsidR="00614AF8" w:rsidRPr="009E489E">
        <w:rPr>
          <w:rFonts w:cs="Times New Roman"/>
          <w:lang w:val="fr-CH"/>
        </w:rPr>
        <w:t xml:space="preserve"> </w:t>
      </w:r>
      <w:r w:rsidR="00A079A7" w:rsidRPr="009E489E">
        <w:rPr>
          <w:rFonts w:cs="Times New Roman"/>
          <w:lang w:val="fr-CH"/>
        </w:rPr>
        <w:t>structurer</w:t>
      </w:r>
      <w:r w:rsidRPr="009E489E">
        <w:rPr>
          <w:rFonts w:cs="Times New Roman"/>
          <w:lang w:val="fr-CH"/>
        </w:rPr>
        <w:t xml:space="preserve"> le rapport</w:t>
      </w:r>
      <w:r w:rsidR="00614AF8" w:rsidRPr="009E489E">
        <w:rPr>
          <w:rFonts w:cs="Times New Roman"/>
          <w:lang w:val="fr-CH"/>
        </w:rPr>
        <w:t xml:space="preserve"> des </w:t>
      </w:r>
      <w:r w:rsidRPr="009E489E">
        <w:rPr>
          <w:rFonts w:cs="Times New Roman"/>
          <w:lang w:val="fr-CH"/>
        </w:rPr>
        <w:t>É</w:t>
      </w:r>
      <w:r w:rsidR="00614AF8" w:rsidRPr="009E489E">
        <w:rPr>
          <w:rFonts w:cs="Times New Roman"/>
          <w:lang w:val="fr-CH"/>
        </w:rPr>
        <w:t xml:space="preserve">tats. </w:t>
      </w:r>
    </w:p>
    <w:p w:rsidR="00614AF8" w:rsidRPr="009E489E" w:rsidRDefault="00367B73" w:rsidP="00586C23">
      <w:pPr>
        <w:pStyle w:val="ListParagraph"/>
        <w:numPr>
          <w:ilvl w:val="0"/>
          <w:numId w:val="3"/>
        </w:numPr>
        <w:jc w:val="both"/>
        <w:rPr>
          <w:rFonts w:cs="Times New Roman"/>
          <w:lang w:val="fr-CH"/>
        </w:rPr>
      </w:pPr>
      <w:r w:rsidRPr="009E489E">
        <w:rPr>
          <w:rFonts w:cs="Times New Roman"/>
          <w:lang w:val="fr-CH"/>
        </w:rPr>
        <w:t>Les développements, les modifications</w:t>
      </w:r>
      <w:r w:rsidR="00F27BCD" w:rsidRPr="009E489E">
        <w:rPr>
          <w:rFonts w:cs="Times New Roman"/>
          <w:lang w:val="fr-CH"/>
        </w:rPr>
        <w:t xml:space="preserve"> et</w:t>
      </w:r>
      <w:r w:rsidRPr="009E489E">
        <w:rPr>
          <w:rFonts w:cs="Times New Roman"/>
          <w:lang w:val="fr-CH"/>
        </w:rPr>
        <w:t xml:space="preserve"> les </w:t>
      </w:r>
      <w:r w:rsidR="00F27BCD" w:rsidRPr="009E489E">
        <w:rPr>
          <w:rFonts w:cs="Times New Roman"/>
          <w:lang w:val="fr-CH"/>
        </w:rPr>
        <w:t xml:space="preserve">nouveaux enjeux </w:t>
      </w:r>
      <w:r w:rsidRPr="009E489E">
        <w:rPr>
          <w:rFonts w:cs="Times New Roman"/>
          <w:lang w:val="fr-CH"/>
        </w:rPr>
        <w:t>devraient être inclus dans des sections séparées à moins qu’ils fassent part de l’e</w:t>
      </w:r>
      <w:r w:rsidR="00F27BCD" w:rsidRPr="009E489E">
        <w:rPr>
          <w:rFonts w:cs="Times New Roman"/>
          <w:lang w:val="fr-CH"/>
        </w:rPr>
        <w:t>xplication sur les délais/</w:t>
      </w:r>
      <w:r w:rsidRPr="009E489E">
        <w:rPr>
          <w:rFonts w:cs="Times New Roman"/>
          <w:lang w:val="fr-CH"/>
        </w:rPr>
        <w:t xml:space="preserve">difficultés rencontrés pour mettre en œuvre les recommandations. </w:t>
      </w:r>
    </w:p>
    <w:p w:rsidR="00367B73" w:rsidRPr="009E489E" w:rsidRDefault="00F27BCD" w:rsidP="00586C23">
      <w:pPr>
        <w:pStyle w:val="ListParagraph"/>
        <w:numPr>
          <w:ilvl w:val="0"/>
          <w:numId w:val="3"/>
        </w:numPr>
        <w:jc w:val="both"/>
        <w:rPr>
          <w:rFonts w:cs="Times New Roman"/>
          <w:lang w:val="fr-CH"/>
        </w:rPr>
      </w:pPr>
      <w:r w:rsidRPr="009E489E">
        <w:rPr>
          <w:rFonts w:cs="Times New Roman"/>
          <w:lang w:val="fr-CH"/>
        </w:rPr>
        <w:t>Les É</w:t>
      </w:r>
      <w:r w:rsidR="00367B73" w:rsidRPr="009E489E">
        <w:rPr>
          <w:rFonts w:cs="Times New Roman"/>
          <w:lang w:val="fr-CH"/>
        </w:rPr>
        <w:t>tats sont respectueusement encouragés à éviter d’inclure des questions d</w:t>
      </w:r>
      <w:r w:rsidR="00656DC7" w:rsidRPr="009E489E">
        <w:rPr>
          <w:rFonts w:cs="Times New Roman"/>
          <w:lang w:val="fr-CH"/>
        </w:rPr>
        <w:t>e nature bilatérale</w:t>
      </w:r>
      <w:r w:rsidRPr="009E489E">
        <w:rPr>
          <w:rFonts w:cs="Times New Roman"/>
          <w:lang w:val="fr-CH"/>
        </w:rPr>
        <w:t>,</w:t>
      </w:r>
      <w:r w:rsidR="00367B73" w:rsidRPr="009E489E">
        <w:rPr>
          <w:rFonts w:cs="Times New Roman"/>
          <w:lang w:val="fr-CH"/>
        </w:rPr>
        <w:t xml:space="preserve"> politique</w:t>
      </w:r>
      <w:r w:rsidRPr="009E489E">
        <w:rPr>
          <w:rFonts w:cs="Times New Roman"/>
          <w:lang w:val="fr-CH"/>
        </w:rPr>
        <w:t>s</w:t>
      </w:r>
      <w:r w:rsidR="00367B73" w:rsidRPr="009E489E">
        <w:rPr>
          <w:rFonts w:cs="Times New Roman"/>
          <w:lang w:val="fr-CH"/>
        </w:rPr>
        <w:t xml:space="preserve"> et</w:t>
      </w:r>
      <w:r w:rsidRPr="009E489E">
        <w:rPr>
          <w:rFonts w:cs="Times New Roman"/>
          <w:lang w:val="fr-CH"/>
        </w:rPr>
        <w:t>/ou</w:t>
      </w:r>
      <w:r w:rsidR="00367B73" w:rsidRPr="009E489E">
        <w:rPr>
          <w:rFonts w:cs="Times New Roman"/>
          <w:lang w:val="fr-CH"/>
        </w:rPr>
        <w:t xml:space="preserve"> </w:t>
      </w:r>
      <w:r w:rsidR="006631E8" w:rsidRPr="009E489E">
        <w:rPr>
          <w:rFonts w:cs="Times New Roman"/>
          <w:lang w:val="fr-CH"/>
        </w:rPr>
        <w:t>litigieuses dans le</w:t>
      </w:r>
      <w:r w:rsidRPr="009E489E">
        <w:rPr>
          <w:rFonts w:cs="Times New Roman"/>
          <w:lang w:val="fr-CH"/>
        </w:rPr>
        <w:t>ur</w:t>
      </w:r>
      <w:r w:rsidR="006631E8" w:rsidRPr="009E489E">
        <w:rPr>
          <w:rFonts w:cs="Times New Roman"/>
          <w:lang w:val="fr-CH"/>
        </w:rPr>
        <w:t xml:space="preserve"> rapport. </w:t>
      </w:r>
    </w:p>
    <w:p w:rsidR="006631E8" w:rsidRPr="009E489E" w:rsidRDefault="006631E8" w:rsidP="000D16D6">
      <w:pPr>
        <w:shd w:val="clear" w:color="auto" w:fill="FBD4B4" w:themeFill="accent6" w:themeFillTint="66"/>
        <w:jc w:val="center"/>
        <w:rPr>
          <w:rFonts w:cs="Times New Roman"/>
          <w:b/>
          <w:lang w:val="fr-CH"/>
        </w:rPr>
      </w:pPr>
      <w:r w:rsidRPr="009E489E">
        <w:rPr>
          <w:rFonts w:cs="Times New Roman"/>
          <w:b/>
          <w:lang w:val="fr-CH"/>
        </w:rPr>
        <w:t>Lignes directrices techniques</w:t>
      </w:r>
    </w:p>
    <w:p w:rsidR="00230C88" w:rsidRPr="009E489E" w:rsidRDefault="00230C88" w:rsidP="00230C88">
      <w:pPr>
        <w:pStyle w:val="ListParagraph"/>
        <w:numPr>
          <w:ilvl w:val="0"/>
          <w:numId w:val="4"/>
        </w:numPr>
        <w:jc w:val="both"/>
        <w:rPr>
          <w:rFonts w:cs="Times New Roman"/>
          <w:lang w:val="fr-CH"/>
        </w:rPr>
      </w:pPr>
      <w:r w:rsidRPr="009E489E">
        <w:rPr>
          <w:rFonts w:cs="Times New Roman"/>
          <w:i/>
          <w:u w:val="single"/>
          <w:lang w:val="fr-CH"/>
        </w:rPr>
        <w:t>Longueur</w:t>
      </w:r>
      <w:r w:rsidRPr="009E489E">
        <w:rPr>
          <w:rFonts w:cs="Times New Roman"/>
          <w:i/>
          <w:lang w:val="fr-CH"/>
        </w:rPr>
        <w:t> </w:t>
      </w:r>
      <w:r w:rsidR="0096443D">
        <w:rPr>
          <w:rFonts w:cs="Times New Roman"/>
          <w:lang w:val="fr-CH"/>
        </w:rPr>
        <w:t>: le rapport ne doit</w:t>
      </w:r>
      <w:r w:rsidRPr="009E489E">
        <w:rPr>
          <w:rFonts w:cs="Times New Roman"/>
          <w:lang w:val="fr-CH"/>
        </w:rPr>
        <w:t xml:space="preserve"> pas dépasser les 10 700 mots </w:t>
      </w:r>
    </w:p>
    <w:p w:rsidR="00230C88" w:rsidRPr="009E489E" w:rsidRDefault="00230C88" w:rsidP="00230C88">
      <w:pPr>
        <w:pStyle w:val="ListParagraph"/>
        <w:numPr>
          <w:ilvl w:val="0"/>
          <w:numId w:val="4"/>
        </w:numPr>
        <w:jc w:val="both"/>
        <w:rPr>
          <w:rFonts w:cs="Times New Roman"/>
          <w:lang w:val="fr-CH"/>
        </w:rPr>
      </w:pPr>
      <w:r w:rsidRPr="009E489E">
        <w:rPr>
          <w:rFonts w:cs="Times New Roman"/>
          <w:i/>
          <w:u w:val="single"/>
          <w:lang w:val="fr-CH"/>
        </w:rPr>
        <w:t>Format</w:t>
      </w:r>
      <w:r w:rsidR="0096443D">
        <w:rPr>
          <w:rFonts w:cs="Times New Roman"/>
          <w:lang w:val="fr-CH"/>
        </w:rPr>
        <w:t> : le document doit</w:t>
      </w:r>
      <w:r w:rsidR="00766733" w:rsidRPr="009E489E">
        <w:rPr>
          <w:rFonts w:cs="Times New Roman"/>
          <w:lang w:val="fr-CH"/>
        </w:rPr>
        <w:t xml:space="preserve"> être fourni en format Word</w:t>
      </w:r>
      <w:r w:rsidRPr="009E489E">
        <w:rPr>
          <w:rFonts w:cs="Times New Roman"/>
          <w:lang w:val="fr-CH"/>
        </w:rPr>
        <w:t xml:space="preserve"> </w:t>
      </w:r>
    </w:p>
    <w:p w:rsidR="00230C88" w:rsidRPr="009E489E" w:rsidRDefault="00230C88" w:rsidP="00230C88">
      <w:pPr>
        <w:pStyle w:val="ListParagraph"/>
        <w:numPr>
          <w:ilvl w:val="0"/>
          <w:numId w:val="4"/>
        </w:numPr>
        <w:jc w:val="both"/>
        <w:rPr>
          <w:rFonts w:cs="Times New Roman"/>
          <w:lang w:val="fr-CH"/>
        </w:rPr>
      </w:pPr>
      <w:r w:rsidRPr="009E489E">
        <w:rPr>
          <w:rFonts w:cs="Times New Roman"/>
          <w:i/>
          <w:u w:val="single"/>
          <w:lang w:val="fr-CH"/>
        </w:rPr>
        <w:lastRenderedPageBreak/>
        <w:t>Utilisation des notes de bas de page</w:t>
      </w:r>
      <w:r w:rsidRPr="009E489E">
        <w:rPr>
          <w:rFonts w:cs="Times New Roman"/>
          <w:lang w:val="fr-CH"/>
        </w:rPr>
        <w:t xml:space="preserve"> : les notes de bas de page ne font pas partie du total des 10 700 mots. Elles ne sont pas traduites. Elles peuvent être utilisées pour </w:t>
      </w:r>
      <w:r w:rsidR="00656DC7" w:rsidRPr="009E489E">
        <w:rPr>
          <w:rFonts w:cs="Times New Roman"/>
          <w:lang w:val="fr-CH"/>
        </w:rPr>
        <w:t>étayer/référencer les</w:t>
      </w:r>
      <w:r w:rsidR="00766733" w:rsidRPr="009E489E">
        <w:rPr>
          <w:rFonts w:cs="Times New Roman"/>
          <w:lang w:val="fr-CH"/>
        </w:rPr>
        <w:t xml:space="preserve"> renseignements inclus</w:t>
      </w:r>
      <w:r w:rsidRPr="009E489E">
        <w:rPr>
          <w:rFonts w:cs="Times New Roman"/>
          <w:lang w:val="fr-CH"/>
        </w:rPr>
        <w:t xml:space="preserve"> dans le rapport. </w:t>
      </w:r>
    </w:p>
    <w:p w:rsidR="00230C88" w:rsidRPr="009E489E" w:rsidRDefault="00230C88" w:rsidP="00230C88">
      <w:pPr>
        <w:pStyle w:val="ListParagraph"/>
        <w:numPr>
          <w:ilvl w:val="0"/>
          <w:numId w:val="4"/>
        </w:numPr>
        <w:jc w:val="both"/>
        <w:rPr>
          <w:rFonts w:cs="Times New Roman"/>
          <w:lang w:val="fr-CH"/>
        </w:rPr>
      </w:pPr>
      <w:r w:rsidRPr="009E489E">
        <w:rPr>
          <w:rFonts w:cs="Times New Roman"/>
          <w:i/>
          <w:u w:val="single"/>
          <w:lang w:val="fr-CH"/>
        </w:rPr>
        <w:t>Annexes</w:t>
      </w:r>
      <w:r w:rsidRPr="009E489E">
        <w:rPr>
          <w:rFonts w:cs="Times New Roman"/>
          <w:lang w:val="fr-CH"/>
        </w:rPr>
        <w:t xml:space="preserve"> : les annexes avec les recommandations regroupées par ordre thématique ne font pas partie du total des mots comptés and ne seront pas traduites. </w:t>
      </w:r>
    </w:p>
    <w:p w:rsidR="00230C88" w:rsidRPr="009E489E" w:rsidRDefault="00230C88" w:rsidP="00230C88">
      <w:pPr>
        <w:pStyle w:val="ListParagraph"/>
        <w:numPr>
          <w:ilvl w:val="0"/>
          <w:numId w:val="4"/>
        </w:numPr>
        <w:jc w:val="both"/>
        <w:rPr>
          <w:rFonts w:cs="Times New Roman"/>
          <w:lang w:val="fr-CH"/>
        </w:rPr>
      </w:pPr>
      <w:r w:rsidRPr="009E489E">
        <w:rPr>
          <w:rFonts w:cs="Times New Roman"/>
          <w:i/>
          <w:u w:val="single"/>
          <w:lang w:val="fr-CH"/>
        </w:rPr>
        <w:t>Numérotation des paragraphes et des pages</w:t>
      </w:r>
      <w:r w:rsidRPr="009E489E">
        <w:rPr>
          <w:rFonts w:cs="Times New Roman"/>
          <w:i/>
          <w:lang w:val="fr-CH"/>
        </w:rPr>
        <w:t> </w:t>
      </w:r>
      <w:r w:rsidRPr="009E489E">
        <w:rPr>
          <w:rFonts w:cs="Times New Roman"/>
          <w:lang w:val="fr-CH"/>
        </w:rPr>
        <w:t xml:space="preserve">: pour </w:t>
      </w:r>
      <w:r w:rsidR="00766733" w:rsidRPr="009E489E">
        <w:rPr>
          <w:rFonts w:cs="Times New Roman"/>
          <w:lang w:val="fr-CH"/>
        </w:rPr>
        <w:t xml:space="preserve">pouvoir faire </w:t>
      </w:r>
      <w:r w:rsidRPr="009E489E">
        <w:rPr>
          <w:rFonts w:cs="Times New Roman"/>
          <w:lang w:val="fr-CH"/>
        </w:rPr>
        <w:t>référence facilement au rapport, les paragraphes et les</w:t>
      </w:r>
      <w:r w:rsidR="00766733" w:rsidRPr="009E489E">
        <w:rPr>
          <w:rFonts w:cs="Times New Roman"/>
          <w:lang w:val="fr-CH"/>
        </w:rPr>
        <w:t xml:space="preserve"> pages devraient être numérotés</w:t>
      </w:r>
      <w:r w:rsidRPr="009E489E">
        <w:rPr>
          <w:rFonts w:cs="Times New Roman"/>
          <w:lang w:val="fr-CH"/>
        </w:rPr>
        <w:t xml:space="preserve"> </w:t>
      </w:r>
    </w:p>
    <w:p w:rsidR="00230C88" w:rsidRPr="009E489E" w:rsidRDefault="00230C88" w:rsidP="00230C88">
      <w:pPr>
        <w:pStyle w:val="ListParagraph"/>
        <w:numPr>
          <w:ilvl w:val="0"/>
          <w:numId w:val="4"/>
        </w:numPr>
        <w:jc w:val="both"/>
        <w:rPr>
          <w:rFonts w:cs="Times New Roman"/>
          <w:lang w:val="fr-CH"/>
        </w:rPr>
      </w:pPr>
      <w:r w:rsidRPr="009E489E">
        <w:rPr>
          <w:rFonts w:cs="Times New Roman"/>
          <w:i/>
          <w:u w:val="single"/>
          <w:lang w:val="fr-CH"/>
        </w:rPr>
        <w:t>Langue</w:t>
      </w:r>
      <w:r w:rsidRPr="009E489E">
        <w:rPr>
          <w:rFonts w:cs="Times New Roman"/>
          <w:lang w:val="fr-CH"/>
        </w:rPr>
        <w:t> : le rapport devrait être transmis dans une des six langues officielles des Nations Unies</w:t>
      </w:r>
    </w:p>
    <w:p w:rsidR="00230C88" w:rsidRPr="009E489E" w:rsidRDefault="00656DC7" w:rsidP="00230C88">
      <w:pPr>
        <w:pStyle w:val="ListParagraph"/>
        <w:numPr>
          <w:ilvl w:val="0"/>
          <w:numId w:val="4"/>
        </w:numPr>
        <w:jc w:val="both"/>
        <w:rPr>
          <w:rFonts w:cs="Times New Roman"/>
          <w:lang w:val="fr-CH"/>
        </w:rPr>
      </w:pPr>
      <w:r w:rsidRPr="009E489E">
        <w:rPr>
          <w:rFonts w:cs="Times New Roman"/>
          <w:i/>
          <w:u w:val="single"/>
          <w:lang w:val="fr-CH"/>
        </w:rPr>
        <w:t>Edition</w:t>
      </w:r>
      <w:r w:rsidRPr="009E489E">
        <w:rPr>
          <w:rFonts w:cs="Times New Roman"/>
          <w:i/>
          <w:lang w:val="fr-CH"/>
        </w:rPr>
        <w:t> </w:t>
      </w:r>
      <w:r w:rsidR="00230C88" w:rsidRPr="009E489E">
        <w:rPr>
          <w:rFonts w:cs="Times New Roman"/>
          <w:lang w:val="fr-CH"/>
        </w:rPr>
        <w:t xml:space="preserve">: les rapports </w:t>
      </w:r>
      <w:r w:rsidR="00766733" w:rsidRPr="009E489E">
        <w:rPr>
          <w:rFonts w:cs="Times New Roman"/>
          <w:lang w:val="fr-CH"/>
        </w:rPr>
        <w:t xml:space="preserve">ne </w:t>
      </w:r>
      <w:r w:rsidRPr="009E489E">
        <w:rPr>
          <w:rFonts w:cs="Times New Roman"/>
          <w:lang w:val="fr-CH"/>
        </w:rPr>
        <w:t>sont pas édités par les services compétents des Nations Unies</w:t>
      </w:r>
    </w:p>
    <w:p w:rsidR="00E1595F" w:rsidRPr="009E489E" w:rsidRDefault="00E1595F" w:rsidP="000D16D6">
      <w:pPr>
        <w:shd w:val="clear" w:color="auto" w:fill="FBD4B4" w:themeFill="accent6" w:themeFillTint="66"/>
        <w:jc w:val="center"/>
        <w:rPr>
          <w:rFonts w:cs="Times New Roman"/>
          <w:b/>
          <w:lang w:val="fr-CH"/>
        </w:rPr>
      </w:pPr>
      <w:r w:rsidRPr="009E489E">
        <w:rPr>
          <w:rFonts w:cs="Times New Roman"/>
          <w:b/>
          <w:lang w:val="fr-CH"/>
        </w:rPr>
        <w:t>Quand transmettre le rapport national</w:t>
      </w:r>
    </w:p>
    <w:p w:rsidR="00E1595F" w:rsidRPr="009E489E" w:rsidRDefault="00504C7F" w:rsidP="00E1595F">
      <w:pPr>
        <w:jc w:val="both"/>
        <w:rPr>
          <w:rFonts w:cs="Times New Roman"/>
          <w:lang w:val="fr-CH"/>
        </w:rPr>
      </w:pPr>
      <w:r w:rsidRPr="009E489E">
        <w:rPr>
          <w:rFonts w:cs="Times New Roman"/>
          <w:i/>
          <w:u w:val="single"/>
          <w:lang w:val="fr-CH"/>
        </w:rPr>
        <w:t>L</w:t>
      </w:r>
      <w:r w:rsidR="00E1595F" w:rsidRPr="009E489E">
        <w:rPr>
          <w:rFonts w:cs="Times New Roman"/>
          <w:i/>
          <w:u w:val="single"/>
          <w:lang w:val="fr-CH"/>
        </w:rPr>
        <w:t>es délais provisoires</w:t>
      </w:r>
      <w:r w:rsidR="00E1595F" w:rsidRPr="009E489E">
        <w:rPr>
          <w:rFonts w:cs="Times New Roman"/>
          <w:i/>
          <w:lang w:val="fr-CH"/>
        </w:rPr>
        <w:t xml:space="preserve"> </w:t>
      </w:r>
      <w:r w:rsidR="00E1595F" w:rsidRPr="009E489E">
        <w:rPr>
          <w:rFonts w:cs="Times New Roman"/>
          <w:lang w:val="fr-CH"/>
        </w:rPr>
        <w:t xml:space="preserve">sont </w:t>
      </w:r>
      <w:r w:rsidRPr="009E489E">
        <w:rPr>
          <w:rFonts w:cs="Times New Roman"/>
          <w:lang w:val="fr-CH"/>
        </w:rPr>
        <w:t>inscrits</w:t>
      </w:r>
      <w:r w:rsidR="00E1595F" w:rsidRPr="009E489E">
        <w:rPr>
          <w:rFonts w:cs="Times New Roman"/>
          <w:lang w:val="fr-CH"/>
        </w:rPr>
        <w:t xml:space="preserve"> dans le calendrier du cycle et</w:t>
      </w:r>
      <w:r w:rsidR="00766733" w:rsidRPr="009E489E">
        <w:rPr>
          <w:rFonts w:cs="Times New Roman"/>
          <w:lang w:val="fr-CH"/>
        </w:rPr>
        <w:t xml:space="preserve"> mis en ligne sur le site web </w:t>
      </w:r>
      <w:r w:rsidR="005F5D59" w:rsidRPr="009E489E">
        <w:rPr>
          <w:rFonts w:cs="Times New Roman"/>
          <w:lang w:val="fr-CH"/>
        </w:rPr>
        <w:t>du HCDH</w:t>
      </w:r>
      <w:r w:rsidR="00E1595F" w:rsidRPr="009E489E">
        <w:rPr>
          <w:rFonts w:cs="Times New Roman"/>
          <w:lang w:val="fr-CH"/>
        </w:rPr>
        <w:t xml:space="preserve"> – </w:t>
      </w:r>
      <w:r w:rsidR="00E1595F" w:rsidRPr="009E489E">
        <w:rPr>
          <w:rFonts w:cs="Times New Roman"/>
          <w:u w:val="single"/>
          <w:lang w:val="fr-CH"/>
        </w:rPr>
        <w:t>http://www.ohchr.org/EN/HRBodies/UPR/Pages/UPRMain.aspx-</w:t>
      </w:r>
      <w:r w:rsidR="00E1595F" w:rsidRPr="009E489E">
        <w:rPr>
          <w:rFonts w:cs="Times New Roman"/>
          <w:lang w:val="fr-CH"/>
        </w:rPr>
        <w:t xml:space="preserve"> </w:t>
      </w:r>
      <w:r w:rsidR="00766733" w:rsidRPr="009E489E">
        <w:rPr>
          <w:rFonts w:cs="Times New Roman"/>
          <w:lang w:val="fr-CH"/>
        </w:rPr>
        <w:t>Pour les É</w:t>
      </w:r>
      <w:r w:rsidRPr="009E489E">
        <w:rPr>
          <w:rFonts w:cs="Times New Roman"/>
          <w:lang w:val="fr-CH"/>
        </w:rPr>
        <w:t xml:space="preserve">tats examinés </w:t>
      </w:r>
      <w:r w:rsidR="00766733" w:rsidRPr="009E489E">
        <w:rPr>
          <w:rFonts w:cs="Times New Roman"/>
          <w:lang w:val="fr-CH"/>
        </w:rPr>
        <w:t>lors de la session de début d’</w:t>
      </w:r>
      <w:r w:rsidRPr="009E489E">
        <w:rPr>
          <w:rFonts w:cs="Times New Roman"/>
          <w:lang w:val="fr-CH"/>
        </w:rPr>
        <w:t xml:space="preserve">année, le délai est généralement fixé </w:t>
      </w:r>
      <w:r w:rsidR="005F5D59" w:rsidRPr="009E489E">
        <w:rPr>
          <w:rFonts w:cs="Times New Roman"/>
          <w:lang w:val="fr-CH"/>
        </w:rPr>
        <w:t>au mois d’</w:t>
      </w:r>
      <w:r w:rsidRPr="009E489E">
        <w:rPr>
          <w:rFonts w:cs="Times New Roman"/>
          <w:lang w:val="fr-CH"/>
        </w:rPr>
        <w:t>octobre d</w:t>
      </w:r>
      <w:r w:rsidR="00766733" w:rsidRPr="009E489E">
        <w:rPr>
          <w:rFonts w:cs="Times New Roman"/>
          <w:lang w:val="fr-CH"/>
        </w:rPr>
        <w:t>e l’année précédente. Pour les É</w:t>
      </w:r>
      <w:r w:rsidRPr="009E489E">
        <w:rPr>
          <w:rFonts w:cs="Times New Roman"/>
          <w:lang w:val="fr-CH"/>
        </w:rPr>
        <w:t xml:space="preserve">tats examinés à la session d’avril-mai, le délai est généralement fixé </w:t>
      </w:r>
      <w:r w:rsidR="005F5D59" w:rsidRPr="009E489E">
        <w:rPr>
          <w:rFonts w:cs="Times New Roman"/>
          <w:lang w:val="fr-CH"/>
        </w:rPr>
        <w:t xml:space="preserve">aux mois de </w:t>
      </w:r>
      <w:r w:rsidRPr="009E489E">
        <w:rPr>
          <w:rFonts w:cs="Times New Roman"/>
          <w:lang w:val="fr-CH"/>
        </w:rPr>
        <w:t xml:space="preserve"> janvier-févr</w:t>
      </w:r>
      <w:r w:rsidR="00766733" w:rsidRPr="009E489E">
        <w:rPr>
          <w:rFonts w:cs="Times New Roman"/>
          <w:lang w:val="fr-CH"/>
        </w:rPr>
        <w:t>ier de la même année. Pour les É</w:t>
      </w:r>
      <w:r w:rsidRPr="009E489E">
        <w:rPr>
          <w:rFonts w:cs="Times New Roman"/>
          <w:lang w:val="fr-CH"/>
        </w:rPr>
        <w:t xml:space="preserve">tats examinés à la session d’octobre-novembre, le délai est généralement fixé </w:t>
      </w:r>
      <w:r w:rsidR="005F5D59" w:rsidRPr="009E489E">
        <w:rPr>
          <w:rFonts w:cs="Times New Roman"/>
          <w:lang w:val="fr-CH"/>
        </w:rPr>
        <w:t xml:space="preserve">aux mois de </w:t>
      </w:r>
      <w:r w:rsidRPr="009E489E">
        <w:rPr>
          <w:rFonts w:cs="Times New Roman"/>
          <w:lang w:val="fr-CH"/>
        </w:rPr>
        <w:t xml:space="preserve">juillet-août de la même année. </w:t>
      </w:r>
    </w:p>
    <w:p w:rsidR="00504C7F" w:rsidRPr="009E489E" w:rsidRDefault="00504C7F" w:rsidP="00E1595F">
      <w:pPr>
        <w:jc w:val="both"/>
        <w:rPr>
          <w:rFonts w:cs="Times New Roman"/>
          <w:lang w:val="fr-CH"/>
        </w:rPr>
      </w:pPr>
      <w:r w:rsidRPr="009E489E">
        <w:rPr>
          <w:rFonts w:cs="Times New Roman"/>
          <w:i/>
          <w:u w:val="single"/>
          <w:lang w:val="fr-CH"/>
        </w:rPr>
        <w:t xml:space="preserve">Les délais finaux </w:t>
      </w:r>
      <w:r w:rsidRPr="009E489E">
        <w:rPr>
          <w:rFonts w:cs="Times New Roman"/>
          <w:lang w:val="fr-CH"/>
        </w:rPr>
        <w:t xml:space="preserve">– correspondant approximativement </w:t>
      </w:r>
      <w:r w:rsidR="005F5D59" w:rsidRPr="009E489E">
        <w:rPr>
          <w:rFonts w:cs="Times New Roman"/>
          <w:lang w:val="fr-CH"/>
        </w:rPr>
        <w:t xml:space="preserve">à </w:t>
      </w:r>
      <w:r w:rsidRPr="009E489E">
        <w:rPr>
          <w:rFonts w:cs="Times New Roman"/>
          <w:lang w:val="fr-CH"/>
        </w:rPr>
        <w:t xml:space="preserve">13 ou 12 semaines avant la session – sont communiqués par correspondance formelle </w:t>
      </w:r>
      <w:r w:rsidR="005F5D59" w:rsidRPr="009E489E">
        <w:rPr>
          <w:rFonts w:cs="Times New Roman"/>
          <w:lang w:val="fr-CH"/>
        </w:rPr>
        <w:t xml:space="preserve">une fois que </w:t>
      </w:r>
      <w:r w:rsidRPr="009E489E">
        <w:rPr>
          <w:rFonts w:cs="Times New Roman"/>
          <w:lang w:val="fr-CH"/>
        </w:rPr>
        <w:t xml:space="preserve"> les dates des sessions ont été confirmées. </w:t>
      </w:r>
    </w:p>
    <w:p w:rsidR="00504C7F" w:rsidRPr="009E489E" w:rsidRDefault="00504C7F" w:rsidP="000D16D6">
      <w:pPr>
        <w:shd w:val="clear" w:color="auto" w:fill="FBD4B4" w:themeFill="accent6" w:themeFillTint="66"/>
        <w:jc w:val="center"/>
        <w:rPr>
          <w:rFonts w:cs="Times New Roman"/>
          <w:b/>
          <w:lang w:val="fr-CH"/>
        </w:rPr>
      </w:pPr>
      <w:r w:rsidRPr="009E489E">
        <w:rPr>
          <w:rFonts w:cs="Times New Roman"/>
          <w:b/>
          <w:lang w:val="fr-CH"/>
        </w:rPr>
        <w:t>Où et comment transmettre le rapport national</w:t>
      </w:r>
    </w:p>
    <w:p w:rsidR="00504C7F" w:rsidRPr="009E489E" w:rsidRDefault="00504C7F" w:rsidP="00504C7F">
      <w:pPr>
        <w:jc w:val="both"/>
        <w:rPr>
          <w:rFonts w:cs="Times New Roman"/>
          <w:lang w:val="fr-CH"/>
        </w:rPr>
      </w:pPr>
      <w:r w:rsidRPr="009E489E">
        <w:rPr>
          <w:rFonts w:cs="Times New Roman"/>
          <w:lang w:val="fr-CH"/>
        </w:rPr>
        <w:t xml:space="preserve">Le rapport devrait être transmis en format Word et envoyé par email à </w:t>
      </w:r>
      <w:r w:rsidRPr="009E489E">
        <w:rPr>
          <w:rFonts w:cs="Times New Roman"/>
          <w:u w:val="single"/>
          <w:lang w:val="fr-CH"/>
        </w:rPr>
        <w:t>UPRStates@ohchr.org</w:t>
      </w:r>
      <w:r w:rsidRPr="009E489E">
        <w:rPr>
          <w:rFonts w:cs="Times New Roman"/>
          <w:lang w:val="fr-CH"/>
        </w:rPr>
        <w:t xml:space="preserve">. Le Secrétariat </w:t>
      </w:r>
      <w:r w:rsidR="005F5D59" w:rsidRPr="009E489E">
        <w:rPr>
          <w:rFonts w:cs="Times New Roman"/>
          <w:lang w:val="fr-CH"/>
        </w:rPr>
        <w:t xml:space="preserve">ne </w:t>
      </w:r>
      <w:r w:rsidRPr="009E489E">
        <w:rPr>
          <w:rFonts w:cs="Times New Roman"/>
          <w:lang w:val="fr-CH"/>
        </w:rPr>
        <w:t xml:space="preserve">peut garantir le traitement d’un rapport seulement </w:t>
      </w:r>
      <w:r w:rsidR="005F5D59" w:rsidRPr="009E489E">
        <w:rPr>
          <w:rFonts w:cs="Times New Roman"/>
          <w:lang w:val="fr-CH"/>
        </w:rPr>
        <w:t xml:space="preserve">que s’il est </w:t>
      </w:r>
      <w:r w:rsidRPr="009E489E">
        <w:rPr>
          <w:rFonts w:cs="Times New Roman"/>
          <w:lang w:val="fr-CH"/>
        </w:rPr>
        <w:t xml:space="preserve"> transmis en format Word et à la bonne adresse mail. </w:t>
      </w:r>
      <w:r w:rsidR="00B25BFF" w:rsidRPr="009E489E">
        <w:rPr>
          <w:rFonts w:cs="Times New Roman"/>
          <w:lang w:val="fr-CH"/>
        </w:rPr>
        <w:t>Un document transmis en copie papier ou en format PDF ne peut pas être traité. Une transmission à un expéditeur différent retarderait inutilement l</w:t>
      </w:r>
      <w:r w:rsidR="005F5D59" w:rsidRPr="009E489E">
        <w:rPr>
          <w:rFonts w:cs="Times New Roman"/>
          <w:lang w:val="fr-CH"/>
        </w:rPr>
        <w:t>e</w:t>
      </w:r>
      <w:r w:rsidR="00B25BFF" w:rsidRPr="009E489E">
        <w:rPr>
          <w:rFonts w:cs="Times New Roman"/>
          <w:lang w:val="fr-CH"/>
        </w:rPr>
        <w:t xml:space="preserve"> </w:t>
      </w:r>
      <w:r w:rsidR="005F5D59" w:rsidRPr="009E489E">
        <w:rPr>
          <w:rFonts w:cs="Times New Roman"/>
          <w:lang w:val="fr-CH"/>
        </w:rPr>
        <w:t xml:space="preserve">traitement </w:t>
      </w:r>
      <w:r w:rsidR="00B25BFF" w:rsidRPr="009E489E">
        <w:rPr>
          <w:rFonts w:cs="Times New Roman"/>
          <w:lang w:val="fr-CH"/>
        </w:rPr>
        <w:t xml:space="preserve">du rapport. </w:t>
      </w:r>
    </w:p>
    <w:p w:rsidR="00B25BFF" w:rsidRPr="009E489E" w:rsidRDefault="00B25BFF" w:rsidP="000D16D6">
      <w:pPr>
        <w:shd w:val="clear" w:color="auto" w:fill="FBD4B4" w:themeFill="accent6" w:themeFillTint="66"/>
        <w:jc w:val="center"/>
        <w:rPr>
          <w:rFonts w:cs="Times New Roman"/>
          <w:b/>
          <w:lang w:val="fr-CH"/>
        </w:rPr>
      </w:pPr>
      <w:r w:rsidRPr="009E489E">
        <w:rPr>
          <w:rFonts w:cs="Times New Roman"/>
          <w:b/>
          <w:lang w:val="fr-CH"/>
        </w:rPr>
        <w:t>Distribution du rapport national</w:t>
      </w:r>
    </w:p>
    <w:p w:rsidR="00B25BFF" w:rsidRPr="009E489E" w:rsidRDefault="00B25BFF" w:rsidP="00B25BFF">
      <w:pPr>
        <w:jc w:val="both"/>
        <w:rPr>
          <w:rFonts w:cs="Times New Roman"/>
          <w:lang w:val="fr-CH"/>
        </w:rPr>
      </w:pPr>
      <w:r w:rsidRPr="009E489E">
        <w:rPr>
          <w:rFonts w:cs="Times New Roman"/>
          <w:lang w:val="fr-CH"/>
        </w:rPr>
        <w:t xml:space="preserve">Le rapport national est </w:t>
      </w:r>
      <w:r w:rsidR="007279E8" w:rsidRPr="009E489E">
        <w:rPr>
          <w:rFonts w:cs="Times New Roman"/>
          <w:lang w:val="fr-CH"/>
        </w:rPr>
        <w:t>mis en ligne</w:t>
      </w:r>
      <w:r w:rsidRPr="009E489E">
        <w:rPr>
          <w:rFonts w:cs="Times New Roman"/>
          <w:lang w:val="fr-CH"/>
        </w:rPr>
        <w:t xml:space="preserve"> sur le site officiel d</w:t>
      </w:r>
      <w:r w:rsidR="005F5D59" w:rsidRPr="009E489E">
        <w:rPr>
          <w:rFonts w:cs="Times New Roman"/>
          <w:lang w:val="fr-CH"/>
        </w:rPr>
        <w:t>u HCDH  et</w:t>
      </w:r>
      <w:r w:rsidRPr="009E489E">
        <w:rPr>
          <w:rFonts w:cs="Times New Roman"/>
          <w:lang w:val="fr-CH"/>
        </w:rPr>
        <w:t xml:space="preserve"> la page de l’EPU correspondant à chaque pays sous examen. Le rapport est </w:t>
      </w:r>
      <w:r w:rsidR="005F5D59" w:rsidRPr="009E489E">
        <w:rPr>
          <w:rFonts w:cs="Times New Roman"/>
          <w:lang w:val="fr-CH"/>
        </w:rPr>
        <w:t xml:space="preserve">publié </w:t>
      </w:r>
      <w:r w:rsidRPr="009E489E">
        <w:rPr>
          <w:rFonts w:cs="Times New Roman"/>
          <w:lang w:val="fr-CH"/>
        </w:rPr>
        <w:t xml:space="preserve">avec les deux autres documents préparés par </w:t>
      </w:r>
      <w:r w:rsidR="005F5D59" w:rsidRPr="009E489E">
        <w:rPr>
          <w:rFonts w:cs="Times New Roman"/>
          <w:lang w:val="fr-CH"/>
        </w:rPr>
        <w:t>le HCDH</w:t>
      </w:r>
      <w:r w:rsidRPr="009E489E">
        <w:rPr>
          <w:rFonts w:cs="Times New Roman"/>
          <w:lang w:val="fr-CH"/>
        </w:rPr>
        <w:t xml:space="preserve">. Les rapports sont accessibles et peuvent être téléchargés </w:t>
      </w:r>
      <w:r w:rsidR="007279E8" w:rsidRPr="009E489E">
        <w:rPr>
          <w:rFonts w:cs="Times New Roman"/>
          <w:lang w:val="fr-CH"/>
        </w:rPr>
        <w:t>dès qu’</w:t>
      </w:r>
      <w:r w:rsidRPr="009E489E">
        <w:rPr>
          <w:rFonts w:cs="Times New Roman"/>
          <w:lang w:val="fr-CH"/>
        </w:rPr>
        <w:t xml:space="preserve">ils sont disponibles dans les six langues officielles des Nations Unies. </w:t>
      </w:r>
      <w:r w:rsidR="007279E8" w:rsidRPr="009E489E">
        <w:rPr>
          <w:rFonts w:cs="Times New Roman"/>
          <w:lang w:val="fr-CH"/>
        </w:rPr>
        <w:t xml:space="preserve">Ils sont mis en ligne </w:t>
      </w:r>
      <w:r w:rsidRPr="009E489E">
        <w:rPr>
          <w:rFonts w:cs="Times New Roman"/>
          <w:lang w:val="fr-CH"/>
        </w:rPr>
        <w:t xml:space="preserve">généralement quatre semaines avant le début de la session. </w:t>
      </w:r>
    </w:p>
    <w:p w:rsidR="001E2356" w:rsidRPr="009E489E" w:rsidRDefault="001E2356" w:rsidP="00B25BFF">
      <w:pPr>
        <w:jc w:val="both"/>
        <w:rPr>
          <w:rFonts w:cs="Times New Roman"/>
          <w:lang w:val="fr-CH"/>
        </w:rPr>
      </w:pPr>
    </w:p>
    <w:p w:rsidR="00E1595F" w:rsidRPr="009E489E" w:rsidRDefault="00E1595F" w:rsidP="00E1595F">
      <w:pPr>
        <w:jc w:val="both"/>
        <w:rPr>
          <w:rFonts w:cs="Times New Roman"/>
          <w:lang w:val="fr-CH"/>
        </w:rPr>
      </w:pPr>
    </w:p>
    <w:p w:rsidR="001E2356" w:rsidRPr="009E489E" w:rsidRDefault="001E2356" w:rsidP="00E1595F">
      <w:pPr>
        <w:jc w:val="both"/>
        <w:rPr>
          <w:rFonts w:cs="Times New Roman"/>
          <w:lang w:val="fr-CH"/>
        </w:rPr>
      </w:pPr>
    </w:p>
    <w:p w:rsidR="00FB0729" w:rsidRDefault="00FB0729">
      <w:pPr>
        <w:rPr>
          <w:rFonts w:cs="Times New Roman"/>
          <w:lang w:val="fr-CH"/>
        </w:rPr>
      </w:pPr>
      <w:r>
        <w:rPr>
          <w:rFonts w:cs="Times New Roman"/>
          <w:lang w:val="fr-CH"/>
        </w:rPr>
        <w:br w:type="page"/>
      </w:r>
    </w:p>
    <w:p w:rsidR="000010CF" w:rsidRPr="009E489E" w:rsidRDefault="001E2356" w:rsidP="000D16D6">
      <w:pPr>
        <w:shd w:val="clear" w:color="auto" w:fill="17365D" w:themeFill="text2" w:themeFillShade="BF"/>
        <w:jc w:val="center"/>
        <w:rPr>
          <w:rFonts w:cs="Times New Roman"/>
          <w:b/>
          <w:i/>
          <w:lang w:val="fr-CH"/>
        </w:rPr>
      </w:pPr>
      <w:r w:rsidRPr="009E489E">
        <w:rPr>
          <w:rFonts w:cs="Times New Roman"/>
          <w:b/>
          <w:i/>
          <w:lang w:val="fr-CH"/>
        </w:rPr>
        <w:lastRenderedPageBreak/>
        <w:t>ANNEXE 1</w:t>
      </w:r>
    </w:p>
    <w:p w:rsidR="000346F8" w:rsidRPr="009E489E" w:rsidRDefault="000346F8" w:rsidP="001E2356">
      <w:pPr>
        <w:jc w:val="both"/>
        <w:rPr>
          <w:rFonts w:cs="Times New Roman"/>
          <w:b/>
          <w:lang w:val="fr-CH"/>
        </w:rPr>
      </w:pPr>
    </w:p>
    <w:p w:rsidR="001E2356" w:rsidRPr="009E489E" w:rsidRDefault="001E2356" w:rsidP="000D16D6">
      <w:pPr>
        <w:shd w:val="clear" w:color="auto" w:fill="DBE5F1" w:themeFill="accent1" w:themeFillTint="33"/>
        <w:jc w:val="both"/>
        <w:rPr>
          <w:rFonts w:cs="Times New Roman"/>
          <w:b/>
          <w:lang w:val="fr-CH"/>
        </w:rPr>
      </w:pPr>
      <w:r w:rsidRPr="009E489E">
        <w:rPr>
          <w:rFonts w:cs="Times New Roman"/>
          <w:b/>
          <w:lang w:val="fr-CH"/>
        </w:rPr>
        <w:t xml:space="preserve">Décision 17/119 – Lignes directrices du rapport national </w:t>
      </w:r>
    </w:p>
    <w:p w:rsidR="001E2356" w:rsidRPr="009E489E" w:rsidRDefault="001E2356" w:rsidP="001E2356">
      <w:pPr>
        <w:pStyle w:val="ListParagraph"/>
        <w:numPr>
          <w:ilvl w:val="0"/>
          <w:numId w:val="5"/>
        </w:numPr>
        <w:jc w:val="both"/>
        <w:rPr>
          <w:rFonts w:cs="Times New Roman"/>
          <w:lang w:val="fr-CH"/>
        </w:rPr>
      </w:pPr>
      <w:r w:rsidRPr="009E489E">
        <w:rPr>
          <w:rFonts w:cs="Times New Roman"/>
          <w:lang w:val="fr-CH"/>
        </w:rPr>
        <w:t xml:space="preserve">Description de la méthodologie et du processus général de consultation suivis pour la préparer les renseignements fournis dans le cadre de l’Examen périodique universel ; </w:t>
      </w:r>
    </w:p>
    <w:p w:rsidR="005F5D59" w:rsidRPr="009E489E" w:rsidRDefault="005F5D59" w:rsidP="00C67D84">
      <w:pPr>
        <w:pStyle w:val="ListParagraph"/>
        <w:jc w:val="both"/>
        <w:rPr>
          <w:rFonts w:cs="Times New Roman"/>
          <w:lang w:val="fr-CH"/>
        </w:rPr>
      </w:pPr>
    </w:p>
    <w:p w:rsidR="001E2356" w:rsidRPr="009E489E" w:rsidRDefault="001E2356" w:rsidP="001E2356">
      <w:pPr>
        <w:pStyle w:val="ListParagraph"/>
        <w:numPr>
          <w:ilvl w:val="0"/>
          <w:numId w:val="5"/>
        </w:numPr>
        <w:jc w:val="both"/>
        <w:rPr>
          <w:rFonts w:cs="Times New Roman"/>
          <w:lang w:val="fr-CH"/>
        </w:rPr>
      </w:pPr>
      <w:r w:rsidRPr="009E489E">
        <w:rPr>
          <w:rFonts w:cs="Times New Roman"/>
          <w:lang w:val="fr-CH"/>
        </w:rPr>
        <w:t>Faits nouveaux intervenus depuis l’examen précédent de l’</w:t>
      </w:r>
      <w:r w:rsidR="00027F2A" w:rsidRPr="009E489E">
        <w:rPr>
          <w:rFonts w:cs="Times New Roman"/>
          <w:lang w:val="fr-CH"/>
        </w:rPr>
        <w:t>aperçu</w:t>
      </w:r>
      <w:r w:rsidRPr="009E489E">
        <w:rPr>
          <w:rFonts w:cs="Times New Roman"/>
          <w:lang w:val="fr-CH"/>
        </w:rPr>
        <w:t xml:space="preserve"> général du pays à l’examen et du cadre, notamment normatif et institutionnel, dans lequel s’inscrivent la promotion et la protection des droits de l’homme : constitution, législation, mesures de po</w:t>
      </w:r>
      <w:r w:rsidR="00077BF1">
        <w:rPr>
          <w:rFonts w:cs="Times New Roman"/>
          <w:lang w:val="fr-CH"/>
        </w:rPr>
        <w:t>litique générale, jurisprudence</w:t>
      </w:r>
      <w:r w:rsidRPr="009E489E">
        <w:rPr>
          <w:rFonts w:cs="Times New Roman"/>
          <w:lang w:val="fr-CH"/>
        </w:rPr>
        <w:t xml:space="preserve"> nationale, infrastructure des droits de l’homme, notamment les institutions nationales des droits de l’homme, et portée des obligations internationales recensées dans la « base de l’examen » figurant dans la résolution 5/1, annexe, section IA ; </w:t>
      </w:r>
    </w:p>
    <w:p w:rsidR="005F5D59" w:rsidRPr="009E489E" w:rsidRDefault="005F5D59" w:rsidP="00C67D84">
      <w:pPr>
        <w:pStyle w:val="ListParagraph"/>
        <w:jc w:val="both"/>
        <w:rPr>
          <w:rFonts w:cs="Times New Roman"/>
          <w:lang w:val="fr-CH"/>
        </w:rPr>
      </w:pPr>
    </w:p>
    <w:p w:rsidR="001E2356" w:rsidRPr="009E489E" w:rsidRDefault="001E2356" w:rsidP="001E2356">
      <w:pPr>
        <w:pStyle w:val="ListParagraph"/>
        <w:numPr>
          <w:ilvl w:val="0"/>
          <w:numId w:val="5"/>
        </w:numPr>
        <w:jc w:val="both"/>
        <w:rPr>
          <w:rFonts w:cs="Times New Roman"/>
          <w:lang w:val="fr-CH"/>
        </w:rPr>
      </w:pPr>
      <w:r w:rsidRPr="009E489E">
        <w:rPr>
          <w:rFonts w:cs="Times New Roman"/>
          <w:lang w:val="fr-CH"/>
        </w:rPr>
        <w:t>Promotion et protection des droits de l’homme sur le terrain : respect des obligations internationales en matière de droits de l’homme recensées dans la « base de l’examen » figurant dans la résolution 5/1, annexe, section IA ; législation nationale et engagements souscrits volontairement, activités des institutions nationales des droits de l’homme, sensibilisation du public aux droits de l’homme, coopération avec les mécanismes relatifs aux droits de l’homme… ;</w:t>
      </w:r>
    </w:p>
    <w:p w:rsidR="005F5D59" w:rsidRPr="009E489E" w:rsidRDefault="005F5D59" w:rsidP="00C67D84">
      <w:pPr>
        <w:pStyle w:val="ListParagraph"/>
        <w:jc w:val="both"/>
        <w:rPr>
          <w:rFonts w:cs="Times New Roman"/>
          <w:lang w:val="fr-CH"/>
        </w:rPr>
      </w:pPr>
    </w:p>
    <w:p w:rsidR="001E2356" w:rsidRPr="009E489E" w:rsidRDefault="001E2356" w:rsidP="001E2356">
      <w:pPr>
        <w:pStyle w:val="ListParagraph"/>
        <w:numPr>
          <w:ilvl w:val="0"/>
          <w:numId w:val="5"/>
        </w:numPr>
        <w:jc w:val="both"/>
        <w:rPr>
          <w:rFonts w:cs="Times New Roman"/>
          <w:lang w:val="fr-CH"/>
        </w:rPr>
      </w:pPr>
      <w:r w:rsidRPr="009E489E">
        <w:rPr>
          <w:rFonts w:cs="Times New Roman"/>
          <w:lang w:val="fr-CH"/>
        </w:rPr>
        <w:t xml:space="preserve">Présentation par l’Etat concerné de la suite donnée à l’examen précédent ; </w:t>
      </w:r>
    </w:p>
    <w:p w:rsidR="005F5D59" w:rsidRPr="009E489E" w:rsidRDefault="005F5D59" w:rsidP="00C67D84">
      <w:pPr>
        <w:pStyle w:val="ListParagraph"/>
        <w:jc w:val="both"/>
        <w:rPr>
          <w:rFonts w:cs="Times New Roman"/>
          <w:lang w:val="fr-CH"/>
        </w:rPr>
      </w:pPr>
    </w:p>
    <w:p w:rsidR="001E2356" w:rsidRPr="009E489E" w:rsidRDefault="001E2356" w:rsidP="001E2356">
      <w:pPr>
        <w:pStyle w:val="ListParagraph"/>
        <w:numPr>
          <w:ilvl w:val="0"/>
          <w:numId w:val="5"/>
        </w:numPr>
        <w:jc w:val="both"/>
        <w:rPr>
          <w:rFonts w:cs="Times New Roman"/>
          <w:lang w:val="fr-CH"/>
        </w:rPr>
      </w:pPr>
      <w:r w:rsidRPr="009E489E">
        <w:rPr>
          <w:rFonts w:cs="Times New Roman"/>
          <w:lang w:val="fr-CH"/>
        </w:rPr>
        <w:t>Recensement des progrès, des meilleures pratiques, des difficultés et des contraintes liés à la mise en œuvre des recommandations acceptées et à l’évolution de la situation des droits de l’homme dans l’Etat ;</w:t>
      </w:r>
    </w:p>
    <w:p w:rsidR="005F5D59" w:rsidRPr="009E489E" w:rsidRDefault="005F5D59" w:rsidP="00C67D84">
      <w:pPr>
        <w:pStyle w:val="ListParagraph"/>
        <w:jc w:val="both"/>
        <w:rPr>
          <w:rFonts w:cs="Times New Roman"/>
          <w:lang w:val="fr-CH"/>
        </w:rPr>
      </w:pPr>
    </w:p>
    <w:p w:rsidR="005F5D59" w:rsidRPr="009E489E" w:rsidRDefault="001E2356" w:rsidP="001E2356">
      <w:pPr>
        <w:pStyle w:val="ListParagraph"/>
        <w:numPr>
          <w:ilvl w:val="0"/>
          <w:numId w:val="5"/>
        </w:numPr>
        <w:jc w:val="both"/>
        <w:rPr>
          <w:rFonts w:cs="Times New Roman"/>
          <w:lang w:val="fr-CH"/>
        </w:rPr>
      </w:pPr>
      <w:r w:rsidRPr="009E489E">
        <w:rPr>
          <w:rFonts w:cs="Times New Roman"/>
          <w:lang w:val="fr-CH"/>
        </w:rPr>
        <w:t>Priorités, initiatives et engagements nationaux essentiels que l’Etat considéré a mis en œuvre ou a l’intention de mettre en œuvre afin de surmonter ces difficultés et contraintes et d’améliorer la situation sur le terrain en matière de droits de l’homme ;</w:t>
      </w:r>
    </w:p>
    <w:p w:rsidR="001E2356" w:rsidRPr="009E489E" w:rsidRDefault="001E2356" w:rsidP="00C67D84">
      <w:pPr>
        <w:pStyle w:val="ListParagraph"/>
        <w:jc w:val="both"/>
        <w:rPr>
          <w:rFonts w:cs="Times New Roman"/>
          <w:lang w:val="fr-CH"/>
        </w:rPr>
      </w:pPr>
      <w:r w:rsidRPr="009E489E">
        <w:rPr>
          <w:rFonts w:cs="Times New Roman"/>
          <w:lang w:val="fr-CH"/>
        </w:rPr>
        <w:t xml:space="preserve"> </w:t>
      </w:r>
    </w:p>
    <w:p w:rsidR="001E2356" w:rsidRPr="009E489E" w:rsidRDefault="001E2356" w:rsidP="001E2356">
      <w:pPr>
        <w:pStyle w:val="ListParagraph"/>
        <w:numPr>
          <w:ilvl w:val="0"/>
          <w:numId w:val="5"/>
        </w:numPr>
        <w:jc w:val="both"/>
        <w:rPr>
          <w:rFonts w:cs="Times New Roman"/>
          <w:lang w:val="fr-CH"/>
        </w:rPr>
      </w:pPr>
      <w:r w:rsidRPr="009E489E">
        <w:rPr>
          <w:rFonts w:cs="Times New Roman"/>
          <w:lang w:val="fr-CH"/>
        </w:rPr>
        <w:t xml:space="preserve">Attentes exprimées par l’Etat considéré pour renforcer les capacités et, le cas échéant, demandes d’appui et d’assistance technique. </w:t>
      </w:r>
    </w:p>
    <w:p w:rsidR="001E2356" w:rsidRPr="009E489E" w:rsidRDefault="001E2356" w:rsidP="001E2356">
      <w:pPr>
        <w:jc w:val="both"/>
        <w:rPr>
          <w:rFonts w:cs="Times New Roman"/>
          <w:lang w:val="fr-CH"/>
        </w:rPr>
      </w:pPr>
    </w:p>
    <w:p w:rsidR="001E2356" w:rsidRPr="009E489E" w:rsidRDefault="001E2356" w:rsidP="001E2356">
      <w:pPr>
        <w:jc w:val="both"/>
        <w:rPr>
          <w:rFonts w:cs="Times New Roman"/>
          <w:lang w:val="fr-CH"/>
        </w:rPr>
      </w:pPr>
    </w:p>
    <w:p w:rsidR="001E2356" w:rsidRPr="009E489E" w:rsidRDefault="001E2356" w:rsidP="001E2356">
      <w:pPr>
        <w:jc w:val="both"/>
        <w:rPr>
          <w:rFonts w:cs="Times New Roman"/>
          <w:lang w:val="fr-CH"/>
        </w:rPr>
      </w:pPr>
    </w:p>
    <w:p w:rsidR="000D16D6" w:rsidRDefault="000D16D6" w:rsidP="001E2356">
      <w:pPr>
        <w:jc w:val="both"/>
        <w:rPr>
          <w:rFonts w:cs="Times New Roman"/>
          <w:b/>
          <w:i/>
          <w:lang w:val="fr-CH"/>
        </w:rPr>
      </w:pPr>
    </w:p>
    <w:p w:rsidR="009E489E" w:rsidRDefault="009E489E" w:rsidP="001E2356">
      <w:pPr>
        <w:jc w:val="both"/>
        <w:rPr>
          <w:rFonts w:cs="Times New Roman"/>
          <w:b/>
          <w:i/>
          <w:lang w:val="fr-CH"/>
        </w:rPr>
      </w:pPr>
    </w:p>
    <w:p w:rsidR="009E489E" w:rsidRPr="009E489E" w:rsidRDefault="009E489E" w:rsidP="001E2356">
      <w:pPr>
        <w:jc w:val="both"/>
        <w:rPr>
          <w:rFonts w:cs="Times New Roman"/>
          <w:b/>
          <w:i/>
          <w:lang w:val="fr-CH"/>
        </w:rPr>
      </w:pPr>
    </w:p>
    <w:p w:rsidR="000346F8" w:rsidRPr="009E489E" w:rsidRDefault="00CF33C9" w:rsidP="009E489E">
      <w:pPr>
        <w:shd w:val="clear" w:color="auto" w:fill="17365D" w:themeFill="text2" w:themeFillShade="BF"/>
        <w:jc w:val="center"/>
        <w:rPr>
          <w:rFonts w:cs="Times New Roman"/>
          <w:b/>
          <w:i/>
          <w:lang w:val="fr-CH"/>
        </w:rPr>
      </w:pPr>
      <w:r w:rsidRPr="009E489E">
        <w:rPr>
          <w:rFonts w:cs="Times New Roman"/>
          <w:b/>
          <w:i/>
          <w:lang w:val="fr-CH"/>
        </w:rPr>
        <w:lastRenderedPageBreak/>
        <w:t>ANNEXE 2</w:t>
      </w:r>
    </w:p>
    <w:p w:rsidR="001E2356" w:rsidRPr="009E489E" w:rsidRDefault="001E2356" w:rsidP="000D16D6">
      <w:pPr>
        <w:shd w:val="clear" w:color="auto" w:fill="B8CCE4" w:themeFill="accent1" w:themeFillTint="66"/>
        <w:jc w:val="both"/>
        <w:rPr>
          <w:rFonts w:cs="Times New Roman"/>
          <w:b/>
          <w:lang w:val="fr-CH"/>
        </w:rPr>
      </w:pPr>
      <w:r w:rsidRPr="009E489E">
        <w:rPr>
          <w:rFonts w:cs="Times New Roman"/>
          <w:b/>
          <w:lang w:val="fr-CH"/>
        </w:rPr>
        <w:t xml:space="preserve">Lignes directrices pour le regroupement par thème </w:t>
      </w:r>
    </w:p>
    <w:p w:rsidR="001E2356" w:rsidRPr="009E489E" w:rsidRDefault="00027F2A" w:rsidP="001E2356">
      <w:pPr>
        <w:jc w:val="both"/>
        <w:rPr>
          <w:rFonts w:cs="Times New Roman"/>
          <w:i/>
          <w:lang w:val="fr-CH"/>
        </w:rPr>
      </w:pPr>
      <w:r w:rsidRPr="009E489E">
        <w:rPr>
          <w:rFonts w:cs="Times New Roman"/>
          <w:i/>
          <w:lang w:val="fr-CH"/>
        </w:rPr>
        <w:t>La</w:t>
      </w:r>
      <w:r w:rsidR="001E2356" w:rsidRPr="009E489E">
        <w:rPr>
          <w:rFonts w:cs="Times New Roman"/>
          <w:i/>
          <w:lang w:val="fr-CH"/>
        </w:rPr>
        <w:t xml:space="preserve"> section</w:t>
      </w:r>
      <w:r w:rsidRPr="009E489E">
        <w:rPr>
          <w:rFonts w:cs="Times New Roman"/>
          <w:i/>
          <w:lang w:val="fr-CH"/>
        </w:rPr>
        <w:t xml:space="preserve"> ci-dessous vise à fournir aux É</w:t>
      </w:r>
      <w:r w:rsidR="001E2356" w:rsidRPr="009E489E">
        <w:rPr>
          <w:rFonts w:cs="Times New Roman"/>
          <w:i/>
          <w:lang w:val="fr-CH"/>
        </w:rPr>
        <w:t>tats</w:t>
      </w:r>
      <w:r w:rsidR="00CF33C9" w:rsidRPr="009E489E">
        <w:rPr>
          <w:rFonts w:cs="Times New Roman"/>
          <w:i/>
          <w:lang w:val="fr-CH"/>
        </w:rPr>
        <w:t xml:space="preserve">, de manière indicative, </w:t>
      </w:r>
      <w:r w:rsidR="001E2356" w:rsidRPr="009E489E">
        <w:rPr>
          <w:rFonts w:cs="Times New Roman"/>
          <w:i/>
          <w:lang w:val="fr-CH"/>
        </w:rPr>
        <w:t xml:space="preserve">des exemples </w:t>
      </w:r>
      <w:r w:rsidR="00CB1BBE" w:rsidRPr="009E489E">
        <w:rPr>
          <w:rFonts w:cs="Times New Roman"/>
          <w:i/>
          <w:lang w:val="fr-CH"/>
        </w:rPr>
        <w:t xml:space="preserve">de regroupements </w:t>
      </w:r>
      <w:r w:rsidR="00CF33C9" w:rsidRPr="009E489E">
        <w:rPr>
          <w:rFonts w:cs="Times New Roman"/>
          <w:i/>
          <w:lang w:val="fr-CH"/>
        </w:rPr>
        <w:t>thématiques</w:t>
      </w:r>
      <w:r w:rsidR="00CB1BBE" w:rsidRPr="009E489E">
        <w:rPr>
          <w:rFonts w:cs="Times New Roman"/>
          <w:i/>
          <w:lang w:val="fr-CH"/>
        </w:rPr>
        <w:t xml:space="preserve"> des renseignements </w:t>
      </w:r>
      <w:r w:rsidRPr="009E489E">
        <w:rPr>
          <w:rFonts w:cs="Times New Roman"/>
          <w:i/>
          <w:lang w:val="fr-CH"/>
        </w:rPr>
        <w:t xml:space="preserve">à fournir </w:t>
      </w:r>
      <w:r w:rsidR="00CB1BBE" w:rsidRPr="009E489E">
        <w:rPr>
          <w:rFonts w:cs="Times New Roman"/>
          <w:i/>
          <w:lang w:val="fr-CH"/>
        </w:rPr>
        <w:t>dans le rapport national. La liste ci-dessous peut être adaptée e</w:t>
      </w:r>
      <w:r w:rsidRPr="009E489E">
        <w:rPr>
          <w:rFonts w:cs="Times New Roman"/>
          <w:i/>
          <w:lang w:val="fr-CH"/>
        </w:rPr>
        <w:t>n fonction des nécessités. Les É</w:t>
      </w:r>
      <w:r w:rsidR="00CB1BBE" w:rsidRPr="009E489E">
        <w:rPr>
          <w:rFonts w:cs="Times New Roman"/>
          <w:i/>
          <w:lang w:val="fr-CH"/>
        </w:rPr>
        <w:t>tats sont invités à indiquer le n</w:t>
      </w:r>
      <w:r w:rsidR="00CF33C9" w:rsidRPr="009E489E">
        <w:rPr>
          <w:rFonts w:cs="Times New Roman"/>
          <w:i/>
          <w:lang w:val="fr-CH"/>
        </w:rPr>
        <w:t>uméro, tel que mentionné dans l</w:t>
      </w:r>
      <w:r w:rsidR="006A7A38">
        <w:rPr>
          <w:rFonts w:cs="Times New Roman"/>
          <w:i/>
          <w:lang w:val="fr-CH"/>
        </w:rPr>
        <w:t xml:space="preserve">e rapport du groupe de travail, </w:t>
      </w:r>
      <w:r w:rsidR="00CB1BBE" w:rsidRPr="009E489E">
        <w:rPr>
          <w:rFonts w:cs="Times New Roman"/>
          <w:i/>
          <w:lang w:val="fr-CH"/>
        </w:rPr>
        <w:t>de</w:t>
      </w:r>
      <w:r w:rsidR="00CF33C9" w:rsidRPr="009E489E">
        <w:rPr>
          <w:rFonts w:cs="Times New Roman"/>
          <w:i/>
          <w:lang w:val="fr-CH"/>
        </w:rPr>
        <w:t>s</w:t>
      </w:r>
      <w:r w:rsidR="00CB1BBE" w:rsidRPr="009E489E">
        <w:rPr>
          <w:rFonts w:cs="Times New Roman"/>
          <w:i/>
          <w:lang w:val="fr-CH"/>
        </w:rPr>
        <w:t xml:space="preserve"> recommandations sur lesquelles ils fournissent des renseignements </w:t>
      </w:r>
      <w:r w:rsidRPr="009E489E">
        <w:rPr>
          <w:rFonts w:cs="Times New Roman"/>
          <w:i/>
          <w:lang w:val="fr-CH"/>
        </w:rPr>
        <w:t xml:space="preserve">quant à leur </w:t>
      </w:r>
      <w:r w:rsidR="00CB1BBE" w:rsidRPr="009E489E">
        <w:rPr>
          <w:rFonts w:cs="Times New Roman"/>
          <w:i/>
          <w:lang w:val="fr-CH"/>
        </w:rPr>
        <w:t xml:space="preserve">état de mise en œuvre. </w:t>
      </w:r>
    </w:p>
    <w:p w:rsidR="00A35A98" w:rsidRPr="009E489E" w:rsidRDefault="00CF33C9" w:rsidP="00A35A98">
      <w:pPr>
        <w:pStyle w:val="ListParagraph"/>
        <w:numPr>
          <w:ilvl w:val="0"/>
          <w:numId w:val="6"/>
        </w:numPr>
        <w:jc w:val="both"/>
        <w:rPr>
          <w:rFonts w:cs="Times New Roman"/>
          <w:b/>
          <w:lang w:val="fr-CH"/>
        </w:rPr>
      </w:pPr>
      <w:r w:rsidRPr="009E489E">
        <w:rPr>
          <w:rFonts w:cs="Times New Roman"/>
          <w:b/>
          <w:lang w:val="fr-CH"/>
        </w:rPr>
        <w:t xml:space="preserve">Thèmes </w:t>
      </w:r>
      <w:r w:rsidR="00CB1BBE" w:rsidRPr="009E489E">
        <w:rPr>
          <w:rFonts w:cs="Times New Roman"/>
          <w:b/>
          <w:lang w:val="fr-CH"/>
        </w:rPr>
        <w:t xml:space="preserve"> transversaux </w:t>
      </w:r>
    </w:p>
    <w:p w:rsidR="00CB1BBE" w:rsidRPr="009E489E" w:rsidRDefault="00027F2A" w:rsidP="00CB1BBE">
      <w:pPr>
        <w:pStyle w:val="ListParagraph"/>
        <w:numPr>
          <w:ilvl w:val="0"/>
          <w:numId w:val="7"/>
        </w:numPr>
        <w:jc w:val="both"/>
        <w:rPr>
          <w:rFonts w:cs="Times New Roman"/>
          <w:lang w:val="fr-CH"/>
        </w:rPr>
      </w:pPr>
      <w:r w:rsidRPr="009E489E">
        <w:rPr>
          <w:rFonts w:cs="Times New Roman"/>
          <w:lang w:val="fr-CH"/>
        </w:rPr>
        <w:t>É</w:t>
      </w:r>
      <w:r w:rsidR="00CB1BBE" w:rsidRPr="009E489E">
        <w:rPr>
          <w:rFonts w:cs="Times New Roman"/>
          <w:lang w:val="fr-CH"/>
        </w:rPr>
        <w:t>galité et non-discrimination</w:t>
      </w:r>
    </w:p>
    <w:p w:rsidR="00CB1BBE" w:rsidRPr="009E489E" w:rsidRDefault="00CB1BBE" w:rsidP="00CB1BBE">
      <w:pPr>
        <w:pStyle w:val="ListParagraph"/>
        <w:numPr>
          <w:ilvl w:val="0"/>
          <w:numId w:val="7"/>
        </w:numPr>
        <w:jc w:val="both"/>
        <w:rPr>
          <w:rFonts w:cs="Times New Roman"/>
          <w:lang w:val="fr-CH"/>
        </w:rPr>
      </w:pPr>
      <w:r w:rsidRPr="009E489E">
        <w:rPr>
          <w:rFonts w:cs="Times New Roman"/>
          <w:lang w:val="fr-CH"/>
        </w:rPr>
        <w:t>Droit au développement</w:t>
      </w:r>
    </w:p>
    <w:p w:rsidR="00CB1BBE" w:rsidRPr="009E489E" w:rsidRDefault="00CB1BBE" w:rsidP="00CB1BBE">
      <w:pPr>
        <w:pStyle w:val="ListParagraph"/>
        <w:numPr>
          <w:ilvl w:val="0"/>
          <w:numId w:val="7"/>
        </w:numPr>
        <w:jc w:val="both"/>
        <w:rPr>
          <w:rFonts w:cs="Times New Roman"/>
          <w:lang w:val="fr-CH"/>
        </w:rPr>
      </w:pPr>
      <w:r w:rsidRPr="009E489E">
        <w:rPr>
          <w:rFonts w:cs="Times New Roman"/>
          <w:lang w:val="fr-CH"/>
        </w:rPr>
        <w:t xml:space="preserve">Enjeux environnementaux </w:t>
      </w:r>
    </w:p>
    <w:p w:rsidR="00CB1BBE" w:rsidRPr="009E489E" w:rsidRDefault="00CB1BBE" w:rsidP="00CB1BBE">
      <w:pPr>
        <w:pStyle w:val="ListParagraph"/>
        <w:numPr>
          <w:ilvl w:val="0"/>
          <w:numId w:val="7"/>
        </w:numPr>
        <w:jc w:val="both"/>
        <w:rPr>
          <w:rFonts w:cs="Times New Roman"/>
          <w:lang w:val="fr-CH"/>
        </w:rPr>
      </w:pPr>
      <w:r w:rsidRPr="009E489E">
        <w:rPr>
          <w:rFonts w:cs="Times New Roman"/>
          <w:lang w:val="fr-CH"/>
        </w:rPr>
        <w:t xml:space="preserve">Droits de l’homme et </w:t>
      </w:r>
      <w:r w:rsidR="00027F2A" w:rsidRPr="009E489E">
        <w:rPr>
          <w:rFonts w:cs="Times New Roman"/>
          <w:lang w:val="fr-CH"/>
        </w:rPr>
        <w:t xml:space="preserve">lutte contre le </w:t>
      </w:r>
      <w:r w:rsidRPr="009E489E">
        <w:rPr>
          <w:rFonts w:cs="Times New Roman"/>
          <w:lang w:val="fr-CH"/>
        </w:rPr>
        <w:t>terrorisme</w:t>
      </w:r>
    </w:p>
    <w:p w:rsidR="00CB1BBE" w:rsidRPr="009E489E" w:rsidRDefault="00CB1BBE" w:rsidP="00CB1BBE">
      <w:pPr>
        <w:ind w:left="360"/>
        <w:jc w:val="both"/>
        <w:rPr>
          <w:rFonts w:cs="Times New Roman"/>
          <w:lang w:val="fr-CH"/>
        </w:rPr>
      </w:pPr>
    </w:p>
    <w:p w:rsidR="00CB1BBE" w:rsidRPr="009E489E" w:rsidRDefault="00CB1BBE" w:rsidP="00CB1BBE">
      <w:pPr>
        <w:pStyle w:val="ListParagraph"/>
        <w:numPr>
          <w:ilvl w:val="0"/>
          <w:numId w:val="6"/>
        </w:numPr>
        <w:jc w:val="both"/>
        <w:rPr>
          <w:rFonts w:cs="Times New Roman"/>
          <w:b/>
          <w:lang w:val="fr-CH"/>
        </w:rPr>
      </w:pPr>
      <w:r w:rsidRPr="009E489E">
        <w:rPr>
          <w:rFonts w:cs="Times New Roman"/>
          <w:b/>
          <w:lang w:val="fr-CH"/>
        </w:rPr>
        <w:t xml:space="preserve">Droits civils et politiques </w:t>
      </w:r>
    </w:p>
    <w:p w:rsidR="00CB1BBE" w:rsidRPr="009E489E" w:rsidRDefault="00CB1BBE" w:rsidP="00A35A98">
      <w:pPr>
        <w:pStyle w:val="ListParagraph"/>
        <w:numPr>
          <w:ilvl w:val="0"/>
          <w:numId w:val="10"/>
        </w:numPr>
        <w:ind w:left="426" w:firstLine="0"/>
        <w:jc w:val="both"/>
        <w:rPr>
          <w:rFonts w:cs="Times New Roman"/>
          <w:lang w:val="fr-CH"/>
        </w:rPr>
      </w:pPr>
      <w:r w:rsidRPr="009E489E">
        <w:rPr>
          <w:rFonts w:cs="Times New Roman"/>
          <w:lang w:val="fr-CH"/>
        </w:rPr>
        <w:t>Droit à la vie, à la liberté et à la sécurité de la personne</w:t>
      </w:r>
    </w:p>
    <w:p w:rsidR="00CB1BBE" w:rsidRPr="009E489E" w:rsidRDefault="00CB1BBE" w:rsidP="00A35A98">
      <w:pPr>
        <w:pStyle w:val="ListParagraph"/>
        <w:numPr>
          <w:ilvl w:val="0"/>
          <w:numId w:val="10"/>
        </w:numPr>
        <w:ind w:left="426" w:firstLine="0"/>
        <w:jc w:val="both"/>
        <w:rPr>
          <w:rFonts w:cs="Times New Roman"/>
          <w:lang w:val="fr-CH"/>
        </w:rPr>
      </w:pPr>
      <w:r w:rsidRPr="009E489E">
        <w:rPr>
          <w:rFonts w:cs="Times New Roman"/>
          <w:lang w:val="fr-CH"/>
        </w:rPr>
        <w:t xml:space="preserve">Administration de la </w:t>
      </w:r>
      <w:r w:rsidR="00027F2A" w:rsidRPr="009E489E">
        <w:rPr>
          <w:rFonts w:cs="Times New Roman"/>
          <w:lang w:val="fr-CH"/>
        </w:rPr>
        <w:t>justice, notamment impunité et É</w:t>
      </w:r>
      <w:r w:rsidRPr="009E489E">
        <w:rPr>
          <w:rFonts w:cs="Times New Roman"/>
          <w:lang w:val="fr-CH"/>
        </w:rPr>
        <w:t>tat de droit</w:t>
      </w:r>
    </w:p>
    <w:p w:rsidR="00CB1BBE" w:rsidRPr="009E489E" w:rsidRDefault="00CB1BBE" w:rsidP="00A35A98">
      <w:pPr>
        <w:pStyle w:val="ListParagraph"/>
        <w:numPr>
          <w:ilvl w:val="0"/>
          <w:numId w:val="10"/>
        </w:numPr>
        <w:ind w:left="426" w:firstLine="0"/>
        <w:jc w:val="both"/>
        <w:rPr>
          <w:rFonts w:cs="Times New Roman"/>
          <w:lang w:val="fr-CH"/>
        </w:rPr>
      </w:pPr>
      <w:r w:rsidRPr="009E489E">
        <w:rPr>
          <w:rFonts w:cs="Times New Roman"/>
          <w:lang w:val="fr-CH"/>
        </w:rPr>
        <w:t xml:space="preserve">Libertés fondamentales et participation publique dans la vie politique </w:t>
      </w:r>
    </w:p>
    <w:p w:rsidR="00CB1BBE" w:rsidRPr="009E489E" w:rsidRDefault="00CB1BBE" w:rsidP="00A35A98">
      <w:pPr>
        <w:pStyle w:val="ListParagraph"/>
        <w:numPr>
          <w:ilvl w:val="0"/>
          <w:numId w:val="10"/>
        </w:numPr>
        <w:ind w:left="426" w:firstLine="0"/>
        <w:jc w:val="both"/>
        <w:rPr>
          <w:rFonts w:cs="Times New Roman"/>
          <w:lang w:val="fr-CH"/>
        </w:rPr>
      </w:pPr>
      <w:r w:rsidRPr="009E489E">
        <w:rPr>
          <w:rFonts w:cs="Times New Roman"/>
          <w:lang w:val="fr-CH"/>
        </w:rPr>
        <w:t xml:space="preserve">Interdiction de toutes les formes d’esclavage </w:t>
      </w:r>
    </w:p>
    <w:p w:rsidR="00CB1BBE" w:rsidRPr="009E489E" w:rsidRDefault="00CB1BBE" w:rsidP="00A35A98">
      <w:pPr>
        <w:pStyle w:val="ListParagraph"/>
        <w:numPr>
          <w:ilvl w:val="0"/>
          <w:numId w:val="10"/>
        </w:numPr>
        <w:ind w:left="426" w:firstLine="0"/>
        <w:jc w:val="both"/>
        <w:rPr>
          <w:rFonts w:cs="Times New Roman"/>
          <w:lang w:val="fr-CH"/>
        </w:rPr>
      </w:pPr>
      <w:r w:rsidRPr="009E489E">
        <w:rPr>
          <w:rFonts w:cs="Times New Roman"/>
          <w:lang w:val="fr-CH"/>
        </w:rPr>
        <w:t>Droit à la vie privée et à la vie de famille</w:t>
      </w:r>
    </w:p>
    <w:p w:rsidR="00CB1BBE" w:rsidRPr="009E489E" w:rsidRDefault="00CB1BBE" w:rsidP="00CB1BBE">
      <w:pPr>
        <w:ind w:left="720"/>
        <w:jc w:val="both"/>
        <w:rPr>
          <w:rFonts w:cs="Times New Roman"/>
          <w:lang w:val="fr-CH"/>
        </w:rPr>
      </w:pPr>
    </w:p>
    <w:p w:rsidR="00CB1BBE" w:rsidRPr="009E489E" w:rsidRDefault="00CB1BBE" w:rsidP="00CB1BBE">
      <w:pPr>
        <w:pStyle w:val="ListParagraph"/>
        <w:numPr>
          <w:ilvl w:val="0"/>
          <w:numId w:val="6"/>
        </w:numPr>
        <w:jc w:val="both"/>
        <w:rPr>
          <w:rFonts w:cs="Times New Roman"/>
          <w:b/>
          <w:lang w:val="fr-CH"/>
        </w:rPr>
      </w:pPr>
      <w:r w:rsidRPr="009E489E">
        <w:rPr>
          <w:rFonts w:cs="Times New Roman"/>
          <w:b/>
          <w:lang w:val="fr-CH"/>
        </w:rPr>
        <w:t>Droits économiques, sociaux et culturels</w:t>
      </w:r>
    </w:p>
    <w:p w:rsidR="00CB1BBE" w:rsidRPr="009E489E" w:rsidRDefault="00CB1BBE" w:rsidP="00CB1BBE">
      <w:pPr>
        <w:pStyle w:val="ListParagraph"/>
        <w:numPr>
          <w:ilvl w:val="0"/>
          <w:numId w:val="11"/>
        </w:numPr>
        <w:jc w:val="both"/>
        <w:rPr>
          <w:rFonts w:cs="Times New Roman"/>
          <w:b/>
          <w:lang w:val="fr-CH"/>
        </w:rPr>
      </w:pPr>
      <w:r w:rsidRPr="009E489E">
        <w:rPr>
          <w:rFonts w:cs="Times New Roman"/>
          <w:lang w:val="fr-CH"/>
        </w:rPr>
        <w:t xml:space="preserve">Droit au travail et à des conditions de travail justes et favorables </w:t>
      </w:r>
    </w:p>
    <w:p w:rsidR="00CB1BBE" w:rsidRPr="009E489E" w:rsidRDefault="00CB1BBE" w:rsidP="00CB1BBE">
      <w:pPr>
        <w:pStyle w:val="ListParagraph"/>
        <w:numPr>
          <w:ilvl w:val="0"/>
          <w:numId w:val="11"/>
        </w:numPr>
        <w:jc w:val="both"/>
        <w:rPr>
          <w:rFonts w:cs="Times New Roman"/>
          <w:b/>
          <w:lang w:val="fr-CH"/>
        </w:rPr>
      </w:pPr>
      <w:r w:rsidRPr="009E489E">
        <w:rPr>
          <w:rFonts w:cs="Times New Roman"/>
          <w:lang w:val="fr-CH"/>
        </w:rPr>
        <w:t xml:space="preserve">Droit à la sécurité sociale </w:t>
      </w:r>
    </w:p>
    <w:p w:rsidR="007A56C0" w:rsidRPr="009E489E" w:rsidRDefault="007A56C0" w:rsidP="00CB1BBE">
      <w:pPr>
        <w:pStyle w:val="ListParagraph"/>
        <w:numPr>
          <w:ilvl w:val="0"/>
          <w:numId w:val="11"/>
        </w:numPr>
        <w:jc w:val="both"/>
        <w:rPr>
          <w:rFonts w:cs="Times New Roman"/>
          <w:b/>
          <w:i/>
          <w:lang w:val="fr-CH"/>
        </w:rPr>
      </w:pPr>
      <w:r w:rsidRPr="009E489E">
        <w:rPr>
          <w:rFonts w:cs="Times New Roman"/>
          <w:lang w:val="fr-CH"/>
        </w:rPr>
        <w:t xml:space="preserve">Droit à un niveau de vie acceptable </w:t>
      </w:r>
      <w:r w:rsidRPr="009E489E">
        <w:rPr>
          <w:rFonts w:cs="Times New Roman"/>
          <w:i/>
          <w:lang w:val="fr-CH"/>
        </w:rPr>
        <w:t xml:space="preserve">(le texte devrait comprendre des renseignements sur la pauvreté, l’alimentation, le logement, l’eau, l’hygiène et la gestion des sols) </w:t>
      </w:r>
    </w:p>
    <w:p w:rsidR="007A56C0" w:rsidRPr="009E489E" w:rsidRDefault="007A56C0" w:rsidP="00CB1BBE">
      <w:pPr>
        <w:pStyle w:val="ListParagraph"/>
        <w:numPr>
          <w:ilvl w:val="0"/>
          <w:numId w:val="11"/>
        </w:numPr>
        <w:jc w:val="both"/>
        <w:rPr>
          <w:rFonts w:cs="Times New Roman"/>
          <w:b/>
          <w:lang w:val="fr-CH"/>
        </w:rPr>
      </w:pPr>
      <w:r w:rsidRPr="009E489E">
        <w:rPr>
          <w:rFonts w:cs="Times New Roman"/>
          <w:lang w:val="fr-CH"/>
        </w:rPr>
        <w:t xml:space="preserve">Droit à la santé </w:t>
      </w:r>
    </w:p>
    <w:p w:rsidR="007A56C0" w:rsidRPr="009E489E" w:rsidRDefault="007A56C0" w:rsidP="00CB1BBE">
      <w:pPr>
        <w:pStyle w:val="ListParagraph"/>
        <w:numPr>
          <w:ilvl w:val="0"/>
          <w:numId w:val="11"/>
        </w:numPr>
        <w:jc w:val="both"/>
        <w:rPr>
          <w:rFonts w:cs="Times New Roman"/>
          <w:b/>
          <w:lang w:val="fr-CH"/>
        </w:rPr>
      </w:pPr>
      <w:r w:rsidRPr="009E489E">
        <w:rPr>
          <w:rFonts w:cs="Times New Roman"/>
          <w:lang w:val="fr-CH"/>
        </w:rPr>
        <w:t xml:space="preserve">Droit à l’éducation </w:t>
      </w:r>
    </w:p>
    <w:p w:rsidR="00CB1BBE" w:rsidRPr="009E489E" w:rsidRDefault="00CB1BBE" w:rsidP="007A56C0">
      <w:pPr>
        <w:jc w:val="both"/>
        <w:rPr>
          <w:rFonts w:cs="Times New Roman"/>
          <w:b/>
          <w:lang w:val="fr-CH"/>
        </w:rPr>
      </w:pPr>
      <w:r w:rsidRPr="009E489E">
        <w:rPr>
          <w:rFonts w:cs="Times New Roman"/>
          <w:b/>
          <w:lang w:val="fr-CH"/>
        </w:rPr>
        <w:t xml:space="preserve"> </w:t>
      </w:r>
    </w:p>
    <w:p w:rsidR="00CB1BBE" w:rsidRPr="009E489E" w:rsidRDefault="00CB1BBE" w:rsidP="00CB1BBE">
      <w:pPr>
        <w:pStyle w:val="ListParagraph"/>
        <w:numPr>
          <w:ilvl w:val="0"/>
          <w:numId w:val="6"/>
        </w:numPr>
        <w:jc w:val="both"/>
        <w:rPr>
          <w:rFonts w:cs="Times New Roman"/>
          <w:b/>
          <w:lang w:val="fr-CH"/>
        </w:rPr>
      </w:pPr>
      <w:r w:rsidRPr="009E489E">
        <w:rPr>
          <w:rFonts w:cs="Times New Roman"/>
          <w:b/>
          <w:lang w:val="fr-CH"/>
        </w:rPr>
        <w:t>Droits de pe</w:t>
      </w:r>
      <w:r w:rsidR="007A56C0" w:rsidRPr="009E489E">
        <w:rPr>
          <w:rFonts w:cs="Times New Roman"/>
          <w:b/>
          <w:lang w:val="fr-CH"/>
        </w:rPr>
        <w:t>rsonnes ou groupes particuliers</w:t>
      </w:r>
    </w:p>
    <w:p w:rsidR="007A56C0" w:rsidRPr="009E489E" w:rsidRDefault="007A56C0" w:rsidP="007A56C0">
      <w:pPr>
        <w:pStyle w:val="ListParagraph"/>
        <w:numPr>
          <w:ilvl w:val="0"/>
          <w:numId w:val="12"/>
        </w:numPr>
        <w:jc w:val="both"/>
        <w:rPr>
          <w:rFonts w:cs="Times New Roman"/>
          <w:lang w:val="fr-CH"/>
        </w:rPr>
      </w:pPr>
      <w:r w:rsidRPr="009E489E">
        <w:rPr>
          <w:rFonts w:cs="Times New Roman"/>
          <w:lang w:val="fr-CH"/>
        </w:rPr>
        <w:t>Femmes</w:t>
      </w:r>
    </w:p>
    <w:p w:rsidR="007A56C0" w:rsidRPr="009E489E" w:rsidRDefault="007A56C0" w:rsidP="007A56C0">
      <w:pPr>
        <w:pStyle w:val="ListParagraph"/>
        <w:numPr>
          <w:ilvl w:val="0"/>
          <w:numId w:val="12"/>
        </w:numPr>
        <w:jc w:val="both"/>
        <w:rPr>
          <w:rFonts w:cs="Times New Roman"/>
          <w:lang w:val="fr-CH"/>
        </w:rPr>
      </w:pPr>
      <w:r w:rsidRPr="009E489E">
        <w:rPr>
          <w:rFonts w:cs="Times New Roman"/>
          <w:lang w:val="fr-CH"/>
        </w:rPr>
        <w:t>Enfants</w:t>
      </w:r>
    </w:p>
    <w:p w:rsidR="007A56C0" w:rsidRPr="009E489E" w:rsidRDefault="007A56C0" w:rsidP="007A56C0">
      <w:pPr>
        <w:pStyle w:val="ListParagraph"/>
        <w:numPr>
          <w:ilvl w:val="0"/>
          <w:numId w:val="12"/>
        </w:numPr>
        <w:jc w:val="both"/>
        <w:rPr>
          <w:rFonts w:cs="Times New Roman"/>
          <w:lang w:val="fr-CH"/>
        </w:rPr>
      </w:pPr>
      <w:r w:rsidRPr="009E489E">
        <w:rPr>
          <w:rFonts w:cs="Times New Roman"/>
          <w:lang w:val="fr-CH"/>
        </w:rPr>
        <w:t xml:space="preserve">Personnes </w:t>
      </w:r>
      <w:r w:rsidR="00CF33C9" w:rsidRPr="009E489E">
        <w:rPr>
          <w:rFonts w:cs="Times New Roman"/>
          <w:lang w:val="fr-CH"/>
        </w:rPr>
        <w:t xml:space="preserve">handicapées </w:t>
      </w:r>
      <w:r w:rsidRPr="009E489E">
        <w:rPr>
          <w:rFonts w:cs="Times New Roman"/>
          <w:lang w:val="fr-CH"/>
        </w:rPr>
        <w:t xml:space="preserve"> </w:t>
      </w:r>
    </w:p>
    <w:p w:rsidR="007A56C0" w:rsidRPr="009E489E" w:rsidRDefault="007A56C0" w:rsidP="007A56C0">
      <w:pPr>
        <w:pStyle w:val="ListParagraph"/>
        <w:numPr>
          <w:ilvl w:val="0"/>
          <w:numId w:val="12"/>
        </w:numPr>
        <w:jc w:val="both"/>
        <w:rPr>
          <w:rFonts w:cs="Times New Roman"/>
          <w:lang w:val="fr-CH"/>
        </w:rPr>
      </w:pPr>
      <w:r w:rsidRPr="009E489E">
        <w:rPr>
          <w:rFonts w:cs="Times New Roman"/>
          <w:lang w:val="fr-CH"/>
        </w:rPr>
        <w:t xml:space="preserve">Minorités et groupes </w:t>
      </w:r>
      <w:r w:rsidR="00CF33C9" w:rsidRPr="009E489E">
        <w:rPr>
          <w:rFonts w:cs="Times New Roman"/>
          <w:lang w:val="fr-CH"/>
        </w:rPr>
        <w:t>autochtones</w:t>
      </w:r>
      <w:r w:rsidRPr="009E489E">
        <w:rPr>
          <w:rFonts w:cs="Times New Roman"/>
          <w:lang w:val="fr-CH"/>
        </w:rPr>
        <w:t xml:space="preserve"> </w:t>
      </w:r>
    </w:p>
    <w:p w:rsidR="007A56C0" w:rsidRPr="009E489E" w:rsidRDefault="007A56C0" w:rsidP="007A56C0">
      <w:pPr>
        <w:pStyle w:val="ListParagraph"/>
        <w:numPr>
          <w:ilvl w:val="0"/>
          <w:numId w:val="12"/>
        </w:numPr>
        <w:jc w:val="both"/>
        <w:rPr>
          <w:rFonts w:cs="Times New Roman"/>
          <w:lang w:val="fr-CH"/>
        </w:rPr>
      </w:pPr>
      <w:r w:rsidRPr="009E489E">
        <w:rPr>
          <w:rFonts w:cs="Times New Roman"/>
          <w:lang w:val="fr-CH"/>
        </w:rPr>
        <w:t xml:space="preserve">Migrants, réfugiés, demandeurs d’asile et déplacés internes </w:t>
      </w:r>
    </w:p>
    <w:p w:rsidR="007A56C0" w:rsidRPr="009E489E" w:rsidRDefault="007A56C0" w:rsidP="007A56C0">
      <w:pPr>
        <w:pStyle w:val="ListParagraph"/>
        <w:numPr>
          <w:ilvl w:val="0"/>
          <w:numId w:val="12"/>
        </w:numPr>
        <w:jc w:val="both"/>
        <w:rPr>
          <w:rFonts w:cs="Times New Roman"/>
          <w:lang w:val="fr-CH"/>
        </w:rPr>
      </w:pPr>
      <w:r w:rsidRPr="009E489E">
        <w:rPr>
          <w:rFonts w:cs="Times New Roman"/>
          <w:lang w:val="fr-CH"/>
        </w:rPr>
        <w:t xml:space="preserve">Apatrides </w:t>
      </w:r>
      <w:bookmarkStart w:id="0" w:name="_GoBack"/>
      <w:bookmarkEnd w:id="0"/>
    </w:p>
    <w:p w:rsidR="007A56C0" w:rsidRPr="009E489E" w:rsidRDefault="007A56C0" w:rsidP="007A56C0">
      <w:pPr>
        <w:ind w:left="360"/>
        <w:jc w:val="both"/>
        <w:rPr>
          <w:rFonts w:cs="Times New Roman"/>
          <w:lang w:val="fr-CH"/>
        </w:rPr>
      </w:pPr>
    </w:p>
    <w:p w:rsidR="00CB1BBE" w:rsidRPr="003379FF" w:rsidRDefault="00CB1BBE" w:rsidP="001E2356">
      <w:pPr>
        <w:pStyle w:val="ListParagraph"/>
        <w:numPr>
          <w:ilvl w:val="0"/>
          <w:numId w:val="6"/>
        </w:numPr>
        <w:jc w:val="both"/>
        <w:rPr>
          <w:rFonts w:cs="Times New Roman"/>
          <w:b/>
          <w:lang w:val="fr-CH"/>
        </w:rPr>
      </w:pPr>
      <w:r w:rsidRPr="003379FF">
        <w:rPr>
          <w:rFonts w:cs="Times New Roman"/>
          <w:b/>
          <w:lang w:val="fr-CH"/>
        </w:rPr>
        <w:t>Régions et territoires particuliers</w:t>
      </w:r>
    </w:p>
    <w:sectPr w:rsidR="00CB1BBE" w:rsidRPr="003379F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129" w:rsidRDefault="001C7129" w:rsidP="000F5A30">
      <w:pPr>
        <w:spacing w:after="0" w:line="240" w:lineRule="auto"/>
      </w:pPr>
      <w:r>
        <w:separator/>
      </w:r>
    </w:p>
  </w:endnote>
  <w:endnote w:type="continuationSeparator" w:id="0">
    <w:p w:rsidR="001C7129" w:rsidRDefault="001C7129" w:rsidP="000F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647052"/>
      <w:docPartObj>
        <w:docPartGallery w:val="Page Numbers (Bottom of Page)"/>
        <w:docPartUnique/>
      </w:docPartObj>
    </w:sdtPr>
    <w:sdtContent>
      <w:p w:rsidR="00FB0729" w:rsidRDefault="00FB0729">
        <w:pPr>
          <w:pStyle w:val="Footer"/>
          <w:jc w:val="center"/>
        </w:pPr>
        <w:r>
          <w:fldChar w:fldCharType="begin"/>
        </w:r>
        <w:r>
          <w:instrText>PAGE   \* MERGEFORMAT</w:instrText>
        </w:r>
        <w:r>
          <w:fldChar w:fldCharType="separate"/>
        </w:r>
        <w:r w:rsidR="006A7A38" w:rsidRPr="006A7A38">
          <w:rPr>
            <w:noProof/>
            <w:lang w:val="fr-FR"/>
          </w:rPr>
          <w:t>1</w:t>
        </w:r>
        <w:r>
          <w:fldChar w:fldCharType="end"/>
        </w:r>
      </w:p>
    </w:sdtContent>
  </w:sdt>
  <w:p w:rsidR="00FB0729" w:rsidRDefault="00FB07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129" w:rsidRDefault="001C7129" w:rsidP="000F5A30">
      <w:pPr>
        <w:spacing w:after="0" w:line="240" w:lineRule="auto"/>
      </w:pPr>
      <w:r>
        <w:separator/>
      </w:r>
    </w:p>
  </w:footnote>
  <w:footnote w:type="continuationSeparator" w:id="0">
    <w:p w:rsidR="001C7129" w:rsidRDefault="001C7129" w:rsidP="000F5A30">
      <w:pPr>
        <w:spacing w:after="0" w:line="240" w:lineRule="auto"/>
      </w:pPr>
      <w:r>
        <w:continuationSeparator/>
      </w:r>
    </w:p>
  </w:footnote>
  <w:footnote w:id="1">
    <w:p w:rsidR="000F5A30" w:rsidRPr="000F5A30" w:rsidRDefault="000F5A30">
      <w:pPr>
        <w:pStyle w:val="FootnoteText"/>
        <w:rPr>
          <w:rFonts w:ascii="Times New Roman" w:hAnsi="Times New Roman" w:cs="Times New Roman"/>
          <w:lang w:val="fr-CH"/>
        </w:rPr>
      </w:pPr>
      <w:r w:rsidRPr="000F5A30">
        <w:rPr>
          <w:rStyle w:val="FootnoteReference"/>
          <w:rFonts w:ascii="Times New Roman" w:hAnsi="Times New Roman" w:cs="Times New Roman"/>
        </w:rPr>
        <w:footnoteRef/>
      </w:r>
      <w:r w:rsidRPr="00766733">
        <w:rPr>
          <w:rFonts w:ascii="Times New Roman" w:hAnsi="Times New Roman" w:cs="Times New Roman"/>
          <w:lang w:val="fr-CH"/>
        </w:rPr>
        <w:t xml:space="preserve"> </w:t>
      </w:r>
      <w:r w:rsidRPr="000F5A30">
        <w:rPr>
          <w:rFonts w:ascii="Times New Roman" w:hAnsi="Times New Roman" w:cs="Times New Roman"/>
          <w:lang w:val="fr-CH"/>
        </w:rPr>
        <w:t>Voir Annex</w:t>
      </w:r>
      <w:r>
        <w:rPr>
          <w:rFonts w:ascii="Times New Roman" w:hAnsi="Times New Roman" w:cs="Times New Roman"/>
          <w:lang w:val="fr-CH"/>
        </w:rPr>
        <w:t>e</w:t>
      </w:r>
      <w:r w:rsidRPr="000F5A30">
        <w:rPr>
          <w:rFonts w:ascii="Times New Roman" w:hAnsi="Times New Roman" w:cs="Times New Roman"/>
          <w:lang w:val="fr-CH"/>
        </w:rPr>
        <w:t xml:space="preserve"> 1 </w:t>
      </w:r>
    </w:p>
  </w:footnote>
  <w:footnote w:id="2">
    <w:p w:rsidR="006D2E5A" w:rsidRPr="006D2E5A" w:rsidRDefault="006D2E5A">
      <w:pPr>
        <w:pStyle w:val="FootnoteText"/>
        <w:rPr>
          <w:rFonts w:ascii="Times New Roman" w:hAnsi="Times New Roman" w:cs="Times New Roman"/>
          <w:lang w:val="fr-CH"/>
        </w:rPr>
      </w:pPr>
      <w:r w:rsidRPr="006D2E5A">
        <w:rPr>
          <w:rStyle w:val="FootnoteReference"/>
          <w:rFonts w:ascii="Times New Roman" w:hAnsi="Times New Roman" w:cs="Times New Roman"/>
        </w:rPr>
        <w:footnoteRef/>
      </w:r>
      <w:r w:rsidRPr="006D2E5A">
        <w:rPr>
          <w:rFonts w:ascii="Times New Roman" w:hAnsi="Times New Roman" w:cs="Times New Roman"/>
          <w:lang w:val="fr-CH"/>
        </w:rPr>
        <w:t xml:space="preserve"> Pour des suggestions sur comment regrouper thématiquement les recommandations, voir l’Annexe 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2165"/>
    <w:multiLevelType w:val="hybridMultilevel"/>
    <w:tmpl w:val="9AF2BF78"/>
    <w:lvl w:ilvl="0" w:tplc="0EC2ADFA">
      <w:start w:val="1"/>
      <w:numFmt w:val="decimal"/>
      <w:lvlText w:val="%1."/>
      <w:lvlJc w:val="left"/>
      <w:pPr>
        <w:ind w:left="1080" w:hanging="360"/>
      </w:pPr>
      <w:rPr>
        <w:rFonts w:ascii="Times New Roman" w:eastAsiaTheme="minorHAns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C65C9F"/>
    <w:multiLevelType w:val="hybridMultilevel"/>
    <w:tmpl w:val="DB96B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0D4591"/>
    <w:multiLevelType w:val="hybridMultilevel"/>
    <w:tmpl w:val="D96230F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nsid w:val="29CB1ADD"/>
    <w:multiLevelType w:val="hybridMultilevel"/>
    <w:tmpl w:val="CCFC89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B6038E"/>
    <w:multiLevelType w:val="hybridMultilevel"/>
    <w:tmpl w:val="15A0E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5AB3EAF"/>
    <w:multiLevelType w:val="hybridMultilevel"/>
    <w:tmpl w:val="24AEA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737AF5"/>
    <w:multiLevelType w:val="hybridMultilevel"/>
    <w:tmpl w:val="925442A8"/>
    <w:lvl w:ilvl="0" w:tplc="BB7ABFFC">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E51B2A"/>
    <w:multiLevelType w:val="hybridMultilevel"/>
    <w:tmpl w:val="16C4B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0747C15"/>
    <w:multiLevelType w:val="hybridMultilevel"/>
    <w:tmpl w:val="19D8F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0EC7B23"/>
    <w:multiLevelType w:val="hybridMultilevel"/>
    <w:tmpl w:val="7D70B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D5E6F4A"/>
    <w:multiLevelType w:val="hybridMultilevel"/>
    <w:tmpl w:val="744E6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A01C42"/>
    <w:multiLevelType w:val="hybridMultilevel"/>
    <w:tmpl w:val="EC2866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0"/>
  </w:num>
  <w:num w:numId="4">
    <w:abstractNumId w:val="1"/>
  </w:num>
  <w:num w:numId="5">
    <w:abstractNumId w:val="11"/>
  </w:num>
  <w:num w:numId="6">
    <w:abstractNumId w:val="3"/>
  </w:num>
  <w:num w:numId="7">
    <w:abstractNumId w:val="9"/>
  </w:num>
  <w:num w:numId="8">
    <w:abstractNumId w:val="8"/>
  </w:num>
  <w:num w:numId="9">
    <w:abstractNumId w:val="4"/>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47"/>
    <w:rsid w:val="000010CF"/>
    <w:rsid w:val="00026A47"/>
    <w:rsid w:val="00027F2A"/>
    <w:rsid w:val="000346F8"/>
    <w:rsid w:val="00055218"/>
    <w:rsid w:val="00077BF1"/>
    <w:rsid w:val="000804BA"/>
    <w:rsid w:val="000D16D6"/>
    <w:rsid w:val="000F5A30"/>
    <w:rsid w:val="00117661"/>
    <w:rsid w:val="001336B4"/>
    <w:rsid w:val="001C7129"/>
    <w:rsid w:val="001E2356"/>
    <w:rsid w:val="001E37FC"/>
    <w:rsid w:val="00230C88"/>
    <w:rsid w:val="00297995"/>
    <w:rsid w:val="00307259"/>
    <w:rsid w:val="003379FF"/>
    <w:rsid w:val="00367B73"/>
    <w:rsid w:val="00387E0F"/>
    <w:rsid w:val="00390AA3"/>
    <w:rsid w:val="003C03DE"/>
    <w:rsid w:val="0046197F"/>
    <w:rsid w:val="004864C2"/>
    <w:rsid w:val="004906AE"/>
    <w:rsid w:val="004F3C71"/>
    <w:rsid w:val="00504C7F"/>
    <w:rsid w:val="005309F6"/>
    <w:rsid w:val="00574D0C"/>
    <w:rsid w:val="00586C23"/>
    <w:rsid w:val="0059624F"/>
    <w:rsid w:val="005B6EFF"/>
    <w:rsid w:val="005D24F8"/>
    <w:rsid w:val="005E5985"/>
    <w:rsid w:val="005F5D59"/>
    <w:rsid w:val="00614AF8"/>
    <w:rsid w:val="00631733"/>
    <w:rsid w:val="00656DC7"/>
    <w:rsid w:val="006631E8"/>
    <w:rsid w:val="00665E5A"/>
    <w:rsid w:val="006A7A38"/>
    <w:rsid w:val="006C32D5"/>
    <w:rsid w:val="006D2E5A"/>
    <w:rsid w:val="00705A93"/>
    <w:rsid w:val="007279E8"/>
    <w:rsid w:val="00766733"/>
    <w:rsid w:val="007868C2"/>
    <w:rsid w:val="007975C1"/>
    <w:rsid w:val="007A56C0"/>
    <w:rsid w:val="007A605A"/>
    <w:rsid w:val="007F2F1C"/>
    <w:rsid w:val="0086373F"/>
    <w:rsid w:val="00866E10"/>
    <w:rsid w:val="00912B3D"/>
    <w:rsid w:val="0096443D"/>
    <w:rsid w:val="00965F1F"/>
    <w:rsid w:val="009973AF"/>
    <w:rsid w:val="009D5FCE"/>
    <w:rsid w:val="009E489E"/>
    <w:rsid w:val="00A079A7"/>
    <w:rsid w:val="00A35A98"/>
    <w:rsid w:val="00A60F02"/>
    <w:rsid w:val="00AE4A92"/>
    <w:rsid w:val="00B25BFF"/>
    <w:rsid w:val="00B46231"/>
    <w:rsid w:val="00C67D84"/>
    <w:rsid w:val="00CA189E"/>
    <w:rsid w:val="00CB1BBE"/>
    <w:rsid w:val="00CB2F0B"/>
    <w:rsid w:val="00CC4E0B"/>
    <w:rsid w:val="00CE6738"/>
    <w:rsid w:val="00CF33C9"/>
    <w:rsid w:val="00DC639A"/>
    <w:rsid w:val="00DD102A"/>
    <w:rsid w:val="00DD29D4"/>
    <w:rsid w:val="00DE3C20"/>
    <w:rsid w:val="00E1595F"/>
    <w:rsid w:val="00E64ED2"/>
    <w:rsid w:val="00F27BCD"/>
    <w:rsid w:val="00FB0729"/>
    <w:rsid w:val="00FC3818"/>
    <w:rsid w:val="00FC6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A47"/>
    <w:pPr>
      <w:ind w:left="720"/>
      <w:contextualSpacing/>
    </w:pPr>
  </w:style>
  <w:style w:type="character" w:styleId="Hyperlink">
    <w:name w:val="Hyperlink"/>
    <w:basedOn w:val="DefaultParagraphFont"/>
    <w:uiPriority w:val="99"/>
    <w:unhideWhenUsed/>
    <w:rsid w:val="007A605A"/>
    <w:rPr>
      <w:color w:val="0000FF" w:themeColor="hyperlink"/>
      <w:u w:val="single"/>
    </w:rPr>
  </w:style>
  <w:style w:type="paragraph" w:styleId="FootnoteText">
    <w:name w:val="footnote text"/>
    <w:basedOn w:val="Normal"/>
    <w:link w:val="FootnoteTextChar"/>
    <w:uiPriority w:val="99"/>
    <w:semiHidden/>
    <w:unhideWhenUsed/>
    <w:rsid w:val="000F5A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5A30"/>
    <w:rPr>
      <w:sz w:val="20"/>
      <w:szCs w:val="20"/>
    </w:rPr>
  </w:style>
  <w:style w:type="character" w:styleId="FootnoteReference">
    <w:name w:val="footnote reference"/>
    <w:basedOn w:val="DefaultParagraphFont"/>
    <w:uiPriority w:val="99"/>
    <w:semiHidden/>
    <w:unhideWhenUsed/>
    <w:rsid w:val="000F5A30"/>
    <w:rPr>
      <w:vertAlign w:val="superscript"/>
    </w:rPr>
  </w:style>
  <w:style w:type="paragraph" w:styleId="EndnoteText">
    <w:name w:val="endnote text"/>
    <w:basedOn w:val="Normal"/>
    <w:link w:val="EndnoteTextChar"/>
    <w:uiPriority w:val="99"/>
    <w:semiHidden/>
    <w:unhideWhenUsed/>
    <w:rsid w:val="006D2E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E5A"/>
    <w:rPr>
      <w:sz w:val="20"/>
      <w:szCs w:val="20"/>
    </w:rPr>
  </w:style>
  <w:style w:type="character" w:styleId="EndnoteReference">
    <w:name w:val="endnote reference"/>
    <w:basedOn w:val="DefaultParagraphFont"/>
    <w:uiPriority w:val="99"/>
    <w:semiHidden/>
    <w:unhideWhenUsed/>
    <w:rsid w:val="006D2E5A"/>
    <w:rPr>
      <w:vertAlign w:val="superscript"/>
    </w:rPr>
  </w:style>
  <w:style w:type="paragraph" w:styleId="BalloonText">
    <w:name w:val="Balloon Text"/>
    <w:basedOn w:val="Normal"/>
    <w:link w:val="BalloonTextChar"/>
    <w:uiPriority w:val="99"/>
    <w:semiHidden/>
    <w:unhideWhenUsed/>
    <w:rsid w:val="00705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A93"/>
    <w:rPr>
      <w:rFonts w:ascii="Tahoma" w:hAnsi="Tahoma" w:cs="Tahoma"/>
      <w:sz w:val="16"/>
      <w:szCs w:val="16"/>
    </w:rPr>
  </w:style>
  <w:style w:type="paragraph" w:styleId="Header">
    <w:name w:val="header"/>
    <w:basedOn w:val="Normal"/>
    <w:link w:val="HeaderChar"/>
    <w:uiPriority w:val="99"/>
    <w:unhideWhenUsed/>
    <w:rsid w:val="00FB0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729"/>
  </w:style>
  <w:style w:type="paragraph" w:styleId="Footer">
    <w:name w:val="footer"/>
    <w:basedOn w:val="Normal"/>
    <w:link w:val="FooterChar"/>
    <w:uiPriority w:val="99"/>
    <w:unhideWhenUsed/>
    <w:rsid w:val="00FB0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7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A47"/>
    <w:pPr>
      <w:ind w:left="720"/>
      <w:contextualSpacing/>
    </w:pPr>
  </w:style>
  <w:style w:type="character" w:styleId="Hyperlink">
    <w:name w:val="Hyperlink"/>
    <w:basedOn w:val="DefaultParagraphFont"/>
    <w:uiPriority w:val="99"/>
    <w:unhideWhenUsed/>
    <w:rsid w:val="007A605A"/>
    <w:rPr>
      <w:color w:val="0000FF" w:themeColor="hyperlink"/>
      <w:u w:val="single"/>
    </w:rPr>
  </w:style>
  <w:style w:type="paragraph" w:styleId="FootnoteText">
    <w:name w:val="footnote text"/>
    <w:basedOn w:val="Normal"/>
    <w:link w:val="FootnoteTextChar"/>
    <w:uiPriority w:val="99"/>
    <w:semiHidden/>
    <w:unhideWhenUsed/>
    <w:rsid w:val="000F5A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5A30"/>
    <w:rPr>
      <w:sz w:val="20"/>
      <w:szCs w:val="20"/>
    </w:rPr>
  </w:style>
  <w:style w:type="character" w:styleId="FootnoteReference">
    <w:name w:val="footnote reference"/>
    <w:basedOn w:val="DefaultParagraphFont"/>
    <w:uiPriority w:val="99"/>
    <w:semiHidden/>
    <w:unhideWhenUsed/>
    <w:rsid w:val="000F5A30"/>
    <w:rPr>
      <w:vertAlign w:val="superscript"/>
    </w:rPr>
  </w:style>
  <w:style w:type="paragraph" w:styleId="EndnoteText">
    <w:name w:val="endnote text"/>
    <w:basedOn w:val="Normal"/>
    <w:link w:val="EndnoteTextChar"/>
    <w:uiPriority w:val="99"/>
    <w:semiHidden/>
    <w:unhideWhenUsed/>
    <w:rsid w:val="006D2E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E5A"/>
    <w:rPr>
      <w:sz w:val="20"/>
      <w:szCs w:val="20"/>
    </w:rPr>
  </w:style>
  <w:style w:type="character" w:styleId="EndnoteReference">
    <w:name w:val="endnote reference"/>
    <w:basedOn w:val="DefaultParagraphFont"/>
    <w:uiPriority w:val="99"/>
    <w:semiHidden/>
    <w:unhideWhenUsed/>
    <w:rsid w:val="006D2E5A"/>
    <w:rPr>
      <w:vertAlign w:val="superscript"/>
    </w:rPr>
  </w:style>
  <w:style w:type="paragraph" w:styleId="BalloonText">
    <w:name w:val="Balloon Text"/>
    <w:basedOn w:val="Normal"/>
    <w:link w:val="BalloonTextChar"/>
    <w:uiPriority w:val="99"/>
    <w:semiHidden/>
    <w:unhideWhenUsed/>
    <w:rsid w:val="00705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A93"/>
    <w:rPr>
      <w:rFonts w:ascii="Tahoma" w:hAnsi="Tahoma" w:cs="Tahoma"/>
      <w:sz w:val="16"/>
      <w:szCs w:val="16"/>
    </w:rPr>
  </w:style>
  <w:style w:type="paragraph" w:styleId="Header">
    <w:name w:val="header"/>
    <w:basedOn w:val="Normal"/>
    <w:link w:val="HeaderChar"/>
    <w:uiPriority w:val="99"/>
    <w:unhideWhenUsed/>
    <w:rsid w:val="00FB0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729"/>
  </w:style>
  <w:style w:type="paragraph" w:styleId="Footer">
    <w:name w:val="footer"/>
    <w:basedOn w:val="Normal"/>
    <w:link w:val="FooterChar"/>
    <w:uiPriority w:val="99"/>
    <w:unhideWhenUsed/>
    <w:rsid w:val="00FB0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343292-99BE-44A5-B97B-9E06AE393B03}"/>
</file>

<file path=customXml/itemProps2.xml><?xml version="1.0" encoding="utf-8"?>
<ds:datastoreItem xmlns:ds="http://schemas.openxmlformats.org/officeDocument/2006/customXml" ds:itemID="{92DC66AA-16A4-4846-BC65-3D6FD4AE09EF}"/>
</file>

<file path=customXml/itemProps3.xml><?xml version="1.0" encoding="utf-8"?>
<ds:datastoreItem xmlns:ds="http://schemas.openxmlformats.org/officeDocument/2006/customXml" ds:itemID="{397CC7EA-1367-4A12-9A22-E727E0FB5834}"/>
</file>

<file path=customXml/itemProps4.xml><?xml version="1.0" encoding="utf-8"?>
<ds:datastoreItem xmlns:ds="http://schemas.openxmlformats.org/officeDocument/2006/customXml" ds:itemID="{0AC0B06C-2ADB-4310-A945-DF7C494534D0}"/>
</file>

<file path=docProps/app.xml><?xml version="1.0" encoding="utf-8"?>
<Properties xmlns="http://schemas.openxmlformats.org/officeDocument/2006/extended-properties" xmlns:vt="http://schemas.openxmlformats.org/officeDocument/2006/docPropsVTypes">
  <Template>Normal.dotm</Template>
  <TotalTime>32</TotalTime>
  <Pages>6</Pages>
  <Words>2073</Words>
  <Characters>11407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Giuliano COMBA</dc:creator>
  <cp:lastModifiedBy>Irina Tabirta</cp:lastModifiedBy>
  <cp:revision>17</cp:revision>
  <dcterms:created xsi:type="dcterms:W3CDTF">2016-11-17T14:52:00Z</dcterms:created>
  <dcterms:modified xsi:type="dcterms:W3CDTF">2016-11-17T15:24:00Z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