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1AADE" w14:textId="452DAC73" w:rsidR="000B495F" w:rsidRDefault="000B495F" w:rsidP="008F5DFD">
      <w:pPr>
        <w:spacing w:line="240" w:lineRule="exact"/>
        <w:jc w:val="center"/>
        <w:rPr>
          <w:rFonts w:ascii="Verdana" w:hAnsi="Verdana"/>
          <w:b/>
          <w:iCs/>
          <w:sz w:val="22"/>
          <w:szCs w:val="22"/>
          <w:lang w:val="en-GB"/>
        </w:rPr>
      </w:pPr>
    </w:p>
    <w:p w14:paraId="0932648C" w14:textId="77777777" w:rsidR="000B495F" w:rsidRDefault="000B495F" w:rsidP="008F5DFD">
      <w:pPr>
        <w:spacing w:line="240" w:lineRule="exact"/>
        <w:jc w:val="center"/>
        <w:rPr>
          <w:rFonts w:ascii="Verdana" w:hAnsi="Verdana"/>
          <w:b/>
          <w:iCs/>
          <w:sz w:val="22"/>
          <w:szCs w:val="22"/>
          <w:lang w:val="en-GB"/>
        </w:rPr>
      </w:pPr>
    </w:p>
    <w:p w14:paraId="60B12D26" w14:textId="4E7B38D2" w:rsidR="008D21EC" w:rsidRDefault="008D21EC" w:rsidP="008F5DFD">
      <w:pPr>
        <w:spacing w:line="240" w:lineRule="exact"/>
        <w:jc w:val="center"/>
        <w:rPr>
          <w:rFonts w:ascii="Verdana" w:hAnsi="Verdana"/>
          <w:noProof/>
          <w:sz w:val="19"/>
          <w:szCs w:val="19"/>
        </w:rPr>
      </w:pPr>
    </w:p>
    <w:p w14:paraId="7219A2B5" w14:textId="4B878EC1" w:rsidR="000B495F" w:rsidRDefault="000B495F" w:rsidP="008F5DFD">
      <w:pPr>
        <w:spacing w:line="240" w:lineRule="exact"/>
        <w:jc w:val="center"/>
        <w:rPr>
          <w:rFonts w:ascii="Verdana" w:hAnsi="Verdana"/>
          <w:b/>
          <w:iCs/>
          <w:sz w:val="22"/>
          <w:szCs w:val="22"/>
          <w:lang w:val="en-GB"/>
        </w:rPr>
      </w:pPr>
      <w:r w:rsidRPr="00E258AA">
        <w:rPr>
          <w:noProof/>
          <w:sz w:val="19"/>
          <w:szCs w:val="19"/>
        </w:rPr>
        <w:drawing>
          <wp:anchor distT="0" distB="0" distL="114935" distR="114935" simplePos="0" relativeHeight="251659264" behindDoc="0" locked="1" layoutInCell="1" allowOverlap="1" wp14:anchorId="2A7C7282" wp14:editId="0341AA64">
            <wp:simplePos x="0" y="0"/>
            <wp:positionH relativeFrom="column">
              <wp:posOffset>3515995</wp:posOffset>
            </wp:positionH>
            <wp:positionV relativeFrom="page">
              <wp:posOffset>431800</wp:posOffset>
            </wp:positionV>
            <wp:extent cx="1996440" cy="762000"/>
            <wp:effectExtent l="25400" t="0" r="10160" b="0"/>
            <wp:wrapTight wrapText="bothSides">
              <wp:wrapPolygon edited="0">
                <wp:start x="-275" y="0"/>
                <wp:lineTo x="-275" y="20880"/>
                <wp:lineTo x="21710" y="20880"/>
                <wp:lineTo x="21710" y="0"/>
                <wp:lineTo x="-275" y="0"/>
              </wp:wrapPolygon>
            </wp:wrapTight>
            <wp:docPr id="1" name="Picture 1" descr="icj_logo_rgb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j_logo_rgb_english.tif"/>
                    <pic:cNvPicPr/>
                  </pic:nvPicPr>
                  <pic:blipFill>
                    <a:blip r:embed="rId8"/>
                    <a:stretch>
                      <a:fillRect/>
                    </a:stretch>
                  </pic:blipFill>
                  <pic:spPr>
                    <a:xfrm>
                      <a:off x="0" y="0"/>
                      <a:ext cx="1996440" cy="762000"/>
                    </a:xfrm>
                    <a:prstGeom prst="rect">
                      <a:avLst/>
                    </a:prstGeom>
                  </pic:spPr>
                </pic:pic>
              </a:graphicData>
            </a:graphic>
          </wp:anchor>
        </w:drawing>
      </w:r>
    </w:p>
    <w:p w14:paraId="353867AF" w14:textId="77777777" w:rsidR="000B495F" w:rsidRDefault="000B495F" w:rsidP="008F5DFD">
      <w:pPr>
        <w:spacing w:line="240" w:lineRule="exact"/>
        <w:jc w:val="center"/>
        <w:rPr>
          <w:rFonts w:ascii="Verdana" w:hAnsi="Verdana"/>
          <w:b/>
          <w:iCs/>
          <w:sz w:val="22"/>
          <w:szCs w:val="22"/>
          <w:lang w:val="en-GB"/>
        </w:rPr>
      </w:pPr>
    </w:p>
    <w:p w14:paraId="4FEE74BF" w14:textId="77777777" w:rsidR="000B495F" w:rsidRDefault="000B495F" w:rsidP="008F5DFD">
      <w:pPr>
        <w:spacing w:line="240" w:lineRule="exact"/>
        <w:jc w:val="center"/>
        <w:rPr>
          <w:rFonts w:ascii="Verdana" w:hAnsi="Verdana"/>
          <w:b/>
          <w:iCs/>
          <w:sz w:val="22"/>
          <w:szCs w:val="22"/>
          <w:lang w:val="en-GB"/>
        </w:rPr>
      </w:pPr>
    </w:p>
    <w:p w14:paraId="2A91F7DB" w14:textId="0A4587D8" w:rsidR="0068247B" w:rsidRPr="00F331E3" w:rsidRDefault="00F250F7" w:rsidP="008F5DFD">
      <w:pPr>
        <w:spacing w:line="240" w:lineRule="exact"/>
        <w:jc w:val="center"/>
        <w:rPr>
          <w:rFonts w:ascii="Verdana" w:hAnsi="Verdana"/>
          <w:b/>
          <w:iCs/>
          <w:sz w:val="22"/>
          <w:szCs w:val="22"/>
          <w:lang w:val="en-GB"/>
        </w:rPr>
      </w:pPr>
      <w:r w:rsidRPr="00F331E3">
        <w:rPr>
          <w:rFonts w:ascii="Verdana" w:hAnsi="Verdana"/>
          <w:b/>
          <w:iCs/>
          <w:sz w:val="22"/>
          <w:szCs w:val="22"/>
          <w:lang w:val="en-GB"/>
        </w:rPr>
        <w:t>Personal Jurisdiction of Military Courts in t</w:t>
      </w:r>
      <w:r w:rsidR="0068247B" w:rsidRPr="00F331E3">
        <w:rPr>
          <w:rFonts w:ascii="Verdana" w:hAnsi="Verdana"/>
          <w:b/>
          <w:iCs/>
          <w:sz w:val="22"/>
          <w:szCs w:val="22"/>
          <w:lang w:val="en-GB"/>
        </w:rPr>
        <w:t>he MENA Region</w:t>
      </w:r>
    </w:p>
    <w:p w14:paraId="5236939D" w14:textId="77777777" w:rsidR="0068247B" w:rsidRPr="00F331E3" w:rsidRDefault="0068247B" w:rsidP="0020294E">
      <w:pPr>
        <w:spacing w:line="240" w:lineRule="exact"/>
        <w:rPr>
          <w:rFonts w:ascii="Verdana" w:hAnsi="Verdana"/>
          <w:sz w:val="22"/>
          <w:szCs w:val="22"/>
          <w:lang w:val="en-GB"/>
        </w:rPr>
      </w:pPr>
    </w:p>
    <w:p w14:paraId="65E67BAC" w14:textId="77777777" w:rsidR="00F331E3" w:rsidRDefault="00F331E3" w:rsidP="0020294E">
      <w:pPr>
        <w:spacing w:line="240" w:lineRule="exact"/>
        <w:jc w:val="both"/>
        <w:rPr>
          <w:rFonts w:ascii="Verdana" w:hAnsi="Verdana"/>
          <w:sz w:val="22"/>
          <w:szCs w:val="22"/>
          <w:lang w:val="en-GB"/>
        </w:rPr>
      </w:pPr>
    </w:p>
    <w:p w14:paraId="5E4D9099" w14:textId="77777777" w:rsidR="008D21EC" w:rsidRDefault="008D21EC" w:rsidP="0020294E">
      <w:pPr>
        <w:spacing w:line="240" w:lineRule="exact"/>
        <w:jc w:val="both"/>
        <w:rPr>
          <w:rFonts w:ascii="Verdana" w:hAnsi="Verdana"/>
          <w:sz w:val="22"/>
          <w:szCs w:val="22"/>
          <w:lang w:val="en-GB"/>
        </w:rPr>
      </w:pPr>
    </w:p>
    <w:p w14:paraId="13CBFA47" w14:textId="28792E2E" w:rsidR="00D700DA" w:rsidRPr="00F331E3" w:rsidRDefault="00D700DA"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Mr Chair, </w:t>
      </w:r>
      <w:r w:rsidR="00F250F7" w:rsidRPr="00F331E3">
        <w:rPr>
          <w:rFonts w:ascii="Verdana" w:hAnsi="Verdana"/>
          <w:sz w:val="22"/>
          <w:szCs w:val="22"/>
          <w:lang w:val="en-GB"/>
        </w:rPr>
        <w:t>Excellences</w:t>
      </w:r>
      <w:r w:rsidR="0068247B" w:rsidRPr="00F331E3">
        <w:rPr>
          <w:rFonts w:ascii="Verdana" w:hAnsi="Verdana"/>
          <w:sz w:val="22"/>
          <w:szCs w:val="22"/>
          <w:lang w:val="en-GB"/>
        </w:rPr>
        <w:t xml:space="preserve">, </w:t>
      </w:r>
      <w:r w:rsidR="002402A3" w:rsidRPr="00F331E3">
        <w:rPr>
          <w:rFonts w:ascii="Verdana" w:hAnsi="Verdana"/>
          <w:sz w:val="22"/>
          <w:szCs w:val="22"/>
          <w:lang w:val="en-GB"/>
        </w:rPr>
        <w:t>d</w:t>
      </w:r>
      <w:r w:rsidRPr="00F331E3">
        <w:rPr>
          <w:rFonts w:ascii="Verdana" w:hAnsi="Verdana"/>
          <w:sz w:val="22"/>
          <w:szCs w:val="22"/>
          <w:lang w:val="en-GB"/>
        </w:rPr>
        <w:t>isti</w:t>
      </w:r>
      <w:r w:rsidR="00442D2E" w:rsidRPr="00F331E3">
        <w:rPr>
          <w:rFonts w:ascii="Verdana" w:hAnsi="Verdana"/>
          <w:sz w:val="22"/>
          <w:szCs w:val="22"/>
          <w:lang w:val="en-GB"/>
        </w:rPr>
        <w:t>n</w:t>
      </w:r>
      <w:r w:rsidRPr="00F331E3">
        <w:rPr>
          <w:rFonts w:ascii="Verdana" w:hAnsi="Verdana"/>
          <w:sz w:val="22"/>
          <w:szCs w:val="22"/>
          <w:lang w:val="en-GB"/>
        </w:rPr>
        <w:t xml:space="preserve">guished delegates, </w:t>
      </w:r>
      <w:r w:rsidR="0068247B" w:rsidRPr="00F331E3">
        <w:rPr>
          <w:rFonts w:ascii="Verdana" w:hAnsi="Verdana"/>
          <w:sz w:val="22"/>
          <w:szCs w:val="22"/>
          <w:lang w:val="en-GB"/>
        </w:rPr>
        <w:t>ladies and gentlemen,</w:t>
      </w:r>
      <w:r w:rsidRPr="00F331E3">
        <w:rPr>
          <w:rFonts w:ascii="Verdana" w:hAnsi="Verdana"/>
          <w:sz w:val="22"/>
          <w:szCs w:val="22"/>
          <w:lang w:val="en-GB"/>
        </w:rPr>
        <w:t xml:space="preserve"> </w:t>
      </w:r>
    </w:p>
    <w:p w14:paraId="127A0AA3" w14:textId="77777777" w:rsidR="00D700DA" w:rsidRPr="00F331E3" w:rsidRDefault="00D700DA" w:rsidP="0020294E">
      <w:pPr>
        <w:spacing w:line="240" w:lineRule="exact"/>
        <w:jc w:val="both"/>
        <w:rPr>
          <w:rFonts w:ascii="Verdana" w:hAnsi="Verdana"/>
          <w:sz w:val="22"/>
          <w:szCs w:val="22"/>
          <w:lang w:val="en-GB"/>
        </w:rPr>
      </w:pPr>
    </w:p>
    <w:p w14:paraId="0D207F5E" w14:textId="6F53E265" w:rsidR="00C02287" w:rsidRPr="00F331E3" w:rsidRDefault="00D700DA" w:rsidP="0020294E">
      <w:pPr>
        <w:spacing w:line="240" w:lineRule="exact"/>
        <w:jc w:val="both"/>
        <w:rPr>
          <w:rFonts w:ascii="Verdana" w:hAnsi="Verdana" w:cstheme="minorHAnsi"/>
          <w:sz w:val="22"/>
          <w:szCs w:val="22"/>
          <w:lang w:val="en-GB"/>
        </w:rPr>
      </w:pPr>
      <w:r w:rsidRPr="00F331E3">
        <w:rPr>
          <w:rFonts w:ascii="Verdana" w:hAnsi="Verdana" w:cstheme="minorHAnsi"/>
          <w:sz w:val="22"/>
          <w:szCs w:val="22"/>
          <w:lang w:val="en-GB"/>
        </w:rPr>
        <w:t xml:space="preserve">I am </w:t>
      </w:r>
      <w:r w:rsidR="00F250F7" w:rsidRPr="00F331E3">
        <w:rPr>
          <w:rFonts w:ascii="Verdana" w:hAnsi="Verdana" w:cstheme="minorHAnsi"/>
          <w:sz w:val="22"/>
          <w:szCs w:val="22"/>
          <w:lang w:val="en-GB"/>
        </w:rPr>
        <w:t>honoured</w:t>
      </w:r>
      <w:r w:rsidRPr="00F331E3">
        <w:rPr>
          <w:rFonts w:ascii="Verdana" w:hAnsi="Verdana" w:cstheme="minorHAnsi"/>
          <w:sz w:val="22"/>
          <w:szCs w:val="22"/>
          <w:lang w:val="en-GB"/>
        </w:rPr>
        <w:t xml:space="preserve"> to address you today on behalf of the International commission of Jurists. </w:t>
      </w:r>
      <w:r w:rsidR="002402A3" w:rsidRPr="00F331E3">
        <w:rPr>
          <w:rFonts w:ascii="Verdana" w:hAnsi="Verdana" w:cstheme="minorHAnsi"/>
          <w:sz w:val="22"/>
          <w:szCs w:val="22"/>
          <w:lang w:val="en-GB"/>
        </w:rPr>
        <w:t xml:space="preserve">As a rule of law organization, we believe that the use of </w:t>
      </w:r>
      <w:r w:rsidR="00CC598C" w:rsidRPr="00F331E3">
        <w:rPr>
          <w:rFonts w:ascii="Verdana" w:hAnsi="Verdana"/>
          <w:sz w:val="22"/>
          <w:szCs w:val="22"/>
          <w:lang w:val="en-GB"/>
        </w:rPr>
        <w:t>m</w:t>
      </w:r>
      <w:r w:rsidR="002402A3" w:rsidRPr="00F331E3">
        <w:rPr>
          <w:rFonts w:ascii="Verdana" w:hAnsi="Verdana"/>
          <w:sz w:val="22"/>
          <w:szCs w:val="22"/>
          <w:lang w:val="en-GB"/>
        </w:rPr>
        <w:t xml:space="preserve">ilitary </w:t>
      </w:r>
      <w:r w:rsidR="00E175A1" w:rsidRPr="00F331E3">
        <w:rPr>
          <w:rFonts w:ascii="Verdana" w:hAnsi="Verdana"/>
          <w:sz w:val="22"/>
          <w:szCs w:val="22"/>
          <w:lang w:val="en-GB"/>
        </w:rPr>
        <w:t>courts</w:t>
      </w:r>
      <w:r w:rsidR="002402A3" w:rsidRPr="00F331E3">
        <w:rPr>
          <w:rFonts w:ascii="Verdana" w:hAnsi="Verdana"/>
          <w:sz w:val="22"/>
          <w:szCs w:val="22"/>
          <w:lang w:val="en-GB"/>
        </w:rPr>
        <w:t xml:space="preserve"> </w:t>
      </w:r>
      <w:r w:rsidR="00222CDA" w:rsidRPr="00F331E3">
        <w:rPr>
          <w:rFonts w:ascii="Verdana" w:hAnsi="Verdana"/>
          <w:bCs/>
          <w:sz w:val="22"/>
          <w:szCs w:val="22"/>
          <w:lang w:val="en-GB"/>
        </w:rPr>
        <w:t xml:space="preserve">raises serious concerns as far as the effective, </w:t>
      </w:r>
      <w:r w:rsidR="00523A18" w:rsidRPr="00F331E3">
        <w:rPr>
          <w:rFonts w:ascii="Verdana" w:hAnsi="Verdana"/>
          <w:bCs/>
          <w:sz w:val="22"/>
          <w:szCs w:val="22"/>
          <w:lang w:val="en-GB"/>
        </w:rPr>
        <w:t xml:space="preserve">independent and </w:t>
      </w:r>
      <w:r w:rsidR="00222CDA" w:rsidRPr="00F331E3">
        <w:rPr>
          <w:rFonts w:ascii="Verdana" w:hAnsi="Verdana"/>
          <w:bCs/>
          <w:sz w:val="22"/>
          <w:szCs w:val="22"/>
          <w:lang w:val="en-GB"/>
        </w:rPr>
        <w:t>impartial administration of justice is concerned.</w:t>
      </w:r>
      <w:r w:rsidR="00222CDA" w:rsidRPr="00F331E3">
        <w:rPr>
          <w:rFonts w:ascii="Verdana" w:hAnsi="Verdana"/>
          <w:sz w:val="22"/>
          <w:szCs w:val="22"/>
          <w:lang w:val="en-GB"/>
        </w:rPr>
        <w:t xml:space="preserve"> These concerns are not only </w:t>
      </w:r>
      <w:r w:rsidR="00C02287" w:rsidRPr="00F331E3">
        <w:rPr>
          <w:rFonts w:ascii="Verdana" w:hAnsi="Verdana"/>
          <w:sz w:val="22"/>
          <w:szCs w:val="22"/>
          <w:lang w:val="en-GB"/>
        </w:rPr>
        <w:t>relevant to</w:t>
      </w:r>
      <w:r w:rsidR="00E175A1" w:rsidRPr="00F331E3">
        <w:rPr>
          <w:rFonts w:ascii="Verdana" w:hAnsi="Verdana"/>
          <w:sz w:val="22"/>
          <w:szCs w:val="22"/>
          <w:lang w:val="en-GB"/>
        </w:rPr>
        <w:t xml:space="preserve"> </w:t>
      </w:r>
      <w:r w:rsidR="002402A3" w:rsidRPr="00F331E3">
        <w:rPr>
          <w:rFonts w:ascii="Verdana" w:hAnsi="Verdana"/>
          <w:sz w:val="22"/>
          <w:szCs w:val="22"/>
          <w:lang w:val="en-GB"/>
        </w:rPr>
        <w:t>the independence of the judiciary</w:t>
      </w:r>
      <w:r w:rsidR="00222CDA" w:rsidRPr="00F331E3">
        <w:rPr>
          <w:rFonts w:ascii="Verdana" w:hAnsi="Verdana"/>
          <w:sz w:val="22"/>
          <w:szCs w:val="22"/>
          <w:lang w:val="en-GB"/>
        </w:rPr>
        <w:t xml:space="preserve"> and</w:t>
      </w:r>
      <w:r w:rsidR="00C02287" w:rsidRPr="00F331E3">
        <w:rPr>
          <w:rFonts w:ascii="Verdana" w:hAnsi="Verdana"/>
          <w:sz w:val="22"/>
          <w:szCs w:val="22"/>
          <w:lang w:val="en-GB"/>
        </w:rPr>
        <w:t xml:space="preserve"> </w:t>
      </w:r>
      <w:r w:rsidR="00222CDA" w:rsidRPr="00F331E3">
        <w:rPr>
          <w:rFonts w:ascii="Verdana" w:hAnsi="Verdana"/>
          <w:sz w:val="22"/>
          <w:szCs w:val="22"/>
          <w:lang w:val="en-GB"/>
        </w:rPr>
        <w:t>respect for the rule of law</w:t>
      </w:r>
      <w:r w:rsidR="00765D53" w:rsidRPr="00F331E3">
        <w:rPr>
          <w:rFonts w:ascii="Verdana" w:hAnsi="Verdana"/>
          <w:sz w:val="22"/>
          <w:szCs w:val="22"/>
          <w:lang w:val="en-GB"/>
        </w:rPr>
        <w:t xml:space="preserve">, </w:t>
      </w:r>
      <w:r w:rsidR="00EF459D" w:rsidRPr="00F331E3">
        <w:rPr>
          <w:rFonts w:ascii="Verdana" w:hAnsi="Verdana"/>
          <w:sz w:val="22"/>
          <w:szCs w:val="22"/>
          <w:lang w:val="en-GB"/>
        </w:rPr>
        <w:t>they are also relevant</w:t>
      </w:r>
      <w:r w:rsidR="00765D53" w:rsidRPr="00F331E3">
        <w:rPr>
          <w:rFonts w:ascii="Verdana" w:hAnsi="Verdana"/>
          <w:sz w:val="22"/>
          <w:szCs w:val="22"/>
          <w:lang w:val="en-GB"/>
        </w:rPr>
        <w:t xml:space="preserve"> to </w:t>
      </w:r>
      <w:r w:rsidR="00C02287" w:rsidRPr="00F331E3">
        <w:rPr>
          <w:rFonts w:ascii="Verdana" w:hAnsi="Verdana"/>
          <w:sz w:val="22"/>
          <w:szCs w:val="22"/>
          <w:lang w:val="en-GB"/>
        </w:rPr>
        <w:t>the protection of human rights, including fair trial rights</w:t>
      </w:r>
      <w:r w:rsidR="00963E3C" w:rsidRPr="00F331E3">
        <w:rPr>
          <w:rFonts w:ascii="Verdana" w:hAnsi="Verdana"/>
          <w:sz w:val="22"/>
          <w:szCs w:val="22"/>
          <w:lang w:val="en-GB"/>
        </w:rPr>
        <w:t xml:space="preserve"> and the rights of victims of human rights violations to effective remedies and </w:t>
      </w:r>
      <w:r w:rsidR="00AB1026" w:rsidRPr="00F331E3">
        <w:rPr>
          <w:rFonts w:ascii="Verdana" w:hAnsi="Verdana"/>
          <w:sz w:val="22"/>
          <w:szCs w:val="22"/>
          <w:lang w:val="en-GB"/>
        </w:rPr>
        <w:t xml:space="preserve">to </w:t>
      </w:r>
      <w:r w:rsidR="00963E3C" w:rsidRPr="00F331E3">
        <w:rPr>
          <w:rFonts w:ascii="Verdana" w:hAnsi="Verdana"/>
          <w:sz w:val="22"/>
          <w:szCs w:val="22"/>
          <w:lang w:val="en-GB"/>
        </w:rPr>
        <w:t>reparation</w:t>
      </w:r>
      <w:r w:rsidR="00C02287" w:rsidRPr="00F331E3">
        <w:rPr>
          <w:rFonts w:ascii="Verdana" w:hAnsi="Verdana"/>
          <w:sz w:val="22"/>
          <w:szCs w:val="22"/>
          <w:lang w:val="en-GB"/>
        </w:rPr>
        <w:t>.</w:t>
      </w:r>
      <w:r w:rsidR="00C95119" w:rsidRPr="00F331E3">
        <w:rPr>
          <w:rFonts w:ascii="Verdana" w:hAnsi="Verdana"/>
          <w:sz w:val="22"/>
          <w:szCs w:val="22"/>
          <w:lang w:val="en-GB"/>
        </w:rPr>
        <w:t xml:space="preserve">  </w:t>
      </w:r>
    </w:p>
    <w:p w14:paraId="4CD4C0D1" w14:textId="77777777" w:rsidR="00CC598C" w:rsidRPr="00F331E3" w:rsidRDefault="00CC598C" w:rsidP="0020294E">
      <w:pPr>
        <w:spacing w:line="240" w:lineRule="exact"/>
        <w:jc w:val="both"/>
        <w:rPr>
          <w:rFonts w:ascii="Verdana" w:hAnsi="Verdana"/>
          <w:sz w:val="22"/>
          <w:szCs w:val="22"/>
          <w:lang w:val="en-GB"/>
        </w:rPr>
      </w:pPr>
    </w:p>
    <w:p w14:paraId="75B62A17" w14:textId="3306F65C" w:rsidR="002402A3" w:rsidRPr="00F331E3" w:rsidRDefault="00CC598C" w:rsidP="0020294E">
      <w:pPr>
        <w:spacing w:line="240" w:lineRule="exact"/>
        <w:jc w:val="both"/>
        <w:rPr>
          <w:rFonts w:ascii="Verdana" w:hAnsi="Verdana"/>
          <w:sz w:val="22"/>
          <w:szCs w:val="22"/>
          <w:lang w:val="en-GB"/>
        </w:rPr>
      </w:pPr>
      <w:r w:rsidRPr="00F331E3">
        <w:rPr>
          <w:rFonts w:ascii="Verdana" w:hAnsi="Verdana"/>
          <w:sz w:val="22"/>
          <w:szCs w:val="22"/>
          <w:lang w:val="en-GB"/>
        </w:rPr>
        <w:t>In the Middle East and North Africa (MENA) region, the use of military courts</w:t>
      </w:r>
      <w:r w:rsidR="00E175A1" w:rsidRPr="00F331E3">
        <w:rPr>
          <w:rFonts w:ascii="Verdana" w:hAnsi="Verdana"/>
          <w:sz w:val="22"/>
          <w:szCs w:val="22"/>
          <w:lang w:val="en-GB"/>
        </w:rPr>
        <w:t xml:space="preserve"> is particularly </w:t>
      </w:r>
      <w:r w:rsidRPr="00F331E3">
        <w:rPr>
          <w:rFonts w:ascii="Verdana" w:hAnsi="Verdana"/>
          <w:sz w:val="22"/>
          <w:szCs w:val="22"/>
          <w:lang w:val="en-GB"/>
        </w:rPr>
        <w:t>problematic</w:t>
      </w:r>
      <w:r w:rsidR="00E175A1" w:rsidRPr="00F331E3">
        <w:rPr>
          <w:rFonts w:ascii="Verdana" w:hAnsi="Verdana"/>
          <w:sz w:val="22"/>
          <w:szCs w:val="22"/>
          <w:lang w:val="en-GB"/>
        </w:rPr>
        <w:t xml:space="preserve"> because they </w:t>
      </w:r>
      <w:r w:rsidR="00F250F7" w:rsidRPr="00F331E3">
        <w:rPr>
          <w:rFonts w:ascii="Verdana" w:hAnsi="Verdana"/>
          <w:sz w:val="22"/>
          <w:szCs w:val="22"/>
          <w:lang w:val="en-GB"/>
        </w:rPr>
        <w:t xml:space="preserve">have </w:t>
      </w:r>
      <w:r w:rsidR="002402A3" w:rsidRPr="00F331E3">
        <w:rPr>
          <w:rFonts w:ascii="Verdana" w:hAnsi="Verdana"/>
          <w:sz w:val="22"/>
          <w:szCs w:val="22"/>
          <w:lang w:val="en-GB"/>
        </w:rPr>
        <w:t>very broad jurisdiction to hear cases involving</w:t>
      </w:r>
      <w:r w:rsidR="002B0FDB" w:rsidRPr="00F331E3">
        <w:rPr>
          <w:rFonts w:ascii="Verdana" w:hAnsi="Verdana"/>
          <w:sz w:val="22"/>
          <w:szCs w:val="22"/>
          <w:lang w:val="en-GB"/>
        </w:rPr>
        <w:t xml:space="preserve"> both</w:t>
      </w:r>
      <w:r w:rsidR="002402A3" w:rsidRPr="00F331E3">
        <w:rPr>
          <w:rFonts w:ascii="Verdana" w:hAnsi="Verdana"/>
          <w:sz w:val="22"/>
          <w:szCs w:val="22"/>
          <w:lang w:val="en-GB"/>
        </w:rPr>
        <w:t xml:space="preserve"> civilians and allegations of human rights violations b</w:t>
      </w:r>
      <w:bookmarkStart w:id="0" w:name="_GoBack"/>
      <w:bookmarkEnd w:id="0"/>
      <w:r w:rsidR="002402A3" w:rsidRPr="00F331E3">
        <w:rPr>
          <w:rFonts w:ascii="Verdana" w:hAnsi="Verdana"/>
          <w:sz w:val="22"/>
          <w:szCs w:val="22"/>
          <w:lang w:val="en-GB"/>
        </w:rPr>
        <w:t>y mi</w:t>
      </w:r>
      <w:r w:rsidRPr="00F331E3">
        <w:rPr>
          <w:rFonts w:ascii="Verdana" w:hAnsi="Verdana"/>
          <w:sz w:val="22"/>
          <w:szCs w:val="22"/>
          <w:lang w:val="en-GB"/>
        </w:rPr>
        <w:t xml:space="preserve">litary and security personnel. </w:t>
      </w:r>
    </w:p>
    <w:p w14:paraId="10FAF7F3" w14:textId="77777777" w:rsidR="00CC598C" w:rsidRPr="00F331E3" w:rsidRDefault="00CC598C" w:rsidP="0020294E">
      <w:pPr>
        <w:spacing w:line="240" w:lineRule="exact"/>
        <w:jc w:val="both"/>
        <w:rPr>
          <w:rFonts w:ascii="Verdana" w:hAnsi="Verdana"/>
          <w:sz w:val="22"/>
          <w:szCs w:val="22"/>
          <w:lang w:val="en-GB"/>
        </w:rPr>
      </w:pPr>
    </w:p>
    <w:p w14:paraId="0BCDEAD2" w14:textId="7EEE42D9" w:rsidR="002402A3" w:rsidRPr="00F331E3" w:rsidRDefault="002402A3" w:rsidP="0020294E">
      <w:pPr>
        <w:spacing w:line="240" w:lineRule="exact"/>
        <w:jc w:val="both"/>
        <w:rPr>
          <w:rFonts w:ascii="Verdana" w:hAnsi="Verdana"/>
          <w:sz w:val="22"/>
          <w:szCs w:val="22"/>
          <w:lang w:val="en-GB"/>
        </w:rPr>
      </w:pPr>
      <w:r w:rsidRPr="00F331E3">
        <w:rPr>
          <w:rFonts w:ascii="Verdana" w:hAnsi="Verdana"/>
          <w:sz w:val="22"/>
          <w:szCs w:val="22"/>
          <w:lang w:val="en-GB"/>
        </w:rPr>
        <w:t>My intervention</w:t>
      </w:r>
      <w:r w:rsidR="00963E3C" w:rsidRPr="00F331E3">
        <w:rPr>
          <w:rFonts w:ascii="Verdana" w:hAnsi="Verdana"/>
          <w:sz w:val="22"/>
          <w:szCs w:val="22"/>
          <w:lang w:val="en-GB"/>
        </w:rPr>
        <w:t xml:space="preserve"> </w:t>
      </w:r>
      <w:r w:rsidRPr="00F331E3">
        <w:rPr>
          <w:rFonts w:ascii="Verdana" w:hAnsi="Verdana"/>
          <w:sz w:val="22"/>
          <w:szCs w:val="22"/>
          <w:lang w:val="en-GB"/>
        </w:rPr>
        <w:t xml:space="preserve">will highlight certain aspects of </w:t>
      </w:r>
      <w:r w:rsidR="00442D2E" w:rsidRPr="00F331E3">
        <w:rPr>
          <w:rFonts w:ascii="Verdana" w:hAnsi="Verdana"/>
          <w:sz w:val="22"/>
          <w:szCs w:val="22"/>
          <w:lang w:val="en-GB"/>
        </w:rPr>
        <w:t>this broad</w:t>
      </w:r>
      <w:r w:rsidRPr="00F331E3">
        <w:rPr>
          <w:rFonts w:ascii="Verdana" w:hAnsi="Verdana"/>
          <w:sz w:val="22"/>
          <w:szCs w:val="22"/>
          <w:lang w:val="en-GB"/>
        </w:rPr>
        <w:t xml:space="preserve"> jurisdiction</w:t>
      </w:r>
      <w:r w:rsidR="00442D2E" w:rsidRPr="00F331E3">
        <w:rPr>
          <w:rFonts w:ascii="Verdana" w:hAnsi="Verdana"/>
          <w:sz w:val="22"/>
          <w:szCs w:val="22"/>
          <w:lang w:val="en-GB"/>
        </w:rPr>
        <w:t>, including</w:t>
      </w:r>
      <w:r w:rsidR="00963E3C" w:rsidRPr="00F331E3">
        <w:rPr>
          <w:rFonts w:ascii="Verdana" w:hAnsi="Verdana"/>
          <w:sz w:val="22"/>
          <w:szCs w:val="22"/>
          <w:lang w:val="en-GB"/>
        </w:rPr>
        <w:t xml:space="preserve"> </w:t>
      </w:r>
      <w:r w:rsidR="00442D2E" w:rsidRPr="00F331E3">
        <w:rPr>
          <w:rFonts w:ascii="Verdana" w:hAnsi="Verdana"/>
          <w:sz w:val="22"/>
          <w:szCs w:val="22"/>
          <w:lang w:val="en-GB"/>
        </w:rPr>
        <w:t xml:space="preserve">be referring to a limited number of examples from Egypt, Tunisia and Morocco. These examples are for illustrative purposes only. </w:t>
      </w:r>
    </w:p>
    <w:p w14:paraId="449DE884" w14:textId="77777777" w:rsidR="0068247B" w:rsidRPr="00F331E3" w:rsidRDefault="0068247B" w:rsidP="0020294E">
      <w:pPr>
        <w:spacing w:line="240" w:lineRule="exact"/>
        <w:jc w:val="both"/>
        <w:rPr>
          <w:rFonts w:ascii="Verdana" w:hAnsi="Verdana"/>
          <w:sz w:val="22"/>
          <w:szCs w:val="22"/>
          <w:lang w:val="en-GB"/>
        </w:rPr>
      </w:pPr>
    </w:p>
    <w:p w14:paraId="446A46B2" w14:textId="258FDD7A" w:rsidR="00CC598C" w:rsidRPr="00F331E3" w:rsidRDefault="00CC598C" w:rsidP="0020294E">
      <w:pPr>
        <w:spacing w:line="240" w:lineRule="exact"/>
        <w:jc w:val="both"/>
        <w:rPr>
          <w:rFonts w:ascii="Verdana" w:hAnsi="Verdana"/>
          <w:sz w:val="22"/>
          <w:szCs w:val="22"/>
          <w:lang w:val="en-GB"/>
        </w:rPr>
      </w:pPr>
      <w:r w:rsidRPr="00F331E3">
        <w:rPr>
          <w:rFonts w:ascii="Verdana" w:hAnsi="Verdana"/>
          <w:b/>
          <w:sz w:val="22"/>
          <w:szCs w:val="22"/>
          <w:lang w:val="en-GB"/>
        </w:rPr>
        <w:t>In Egypt,</w:t>
      </w:r>
      <w:r w:rsidRPr="00F331E3">
        <w:rPr>
          <w:rFonts w:ascii="Verdana" w:hAnsi="Verdana"/>
          <w:sz w:val="22"/>
          <w:szCs w:val="22"/>
          <w:lang w:val="en-GB"/>
        </w:rPr>
        <w:t xml:space="preserve"> the trial of civilians be</w:t>
      </w:r>
      <w:r w:rsidR="00F250F7" w:rsidRPr="00F331E3">
        <w:rPr>
          <w:rFonts w:ascii="Verdana" w:hAnsi="Verdana"/>
          <w:sz w:val="22"/>
          <w:szCs w:val="22"/>
          <w:lang w:val="en-GB"/>
        </w:rPr>
        <w:t>fore military courts has been a distinct</w:t>
      </w:r>
      <w:r w:rsidRPr="00F331E3">
        <w:rPr>
          <w:rFonts w:ascii="Verdana" w:hAnsi="Verdana"/>
          <w:sz w:val="22"/>
          <w:szCs w:val="22"/>
          <w:lang w:val="en-GB"/>
        </w:rPr>
        <w:t xml:space="preserve"> issue both under the Mubarak regime and in the aftermath of the uprising that toppled him.  </w:t>
      </w:r>
    </w:p>
    <w:p w14:paraId="3C26ED03" w14:textId="77777777" w:rsidR="00CC598C" w:rsidRPr="00F331E3" w:rsidRDefault="00CC598C" w:rsidP="0020294E">
      <w:pPr>
        <w:spacing w:line="240" w:lineRule="exact"/>
        <w:jc w:val="both"/>
        <w:rPr>
          <w:rFonts w:ascii="Verdana" w:hAnsi="Verdana"/>
          <w:sz w:val="22"/>
          <w:szCs w:val="22"/>
          <w:lang w:val="en-GB"/>
        </w:rPr>
      </w:pPr>
    </w:p>
    <w:p w14:paraId="3C5F5778" w14:textId="74BAB401" w:rsidR="00CC598C" w:rsidRPr="00F331E3" w:rsidRDefault="00F86FD9" w:rsidP="0020294E">
      <w:pPr>
        <w:spacing w:line="240" w:lineRule="exact"/>
        <w:jc w:val="both"/>
        <w:rPr>
          <w:rFonts w:ascii="Verdana" w:hAnsi="Verdana"/>
          <w:sz w:val="22"/>
          <w:szCs w:val="22"/>
          <w:lang w:val="en-GB"/>
        </w:rPr>
      </w:pPr>
      <w:r w:rsidRPr="00F331E3">
        <w:rPr>
          <w:rFonts w:ascii="Verdana" w:hAnsi="Verdana"/>
          <w:sz w:val="22"/>
          <w:szCs w:val="22"/>
          <w:lang w:val="en-GB"/>
        </w:rPr>
        <w:t>Under a</w:t>
      </w:r>
      <w:r w:rsidR="00CC598C" w:rsidRPr="00F331E3">
        <w:rPr>
          <w:rFonts w:ascii="Verdana" w:hAnsi="Verdana"/>
          <w:sz w:val="22"/>
          <w:szCs w:val="22"/>
          <w:lang w:val="en-GB"/>
        </w:rPr>
        <w:t>rticle 5 of the M</w:t>
      </w:r>
      <w:r w:rsidR="00293A9D" w:rsidRPr="00F331E3">
        <w:rPr>
          <w:rFonts w:ascii="Verdana" w:hAnsi="Verdana"/>
          <w:sz w:val="22"/>
          <w:szCs w:val="22"/>
          <w:lang w:val="en-GB"/>
        </w:rPr>
        <w:t xml:space="preserve">ilitary </w:t>
      </w:r>
      <w:r w:rsidR="00CC598C" w:rsidRPr="00F331E3">
        <w:rPr>
          <w:rFonts w:ascii="Verdana" w:hAnsi="Verdana"/>
          <w:sz w:val="22"/>
          <w:szCs w:val="22"/>
          <w:lang w:val="en-GB"/>
        </w:rPr>
        <w:t>J</w:t>
      </w:r>
      <w:r w:rsidR="00293A9D" w:rsidRPr="00F331E3">
        <w:rPr>
          <w:rFonts w:ascii="Verdana" w:hAnsi="Verdana"/>
          <w:sz w:val="22"/>
          <w:szCs w:val="22"/>
          <w:lang w:val="en-GB"/>
        </w:rPr>
        <w:t>ustice L</w:t>
      </w:r>
      <w:r w:rsidR="00CC598C" w:rsidRPr="00F331E3">
        <w:rPr>
          <w:rFonts w:ascii="Verdana" w:hAnsi="Verdana"/>
          <w:sz w:val="22"/>
          <w:szCs w:val="22"/>
          <w:lang w:val="en-GB"/>
        </w:rPr>
        <w:t>aw</w:t>
      </w:r>
      <w:r w:rsidR="00BF13E5" w:rsidRPr="00F331E3">
        <w:rPr>
          <w:rFonts w:ascii="Verdana" w:hAnsi="Verdana"/>
          <w:sz w:val="22"/>
          <w:szCs w:val="22"/>
          <w:lang w:val="en-GB"/>
        </w:rPr>
        <w:t xml:space="preserve"> </w:t>
      </w:r>
      <w:r w:rsidR="00BF13E5" w:rsidRPr="00F331E3">
        <w:rPr>
          <w:rFonts w:ascii="Verdana" w:hAnsi="Verdana"/>
          <w:bCs/>
          <w:sz w:val="22"/>
          <w:szCs w:val="22"/>
          <w:lang w:val="en-GB"/>
        </w:rPr>
        <w:t>No. 25 of 1966</w:t>
      </w:r>
      <w:r w:rsidRPr="00F331E3">
        <w:rPr>
          <w:rFonts w:ascii="Verdana" w:hAnsi="Verdana"/>
          <w:bCs/>
          <w:sz w:val="22"/>
          <w:szCs w:val="22"/>
          <w:lang w:val="en-GB"/>
        </w:rPr>
        <w:t xml:space="preserve"> (MJL)</w:t>
      </w:r>
      <w:r w:rsidR="00CC598C" w:rsidRPr="00F331E3">
        <w:rPr>
          <w:rFonts w:ascii="Verdana" w:hAnsi="Verdana"/>
          <w:sz w:val="22"/>
          <w:szCs w:val="22"/>
          <w:lang w:val="en-GB"/>
        </w:rPr>
        <w:t xml:space="preserve">, military courts have jurisdiction over all crimes where one party, whether </w:t>
      </w:r>
      <w:r w:rsidRPr="00F331E3">
        <w:rPr>
          <w:rFonts w:ascii="Verdana" w:hAnsi="Verdana"/>
          <w:sz w:val="22"/>
          <w:szCs w:val="22"/>
          <w:lang w:val="en-GB"/>
        </w:rPr>
        <w:t xml:space="preserve">the </w:t>
      </w:r>
      <w:r w:rsidR="00CC598C" w:rsidRPr="00F331E3">
        <w:rPr>
          <w:rFonts w:ascii="Verdana" w:hAnsi="Verdana"/>
          <w:sz w:val="22"/>
          <w:szCs w:val="22"/>
          <w:lang w:val="en-GB"/>
        </w:rPr>
        <w:t>victim or</w:t>
      </w:r>
      <w:r w:rsidRPr="00F331E3">
        <w:rPr>
          <w:rFonts w:ascii="Verdana" w:hAnsi="Verdana"/>
          <w:sz w:val="22"/>
          <w:szCs w:val="22"/>
          <w:lang w:val="en-GB"/>
        </w:rPr>
        <w:t xml:space="preserve"> the</w:t>
      </w:r>
      <w:r w:rsidR="00CC598C" w:rsidRPr="00F331E3">
        <w:rPr>
          <w:rFonts w:ascii="Verdana" w:hAnsi="Verdana"/>
          <w:sz w:val="22"/>
          <w:szCs w:val="22"/>
          <w:lang w:val="en-GB"/>
        </w:rPr>
        <w:t xml:space="preserve"> defendant, is a member of the military. Juveniles may also be trie</w:t>
      </w:r>
      <w:r w:rsidRPr="00F331E3">
        <w:rPr>
          <w:rFonts w:ascii="Verdana" w:hAnsi="Verdana"/>
          <w:sz w:val="22"/>
          <w:szCs w:val="22"/>
          <w:lang w:val="en-GB"/>
        </w:rPr>
        <w:t>d before military courts under article 8. Furthermore, a</w:t>
      </w:r>
      <w:r w:rsidR="00CC598C" w:rsidRPr="00F331E3">
        <w:rPr>
          <w:rFonts w:ascii="Verdana" w:hAnsi="Verdana"/>
          <w:sz w:val="22"/>
          <w:szCs w:val="22"/>
          <w:lang w:val="en-GB"/>
        </w:rPr>
        <w:t xml:space="preserve">rticle 6 of the MJL authorizes the President during a state of emergency to refer any case </w:t>
      </w:r>
      <w:r w:rsidR="002B0FDB" w:rsidRPr="00F331E3">
        <w:rPr>
          <w:rFonts w:ascii="Verdana" w:hAnsi="Verdana"/>
          <w:sz w:val="22"/>
          <w:szCs w:val="22"/>
          <w:lang w:val="en-GB"/>
        </w:rPr>
        <w:t>whatsoever</w:t>
      </w:r>
      <w:r w:rsidR="00CC598C" w:rsidRPr="00F331E3">
        <w:rPr>
          <w:rFonts w:ascii="Verdana" w:hAnsi="Verdana"/>
          <w:sz w:val="22"/>
          <w:szCs w:val="22"/>
          <w:lang w:val="en-GB"/>
        </w:rPr>
        <w:t xml:space="preserve"> to a military court. </w:t>
      </w:r>
    </w:p>
    <w:p w14:paraId="30AB6618" w14:textId="77777777" w:rsidR="00CC598C" w:rsidRPr="00F331E3" w:rsidRDefault="00CC598C" w:rsidP="0020294E">
      <w:pPr>
        <w:spacing w:line="240" w:lineRule="exact"/>
        <w:rPr>
          <w:rFonts w:ascii="Verdana" w:hAnsi="Verdana"/>
          <w:sz w:val="22"/>
          <w:szCs w:val="22"/>
          <w:lang w:val="en-GB"/>
        </w:rPr>
      </w:pPr>
    </w:p>
    <w:p w14:paraId="51B6E9C9" w14:textId="2B453738" w:rsidR="00CC598C" w:rsidRPr="00F331E3" w:rsidRDefault="00963E3C"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Following the ouster of </w:t>
      </w:r>
      <w:r w:rsidR="00F86FD9" w:rsidRPr="00F331E3">
        <w:rPr>
          <w:rFonts w:ascii="Verdana" w:hAnsi="Verdana"/>
          <w:sz w:val="22"/>
          <w:szCs w:val="22"/>
          <w:lang w:val="en-GB"/>
        </w:rPr>
        <w:t xml:space="preserve">President </w:t>
      </w:r>
      <w:r w:rsidRPr="00F331E3">
        <w:rPr>
          <w:rFonts w:ascii="Verdana" w:hAnsi="Verdana"/>
          <w:sz w:val="22"/>
          <w:szCs w:val="22"/>
          <w:lang w:val="en-GB"/>
        </w:rPr>
        <w:t>Mubarak,</w:t>
      </w:r>
      <w:r w:rsidR="00F86FD9" w:rsidRPr="00F331E3">
        <w:rPr>
          <w:rFonts w:ascii="Verdana" w:hAnsi="Verdana"/>
          <w:sz w:val="22"/>
          <w:szCs w:val="22"/>
          <w:lang w:val="en-GB"/>
        </w:rPr>
        <w:t xml:space="preserve"> more than 12,</w:t>
      </w:r>
      <w:r w:rsidR="00CC598C" w:rsidRPr="00F331E3">
        <w:rPr>
          <w:rFonts w:ascii="Verdana" w:hAnsi="Verdana"/>
          <w:sz w:val="22"/>
          <w:szCs w:val="22"/>
          <w:lang w:val="en-GB"/>
        </w:rPr>
        <w:t>000 civilians were tried before military courts</w:t>
      </w:r>
      <w:r w:rsidR="00195BEF" w:rsidRPr="00F331E3">
        <w:rPr>
          <w:rFonts w:ascii="Verdana" w:hAnsi="Verdana"/>
          <w:sz w:val="22"/>
          <w:szCs w:val="22"/>
          <w:lang w:val="en-GB"/>
        </w:rPr>
        <w:t>,</w:t>
      </w:r>
      <w:r w:rsidR="00CC598C" w:rsidRPr="00F331E3">
        <w:rPr>
          <w:rFonts w:ascii="Verdana" w:hAnsi="Verdana"/>
          <w:sz w:val="22"/>
          <w:szCs w:val="22"/>
          <w:lang w:val="en-GB"/>
        </w:rPr>
        <w:t xml:space="preserve"> including protesters, human rights </w:t>
      </w:r>
      <w:r w:rsidR="00523A18" w:rsidRPr="00F331E3">
        <w:rPr>
          <w:rFonts w:ascii="Verdana" w:hAnsi="Verdana"/>
          <w:sz w:val="22"/>
          <w:szCs w:val="22"/>
          <w:lang w:val="en-GB"/>
        </w:rPr>
        <w:t>defenders</w:t>
      </w:r>
      <w:r w:rsidR="00CC598C" w:rsidRPr="00F331E3">
        <w:rPr>
          <w:rFonts w:ascii="Verdana" w:hAnsi="Verdana"/>
          <w:sz w:val="22"/>
          <w:szCs w:val="22"/>
          <w:lang w:val="en-GB"/>
        </w:rPr>
        <w:t>, journalists, and other</w:t>
      </w:r>
      <w:r w:rsidR="00F86FD9" w:rsidRPr="00F331E3">
        <w:rPr>
          <w:rFonts w:ascii="Verdana" w:hAnsi="Verdana"/>
          <w:sz w:val="22"/>
          <w:szCs w:val="22"/>
          <w:lang w:val="en-GB"/>
        </w:rPr>
        <w:t xml:space="preserve"> persons</w:t>
      </w:r>
      <w:r w:rsidR="00CC598C" w:rsidRPr="00F331E3">
        <w:rPr>
          <w:rFonts w:ascii="Verdana" w:hAnsi="Verdana"/>
          <w:sz w:val="22"/>
          <w:szCs w:val="22"/>
          <w:lang w:val="en-GB"/>
        </w:rPr>
        <w:t xml:space="preserve"> suspected of opposing the military </w:t>
      </w:r>
      <w:r w:rsidR="00F86FD9" w:rsidRPr="00F331E3">
        <w:rPr>
          <w:rFonts w:ascii="Verdana" w:hAnsi="Verdana"/>
          <w:sz w:val="22"/>
          <w:szCs w:val="22"/>
          <w:lang w:val="en-GB"/>
        </w:rPr>
        <w:t>or</w:t>
      </w:r>
      <w:r w:rsidR="00CC598C" w:rsidRPr="00F331E3">
        <w:rPr>
          <w:rFonts w:ascii="Verdana" w:hAnsi="Verdana"/>
          <w:sz w:val="22"/>
          <w:szCs w:val="22"/>
          <w:lang w:val="en-GB"/>
        </w:rPr>
        <w:t xml:space="preserve"> the government.   </w:t>
      </w:r>
    </w:p>
    <w:p w14:paraId="7133A965" w14:textId="77777777" w:rsidR="00CC598C" w:rsidRPr="00F331E3" w:rsidRDefault="00CC598C" w:rsidP="0020294E">
      <w:pPr>
        <w:spacing w:line="240" w:lineRule="exact"/>
        <w:rPr>
          <w:rFonts w:ascii="Verdana" w:hAnsi="Verdana"/>
          <w:sz w:val="22"/>
          <w:szCs w:val="22"/>
          <w:lang w:val="en-GB"/>
        </w:rPr>
      </w:pPr>
    </w:p>
    <w:p w14:paraId="65F67EAD" w14:textId="5C8698E2" w:rsidR="00CC598C" w:rsidRPr="00F331E3" w:rsidRDefault="00CC598C"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Despite assurances by </w:t>
      </w:r>
      <w:r w:rsidR="007A048C" w:rsidRPr="00F331E3">
        <w:rPr>
          <w:rFonts w:ascii="Verdana" w:hAnsi="Verdana"/>
          <w:sz w:val="22"/>
          <w:szCs w:val="22"/>
          <w:lang w:val="en-GB"/>
        </w:rPr>
        <w:t xml:space="preserve">Egypt’s </w:t>
      </w:r>
      <w:r w:rsidR="00F86FD9" w:rsidRPr="00F331E3">
        <w:rPr>
          <w:rFonts w:ascii="Verdana" w:hAnsi="Verdana"/>
          <w:sz w:val="22"/>
          <w:szCs w:val="22"/>
          <w:lang w:val="en-GB"/>
        </w:rPr>
        <w:t>constitution-drafting</w:t>
      </w:r>
      <w:r w:rsidRPr="00F331E3">
        <w:rPr>
          <w:rFonts w:ascii="Verdana" w:hAnsi="Verdana"/>
          <w:sz w:val="22"/>
          <w:szCs w:val="22"/>
          <w:lang w:val="en-GB"/>
        </w:rPr>
        <w:t xml:space="preserve"> </w:t>
      </w:r>
      <w:r w:rsidR="00523A18" w:rsidRPr="00F331E3">
        <w:rPr>
          <w:rFonts w:ascii="Verdana" w:hAnsi="Verdana"/>
          <w:sz w:val="22"/>
          <w:szCs w:val="22"/>
          <w:lang w:val="en-GB"/>
        </w:rPr>
        <w:t>committees</w:t>
      </w:r>
      <w:r w:rsidRPr="00F331E3">
        <w:rPr>
          <w:rFonts w:ascii="Verdana" w:hAnsi="Verdana"/>
          <w:sz w:val="22"/>
          <w:szCs w:val="22"/>
          <w:lang w:val="en-GB"/>
        </w:rPr>
        <w:t xml:space="preserve"> that </w:t>
      </w:r>
      <w:r w:rsidR="00C95119" w:rsidRPr="00F331E3">
        <w:rPr>
          <w:rFonts w:ascii="Verdana" w:hAnsi="Verdana"/>
          <w:sz w:val="22"/>
          <w:szCs w:val="22"/>
          <w:lang w:val="en-GB"/>
        </w:rPr>
        <w:t xml:space="preserve">the jurisdiction of military courts </w:t>
      </w:r>
      <w:r w:rsidR="00452489" w:rsidRPr="00F331E3">
        <w:rPr>
          <w:rFonts w:ascii="Verdana" w:hAnsi="Verdana"/>
          <w:sz w:val="22"/>
          <w:szCs w:val="22"/>
          <w:lang w:val="en-GB"/>
        </w:rPr>
        <w:t>over</w:t>
      </w:r>
      <w:r w:rsidR="00C95119" w:rsidRPr="00F331E3">
        <w:rPr>
          <w:rFonts w:ascii="Verdana" w:hAnsi="Verdana"/>
          <w:sz w:val="22"/>
          <w:szCs w:val="22"/>
          <w:lang w:val="en-GB"/>
        </w:rPr>
        <w:t xml:space="preserve"> civilians </w:t>
      </w:r>
      <w:r w:rsidRPr="00F331E3">
        <w:rPr>
          <w:rFonts w:ascii="Verdana" w:hAnsi="Verdana"/>
          <w:sz w:val="22"/>
          <w:szCs w:val="22"/>
          <w:lang w:val="en-GB"/>
        </w:rPr>
        <w:t>would be removed, the 2012 and the 2014 Constitution</w:t>
      </w:r>
      <w:r w:rsidR="00452489" w:rsidRPr="00F331E3">
        <w:rPr>
          <w:rFonts w:ascii="Verdana" w:hAnsi="Verdana"/>
          <w:sz w:val="22"/>
          <w:szCs w:val="22"/>
          <w:lang w:val="en-GB"/>
        </w:rPr>
        <w:t>s</w:t>
      </w:r>
      <w:r w:rsidRPr="00F331E3">
        <w:rPr>
          <w:rFonts w:ascii="Verdana" w:hAnsi="Verdana"/>
          <w:sz w:val="22"/>
          <w:szCs w:val="22"/>
          <w:lang w:val="en-GB"/>
        </w:rPr>
        <w:t xml:space="preserve"> </w:t>
      </w:r>
      <w:r w:rsidR="00B228EB" w:rsidRPr="00F331E3">
        <w:rPr>
          <w:rFonts w:ascii="Verdana" w:hAnsi="Verdana"/>
          <w:sz w:val="22"/>
          <w:szCs w:val="22"/>
          <w:lang w:val="en-GB"/>
        </w:rPr>
        <w:t xml:space="preserve">have </w:t>
      </w:r>
      <w:r w:rsidR="00D10546" w:rsidRPr="00F331E3">
        <w:rPr>
          <w:rFonts w:ascii="Verdana" w:hAnsi="Verdana"/>
          <w:sz w:val="22"/>
          <w:szCs w:val="22"/>
          <w:lang w:val="en-GB"/>
        </w:rPr>
        <w:t xml:space="preserve">both </w:t>
      </w:r>
      <w:r w:rsidR="00765D53" w:rsidRPr="00F331E3">
        <w:rPr>
          <w:rFonts w:ascii="Verdana" w:hAnsi="Verdana"/>
          <w:sz w:val="22"/>
          <w:szCs w:val="22"/>
          <w:lang w:val="en-GB"/>
        </w:rPr>
        <w:t>perpetuated</w:t>
      </w:r>
      <w:r w:rsidR="00195BEF" w:rsidRPr="00F331E3">
        <w:rPr>
          <w:rFonts w:ascii="Verdana" w:hAnsi="Verdana"/>
          <w:sz w:val="22"/>
          <w:szCs w:val="22"/>
          <w:lang w:val="en-GB"/>
        </w:rPr>
        <w:t xml:space="preserve"> </w:t>
      </w:r>
      <w:r w:rsidR="00C95119" w:rsidRPr="00F331E3">
        <w:rPr>
          <w:rFonts w:ascii="Verdana" w:hAnsi="Verdana"/>
          <w:sz w:val="22"/>
          <w:szCs w:val="22"/>
          <w:lang w:val="en-GB"/>
        </w:rPr>
        <w:t>such jurisdiction</w:t>
      </w:r>
      <w:r w:rsidRPr="00F331E3">
        <w:rPr>
          <w:rFonts w:ascii="Verdana" w:hAnsi="Verdana"/>
          <w:sz w:val="22"/>
          <w:szCs w:val="22"/>
          <w:lang w:val="en-GB"/>
        </w:rPr>
        <w:t xml:space="preserve">. The 2014 Constitution permits the trial of civilians before military courts for crimes  “that represent a direct assault against military facilities, military barracks, or whatever falls under their authority; stipulated military or border zones; its equipment, vehicles, weapons, ammunition, documents, military secrets, public funds or military factories; crimes related to conscription; or crimes that represent a direct assault against its officers or personnel because of the performance of their duties”. </w:t>
      </w:r>
    </w:p>
    <w:p w14:paraId="3C669DC5" w14:textId="77777777" w:rsidR="00CC598C" w:rsidRPr="00F331E3" w:rsidRDefault="00CC598C" w:rsidP="0020294E">
      <w:pPr>
        <w:spacing w:line="240" w:lineRule="exact"/>
        <w:rPr>
          <w:rFonts w:ascii="Verdana" w:hAnsi="Verdana"/>
          <w:sz w:val="22"/>
          <w:szCs w:val="22"/>
          <w:lang w:val="en-GB"/>
        </w:rPr>
      </w:pPr>
    </w:p>
    <w:p w14:paraId="47BF701F" w14:textId="465537D6" w:rsidR="00CC598C" w:rsidRPr="00F331E3" w:rsidRDefault="00CC598C" w:rsidP="0020294E">
      <w:pPr>
        <w:spacing w:line="240" w:lineRule="exact"/>
        <w:jc w:val="both"/>
        <w:rPr>
          <w:rFonts w:ascii="Verdana" w:hAnsi="Verdana"/>
          <w:sz w:val="22"/>
          <w:szCs w:val="22"/>
          <w:lang w:val="en-GB"/>
        </w:rPr>
      </w:pPr>
      <w:r w:rsidRPr="00F331E3">
        <w:rPr>
          <w:rFonts w:ascii="Verdana" w:hAnsi="Verdana"/>
          <w:sz w:val="22"/>
          <w:szCs w:val="22"/>
          <w:lang w:val="en-GB"/>
        </w:rPr>
        <w:lastRenderedPageBreak/>
        <w:t xml:space="preserve">Most recently, a new decree by </w:t>
      </w:r>
      <w:r w:rsidR="00885C28" w:rsidRPr="00F331E3">
        <w:rPr>
          <w:rFonts w:ascii="Verdana" w:hAnsi="Verdana"/>
          <w:sz w:val="22"/>
          <w:szCs w:val="22"/>
          <w:lang w:val="en-GB"/>
        </w:rPr>
        <w:t xml:space="preserve">Egypt’s </w:t>
      </w:r>
      <w:r w:rsidRPr="00F331E3">
        <w:rPr>
          <w:rFonts w:ascii="Verdana" w:hAnsi="Verdana"/>
          <w:sz w:val="22"/>
          <w:szCs w:val="22"/>
          <w:lang w:val="en-GB"/>
        </w:rPr>
        <w:t>President,</w:t>
      </w:r>
      <w:r w:rsidR="00B228EB" w:rsidRPr="00F331E3">
        <w:rPr>
          <w:rFonts w:ascii="Verdana" w:hAnsi="Verdana"/>
          <w:sz w:val="22"/>
          <w:szCs w:val="22"/>
          <w:lang w:val="en-GB"/>
        </w:rPr>
        <w:t xml:space="preserve"> Law</w:t>
      </w:r>
      <w:r w:rsidR="00F86FD9" w:rsidRPr="00F331E3">
        <w:rPr>
          <w:rFonts w:ascii="Verdana" w:hAnsi="Verdana"/>
          <w:sz w:val="22"/>
          <w:szCs w:val="22"/>
          <w:lang w:val="en-GB"/>
        </w:rPr>
        <w:t xml:space="preserve"> No.</w:t>
      </w:r>
      <w:r w:rsidR="00B228EB" w:rsidRPr="00F331E3">
        <w:rPr>
          <w:rFonts w:ascii="Verdana" w:hAnsi="Verdana"/>
          <w:sz w:val="22"/>
          <w:szCs w:val="22"/>
          <w:lang w:val="en-GB"/>
        </w:rPr>
        <w:t xml:space="preserve"> 136 of 27 October 2</w:t>
      </w:r>
      <w:r w:rsidR="00F86FD9" w:rsidRPr="00F331E3">
        <w:rPr>
          <w:rFonts w:ascii="Verdana" w:hAnsi="Verdana"/>
          <w:sz w:val="22"/>
          <w:szCs w:val="22"/>
          <w:lang w:val="en-GB"/>
        </w:rPr>
        <w:t>014 ‘on securing and protecting p</w:t>
      </w:r>
      <w:r w:rsidR="00B228EB" w:rsidRPr="00F331E3">
        <w:rPr>
          <w:rFonts w:ascii="Verdana" w:hAnsi="Verdana"/>
          <w:sz w:val="22"/>
          <w:szCs w:val="22"/>
          <w:lang w:val="en-GB"/>
        </w:rPr>
        <w:t>ublic and v</w:t>
      </w:r>
      <w:r w:rsidRPr="00F331E3">
        <w:rPr>
          <w:rFonts w:ascii="Verdana" w:hAnsi="Verdana"/>
          <w:sz w:val="22"/>
          <w:szCs w:val="22"/>
          <w:lang w:val="en-GB"/>
        </w:rPr>
        <w:t>it</w:t>
      </w:r>
      <w:r w:rsidR="00B228EB" w:rsidRPr="00F331E3">
        <w:rPr>
          <w:rFonts w:ascii="Verdana" w:hAnsi="Verdana"/>
          <w:sz w:val="22"/>
          <w:szCs w:val="22"/>
          <w:lang w:val="en-GB"/>
        </w:rPr>
        <w:t>al f</w:t>
      </w:r>
      <w:r w:rsidRPr="00F331E3">
        <w:rPr>
          <w:rFonts w:ascii="Verdana" w:hAnsi="Verdana"/>
          <w:sz w:val="22"/>
          <w:szCs w:val="22"/>
          <w:lang w:val="en-GB"/>
        </w:rPr>
        <w:t>acilities</w:t>
      </w:r>
      <w:r w:rsidR="00F86FD9" w:rsidRPr="00F331E3">
        <w:rPr>
          <w:rFonts w:ascii="Verdana" w:hAnsi="Verdana"/>
          <w:sz w:val="22"/>
          <w:szCs w:val="22"/>
          <w:lang w:val="en-GB"/>
        </w:rPr>
        <w:t>’</w:t>
      </w:r>
      <w:r w:rsidRPr="00F331E3">
        <w:rPr>
          <w:rFonts w:ascii="Verdana" w:hAnsi="Verdana"/>
          <w:sz w:val="22"/>
          <w:szCs w:val="22"/>
          <w:lang w:val="en-GB"/>
        </w:rPr>
        <w:t xml:space="preserve">, </w:t>
      </w:r>
      <w:r w:rsidR="007A048C" w:rsidRPr="00F331E3">
        <w:rPr>
          <w:rFonts w:ascii="Verdana" w:hAnsi="Verdana"/>
          <w:sz w:val="22"/>
          <w:szCs w:val="22"/>
          <w:lang w:val="en-GB"/>
        </w:rPr>
        <w:t xml:space="preserve">further </w:t>
      </w:r>
      <w:r w:rsidRPr="00F331E3">
        <w:rPr>
          <w:rFonts w:ascii="Verdana" w:hAnsi="Verdana"/>
          <w:sz w:val="22"/>
          <w:szCs w:val="22"/>
          <w:lang w:val="en-GB"/>
        </w:rPr>
        <w:t>extended the jurisdiction</w:t>
      </w:r>
      <w:r w:rsidR="00F86FD9" w:rsidRPr="00F331E3">
        <w:rPr>
          <w:rFonts w:ascii="Verdana" w:hAnsi="Verdana"/>
          <w:sz w:val="22"/>
          <w:szCs w:val="22"/>
          <w:lang w:val="en-GB"/>
        </w:rPr>
        <w:t xml:space="preserve"> of military courts</w:t>
      </w:r>
      <w:r w:rsidRPr="00F331E3">
        <w:rPr>
          <w:rFonts w:ascii="Verdana" w:hAnsi="Verdana"/>
          <w:sz w:val="22"/>
          <w:szCs w:val="22"/>
          <w:lang w:val="en-GB"/>
        </w:rPr>
        <w:t xml:space="preserve"> to try civilians. The law places all </w:t>
      </w:r>
      <w:r w:rsidR="00F86FD9" w:rsidRPr="00F331E3">
        <w:rPr>
          <w:rFonts w:ascii="Verdana" w:hAnsi="Verdana"/>
          <w:sz w:val="22"/>
          <w:szCs w:val="22"/>
          <w:lang w:val="en-GB"/>
        </w:rPr>
        <w:t xml:space="preserve">cases involving </w:t>
      </w:r>
      <w:r w:rsidRPr="00F331E3">
        <w:rPr>
          <w:rFonts w:ascii="Verdana" w:hAnsi="Verdana"/>
          <w:sz w:val="22"/>
          <w:szCs w:val="22"/>
          <w:lang w:val="en-GB"/>
        </w:rPr>
        <w:t xml:space="preserve">attacks against “public and vital facilities” under military jurisdiction for the next two years, and directs </w:t>
      </w:r>
      <w:r w:rsidR="00D43C4E" w:rsidRPr="00F331E3">
        <w:rPr>
          <w:rFonts w:ascii="Verdana" w:hAnsi="Verdana"/>
          <w:sz w:val="22"/>
          <w:szCs w:val="22"/>
          <w:lang w:val="en-GB"/>
        </w:rPr>
        <w:t xml:space="preserve">civilian </w:t>
      </w:r>
      <w:r w:rsidRPr="00F331E3">
        <w:rPr>
          <w:rFonts w:ascii="Verdana" w:hAnsi="Verdana"/>
          <w:sz w:val="22"/>
          <w:szCs w:val="22"/>
          <w:lang w:val="en-GB"/>
        </w:rPr>
        <w:t>prosecutors to refer any crimes at tho</w:t>
      </w:r>
      <w:r w:rsidR="00D43C4E" w:rsidRPr="00F331E3">
        <w:rPr>
          <w:rFonts w:ascii="Verdana" w:hAnsi="Verdana"/>
          <w:sz w:val="22"/>
          <w:szCs w:val="22"/>
          <w:lang w:val="en-GB"/>
        </w:rPr>
        <w:t xml:space="preserve">se </w:t>
      </w:r>
      <w:r w:rsidR="00F86FD9" w:rsidRPr="00F331E3">
        <w:rPr>
          <w:rFonts w:ascii="Verdana" w:hAnsi="Verdana"/>
          <w:sz w:val="22"/>
          <w:szCs w:val="22"/>
          <w:lang w:val="en-GB"/>
        </w:rPr>
        <w:t>facilities</w:t>
      </w:r>
      <w:r w:rsidR="00D43C4E" w:rsidRPr="00F331E3">
        <w:rPr>
          <w:rFonts w:ascii="Verdana" w:hAnsi="Verdana"/>
          <w:sz w:val="22"/>
          <w:szCs w:val="22"/>
          <w:lang w:val="en-GB"/>
        </w:rPr>
        <w:t xml:space="preserve"> to </w:t>
      </w:r>
      <w:r w:rsidR="00F86FD9" w:rsidRPr="00F331E3">
        <w:rPr>
          <w:rFonts w:ascii="Verdana" w:hAnsi="Verdana"/>
          <w:sz w:val="22"/>
          <w:szCs w:val="22"/>
          <w:lang w:val="en-GB"/>
        </w:rPr>
        <w:t xml:space="preserve">their </w:t>
      </w:r>
      <w:r w:rsidR="00D43C4E" w:rsidRPr="00F331E3">
        <w:rPr>
          <w:rFonts w:ascii="Verdana" w:hAnsi="Verdana"/>
          <w:sz w:val="22"/>
          <w:szCs w:val="22"/>
          <w:lang w:val="en-GB"/>
        </w:rPr>
        <w:t>competent</w:t>
      </w:r>
      <w:r w:rsidRPr="00F331E3">
        <w:rPr>
          <w:rFonts w:ascii="Verdana" w:hAnsi="Verdana"/>
          <w:sz w:val="22"/>
          <w:szCs w:val="22"/>
          <w:lang w:val="en-GB"/>
        </w:rPr>
        <w:t xml:space="preserve"> military counterparts.</w:t>
      </w:r>
    </w:p>
    <w:p w14:paraId="07E7CA85" w14:textId="77777777" w:rsidR="00CC598C" w:rsidRPr="00F331E3" w:rsidRDefault="00CC598C" w:rsidP="0020294E">
      <w:pPr>
        <w:spacing w:line="240" w:lineRule="exact"/>
        <w:jc w:val="both"/>
        <w:rPr>
          <w:rFonts w:ascii="Verdana" w:hAnsi="Verdana"/>
          <w:sz w:val="22"/>
          <w:szCs w:val="22"/>
          <w:lang w:val="en-GB"/>
        </w:rPr>
      </w:pPr>
    </w:p>
    <w:p w14:paraId="093690BA" w14:textId="4C567C8E" w:rsidR="009F2EF5" w:rsidRPr="00F331E3" w:rsidRDefault="00F86FD9" w:rsidP="0020294E">
      <w:pPr>
        <w:spacing w:line="240" w:lineRule="exact"/>
        <w:jc w:val="both"/>
        <w:rPr>
          <w:rFonts w:ascii="Verdana" w:hAnsi="Verdana"/>
          <w:sz w:val="22"/>
          <w:szCs w:val="22"/>
          <w:lang w:val="en-GB"/>
        </w:rPr>
      </w:pPr>
      <w:r w:rsidRPr="00F331E3">
        <w:rPr>
          <w:rFonts w:ascii="Verdana" w:hAnsi="Verdana"/>
          <w:sz w:val="22"/>
          <w:szCs w:val="22"/>
          <w:lang w:val="en-GB"/>
        </w:rPr>
        <w:t>Giving</w:t>
      </w:r>
      <w:r w:rsidR="00CC598C" w:rsidRPr="00F331E3">
        <w:rPr>
          <w:rFonts w:ascii="Verdana" w:hAnsi="Verdana"/>
          <w:sz w:val="22"/>
          <w:szCs w:val="22"/>
          <w:lang w:val="en-GB"/>
        </w:rPr>
        <w:t xml:space="preserve"> </w:t>
      </w:r>
      <w:r w:rsidR="00F331E3">
        <w:rPr>
          <w:rFonts w:ascii="Verdana" w:hAnsi="Verdana"/>
          <w:sz w:val="22"/>
          <w:szCs w:val="22"/>
          <w:lang w:val="en-GB"/>
        </w:rPr>
        <w:t xml:space="preserve">a retroactive </w:t>
      </w:r>
      <w:r w:rsidR="00CC598C" w:rsidRPr="00F331E3">
        <w:rPr>
          <w:rFonts w:ascii="Verdana" w:hAnsi="Verdana"/>
          <w:sz w:val="22"/>
          <w:szCs w:val="22"/>
          <w:lang w:val="en-GB"/>
        </w:rPr>
        <w:t xml:space="preserve">effect to </w:t>
      </w:r>
      <w:r w:rsidR="00B228EB" w:rsidRPr="00F331E3">
        <w:rPr>
          <w:rFonts w:ascii="Verdana" w:hAnsi="Verdana"/>
          <w:sz w:val="22"/>
          <w:szCs w:val="22"/>
          <w:lang w:val="en-GB"/>
        </w:rPr>
        <w:t>this</w:t>
      </w:r>
      <w:r w:rsidR="00CC598C" w:rsidRPr="00F331E3">
        <w:rPr>
          <w:rFonts w:ascii="Verdana" w:hAnsi="Verdana"/>
          <w:sz w:val="22"/>
          <w:szCs w:val="22"/>
          <w:lang w:val="en-GB"/>
        </w:rPr>
        <w:t xml:space="preserve"> law,</w:t>
      </w:r>
      <w:r w:rsidR="00C055A6" w:rsidRPr="00F331E3">
        <w:rPr>
          <w:rFonts w:ascii="Verdana" w:hAnsi="Verdana"/>
          <w:sz w:val="22"/>
          <w:szCs w:val="22"/>
          <w:lang w:val="en-GB"/>
        </w:rPr>
        <w:t xml:space="preserve"> the </w:t>
      </w:r>
      <w:r w:rsidRPr="00F331E3">
        <w:rPr>
          <w:rFonts w:ascii="Verdana" w:hAnsi="Verdana"/>
          <w:sz w:val="22"/>
          <w:szCs w:val="22"/>
          <w:lang w:val="en-GB"/>
        </w:rPr>
        <w:t>Cairo Criminal C</w:t>
      </w:r>
      <w:r w:rsidR="00CC598C" w:rsidRPr="00F331E3">
        <w:rPr>
          <w:rFonts w:ascii="Verdana" w:hAnsi="Verdana"/>
          <w:sz w:val="22"/>
          <w:szCs w:val="22"/>
          <w:lang w:val="en-GB"/>
        </w:rPr>
        <w:t>ourt</w:t>
      </w:r>
      <w:r w:rsidR="00C055A6" w:rsidRPr="00F331E3">
        <w:rPr>
          <w:rFonts w:ascii="Verdana" w:hAnsi="Verdana"/>
          <w:sz w:val="22"/>
          <w:szCs w:val="22"/>
          <w:lang w:val="en-GB"/>
        </w:rPr>
        <w:t xml:space="preserve"> declared </w:t>
      </w:r>
      <w:r w:rsidR="00287550">
        <w:rPr>
          <w:rFonts w:ascii="Verdana" w:hAnsi="Verdana"/>
          <w:sz w:val="22"/>
          <w:szCs w:val="22"/>
          <w:lang w:val="en-GB"/>
        </w:rPr>
        <w:t>on 14 November 2014</w:t>
      </w:r>
      <w:r w:rsidR="009F2EF5" w:rsidRPr="00F331E3">
        <w:rPr>
          <w:rFonts w:ascii="Verdana" w:hAnsi="Verdana"/>
          <w:sz w:val="22"/>
          <w:szCs w:val="22"/>
          <w:lang w:val="en-GB"/>
        </w:rPr>
        <w:t xml:space="preserve"> </w:t>
      </w:r>
      <w:r w:rsidRPr="00F331E3">
        <w:rPr>
          <w:rFonts w:ascii="Verdana" w:hAnsi="Verdana"/>
          <w:sz w:val="22"/>
          <w:szCs w:val="22"/>
          <w:lang w:val="en-GB"/>
        </w:rPr>
        <w:t xml:space="preserve">that it was not </w:t>
      </w:r>
      <w:r w:rsidR="00C055A6" w:rsidRPr="00F331E3">
        <w:rPr>
          <w:rFonts w:ascii="Verdana" w:hAnsi="Verdana"/>
          <w:sz w:val="22"/>
          <w:szCs w:val="22"/>
          <w:lang w:val="en-GB"/>
        </w:rPr>
        <w:t>competent to try</w:t>
      </w:r>
      <w:r w:rsidR="00CC598C" w:rsidRPr="00F331E3">
        <w:rPr>
          <w:rFonts w:ascii="Verdana" w:hAnsi="Verdana"/>
          <w:sz w:val="22"/>
          <w:szCs w:val="22"/>
          <w:lang w:val="en-GB"/>
        </w:rPr>
        <w:t xml:space="preserve"> </w:t>
      </w:r>
      <w:r w:rsidR="00C055A6" w:rsidRPr="00F331E3">
        <w:rPr>
          <w:rFonts w:ascii="Verdana" w:hAnsi="Verdana"/>
          <w:sz w:val="22"/>
          <w:szCs w:val="22"/>
          <w:lang w:val="en-GB"/>
        </w:rPr>
        <w:t xml:space="preserve">five students who were arrested in the context of </w:t>
      </w:r>
      <w:r w:rsidR="00CC598C" w:rsidRPr="00F331E3">
        <w:rPr>
          <w:rFonts w:ascii="Verdana" w:hAnsi="Verdana"/>
          <w:sz w:val="22"/>
          <w:szCs w:val="22"/>
          <w:lang w:val="en-GB"/>
        </w:rPr>
        <w:t>prot</w:t>
      </w:r>
      <w:r w:rsidR="00C055A6" w:rsidRPr="00F331E3">
        <w:rPr>
          <w:rFonts w:ascii="Verdana" w:hAnsi="Verdana"/>
          <w:sz w:val="22"/>
          <w:szCs w:val="22"/>
          <w:lang w:val="en-GB"/>
        </w:rPr>
        <w:t xml:space="preserve">ests that </w:t>
      </w:r>
      <w:r w:rsidRPr="00F331E3">
        <w:rPr>
          <w:rFonts w:ascii="Verdana" w:hAnsi="Verdana"/>
          <w:sz w:val="22"/>
          <w:szCs w:val="22"/>
          <w:lang w:val="en-GB"/>
        </w:rPr>
        <w:t>broke out at Al-</w:t>
      </w:r>
      <w:proofErr w:type="spellStart"/>
      <w:r w:rsidR="00C055A6" w:rsidRPr="00F331E3">
        <w:rPr>
          <w:rFonts w:ascii="Verdana" w:hAnsi="Verdana"/>
          <w:sz w:val="22"/>
          <w:szCs w:val="22"/>
          <w:lang w:val="en-GB"/>
        </w:rPr>
        <w:t>Azhar</w:t>
      </w:r>
      <w:proofErr w:type="spellEnd"/>
      <w:r w:rsidRPr="00F331E3">
        <w:rPr>
          <w:rFonts w:ascii="Verdana" w:hAnsi="Verdana"/>
          <w:sz w:val="22"/>
          <w:szCs w:val="22"/>
          <w:lang w:val="en-GB"/>
        </w:rPr>
        <w:t xml:space="preserve"> U</w:t>
      </w:r>
      <w:r w:rsidR="00CC598C" w:rsidRPr="00F331E3">
        <w:rPr>
          <w:rFonts w:ascii="Verdana" w:hAnsi="Verdana"/>
          <w:sz w:val="22"/>
          <w:szCs w:val="22"/>
          <w:lang w:val="en-GB"/>
        </w:rPr>
        <w:t xml:space="preserve">niversity against the </w:t>
      </w:r>
      <w:r w:rsidR="00B228EB" w:rsidRPr="00F331E3">
        <w:rPr>
          <w:rFonts w:ascii="Verdana" w:hAnsi="Verdana"/>
          <w:sz w:val="22"/>
          <w:szCs w:val="22"/>
          <w:lang w:val="en-GB"/>
        </w:rPr>
        <w:t xml:space="preserve">military and the </w:t>
      </w:r>
      <w:r w:rsidR="00CC598C" w:rsidRPr="00F331E3">
        <w:rPr>
          <w:rFonts w:ascii="Verdana" w:hAnsi="Verdana"/>
          <w:sz w:val="22"/>
          <w:szCs w:val="22"/>
          <w:lang w:val="en-GB"/>
        </w:rPr>
        <w:t>government</w:t>
      </w:r>
      <w:r w:rsidR="00F331E3">
        <w:rPr>
          <w:rFonts w:ascii="Verdana" w:hAnsi="Verdana"/>
          <w:sz w:val="22"/>
          <w:szCs w:val="22"/>
          <w:lang w:val="en-GB"/>
        </w:rPr>
        <w:t>.</w:t>
      </w:r>
      <w:r w:rsidR="009F2EF5" w:rsidRPr="00F331E3">
        <w:rPr>
          <w:rFonts w:ascii="Verdana" w:hAnsi="Verdana"/>
          <w:sz w:val="22"/>
          <w:szCs w:val="22"/>
          <w:lang w:val="en-GB"/>
        </w:rPr>
        <w:t xml:space="preserve"> </w:t>
      </w:r>
      <w:r w:rsidR="00F331E3">
        <w:rPr>
          <w:rFonts w:ascii="Verdana" w:hAnsi="Verdana"/>
          <w:sz w:val="22"/>
          <w:szCs w:val="22"/>
          <w:lang w:val="en-GB"/>
        </w:rPr>
        <w:t>T</w:t>
      </w:r>
      <w:r w:rsidR="00F331E3" w:rsidRPr="00F331E3">
        <w:rPr>
          <w:rFonts w:ascii="Verdana" w:hAnsi="Verdana"/>
          <w:sz w:val="22"/>
          <w:szCs w:val="22"/>
          <w:lang w:val="en-GB"/>
        </w:rPr>
        <w:t xml:space="preserve">he five students </w:t>
      </w:r>
      <w:r w:rsidRPr="00F331E3">
        <w:rPr>
          <w:rFonts w:ascii="Verdana" w:hAnsi="Verdana"/>
          <w:sz w:val="22"/>
          <w:szCs w:val="22"/>
          <w:lang w:val="en-GB"/>
        </w:rPr>
        <w:t>were charged with, among</w:t>
      </w:r>
      <w:r w:rsidR="009F2EF5" w:rsidRPr="00F331E3">
        <w:rPr>
          <w:rFonts w:ascii="Verdana" w:hAnsi="Verdana"/>
          <w:sz w:val="22"/>
          <w:szCs w:val="22"/>
          <w:lang w:val="en-GB"/>
        </w:rPr>
        <w:t xml:space="preserve"> other</w:t>
      </w:r>
      <w:r w:rsidRPr="00F331E3">
        <w:rPr>
          <w:rFonts w:ascii="Verdana" w:hAnsi="Verdana"/>
          <w:sz w:val="22"/>
          <w:szCs w:val="22"/>
          <w:lang w:val="en-GB"/>
        </w:rPr>
        <w:t xml:space="preserve"> offences</w:t>
      </w:r>
      <w:r w:rsidR="009F2EF5" w:rsidRPr="00F331E3">
        <w:rPr>
          <w:rFonts w:ascii="Verdana" w:hAnsi="Verdana"/>
          <w:sz w:val="22"/>
          <w:szCs w:val="22"/>
          <w:lang w:val="en-GB"/>
        </w:rPr>
        <w:t>, “participating in an unauthorized de</w:t>
      </w:r>
      <w:r w:rsidRPr="00F331E3">
        <w:rPr>
          <w:rFonts w:ascii="Verdana" w:hAnsi="Verdana"/>
          <w:sz w:val="22"/>
          <w:szCs w:val="22"/>
          <w:lang w:val="en-GB"/>
        </w:rPr>
        <w:t>monstration”</w:t>
      </w:r>
      <w:r w:rsidR="009F2EF5" w:rsidRPr="00F331E3">
        <w:rPr>
          <w:rFonts w:ascii="Verdana" w:hAnsi="Verdana"/>
          <w:sz w:val="22"/>
          <w:szCs w:val="22"/>
          <w:lang w:val="en-GB"/>
        </w:rPr>
        <w:t xml:space="preserve"> and “damaging public property”. The </w:t>
      </w:r>
      <w:r w:rsidRPr="00F331E3">
        <w:rPr>
          <w:rFonts w:ascii="Verdana" w:hAnsi="Verdana"/>
          <w:sz w:val="22"/>
          <w:szCs w:val="22"/>
          <w:lang w:val="en-GB"/>
        </w:rPr>
        <w:t>Cairo Criminal C</w:t>
      </w:r>
      <w:r w:rsidR="009F2EF5" w:rsidRPr="00F331E3">
        <w:rPr>
          <w:rFonts w:ascii="Verdana" w:hAnsi="Verdana"/>
          <w:sz w:val="22"/>
          <w:szCs w:val="22"/>
          <w:lang w:val="en-GB"/>
        </w:rPr>
        <w:t xml:space="preserve">ourt </w:t>
      </w:r>
      <w:r w:rsidR="00C055A6" w:rsidRPr="00F331E3">
        <w:rPr>
          <w:rFonts w:ascii="Verdana" w:hAnsi="Verdana"/>
          <w:sz w:val="22"/>
          <w:szCs w:val="22"/>
          <w:lang w:val="en-GB"/>
        </w:rPr>
        <w:t xml:space="preserve">referred </w:t>
      </w:r>
      <w:r w:rsidR="00F331E3">
        <w:rPr>
          <w:rFonts w:ascii="Verdana" w:hAnsi="Verdana"/>
          <w:sz w:val="22"/>
          <w:szCs w:val="22"/>
          <w:lang w:val="en-GB"/>
        </w:rPr>
        <w:t xml:space="preserve">them </w:t>
      </w:r>
      <w:r w:rsidR="00C055A6" w:rsidRPr="00F331E3">
        <w:rPr>
          <w:rFonts w:ascii="Verdana" w:hAnsi="Verdana"/>
          <w:sz w:val="22"/>
          <w:szCs w:val="22"/>
          <w:lang w:val="en-GB"/>
        </w:rPr>
        <w:t xml:space="preserve">to </w:t>
      </w:r>
      <w:r w:rsidR="009F2EF5" w:rsidRPr="00F331E3">
        <w:rPr>
          <w:rFonts w:ascii="Verdana" w:hAnsi="Verdana"/>
          <w:sz w:val="22"/>
          <w:szCs w:val="22"/>
          <w:lang w:val="en-GB"/>
        </w:rPr>
        <w:t>the military justice system.</w:t>
      </w:r>
    </w:p>
    <w:p w14:paraId="5A10E8A6" w14:textId="0D5AE66C" w:rsidR="00CC598C" w:rsidRPr="00F331E3" w:rsidRDefault="009F2EF5"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 </w:t>
      </w:r>
    </w:p>
    <w:p w14:paraId="55BA0A4F" w14:textId="0FB533B9" w:rsidR="00CC598C" w:rsidRPr="00F331E3" w:rsidRDefault="00CC598C" w:rsidP="00F331E3">
      <w:pPr>
        <w:spacing w:line="240" w:lineRule="exact"/>
        <w:jc w:val="both"/>
        <w:rPr>
          <w:rFonts w:ascii="Verdana" w:hAnsi="Verdana"/>
          <w:sz w:val="22"/>
          <w:szCs w:val="22"/>
          <w:lang w:val="en-GB"/>
        </w:rPr>
      </w:pPr>
      <w:r w:rsidRPr="00F331E3">
        <w:rPr>
          <w:rFonts w:ascii="Verdana" w:hAnsi="Verdana"/>
          <w:sz w:val="22"/>
          <w:szCs w:val="22"/>
          <w:lang w:val="en-GB"/>
        </w:rPr>
        <w:t>It i</w:t>
      </w:r>
      <w:r w:rsidR="00F86FD9" w:rsidRPr="00F331E3">
        <w:rPr>
          <w:rFonts w:ascii="Verdana" w:hAnsi="Verdana"/>
          <w:sz w:val="22"/>
          <w:szCs w:val="22"/>
          <w:lang w:val="en-GB"/>
        </w:rPr>
        <w:t>s particularly noteworthy that, under a</w:t>
      </w:r>
      <w:r w:rsidRPr="00F331E3">
        <w:rPr>
          <w:rFonts w:ascii="Verdana" w:hAnsi="Verdana"/>
          <w:sz w:val="22"/>
          <w:szCs w:val="22"/>
          <w:lang w:val="en-GB"/>
        </w:rPr>
        <w:t xml:space="preserve">rticle 48 of the MJL, the military judiciary itself is exclusively competent to determine what crimes fall within its jurisdiction. </w:t>
      </w:r>
    </w:p>
    <w:p w14:paraId="7D96252A" w14:textId="77777777" w:rsidR="00452489" w:rsidRPr="00F331E3" w:rsidRDefault="00452489" w:rsidP="0020294E">
      <w:pPr>
        <w:spacing w:line="240" w:lineRule="exact"/>
        <w:rPr>
          <w:rFonts w:ascii="Verdana" w:hAnsi="Verdana"/>
          <w:sz w:val="22"/>
          <w:szCs w:val="22"/>
          <w:lang w:val="en-GB"/>
        </w:rPr>
      </w:pPr>
    </w:p>
    <w:p w14:paraId="14159A3B" w14:textId="2A08883F" w:rsidR="00452489" w:rsidRPr="00F331E3" w:rsidRDefault="00452489" w:rsidP="0020294E">
      <w:pPr>
        <w:autoSpaceDE w:val="0"/>
        <w:autoSpaceDN w:val="0"/>
        <w:adjustRightInd w:val="0"/>
        <w:spacing w:line="240" w:lineRule="exact"/>
        <w:jc w:val="both"/>
        <w:rPr>
          <w:rFonts w:ascii="Verdana" w:hAnsi="Verdana" w:cs="Arial"/>
          <w:sz w:val="22"/>
          <w:szCs w:val="22"/>
          <w:lang w:val="en-GB"/>
        </w:rPr>
      </w:pPr>
      <w:r w:rsidRPr="00F331E3">
        <w:rPr>
          <w:rFonts w:ascii="Verdana" w:hAnsi="Verdana"/>
          <w:b/>
          <w:sz w:val="22"/>
          <w:szCs w:val="22"/>
          <w:lang w:val="en-GB"/>
        </w:rPr>
        <w:t>In Tunisia,</w:t>
      </w:r>
      <w:r w:rsidRPr="00F331E3">
        <w:rPr>
          <w:rFonts w:ascii="Verdana" w:hAnsi="Verdana"/>
          <w:sz w:val="22"/>
          <w:szCs w:val="22"/>
          <w:lang w:val="en-GB"/>
        </w:rPr>
        <w:t xml:space="preserve"> following the toppling of President Ben Ali, amendments to the Code of Military Justice</w:t>
      </w:r>
      <w:r w:rsidR="00143A79" w:rsidRPr="00F331E3">
        <w:rPr>
          <w:rFonts w:ascii="Verdana" w:hAnsi="Verdana"/>
          <w:sz w:val="22"/>
          <w:szCs w:val="22"/>
          <w:lang w:val="en-GB"/>
        </w:rPr>
        <w:t xml:space="preserve"> (CMJ)</w:t>
      </w:r>
      <w:r w:rsidR="00143A79" w:rsidRPr="00F331E3">
        <w:rPr>
          <w:rStyle w:val="FootnoteReference"/>
          <w:rFonts w:ascii="Verdana" w:hAnsi="Verdana"/>
          <w:sz w:val="22"/>
          <w:szCs w:val="22"/>
          <w:lang w:val="en-GB"/>
        </w:rPr>
        <w:footnoteReference w:id="1"/>
      </w:r>
      <w:r w:rsidRPr="00F331E3">
        <w:rPr>
          <w:rFonts w:ascii="Verdana" w:hAnsi="Verdana"/>
          <w:sz w:val="22"/>
          <w:szCs w:val="22"/>
          <w:lang w:val="en-GB"/>
        </w:rPr>
        <w:t xml:space="preserve"> significantly </w:t>
      </w:r>
      <w:r w:rsidR="00DD0643" w:rsidRPr="00F331E3">
        <w:rPr>
          <w:rFonts w:ascii="Verdana" w:hAnsi="Verdana"/>
          <w:sz w:val="22"/>
          <w:szCs w:val="22"/>
          <w:lang w:val="en-GB"/>
        </w:rPr>
        <w:t>expanded</w:t>
      </w:r>
      <w:r w:rsidRPr="00F331E3">
        <w:rPr>
          <w:rFonts w:ascii="Verdana" w:hAnsi="Verdana"/>
          <w:sz w:val="22"/>
          <w:szCs w:val="22"/>
          <w:lang w:val="en-GB"/>
        </w:rPr>
        <w:t xml:space="preserve"> the scope of the jurisdiction of military tribunals. </w:t>
      </w:r>
      <w:r w:rsidR="00617ECD" w:rsidRPr="00F331E3">
        <w:rPr>
          <w:rFonts w:ascii="Verdana" w:hAnsi="Verdana" w:cs="Arial"/>
          <w:sz w:val="22"/>
          <w:szCs w:val="22"/>
          <w:lang w:val="en-GB"/>
        </w:rPr>
        <w:t xml:space="preserve">Article 8 of the CMJ provides that military tribunals have jurisdiction over military personnel, students at military schools, retired officers when they are called to serve, </w:t>
      </w:r>
      <w:r w:rsidR="00617ECD" w:rsidRPr="00F331E3">
        <w:rPr>
          <w:rFonts w:ascii="Verdana" w:hAnsi="Verdana"/>
          <w:sz w:val="22"/>
          <w:szCs w:val="22"/>
          <w:lang w:val="en-GB"/>
        </w:rPr>
        <w:t xml:space="preserve">civilian employees of the army </w:t>
      </w:r>
      <w:r w:rsidR="00617ECD" w:rsidRPr="00F331E3">
        <w:rPr>
          <w:rFonts w:ascii="Verdana" w:hAnsi="Verdana" w:cs="Arial"/>
          <w:sz w:val="22"/>
          <w:szCs w:val="22"/>
          <w:lang w:val="en-GB"/>
        </w:rPr>
        <w:t>in times of war or during a state of war or when the army or armed force is in an area where a state of emergency is declared, prisoners of war and civilians as authors or co-authors of offences.</w:t>
      </w:r>
      <w:r w:rsidR="00617ECD" w:rsidRPr="00F331E3">
        <w:rPr>
          <w:rFonts w:ascii="Verdana" w:hAnsi="Verdana" w:cs="Helvetica"/>
          <w:sz w:val="22"/>
          <w:szCs w:val="22"/>
          <w:lang w:val="en-GB"/>
        </w:rPr>
        <w:t xml:space="preserve"> </w:t>
      </w:r>
      <w:r w:rsidRPr="00F331E3">
        <w:rPr>
          <w:rFonts w:ascii="Verdana" w:hAnsi="Verdana"/>
          <w:sz w:val="22"/>
          <w:szCs w:val="22"/>
          <w:lang w:val="en-GB"/>
        </w:rPr>
        <w:t xml:space="preserve">Article 5 of the CMJ </w:t>
      </w:r>
      <w:r w:rsidR="00617ECD" w:rsidRPr="00F331E3">
        <w:rPr>
          <w:rFonts w:ascii="Verdana" w:hAnsi="Verdana"/>
          <w:sz w:val="22"/>
          <w:szCs w:val="22"/>
          <w:lang w:val="en-GB"/>
        </w:rPr>
        <w:t xml:space="preserve">further </w:t>
      </w:r>
      <w:r w:rsidRPr="00F331E3">
        <w:rPr>
          <w:rFonts w:ascii="Verdana" w:hAnsi="Verdana"/>
          <w:sz w:val="22"/>
          <w:szCs w:val="22"/>
          <w:lang w:val="en-GB"/>
        </w:rPr>
        <w:t xml:space="preserve">provides that military courts have jurisdiction over both ordinary crimes committed </w:t>
      </w:r>
      <w:r w:rsidRPr="00F331E3">
        <w:rPr>
          <w:rFonts w:ascii="Verdana" w:hAnsi="Verdana"/>
          <w:i/>
          <w:sz w:val="22"/>
          <w:szCs w:val="22"/>
          <w:lang w:val="en-GB"/>
        </w:rPr>
        <w:t>by</w:t>
      </w:r>
      <w:r w:rsidRPr="00F331E3">
        <w:rPr>
          <w:rFonts w:ascii="Verdana" w:hAnsi="Verdana"/>
          <w:sz w:val="22"/>
          <w:szCs w:val="22"/>
          <w:lang w:val="en-GB"/>
        </w:rPr>
        <w:t xml:space="preserve"> military personnel and ordinary crimes committed </w:t>
      </w:r>
      <w:r w:rsidRPr="00F331E3">
        <w:rPr>
          <w:rFonts w:ascii="Verdana" w:hAnsi="Verdana"/>
          <w:i/>
          <w:sz w:val="22"/>
          <w:szCs w:val="22"/>
          <w:lang w:val="en-GB"/>
        </w:rPr>
        <w:t>against</w:t>
      </w:r>
      <w:r w:rsidRPr="00F331E3">
        <w:rPr>
          <w:rFonts w:ascii="Verdana" w:hAnsi="Verdana"/>
          <w:sz w:val="22"/>
          <w:szCs w:val="22"/>
          <w:lang w:val="en-GB"/>
        </w:rPr>
        <w:t xml:space="preserve"> military personnel. In addition, article 6 of the CMJ provides that “i</w:t>
      </w:r>
      <w:r w:rsidRPr="00F331E3">
        <w:rPr>
          <w:rFonts w:ascii="Verdana" w:hAnsi="Verdana" w:cs="Arial"/>
          <w:sz w:val="22"/>
          <w:szCs w:val="22"/>
          <w:lang w:val="en-GB"/>
        </w:rPr>
        <w:t xml:space="preserve">n case of prosecution for offences under ordinary law committed by military personnel while off-duty and where one party does not belong to the army, the prosecutor or the investigating judge of ordinary courts should defer the charges against the member of the army to the competent military court of first instance”.  </w:t>
      </w:r>
    </w:p>
    <w:p w14:paraId="0BB198D8" w14:textId="77777777" w:rsidR="00B22E17" w:rsidRPr="00F331E3" w:rsidRDefault="00B22E17" w:rsidP="0020294E">
      <w:pPr>
        <w:autoSpaceDE w:val="0"/>
        <w:autoSpaceDN w:val="0"/>
        <w:adjustRightInd w:val="0"/>
        <w:spacing w:line="240" w:lineRule="exact"/>
        <w:jc w:val="both"/>
        <w:rPr>
          <w:rFonts w:ascii="Verdana" w:hAnsi="Verdana" w:cs="Arial"/>
          <w:sz w:val="22"/>
          <w:szCs w:val="22"/>
          <w:lang w:val="en-GB"/>
        </w:rPr>
      </w:pPr>
    </w:p>
    <w:p w14:paraId="607666CC" w14:textId="7EEB7586" w:rsidR="00B22E17" w:rsidRPr="00F331E3" w:rsidRDefault="00522F4A" w:rsidP="0020294E">
      <w:pPr>
        <w:autoSpaceDE w:val="0"/>
        <w:autoSpaceDN w:val="0"/>
        <w:adjustRightInd w:val="0"/>
        <w:spacing w:line="240" w:lineRule="exact"/>
        <w:jc w:val="both"/>
        <w:rPr>
          <w:rFonts w:ascii="Verdana" w:hAnsi="Verdana"/>
          <w:sz w:val="22"/>
          <w:szCs w:val="22"/>
          <w:lang w:val="en-GB"/>
        </w:rPr>
      </w:pPr>
      <w:r w:rsidRPr="00F331E3">
        <w:rPr>
          <w:rFonts w:ascii="Verdana" w:hAnsi="Verdana"/>
          <w:sz w:val="22"/>
          <w:szCs w:val="22"/>
          <w:lang w:val="en-GB"/>
        </w:rPr>
        <w:t>Under this framework,</w:t>
      </w:r>
      <w:r w:rsidR="00B22E17" w:rsidRPr="00F331E3">
        <w:rPr>
          <w:rFonts w:ascii="Verdana" w:hAnsi="Verdana"/>
          <w:sz w:val="22"/>
          <w:szCs w:val="22"/>
          <w:lang w:val="en-GB"/>
        </w:rPr>
        <w:t xml:space="preserve"> military tribunals have been processing the majority of cases involving human rights violations</w:t>
      </w:r>
      <w:r w:rsidR="00DD0643" w:rsidRPr="00F331E3">
        <w:rPr>
          <w:rFonts w:ascii="Verdana" w:hAnsi="Verdana"/>
          <w:sz w:val="22"/>
          <w:szCs w:val="22"/>
          <w:lang w:val="en-GB"/>
        </w:rPr>
        <w:t xml:space="preserve"> committed</w:t>
      </w:r>
      <w:r w:rsidR="008B40D6" w:rsidRPr="00F331E3">
        <w:rPr>
          <w:rFonts w:ascii="Verdana" w:hAnsi="Verdana"/>
          <w:sz w:val="22"/>
          <w:szCs w:val="22"/>
          <w:lang w:val="en-GB"/>
        </w:rPr>
        <w:t xml:space="preserve"> </w:t>
      </w:r>
      <w:r w:rsidR="001F78FC" w:rsidRPr="00F331E3">
        <w:rPr>
          <w:rFonts w:ascii="Verdana" w:hAnsi="Verdana"/>
          <w:sz w:val="22"/>
          <w:szCs w:val="22"/>
          <w:lang w:val="en-GB"/>
        </w:rPr>
        <w:t xml:space="preserve">by security and military personnel </w:t>
      </w:r>
      <w:r w:rsidR="008B40D6" w:rsidRPr="00F331E3">
        <w:rPr>
          <w:rFonts w:ascii="Verdana" w:hAnsi="Verdana"/>
          <w:sz w:val="22"/>
          <w:szCs w:val="22"/>
          <w:lang w:val="en-GB"/>
        </w:rPr>
        <w:t>in Tunisia</w:t>
      </w:r>
      <w:r w:rsidR="00B22E17" w:rsidRPr="00F331E3">
        <w:rPr>
          <w:rFonts w:ascii="Verdana" w:hAnsi="Verdana"/>
          <w:sz w:val="22"/>
          <w:szCs w:val="22"/>
          <w:lang w:val="en-GB"/>
        </w:rPr>
        <w:t xml:space="preserve">, including cases of unlawful killings and torture and other ill-treatment committed before and in the context of the December 2010 to January 2011 uprising. </w:t>
      </w:r>
      <w:r w:rsidR="00F331E3">
        <w:rPr>
          <w:rFonts w:ascii="Verdana" w:hAnsi="Verdana"/>
          <w:sz w:val="22"/>
          <w:szCs w:val="22"/>
          <w:lang w:val="en-GB"/>
        </w:rPr>
        <w:t>Most of t</w:t>
      </w:r>
      <w:r w:rsidR="00B22E17" w:rsidRPr="00F331E3">
        <w:rPr>
          <w:rFonts w:ascii="Verdana" w:hAnsi="Verdana"/>
          <w:sz w:val="22"/>
          <w:szCs w:val="22"/>
          <w:lang w:val="en-GB"/>
        </w:rPr>
        <w:t xml:space="preserve">hese cases were initially brought before ordinary courts but have been transferred to military tribunals on the basis of the CMJ and Law No. 82-70 </w:t>
      </w:r>
      <w:r w:rsidR="00DD0643" w:rsidRPr="00F331E3">
        <w:rPr>
          <w:rFonts w:ascii="Verdana" w:hAnsi="Verdana"/>
          <w:sz w:val="22"/>
          <w:szCs w:val="22"/>
          <w:lang w:val="en-GB"/>
        </w:rPr>
        <w:t>‘</w:t>
      </w:r>
      <w:r w:rsidR="00B22E17" w:rsidRPr="00F331E3">
        <w:rPr>
          <w:rFonts w:ascii="Verdana" w:hAnsi="Verdana"/>
          <w:sz w:val="22"/>
          <w:szCs w:val="22"/>
          <w:lang w:val="en-GB"/>
        </w:rPr>
        <w:t xml:space="preserve">on the General Statute of </w:t>
      </w:r>
      <w:r w:rsidR="00DD0643" w:rsidRPr="00F331E3">
        <w:rPr>
          <w:rFonts w:ascii="Verdana" w:hAnsi="Verdana"/>
          <w:sz w:val="22"/>
          <w:szCs w:val="22"/>
          <w:lang w:val="en-GB"/>
        </w:rPr>
        <w:t xml:space="preserve">the </w:t>
      </w:r>
      <w:r w:rsidR="00B22E17" w:rsidRPr="00F331E3">
        <w:rPr>
          <w:rFonts w:ascii="Verdana" w:hAnsi="Verdana"/>
          <w:sz w:val="22"/>
          <w:szCs w:val="22"/>
          <w:lang w:val="en-GB"/>
        </w:rPr>
        <w:t>Internal Security Forces</w:t>
      </w:r>
      <w:r w:rsidR="00DD0643" w:rsidRPr="00F331E3">
        <w:rPr>
          <w:rFonts w:ascii="Verdana" w:hAnsi="Verdana"/>
          <w:sz w:val="22"/>
          <w:szCs w:val="22"/>
          <w:lang w:val="en-GB"/>
        </w:rPr>
        <w:t>’</w:t>
      </w:r>
      <w:r w:rsidR="00B22E17" w:rsidRPr="00F331E3">
        <w:rPr>
          <w:rFonts w:ascii="Verdana" w:hAnsi="Verdana"/>
          <w:sz w:val="22"/>
          <w:szCs w:val="22"/>
          <w:lang w:val="en-GB"/>
        </w:rPr>
        <w:t xml:space="preserve">. Article 22 of </w:t>
      </w:r>
      <w:r w:rsidRPr="00F331E3">
        <w:rPr>
          <w:rFonts w:ascii="Verdana" w:hAnsi="Verdana"/>
          <w:sz w:val="22"/>
          <w:szCs w:val="22"/>
          <w:lang w:val="en-GB"/>
        </w:rPr>
        <w:t xml:space="preserve">this </w:t>
      </w:r>
      <w:r w:rsidR="00B22E17" w:rsidRPr="00F331E3">
        <w:rPr>
          <w:rFonts w:ascii="Verdana" w:hAnsi="Verdana"/>
          <w:sz w:val="22"/>
          <w:szCs w:val="22"/>
          <w:lang w:val="en-GB"/>
        </w:rPr>
        <w:t xml:space="preserve">Law grants military tribunals competence over cases involving “agents of the Internal Security Forces for facts that took place in, or on the occasion of, the exercise of their functions when the alleged facts are related to their responsibility in the areas of internal and external security of the State, or to the maintenance of order on the public roads and in public places and in public or private businesses, and, during or following public meetings, processions, parades, demonstrations and gatherings”. </w:t>
      </w:r>
    </w:p>
    <w:p w14:paraId="6359A45B" w14:textId="77777777" w:rsidR="00452489" w:rsidRPr="00F331E3" w:rsidRDefault="00452489" w:rsidP="0020294E">
      <w:pPr>
        <w:spacing w:line="240" w:lineRule="exact"/>
        <w:jc w:val="both"/>
        <w:rPr>
          <w:rFonts w:ascii="Verdana" w:hAnsi="Verdana"/>
          <w:b/>
          <w:sz w:val="22"/>
          <w:szCs w:val="22"/>
          <w:lang w:val="en-GB"/>
        </w:rPr>
      </w:pPr>
    </w:p>
    <w:p w14:paraId="3C0659C7" w14:textId="728E573D" w:rsidR="00885C28" w:rsidRPr="00F331E3" w:rsidRDefault="00885C28" w:rsidP="0020294E">
      <w:pPr>
        <w:spacing w:line="240" w:lineRule="exact"/>
        <w:jc w:val="both"/>
        <w:rPr>
          <w:rFonts w:ascii="Verdana" w:hAnsi="Verdana"/>
          <w:b/>
          <w:sz w:val="22"/>
          <w:szCs w:val="22"/>
          <w:lang w:val="en-GB"/>
        </w:rPr>
      </w:pPr>
      <w:r w:rsidRPr="00F331E3">
        <w:rPr>
          <w:rFonts w:ascii="Verdana" w:hAnsi="Verdana"/>
          <w:b/>
          <w:sz w:val="22"/>
          <w:szCs w:val="22"/>
          <w:lang w:val="en-GB"/>
        </w:rPr>
        <w:t xml:space="preserve">In Morocco, </w:t>
      </w:r>
      <w:r w:rsidRPr="00F331E3">
        <w:rPr>
          <w:rFonts w:ascii="Verdana" w:hAnsi="Verdana"/>
          <w:sz w:val="22"/>
          <w:szCs w:val="22"/>
          <w:lang w:val="en-GB"/>
        </w:rPr>
        <w:t>the military court of the armed forces has</w:t>
      </w:r>
      <w:r w:rsidR="006C3396" w:rsidRPr="00F331E3">
        <w:rPr>
          <w:rFonts w:ascii="Verdana" w:hAnsi="Verdana"/>
          <w:sz w:val="22"/>
          <w:szCs w:val="22"/>
          <w:lang w:val="en-GB"/>
        </w:rPr>
        <w:t xml:space="preserve"> jurisdiction</w:t>
      </w:r>
      <w:r w:rsidRPr="00F331E3">
        <w:rPr>
          <w:rFonts w:ascii="Verdana" w:hAnsi="Verdana"/>
          <w:sz w:val="22"/>
          <w:szCs w:val="22"/>
          <w:lang w:val="en-GB"/>
        </w:rPr>
        <w:t>, in times of peace, over all crimes and infractions concerning all members of the military, including persons defined by royal or regulatory decree</w:t>
      </w:r>
      <w:r w:rsidRPr="00F331E3">
        <w:rPr>
          <w:rFonts w:ascii="Verdana" w:hAnsi="Verdana"/>
          <w:i/>
          <w:sz w:val="22"/>
          <w:szCs w:val="22"/>
          <w:lang w:val="en-GB"/>
        </w:rPr>
        <w:t xml:space="preserve"> </w:t>
      </w:r>
      <w:r w:rsidRPr="00F331E3">
        <w:rPr>
          <w:rFonts w:ascii="Verdana" w:hAnsi="Verdana"/>
          <w:sz w:val="22"/>
          <w:szCs w:val="22"/>
          <w:lang w:val="en-GB"/>
        </w:rPr>
        <w:t xml:space="preserve">as in </w:t>
      </w:r>
      <w:r w:rsidRPr="00F331E3">
        <w:rPr>
          <w:rFonts w:ascii="Verdana" w:hAnsi="Verdana"/>
          <w:sz w:val="22"/>
          <w:szCs w:val="22"/>
          <w:lang w:val="en-GB"/>
        </w:rPr>
        <w:lastRenderedPageBreak/>
        <w:t>“active service”.</w:t>
      </w:r>
      <w:r w:rsidRPr="00F331E3">
        <w:rPr>
          <w:rFonts w:ascii="Verdana" w:hAnsi="Verdana"/>
          <w:sz w:val="22"/>
          <w:szCs w:val="22"/>
          <w:vertAlign w:val="superscript"/>
          <w:lang w:val="en-GB"/>
        </w:rPr>
        <w:footnoteReference w:id="2"/>
      </w:r>
      <w:r w:rsidR="00765D53" w:rsidRPr="00F331E3">
        <w:rPr>
          <w:rFonts w:ascii="Verdana" w:hAnsi="Verdana"/>
          <w:sz w:val="22"/>
          <w:szCs w:val="22"/>
          <w:lang w:val="en-GB"/>
        </w:rPr>
        <w:t xml:space="preserve"> </w:t>
      </w:r>
      <w:r w:rsidRPr="00F331E3">
        <w:rPr>
          <w:rFonts w:ascii="Verdana" w:hAnsi="Verdana"/>
          <w:sz w:val="22"/>
          <w:szCs w:val="22"/>
          <w:lang w:val="en-GB"/>
        </w:rPr>
        <w:t>Jurisdiction also extends to all persons, regardless of whether they are members of the military or not, who commit a crime against a member of the armed forces or equivalent bodies, or who commit a crime involving one or more members of the armed forces as th</w:t>
      </w:r>
      <w:r w:rsidR="00DD0643" w:rsidRPr="00F331E3">
        <w:rPr>
          <w:rFonts w:ascii="Verdana" w:hAnsi="Verdana"/>
          <w:sz w:val="22"/>
          <w:szCs w:val="22"/>
          <w:lang w:val="en-GB"/>
        </w:rPr>
        <w:t>eir conspirators or accomplices.</w:t>
      </w:r>
      <w:r w:rsidRPr="00F331E3">
        <w:rPr>
          <w:rFonts w:ascii="Verdana" w:hAnsi="Verdana"/>
          <w:sz w:val="22"/>
          <w:szCs w:val="22"/>
          <w:vertAlign w:val="superscript"/>
          <w:lang w:val="en-GB"/>
        </w:rPr>
        <w:footnoteReference w:id="3"/>
      </w:r>
      <w:r w:rsidRPr="00F331E3">
        <w:rPr>
          <w:rFonts w:ascii="Verdana" w:hAnsi="Verdana"/>
          <w:sz w:val="22"/>
          <w:szCs w:val="22"/>
          <w:lang w:val="en-GB"/>
        </w:rPr>
        <w:t xml:space="preserve"> Misdemeanours committed by civilians and involving members of the military as accomplices or conspirators are heard before ordinary courts, unless there is a specific provision to the contrary.</w:t>
      </w:r>
      <w:r w:rsidRPr="00F331E3">
        <w:rPr>
          <w:rFonts w:ascii="Verdana" w:hAnsi="Verdana"/>
          <w:sz w:val="22"/>
          <w:szCs w:val="22"/>
          <w:vertAlign w:val="superscript"/>
          <w:lang w:val="en-GB"/>
        </w:rPr>
        <w:footnoteReference w:id="4"/>
      </w:r>
    </w:p>
    <w:p w14:paraId="5AAF0540" w14:textId="77777777" w:rsidR="00885C28" w:rsidRPr="00F331E3" w:rsidRDefault="00885C28" w:rsidP="0020294E">
      <w:pPr>
        <w:spacing w:line="240" w:lineRule="exact"/>
        <w:jc w:val="both"/>
        <w:rPr>
          <w:rFonts w:ascii="Verdana" w:hAnsi="Verdana"/>
          <w:sz w:val="22"/>
          <w:szCs w:val="22"/>
          <w:lang w:val="en-GB"/>
        </w:rPr>
      </w:pPr>
    </w:p>
    <w:p w14:paraId="4716DDDC" w14:textId="2A9C7FA5" w:rsidR="006C3396" w:rsidRPr="00F331E3" w:rsidRDefault="00885C28"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Civilians can also be tried in military courts where the crime is classified as breaching the “external security of the State”, in particular aiding the </w:t>
      </w:r>
      <w:r w:rsidRPr="00F331E3">
        <w:rPr>
          <w:rFonts w:ascii="Verdana" w:hAnsi="Verdana"/>
          <w:iCs/>
          <w:sz w:val="22"/>
          <w:szCs w:val="22"/>
          <w:lang w:val="en-GB"/>
        </w:rPr>
        <w:t>enemy</w:t>
      </w:r>
      <w:r w:rsidRPr="00F331E3">
        <w:rPr>
          <w:rFonts w:ascii="Verdana" w:hAnsi="Verdana"/>
          <w:sz w:val="22"/>
          <w:szCs w:val="22"/>
          <w:lang w:val="en-GB"/>
        </w:rPr>
        <w:t xml:space="preserve"> and inciting service</w:t>
      </w:r>
      <w:r w:rsidR="00DD0643" w:rsidRPr="00F331E3">
        <w:rPr>
          <w:rFonts w:ascii="Verdana" w:hAnsi="Verdana"/>
          <w:sz w:val="22"/>
          <w:szCs w:val="22"/>
          <w:lang w:val="en-GB"/>
        </w:rPr>
        <w:t xml:space="preserve"> in hostile armed forces under a</w:t>
      </w:r>
      <w:r w:rsidRPr="00F331E3">
        <w:rPr>
          <w:rFonts w:ascii="Verdana" w:hAnsi="Verdana"/>
          <w:sz w:val="22"/>
          <w:szCs w:val="22"/>
          <w:lang w:val="en-GB"/>
        </w:rPr>
        <w:t>rticle 187 of the CMJ.</w:t>
      </w:r>
      <w:r w:rsidRPr="00F331E3">
        <w:rPr>
          <w:rFonts w:ascii="Verdana" w:hAnsi="Verdana"/>
          <w:sz w:val="22"/>
          <w:szCs w:val="22"/>
          <w:vertAlign w:val="superscript"/>
          <w:lang w:val="en-GB"/>
        </w:rPr>
        <w:footnoteReference w:id="5"/>
      </w:r>
      <w:r w:rsidRPr="00F331E3">
        <w:rPr>
          <w:rFonts w:ascii="Verdana" w:hAnsi="Verdana"/>
          <w:sz w:val="22"/>
          <w:szCs w:val="22"/>
          <w:lang w:val="en-GB"/>
        </w:rPr>
        <w:t xml:space="preserve"> </w:t>
      </w:r>
      <w:r w:rsidR="006C3396" w:rsidRPr="00F331E3">
        <w:rPr>
          <w:rFonts w:ascii="Verdana" w:hAnsi="Verdana"/>
          <w:sz w:val="22"/>
          <w:szCs w:val="22"/>
          <w:lang w:val="en-GB"/>
        </w:rPr>
        <w:t>In addition, military courts have jurisdiction over individuals who were under the age of 18 at the time of the crime if they are members of the military or nationals of an enemy or occupied State.</w:t>
      </w:r>
      <w:r w:rsidR="006C3396" w:rsidRPr="00F331E3">
        <w:rPr>
          <w:rFonts w:ascii="Verdana" w:hAnsi="Verdana"/>
          <w:sz w:val="22"/>
          <w:szCs w:val="22"/>
          <w:vertAlign w:val="superscript"/>
          <w:lang w:val="en-GB"/>
        </w:rPr>
        <w:footnoteReference w:id="6"/>
      </w:r>
    </w:p>
    <w:p w14:paraId="18E9D67C" w14:textId="77777777" w:rsidR="00814672" w:rsidRPr="00F331E3" w:rsidRDefault="00814672" w:rsidP="0020294E">
      <w:pPr>
        <w:spacing w:line="240" w:lineRule="exact"/>
        <w:jc w:val="both"/>
        <w:rPr>
          <w:rFonts w:ascii="Verdana" w:hAnsi="Verdana"/>
          <w:sz w:val="22"/>
          <w:szCs w:val="22"/>
          <w:lang w:val="en-GB"/>
        </w:rPr>
      </w:pPr>
    </w:p>
    <w:p w14:paraId="13ECA53B" w14:textId="091F6F6C" w:rsidR="00CC598C" w:rsidRPr="00F331E3" w:rsidRDefault="007819AE" w:rsidP="0020294E">
      <w:pPr>
        <w:spacing w:line="240" w:lineRule="exact"/>
        <w:rPr>
          <w:rFonts w:ascii="Verdana" w:hAnsi="Verdana"/>
          <w:sz w:val="22"/>
          <w:szCs w:val="22"/>
          <w:lang w:val="en-GB"/>
        </w:rPr>
      </w:pPr>
      <w:r w:rsidRPr="00F331E3">
        <w:rPr>
          <w:rFonts w:ascii="Verdana" w:hAnsi="Verdana"/>
          <w:sz w:val="22"/>
          <w:szCs w:val="22"/>
          <w:lang w:val="en-GB"/>
        </w:rPr>
        <w:t>Ladies and gentlemen,</w:t>
      </w:r>
    </w:p>
    <w:p w14:paraId="6245535D" w14:textId="77777777" w:rsidR="006C3396" w:rsidRPr="00F331E3" w:rsidRDefault="006C3396" w:rsidP="0020294E">
      <w:pPr>
        <w:spacing w:line="240" w:lineRule="exact"/>
        <w:rPr>
          <w:rFonts w:ascii="Verdana" w:hAnsi="Verdana"/>
          <w:sz w:val="22"/>
          <w:szCs w:val="22"/>
          <w:lang w:val="en-GB"/>
        </w:rPr>
      </w:pPr>
    </w:p>
    <w:p w14:paraId="32703DF4" w14:textId="1C8B4742" w:rsidR="0021373E" w:rsidRPr="00F331E3" w:rsidRDefault="006C3396"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 </w:t>
      </w:r>
      <w:r w:rsidR="00C95119" w:rsidRPr="00F331E3">
        <w:rPr>
          <w:rFonts w:ascii="Verdana" w:hAnsi="Verdana"/>
          <w:sz w:val="22"/>
          <w:szCs w:val="22"/>
          <w:lang w:val="en-GB"/>
        </w:rPr>
        <w:t>m</w:t>
      </w:r>
      <w:r w:rsidRPr="00F331E3">
        <w:rPr>
          <w:rFonts w:ascii="Verdana" w:hAnsi="Verdana"/>
          <w:sz w:val="22"/>
          <w:szCs w:val="22"/>
          <w:lang w:val="en-GB"/>
        </w:rPr>
        <w:t xml:space="preserve">any countries in the MENA region, </w:t>
      </w:r>
      <w:r w:rsidR="00C95119" w:rsidRPr="00F331E3">
        <w:rPr>
          <w:rFonts w:ascii="Verdana" w:hAnsi="Verdana"/>
          <w:sz w:val="22"/>
          <w:szCs w:val="22"/>
          <w:lang w:val="en-GB"/>
        </w:rPr>
        <w:t>military courts h</w:t>
      </w:r>
      <w:r w:rsidR="00452489" w:rsidRPr="00F331E3">
        <w:rPr>
          <w:rFonts w:ascii="Verdana" w:hAnsi="Verdana"/>
          <w:sz w:val="22"/>
          <w:szCs w:val="22"/>
          <w:lang w:val="en-GB"/>
        </w:rPr>
        <w:t>ave not only been used to try civilians</w:t>
      </w:r>
      <w:r w:rsidR="00765D53" w:rsidRPr="00F331E3">
        <w:rPr>
          <w:rFonts w:ascii="Verdana" w:hAnsi="Verdana"/>
          <w:sz w:val="22"/>
          <w:szCs w:val="22"/>
          <w:lang w:val="en-GB"/>
        </w:rPr>
        <w:t>, including those suspect</w:t>
      </w:r>
      <w:r w:rsidR="003757F5" w:rsidRPr="00F331E3">
        <w:rPr>
          <w:rFonts w:ascii="Verdana" w:hAnsi="Verdana"/>
          <w:sz w:val="22"/>
          <w:szCs w:val="22"/>
          <w:lang w:val="en-GB"/>
        </w:rPr>
        <w:t>ed</w:t>
      </w:r>
      <w:r w:rsidR="00765D53" w:rsidRPr="00F331E3">
        <w:rPr>
          <w:rFonts w:ascii="Verdana" w:hAnsi="Verdana"/>
          <w:sz w:val="22"/>
          <w:szCs w:val="22"/>
          <w:lang w:val="en-GB"/>
        </w:rPr>
        <w:t xml:space="preserve"> of opposing the authorities</w:t>
      </w:r>
      <w:r w:rsidR="00DD0643" w:rsidRPr="00F331E3">
        <w:rPr>
          <w:rFonts w:ascii="Verdana" w:hAnsi="Verdana"/>
          <w:sz w:val="22"/>
          <w:szCs w:val="22"/>
          <w:lang w:val="en-GB"/>
        </w:rPr>
        <w:t>, t</w:t>
      </w:r>
      <w:r w:rsidR="00452489" w:rsidRPr="00F331E3">
        <w:rPr>
          <w:rFonts w:ascii="Verdana" w:hAnsi="Verdana"/>
          <w:sz w:val="22"/>
          <w:szCs w:val="22"/>
          <w:lang w:val="en-GB"/>
        </w:rPr>
        <w:t>hey have also been used to shield security and military personnel from accountability</w:t>
      </w:r>
      <w:r w:rsidR="00814672" w:rsidRPr="00F331E3">
        <w:rPr>
          <w:rFonts w:ascii="Verdana" w:hAnsi="Verdana"/>
          <w:sz w:val="22"/>
          <w:szCs w:val="22"/>
          <w:lang w:val="en-GB"/>
        </w:rPr>
        <w:t xml:space="preserve"> for allegations of serious human rights violations</w:t>
      </w:r>
      <w:r w:rsidR="00452489" w:rsidRPr="00F331E3">
        <w:rPr>
          <w:rFonts w:ascii="Verdana" w:hAnsi="Verdana"/>
          <w:sz w:val="22"/>
          <w:szCs w:val="22"/>
          <w:lang w:val="en-GB"/>
        </w:rPr>
        <w:t>.</w:t>
      </w:r>
      <w:r w:rsidR="003757F5" w:rsidRPr="00F331E3">
        <w:rPr>
          <w:rFonts w:ascii="Verdana" w:hAnsi="Verdana"/>
          <w:sz w:val="22"/>
          <w:szCs w:val="22"/>
          <w:lang w:val="en-GB"/>
        </w:rPr>
        <w:t xml:space="preserve"> </w:t>
      </w:r>
      <w:r w:rsidR="0021373E" w:rsidRPr="00F331E3">
        <w:rPr>
          <w:rFonts w:ascii="Verdana" w:hAnsi="Verdana"/>
          <w:sz w:val="22"/>
          <w:szCs w:val="22"/>
          <w:lang w:val="en-GB"/>
        </w:rPr>
        <w:t xml:space="preserve">When used to address these </w:t>
      </w:r>
      <w:r w:rsidR="00814672" w:rsidRPr="00F331E3">
        <w:rPr>
          <w:rFonts w:ascii="Verdana" w:hAnsi="Verdana"/>
          <w:sz w:val="22"/>
          <w:szCs w:val="22"/>
          <w:lang w:val="en-GB"/>
        </w:rPr>
        <w:t>allegations</w:t>
      </w:r>
      <w:r w:rsidR="0021373E" w:rsidRPr="00F331E3">
        <w:rPr>
          <w:rFonts w:ascii="Verdana" w:hAnsi="Verdana"/>
          <w:sz w:val="22"/>
          <w:szCs w:val="22"/>
          <w:lang w:val="en-GB"/>
        </w:rPr>
        <w:t xml:space="preserve">, military courts </w:t>
      </w:r>
      <w:r w:rsidR="00442D2E" w:rsidRPr="00F331E3">
        <w:rPr>
          <w:rFonts w:ascii="Verdana" w:hAnsi="Verdana"/>
          <w:sz w:val="22"/>
          <w:szCs w:val="22"/>
          <w:lang w:val="en-GB"/>
        </w:rPr>
        <w:t>have</w:t>
      </w:r>
      <w:r w:rsidR="0021373E" w:rsidRPr="00F331E3">
        <w:rPr>
          <w:rFonts w:ascii="Verdana" w:hAnsi="Verdana"/>
          <w:sz w:val="22"/>
          <w:szCs w:val="22"/>
          <w:lang w:val="en-GB"/>
        </w:rPr>
        <w:t xml:space="preserve"> often</w:t>
      </w:r>
      <w:r w:rsidR="00442D2E" w:rsidRPr="00F331E3">
        <w:rPr>
          <w:rFonts w:ascii="Verdana" w:hAnsi="Verdana"/>
          <w:sz w:val="22"/>
          <w:szCs w:val="22"/>
          <w:lang w:val="en-GB"/>
        </w:rPr>
        <w:t xml:space="preserve"> been</w:t>
      </w:r>
      <w:r w:rsidR="0021373E" w:rsidRPr="00F331E3">
        <w:rPr>
          <w:rFonts w:ascii="Verdana" w:hAnsi="Verdana"/>
          <w:sz w:val="22"/>
          <w:szCs w:val="22"/>
          <w:lang w:val="en-GB"/>
        </w:rPr>
        <w:t xml:space="preserve"> a source of impunity.</w:t>
      </w:r>
    </w:p>
    <w:p w14:paraId="4D7E247E" w14:textId="3424DC24" w:rsidR="00222CDA" w:rsidRPr="00F331E3" w:rsidRDefault="007B402D"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 </w:t>
      </w:r>
    </w:p>
    <w:p w14:paraId="7E8FEB35" w14:textId="77777777" w:rsidR="00513207" w:rsidRPr="00F331E3" w:rsidRDefault="00442D2E" w:rsidP="0020294E">
      <w:pPr>
        <w:spacing w:line="240" w:lineRule="exact"/>
        <w:jc w:val="both"/>
        <w:rPr>
          <w:rFonts w:ascii="Verdana" w:hAnsi="Verdana"/>
          <w:sz w:val="22"/>
          <w:szCs w:val="22"/>
          <w:lang w:val="en-GB"/>
        </w:rPr>
      </w:pPr>
      <w:r w:rsidRPr="00F331E3">
        <w:rPr>
          <w:rFonts w:ascii="Verdana" w:hAnsi="Verdana"/>
          <w:sz w:val="22"/>
          <w:szCs w:val="22"/>
          <w:lang w:val="en-GB"/>
        </w:rPr>
        <w:t>This</w:t>
      </w:r>
      <w:r w:rsidR="00222CDA" w:rsidRPr="00F331E3">
        <w:rPr>
          <w:rFonts w:ascii="Verdana" w:hAnsi="Verdana"/>
          <w:sz w:val="22"/>
          <w:szCs w:val="22"/>
          <w:lang w:val="en-GB"/>
        </w:rPr>
        <w:t xml:space="preserve"> impunity takes various forms. </w:t>
      </w:r>
    </w:p>
    <w:p w14:paraId="001A1015" w14:textId="77777777" w:rsidR="00513207" w:rsidRPr="00F331E3" w:rsidRDefault="00513207" w:rsidP="0020294E">
      <w:pPr>
        <w:spacing w:line="240" w:lineRule="exact"/>
        <w:jc w:val="both"/>
        <w:rPr>
          <w:rFonts w:ascii="Verdana" w:hAnsi="Verdana"/>
          <w:sz w:val="22"/>
          <w:szCs w:val="22"/>
          <w:lang w:val="en-GB"/>
        </w:rPr>
      </w:pPr>
    </w:p>
    <w:p w14:paraId="2B720A65" w14:textId="0E26CBB3" w:rsidR="00765D53" w:rsidRPr="00F331E3" w:rsidRDefault="00222CDA"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First, </w:t>
      </w:r>
      <w:r w:rsidR="00765D53" w:rsidRPr="00F331E3">
        <w:rPr>
          <w:rFonts w:ascii="Verdana" w:hAnsi="Verdana"/>
          <w:sz w:val="22"/>
          <w:szCs w:val="22"/>
          <w:lang w:val="en-GB"/>
        </w:rPr>
        <w:t xml:space="preserve">when military and security personnel are </w:t>
      </w:r>
      <w:r w:rsidR="00687181" w:rsidRPr="00F331E3">
        <w:rPr>
          <w:rFonts w:ascii="Verdana" w:hAnsi="Verdana"/>
          <w:sz w:val="22"/>
          <w:szCs w:val="22"/>
          <w:lang w:val="en-GB"/>
        </w:rPr>
        <w:t xml:space="preserve">allegedly </w:t>
      </w:r>
      <w:r w:rsidR="00765D53" w:rsidRPr="00F331E3">
        <w:rPr>
          <w:rFonts w:ascii="Verdana" w:hAnsi="Verdana"/>
          <w:sz w:val="22"/>
          <w:szCs w:val="22"/>
          <w:lang w:val="en-GB"/>
        </w:rPr>
        <w:t xml:space="preserve">responsible for human rights violations, </w:t>
      </w:r>
      <w:r w:rsidR="00513207" w:rsidRPr="00F331E3">
        <w:rPr>
          <w:rFonts w:ascii="Verdana" w:hAnsi="Verdana"/>
          <w:sz w:val="22"/>
          <w:szCs w:val="22"/>
          <w:lang w:val="en-GB"/>
        </w:rPr>
        <w:t xml:space="preserve">civilian and </w:t>
      </w:r>
      <w:r w:rsidR="00765D53" w:rsidRPr="00F331E3">
        <w:rPr>
          <w:rFonts w:ascii="Verdana" w:hAnsi="Verdana"/>
          <w:sz w:val="22"/>
          <w:szCs w:val="22"/>
          <w:lang w:val="en-GB"/>
        </w:rPr>
        <w:t>military prosecutors and investigative judges rarely investigate</w:t>
      </w:r>
      <w:r w:rsidR="003757F5" w:rsidRPr="00F331E3">
        <w:rPr>
          <w:rFonts w:ascii="Verdana" w:hAnsi="Verdana"/>
          <w:sz w:val="22"/>
          <w:szCs w:val="22"/>
          <w:lang w:val="en-GB"/>
        </w:rPr>
        <w:t xml:space="preserve"> and prosecute</w:t>
      </w:r>
      <w:r w:rsidR="00765D53" w:rsidRPr="00F331E3">
        <w:rPr>
          <w:rFonts w:ascii="Verdana" w:hAnsi="Verdana"/>
          <w:sz w:val="22"/>
          <w:szCs w:val="22"/>
          <w:lang w:val="en-GB"/>
        </w:rPr>
        <w:t xml:space="preserve"> these allegations.</w:t>
      </w:r>
      <w:r w:rsidR="00627D9F" w:rsidRPr="00F331E3">
        <w:rPr>
          <w:rFonts w:ascii="Verdana" w:hAnsi="Verdana"/>
          <w:sz w:val="22"/>
          <w:szCs w:val="22"/>
          <w:lang w:val="en-GB"/>
        </w:rPr>
        <w:t xml:space="preserve"> In the case of Egypt, following</w:t>
      </w:r>
      <w:r w:rsidR="00DD0643" w:rsidRPr="00F331E3">
        <w:rPr>
          <w:rFonts w:ascii="Verdana" w:hAnsi="Verdana"/>
          <w:sz w:val="22"/>
          <w:szCs w:val="22"/>
          <w:lang w:val="en-GB"/>
        </w:rPr>
        <w:t xml:space="preserve"> the ousting of President </w:t>
      </w:r>
      <w:proofErr w:type="spellStart"/>
      <w:r w:rsidR="00DD0643" w:rsidRPr="00F331E3">
        <w:rPr>
          <w:rFonts w:ascii="Verdana" w:hAnsi="Verdana"/>
          <w:sz w:val="22"/>
          <w:szCs w:val="22"/>
          <w:lang w:val="en-GB"/>
        </w:rPr>
        <w:t>Morsi</w:t>
      </w:r>
      <w:proofErr w:type="spellEnd"/>
      <w:r w:rsidR="00627D9F" w:rsidRPr="00F331E3">
        <w:rPr>
          <w:rFonts w:ascii="Verdana" w:hAnsi="Verdana"/>
          <w:sz w:val="22"/>
          <w:szCs w:val="22"/>
          <w:lang w:val="en-GB"/>
        </w:rPr>
        <w:t xml:space="preserve"> and as a result of the unlawful and disproportionate use of force, including firing live ammunition into crowds, security </w:t>
      </w:r>
      <w:r w:rsidR="002B0FDB" w:rsidRPr="00F331E3">
        <w:rPr>
          <w:rFonts w:ascii="Verdana" w:hAnsi="Verdana"/>
          <w:sz w:val="22"/>
          <w:szCs w:val="22"/>
          <w:lang w:val="en-GB"/>
        </w:rPr>
        <w:t xml:space="preserve">and </w:t>
      </w:r>
      <w:r w:rsidR="00627D9F" w:rsidRPr="00F331E3">
        <w:rPr>
          <w:rFonts w:ascii="Verdana" w:hAnsi="Verdana"/>
          <w:sz w:val="22"/>
          <w:szCs w:val="22"/>
          <w:lang w:val="en-GB"/>
        </w:rPr>
        <w:t>armed forces personnel were responsible for the killings of more than 1</w:t>
      </w:r>
      <w:r w:rsidR="00DD0643" w:rsidRPr="00F331E3">
        <w:rPr>
          <w:rFonts w:ascii="Verdana" w:hAnsi="Verdana"/>
          <w:sz w:val="22"/>
          <w:szCs w:val="22"/>
          <w:lang w:val="en-GB"/>
        </w:rPr>
        <w:t>,</w:t>
      </w:r>
      <w:r w:rsidR="00627D9F" w:rsidRPr="00F331E3">
        <w:rPr>
          <w:rFonts w:ascii="Verdana" w:hAnsi="Verdana"/>
          <w:sz w:val="22"/>
          <w:szCs w:val="22"/>
          <w:lang w:val="en-GB"/>
        </w:rPr>
        <w:t xml:space="preserve">200 people, in particular during the dispersal of the </w:t>
      </w:r>
      <w:proofErr w:type="spellStart"/>
      <w:r w:rsidR="00627D9F" w:rsidRPr="00F331E3">
        <w:rPr>
          <w:rFonts w:ascii="Verdana" w:hAnsi="Verdana"/>
          <w:sz w:val="22"/>
          <w:szCs w:val="22"/>
          <w:lang w:val="en-GB"/>
        </w:rPr>
        <w:t>Rabaa</w:t>
      </w:r>
      <w:proofErr w:type="spellEnd"/>
      <w:r w:rsidR="00627D9F" w:rsidRPr="00F331E3">
        <w:rPr>
          <w:rFonts w:ascii="Verdana" w:hAnsi="Verdana"/>
          <w:sz w:val="22"/>
          <w:szCs w:val="22"/>
          <w:lang w:val="en-GB"/>
        </w:rPr>
        <w:t xml:space="preserve"> Al-</w:t>
      </w:r>
      <w:proofErr w:type="spellStart"/>
      <w:r w:rsidR="00627D9F" w:rsidRPr="00F331E3">
        <w:rPr>
          <w:rFonts w:ascii="Verdana" w:hAnsi="Verdana"/>
          <w:sz w:val="22"/>
          <w:szCs w:val="22"/>
          <w:lang w:val="en-GB"/>
        </w:rPr>
        <w:t>Adawyia</w:t>
      </w:r>
      <w:proofErr w:type="spellEnd"/>
      <w:r w:rsidR="00627D9F" w:rsidRPr="00F331E3">
        <w:rPr>
          <w:rFonts w:ascii="Verdana" w:hAnsi="Verdana"/>
          <w:sz w:val="22"/>
          <w:szCs w:val="22"/>
          <w:lang w:val="en-GB"/>
        </w:rPr>
        <w:t xml:space="preserve"> and </w:t>
      </w:r>
      <w:proofErr w:type="spellStart"/>
      <w:r w:rsidR="00627D9F" w:rsidRPr="00F331E3">
        <w:rPr>
          <w:rFonts w:ascii="Verdana" w:hAnsi="Verdana"/>
          <w:sz w:val="22"/>
          <w:szCs w:val="22"/>
          <w:lang w:val="en-GB"/>
        </w:rPr>
        <w:t>Annahda</w:t>
      </w:r>
      <w:proofErr w:type="spellEnd"/>
      <w:r w:rsidR="00627D9F" w:rsidRPr="00F331E3">
        <w:rPr>
          <w:rFonts w:ascii="Verdana" w:hAnsi="Verdana"/>
          <w:sz w:val="22"/>
          <w:szCs w:val="22"/>
          <w:lang w:val="en-GB"/>
        </w:rPr>
        <w:t xml:space="preserve"> pro-</w:t>
      </w:r>
      <w:proofErr w:type="spellStart"/>
      <w:r w:rsidR="00627D9F" w:rsidRPr="00F331E3">
        <w:rPr>
          <w:rFonts w:ascii="Verdana" w:hAnsi="Verdana"/>
          <w:sz w:val="22"/>
          <w:szCs w:val="22"/>
          <w:lang w:val="en-GB"/>
        </w:rPr>
        <w:t>Morsi</w:t>
      </w:r>
      <w:proofErr w:type="spellEnd"/>
      <w:r w:rsidR="00627D9F" w:rsidRPr="00F331E3">
        <w:rPr>
          <w:rFonts w:ascii="Verdana" w:hAnsi="Verdana"/>
          <w:sz w:val="22"/>
          <w:szCs w:val="22"/>
          <w:lang w:val="en-GB"/>
        </w:rPr>
        <w:t xml:space="preserve"> sit-ins on 14 August 2013. Most of these killings appear to be unlawful. </w:t>
      </w:r>
      <w:r w:rsidR="00513207" w:rsidRPr="00F331E3">
        <w:rPr>
          <w:rFonts w:ascii="Verdana" w:hAnsi="Verdana"/>
          <w:sz w:val="22"/>
          <w:szCs w:val="22"/>
          <w:lang w:val="en-GB"/>
        </w:rPr>
        <w:t>However, t</w:t>
      </w:r>
      <w:r w:rsidR="00627D9F" w:rsidRPr="00F331E3">
        <w:rPr>
          <w:rFonts w:ascii="Verdana" w:hAnsi="Verdana"/>
          <w:sz w:val="22"/>
          <w:szCs w:val="22"/>
          <w:lang w:val="en-GB"/>
        </w:rPr>
        <w:t>he Egyptian authorities have failed so far to conduct a thorough, effective, independent and impartial investigation into the</w:t>
      </w:r>
      <w:r w:rsidR="0008252B" w:rsidRPr="00F331E3">
        <w:rPr>
          <w:rFonts w:ascii="Verdana" w:hAnsi="Verdana"/>
          <w:sz w:val="22"/>
          <w:szCs w:val="22"/>
          <w:lang w:val="en-GB"/>
        </w:rPr>
        <w:t>se</w:t>
      </w:r>
      <w:r w:rsidR="00DD0643" w:rsidRPr="00F331E3">
        <w:rPr>
          <w:rFonts w:ascii="Verdana" w:hAnsi="Verdana"/>
          <w:sz w:val="22"/>
          <w:szCs w:val="22"/>
          <w:lang w:val="en-GB"/>
        </w:rPr>
        <w:t xml:space="preserve"> killings,</w:t>
      </w:r>
      <w:r w:rsidR="00627D9F" w:rsidRPr="00F331E3">
        <w:rPr>
          <w:rFonts w:ascii="Verdana" w:hAnsi="Verdana"/>
          <w:sz w:val="22"/>
          <w:szCs w:val="22"/>
          <w:lang w:val="en-GB"/>
        </w:rPr>
        <w:t xml:space="preserve"> establish the t</w:t>
      </w:r>
      <w:r w:rsidR="0008252B" w:rsidRPr="00F331E3">
        <w:rPr>
          <w:rFonts w:ascii="Verdana" w:hAnsi="Verdana"/>
          <w:sz w:val="22"/>
          <w:szCs w:val="22"/>
          <w:lang w:val="en-GB"/>
        </w:rPr>
        <w:t>ruth about them</w:t>
      </w:r>
      <w:r w:rsidR="00627D9F" w:rsidRPr="00F331E3">
        <w:rPr>
          <w:rFonts w:ascii="Verdana" w:hAnsi="Verdana"/>
          <w:sz w:val="22"/>
          <w:szCs w:val="22"/>
          <w:lang w:val="en-GB"/>
        </w:rPr>
        <w:t xml:space="preserve"> and </w:t>
      </w:r>
      <w:r w:rsidR="00D43C4E" w:rsidRPr="00F331E3">
        <w:rPr>
          <w:rFonts w:ascii="Verdana" w:hAnsi="Verdana"/>
          <w:sz w:val="22"/>
          <w:szCs w:val="22"/>
          <w:lang w:val="en-GB"/>
        </w:rPr>
        <w:t>ho</w:t>
      </w:r>
      <w:r w:rsidR="00E87765" w:rsidRPr="00F331E3">
        <w:rPr>
          <w:rFonts w:ascii="Verdana" w:hAnsi="Verdana"/>
          <w:sz w:val="22"/>
          <w:szCs w:val="22"/>
          <w:lang w:val="en-GB"/>
        </w:rPr>
        <w:t>ld</w:t>
      </w:r>
      <w:r w:rsidR="00627D9F" w:rsidRPr="00F331E3">
        <w:rPr>
          <w:rFonts w:ascii="Verdana" w:hAnsi="Verdana"/>
          <w:sz w:val="22"/>
          <w:szCs w:val="22"/>
          <w:lang w:val="en-GB"/>
        </w:rPr>
        <w:t xml:space="preserve"> those </w:t>
      </w:r>
      <w:r w:rsidR="00E87765" w:rsidRPr="00F331E3">
        <w:rPr>
          <w:rFonts w:ascii="Verdana" w:hAnsi="Verdana"/>
          <w:sz w:val="22"/>
          <w:szCs w:val="22"/>
          <w:lang w:val="en-GB"/>
        </w:rPr>
        <w:t xml:space="preserve">criminally </w:t>
      </w:r>
      <w:r w:rsidR="00627D9F" w:rsidRPr="00F331E3">
        <w:rPr>
          <w:rFonts w:ascii="Verdana" w:hAnsi="Verdana"/>
          <w:sz w:val="22"/>
          <w:szCs w:val="22"/>
          <w:lang w:val="en-GB"/>
        </w:rPr>
        <w:t>responsible</w:t>
      </w:r>
      <w:r w:rsidR="00E87765" w:rsidRPr="00F331E3">
        <w:rPr>
          <w:rFonts w:ascii="Verdana" w:hAnsi="Verdana"/>
          <w:sz w:val="22"/>
          <w:szCs w:val="22"/>
          <w:lang w:val="en-GB"/>
        </w:rPr>
        <w:t xml:space="preserve"> to account</w:t>
      </w:r>
      <w:r w:rsidR="00627D9F" w:rsidRPr="00F331E3">
        <w:rPr>
          <w:rFonts w:ascii="Verdana" w:hAnsi="Verdana"/>
          <w:sz w:val="22"/>
          <w:szCs w:val="22"/>
          <w:lang w:val="en-GB"/>
        </w:rPr>
        <w:t xml:space="preserve">.  </w:t>
      </w:r>
    </w:p>
    <w:p w14:paraId="7B4AD767" w14:textId="51058E7F" w:rsidR="00222CDA" w:rsidRPr="00F331E3" w:rsidRDefault="00765D53"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 </w:t>
      </w:r>
      <w:r w:rsidR="00222CDA" w:rsidRPr="00F331E3">
        <w:rPr>
          <w:rFonts w:ascii="Verdana" w:hAnsi="Verdana"/>
          <w:sz w:val="22"/>
          <w:szCs w:val="22"/>
          <w:lang w:val="en-GB"/>
        </w:rPr>
        <w:t xml:space="preserve"> </w:t>
      </w:r>
    </w:p>
    <w:p w14:paraId="141A1A5C" w14:textId="5182CD63" w:rsidR="007B402D" w:rsidRDefault="003757F5" w:rsidP="0020294E">
      <w:pPr>
        <w:spacing w:line="240" w:lineRule="exact"/>
        <w:jc w:val="both"/>
        <w:rPr>
          <w:rFonts w:ascii="Verdana" w:hAnsi="Verdana"/>
          <w:sz w:val="22"/>
          <w:szCs w:val="22"/>
          <w:lang w:val="en-GB"/>
        </w:rPr>
      </w:pPr>
      <w:r w:rsidRPr="00F331E3">
        <w:rPr>
          <w:rFonts w:ascii="Verdana" w:hAnsi="Verdana"/>
          <w:sz w:val="22"/>
          <w:szCs w:val="22"/>
          <w:lang w:val="en-GB"/>
        </w:rPr>
        <w:t>Second, in the</w:t>
      </w:r>
      <w:r w:rsidR="00627D9F" w:rsidRPr="00F331E3">
        <w:rPr>
          <w:rFonts w:ascii="Verdana" w:hAnsi="Verdana"/>
          <w:sz w:val="22"/>
          <w:szCs w:val="22"/>
          <w:lang w:val="en-GB"/>
        </w:rPr>
        <w:t xml:space="preserve"> few cases where investigations, </w:t>
      </w:r>
      <w:r w:rsidRPr="00F331E3">
        <w:rPr>
          <w:rFonts w:ascii="Verdana" w:hAnsi="Verdana"/>
          <w:sz w:val="22"/>
          <w:szCs w:val="22"/>
          <w:lang w:val="en-GB"/>
        </w:rPr>
        <w:t xml:space="preserve">prosecutions </w:t>
      </w:r>
      <w:r w:rsidR="00627D9F" w:rsidRPr="00F331E3">
        <w:rPr>
          <w:rFonts w:ascii="Verdana" w:hAnsi="Verdana"/>
          <w:sz w:val="22"/>
          <w:szCs w:val="22"/>
          <w:lang w:val="en-GB"/>
        </w:rPr>
        <w:t xml:space="preserve">and trials </w:t>
      </w:r>
      <w:r w:rsidRPr="00F331E3">
        <w:rPr>
          <w:rFonts w:ascii="Verdana" w:hAnsi="Verdana"/>
          <w:sz w:val="22"/>
          <w:szCs w:val="22"/>
          <w:lang w:val="en-GB"/>
        </w:rPr>
        <w:t xml:space="preserve">are carried out, they </w:t>
      </w:r>
      <w:r w:rsidR="001364F4" w:rsidRPr="00F331E3">
        <w:rPr>
          <w:rFonts w:ascii="Verdana" w:hAnsi="Verdana"/>
          <w:sz w:val="22"/>
          <w:szCs w:val="22"/>
          <w:lang w:val="en-GB"/>
        </w:rPr>
        <w:t xml:space="preserve">have </w:t>
      </w:r>
      <w:r w:rsidR="00D84C00" w:rsidRPr="00F331E3">
        <w:rPr>
          <w:rFonts w:ascii="Verdana" w:hAnsi="Verdana"/>
          <w:sz w:val="22"/>
          <w:szCs w:val="22"/>
          <w:lang w:val="en-GB"/>
        </w:rPr>
        <w:t>generally failed to address and establish the responsibility of the perpetrat</w:t>
      </w:r>
      <w:r w:rsidR="007A048C" w:rsidRPr="00F331E3">
        <w:rPr>
          <w:rFonts w:ascii="Verdana" w:hAnsi="Verdana"/>
          <w:sz w:val="22"/>
          <w:szCs w:val="22"/>
          <w:lang w:val="en-GB"/>
        </w:rPr>
        <w:t>ors</w:t>
      </w:r>
      <w:r w:rsidR="0008252B" w:rsidRPr="00F331E3">
        <w:rPr>
          <w:rFonts w:ascii="Verdana" w:hAnsi="Verdana"/>
          <w:sz w:val="22"/>
          <w:szCs w:val="22"/>
          <w:lang w:val="en-GB"/>
        </w:rPr>
        <w:t xml:space="preserve"> and their superiors</w:t>
      </w:r>
      <w:r w:rsidR="007A048C" w:rsidRPr="00F331E3">
        <w:rPr>
          <w:rFonts w:ascii="Verdana" w:hAnsi="Verdana"/>
          <w:sz w:val="22"/>
          <w:szCs w:val="22"/>
          <w:lang w:val="en-GB"/>
        </w:rPr>
        <w:t xml:space="preserve">, </w:t>
      </w:r>
      <w:r w:rsidR="00DD0643" w:rsidRPr="00F331E3">
        <w:rPr>
          <w:rFonts w:ascii="Verdana" w:hAnsi="Verdana"/>
          <w:sz w:val="22"/>
          <w:szCs w:val="22"/>
          <w:lang w:val="en-GB"/>
        </w:rPr>
        <w:t xml:space="preserve">frequently </w:t>
      </w:r>
      <w:r w:rsidR="007A048C" w:rsidRPr="00F331E3">
        <w:rPr>
          <w:rFonts w:ascii="Verdana" w:hAnsi="Verdana"/>
          <w:sz w:val="22"/>
          <w:szCs w:val="22"/>
          <w:lang w:val="en-GB"/>
        </w:rPr>
        <w:t xml:space="preserve">resulting </w:t>
      </w:r>
      <w:r w:rsidR="00DD0643" w:rsidRPr="00F331E3">
        <w:rPr>
          <w:rFonts w:ascii="Verdana" w:hAnsi="Verdana"/>
          <w:sz w:val="22"/>
          <w:szCs w:val="22"/>
          <w:lang w:val="en-GB"/>
        </w:rPr>
        <w:t>i</w:t>
      </w:r>
      <w:r w:rsidR="007A048C" w:rsidRPr="00F331E3">
        <w:rPr>
          <w:rFonts w:ascii="Verdana" w:hAnsi="Verdana"/>
          <w:sz w:val="22"/>
          <w:szCs w:val="22"/>
          <w:lang w:val="en-GB"/>
        </w:rPr>
        <w:t>n acquittals.</w:t>
      </w:r>
      <w:r w:rsidR="00EF459D" w:rsidRPr="00F331E3">
        <w:rPr>
          <w:rFonts w:ascii="Verdana" w:hAnsi="Verdana"/>
          <w:sz w:val="22"/>
          <w:szCs w:val="22"/>
          <w:lang w:val="en-GB"/>
        </w:rPr>
        <w:t xml:space="preserve"> </w:t>
      </w:r>
      <w:r w:rsidR="007A048C" w:rsidRPr="00F331E3">
        <w:rPr>
          <w:rFonts w:ascii="Verdana" w:hAnsi="Verdana"/>
          <w:sz w:val="22"/>
          <w:szCs w:val="22"/>
          <w:lang w:val="en-GB"/>
        </w:rPr>
        <w:t>I</w:t>
      </w:r>
      <w:r w:rsidR="00EF459D" w:rsidRPr="00F331E3">
        <w:rPr>
          <w:rFonts w:ascii="Verdana" w:hAnsi="Verdana"/>
          <w:sz w:val="22"/>
          <w:szCs w:val="22"/>
          <w:lang w:val="en-GB"/>
        </w:rPr>
        <w:t>n the very few instances where they</w:t>
      </w:r>
      <w:r w:rsidR="00DD0643" w:rsidRPr="00F331E3">
        <w:rPr>
          <w:rFonts w:ascii="Verdana" w:hAnsi="Verdana"/>
          <w:sz w:val="22"/>
          <w:szCs w:val="22"/>
          <w:lang w:val="en-GB"/>
        </w:rPr>
        <w:t xml:space="preserve"> resulted i</w:t>
      </w:r>
      <w:r w:rsidR="00EF459D" w:rsidRPr="00F331E3">
        <w:rPr>
          <w:rFonts w:ascii="Verdana" w:hAnsi="Verdana"/>
          <w:sz w:val="22"/>
          <w:szCs w:val="22"/>
          <w:lang w:val="en-GB"/>
        </w:rPr>
        <w:t>n convictions, the sentences were rarely commensurate with the gra</w:t>
      </w:r>
      <w:r w:rsidR="00DD0643" w:rsidRPr="00F331E3">
        <w:rPr>
          <w:rFonts w:ascii="Verdana" w:hAnsi="Verdana"/>
          <w:sz w:val="22"/>
          <w:szCs w:val="22"/>
          <w:lang w:val="en-GB"/>
        </w:rPr>
        <w:t>vity of the offenc</w:t>
      </w:r>
      <w:r w:rsidR="00B22E17" w:rsidRPr="00F331E3">
        <w:rPr>
          <w:rFonts w:ascii="Verdana" w:hAnsi="Verdana"/>
          <w:sz w:val="22"/>
          <w:szCs w:val="22"/>
          <w:lang w:val="en-GB"/>
        </w:rPr>
        <w:t>es</w:t>
      </w:r>
      <w:r w:rsidR="00DD0643" w:rsidRPr="00F331E3">
        <w:rPr>
          <w:rFonts w:ascii="Verdana" w:hAnsi="Verdana"/>
          <w:sz w:val="22"/>
          <w:szCs w:val="22"/>
          <w:lang w:val="en-GB"/>
        </w:rPr>
        <w:t xml:space="preserve"> committed</w:t>
      </w:r>
      <w:r w:rsidR="00B22E17" w:rsidRPr="00F331E3">
        <w:rPr>
          <w:rFonts w:ascii="Verdana" w:hAnsi="Verdana"/>
          <w:sz w:val="22"/>
          <w:szCs w:val="22"/>
          <w:lang w:val="en-GB"/>
        </w:rPr>
        <w:t>.</w:t>
      </w:r>
    </w:p>
    <w:p w14:paraId="150F0AF8" w14:textId="77777777" w:rsidR="008D21EC" w:rsidRDefault="008D21EC" w:rsidP="0020294E">
      <w:pPr>
        <w:spacing w:line="240" w:lineRule="exact"/>
        <w:jc w:val="both"/>
        <w:rPr>
          <w:rFonts w:ascii="Verdana" w:hAnsi="Verdana"/>
          <w:sz w:val="22"/>
          <w:szCs w:val="22"/>
          <w:lang w:val="en-GB"/>
        </w:rPr>
      </w:pPr>
    </w:p>
    <w:p w14:paraId="7D247873" w14:textId="77777777" w:rsidR="008D21EC" w:rsidRDefault="008D21EC" w:rsidP="0020294E">
      <w:pPr>
        <w:spacing w:line="240" w:lineRule="exact"/>
        <w:jc w:val="both"/>
        <w:rPr>
          <w:rFonts w:ascii="Verdana" w:hAnsi="Verdana"/>
          <w:sz w:val="22"/>
          <w:szCs w:val="22"/>
          <w:lang w:val="en-GB"/>
        </w:rPr>
      </w:pPr>
    </w:p>
    <w:p w14:paraId="1A434B74" w14:textId="77777777" w:rsidR="007A048C" w:rsidRPr="00F331E3" w:rsidRDefault="007A048C" w:rsidP="0020294E">
      <w:pPr>
        <w:spacing w:line="240" w:lineRule="exact"/>
        <w:jc w:val="both"/>
        <w:rPr>
          <w:rFonts w:ascii="Verdana" w:hAnsi="Verdana"/>
          <w:sz w:val="22"/>
          <w:szCs w:val="22"/>
          <w:lang w:val="en-GB"/>
        </w:rPr>
      </w:pPr>
    </w:p>
    <w:p w14:paraId="24AC910B" w14:textId="77777777" w:rsidR="00DB70EC" w:rsidRPr="00F331E3" w:rsidRDefault="00522F4A" w:rsidP="0020294E">
      <w:pPr>
        <w:spacing w:line="240" w:lineRule="exact"/>
        <w:jc w:val="both"/>
        <w:rPr>
          <w:rFonts w:ascii="Verdana" w:hAnsi="Verdana"/>
          <w:i/>
          <w:sz w:val="22"/>
          <w:szCs w:val="22"/>
          <w:lang w:val="en-GB"/>
        </w:rPr>
      </w:pPr>
      <w:r w:rsidRPr="00F331E3">
        <w:rPr>
          <w:rFonts w:ascii="Verdana" w:hAnsi="Verdana"/>
          <w:sz w:val="22"/>
          <w:szCs w:val="22"/>
          <w:lang w:val="en-GB"/>
        </w:rPr>
        <w:t xml:space="preserve">The </w:t>
      </w:r>
      <w:r w:rsidR="00513207" w:rsidRPr="00F331E3">
        <w:rPr>
          <w:rFonts w:ascii="Verdana" w:hAnsi="Verdana"/>
          <w:sz w:val="22"/>
          <w:szCs w:val="22"/>
          <w:lang w:val="en-GB"/>
        </w:rPr>
        <w:t>Case</w:t>
      </w:r>
      <w:r w:rsidRPr="00F331E3">
        <w:rPr>
          <w:rFonts w:ascii="Verdana" w:hAnsi="Verdana"/>
          <w:sz w:val="22"/>
          <w:szCs w:val="22"/>
          <w:lang w:val="en-GB"/>
        </w:rPr>
        <w:t xml:space="preserve"> of</w:t>
      </w:r>
      <w:r w:rsidR="00513207" w:rsidRPr="00F331E3">
        <w:rPr>
          <w:rFonts w:ascii="Verdana" w:hAnsi="Verdana"/>
          <w:b/>
          <w:i/>
          <w:sz w:val="22"/>
          <w:szCs w:val="22"/>
          <w:lang w:val="en-GB"/>
        </w:rPr>
        <w:t xml:space="preserve"> </w:t>
      </w:r>
      <w:proofErr w:type="spellStart"/>
      <w:r w:rsidR="00513207" w:rsidRPr="00F331E3">
        <w:rPr>
          <w:rFonts w:ascii="Verdana" w:hAnsi="Verdana"/>
          <w:b/>
          <w:i/>
          <w:sz w:val="22"/>
          <w:szCs w:val="22"/>
          <w:lang w:val="en-GB"/>
        </w:rPr>
        <w:t>Barraket</w:t>
      </w:r>
      <w:proofErr w:type="spellEnd"/>
      <w:r w:rsidR="00513207" w:rsidRPr="00F331E3">
        <w:rPr>
          <w:rFonts w:ascii="Verdana" w:hAnsi="Verdana"/>
          <w:b/>
          <w:i/>
          <w:sz w:val="22"/>
          <w:szCs w:val="22"/>
          <w:lang w:val="en-GB"/>
        </w:rPr>
        <w:t xml:space="preserve"> </w:t>
      </w:r>
      <w:proofErr w:type="spellStart"/>
      <w:r w:rsidR="00513207" w:rsidRPr="00F331E3">
        <w:rPr>
          <w:rFonts w:ascii="Verdana" w:hAnsi="Verdana"/>
          <w:b/>
          <w:i/>
          <w:sz w:val="22"/>
          <w:szCs w:val="22"/>
          <w:lang w:val="en-GB"/>
        </w:rPr>
        <w:t>Essahel</w:t>
      </w:r>
      <w:proofErr w:type="spellEnd"/>
      <w:r w:rsidR="00EF459D" w:rsidRPr="00F331E3">
        <w:rPr>
          <w:rStyle w:val="FootnoteReference"/>
          <w:rFonts w:ascii="Verdana" w:hAnsi="Verdana"/>
          <w:i/>
          <w:sz w:val="22"/>
          <w:szCs w:val="22"/>
          <w:lang w:val="en-GB"/>
        </w:rPr>
        <w:footnoteReference w:id="7"/>
      </w:r>
      <w:r w:rsidRPr="00F331E3">
        <w:rPr>
          <w:rFonts w:ascii="Verdana" w:hAnsi="Verdana"/>
          <w:i/>
          <w:sz w:val="22"/>
          <w:szCs w:val="22"/>
          <w:lang w:val="en-GB"/>
        </w:rPr>
        <w:t xml:space="preserve"> </w:t>
      </w:r>
      <w:r w:rsidRPr="00F331E3">
        <w:rPr>
          <w:rFonts w:ascii="Verdana" w:hAnsi="Verdana"/>
          <w:sz w:val="22"/>
          <w:szCs w:val="22"/>
          <w:lang w:val="en-GB"/>
        </w:rPr>
        <w:t xml:space="preserve">in Tunisia is particularly relevant in this regard. </w:t>
      </w:r>
      <w:r w:rsidR="00513207" w:rsidRPr="00F331E3">
        <w:rPr>
          <w:rFonts w:ascii="Verdana" w:hAnsi="Verdana"/>
          <w:i/>
          <w:sz w:val="22"/>
          <w:szCs w:val="22"/>
          <w:lang w:val="en-GB"/>
        </w:rPr>
        <w:t xml:space="preserve"> </w:t>
      </w:r>
    </w:p>
    <w:p w14:paraId="727D9CF8" w14:textId="77777777" w:rsidR="00DB70EC" w:rsidRPr="00F331E3" w:rsidRDefault="00DB70EC" w:rsidP="0020294E">
      <w:pPr>
        <w:spacing w:line="240" w:lineRule="exact"/>
        <w:ind w:left="-630"/>
        <w:jc w:val="both"/>
        <w:rPr>
          <w:rFonts w:ascii="Verdana" w:hAnsi="Verdana"/>
          <w:i/>
          <w:sz w:val="22"/>
          <w:szCs w:val="22"/>
          <w:lang w:val="en-GB"/>
        </w:rPr>
      </w:pPr>
    </w:p>
    <w:p w14:paraId="2B207890" w14:textId="6B8A6FA3" w:rsidR="00146B62" w:rsidRPr="00F331E3" w:rsidRDefault="00DB70EC" w:rsidP="0020294E">
      <w:pPr>
        <w:spacing w:line="240" w:lineRule="exact"/>
        <w:ind w:left="720"/>
        <w:jc w:val="both"/>
        <w:rPr>
          <w:rFonts w:ascii="Verdana" w:hAnsi="Verdana"/>
          <w:sz w:val="22"/>
          <w:szCs w:val="22"/>
          <w:lang w:val="en-GB"/>
        </w:rPr>
      </w:pPr>
      <w:r w:rsidRPr="00F331E3">
        <w:rPr>
          <w:rFonts w:ascii="Verdana" w:hAnsi="Verdana"/>
          <w:sz w:val="22"/>
          <w:szCs w:val="22"/>
          <w:lang w:val="en-GB"/>
        </w:rPr>
        <w:t>This case</w:t>
      </w:r>
      <w:r w:rsidR="002557C4" w:rsidRPr="00F331E3">
        <w:rPr>
          <w:rFonts w:ascii="Verdana" w:hAnsi="Verdana"/>
          <w:sz w:val="22"/>
          <w:szCs w:val="22"/>
          <w:lang w:val="en-GB"/>
        </w:rPr>
        <w:t xml:space="preserve"> involved 244 officers who were arrested in </w:t>
      </w:r>
      <w:r w:rsidR="002557C4" w:rsidRPr="00F331E3">
        <w:rPr>
          <w:rFonts w:ascii="Verdana" w:hAnsi="Verdana"/>
          <w:bCs/>
          <w:sz w:val="22"/>
          <w:szCs w:val="22"/>
          <w:lang w:val="en-GB"/>
        </w:rPr>
        <w:t>1991</w:t>
      </w:r>
      <w:r w:rsidR="002557C4" w:rsidRPr="00F331E3">
        <w:rPr>
          <w:rFonts w:ascii="Verdana" w:hAnsi="Verdana"/>
          <w:sz w:val="22"/>
          <w:szCs w:val="22"/>
          <w:lang w:val="en-GB"/>
        </w:rPr>
        <w:t xml:space="preserve"> by the Central Military Administration and accused of plotting to overthrow President Ben Ali. They were transferred to the Directorate of State Security (DSS) of the Ministry of the Interior</w:t>
      </w:r>
      <w:r w:rsidR="00146B62" w:rsidRPr="00F331E3">
        <w:rPr>
          <w:rFonts w:ascii="Verdana" w:hAnsi="Verdana"/>
          <w:sz w:val="22"/>
          <w:szCs w:val="22"/>
          <w:lang w:val="en-GB"/>
        </w:rPr>
        <w:t xml:space="preserve">. </w:t>
      </w:r>
      <w:r w:rsidR="00AB1026" w:rsidRPr="00F331E3">
        <w:rPr>
          <w:rFonts w:ascii="Verdana" w:hAnsi="Verdana"/>
          <w:sz w:val="22"/>
          <w:szCs w:val="22"/>
          <w:lang w:val="en-GB"/>
        </w:rPr>
        <w:t>Both t</w:t>
      </w:r>
      <w:r w:rsidR="00146B62" w:rsidRPr="00F331E3">
        <w:rPr>
          <w:rFonts w:ascii="Verdana" w:hAnsi="Verdana"/>
          <w:sz w:val="22"/>
          <w:szCs w:val="22"/>
          <w:lang w:val="en-GB"/>
        </w:rPr>
        <w:t>he DSS and the Central Military investigate</w:t>
      </w:r>
      <w:r w:rsidR="00AB1026" w:rsidRPr="00F331E3">
        <w:rPr>
          <w:rFonts w:ascii="Verdana" w:hAnsi="Verdana"/>
          <w:sz w:val="22"/>
          <w:szCs w:val="22"/>
          <w:lang w:val="en-GB"/>
        </w:rPr>
        <w:t>d</w:t>
      </w:r>
      <w:r w:rsidR="00146B62" w:rsidRPr="00F331E3">
        <w:rPr>
          <w:rFonts w:ascii="Verdana" w:hAnsi="Verdana"/>
          <w:sz w:val="22"/>
          <w:szCs w:val="22"/>
          <w:lang w:val="en-GB"/>
        </w:rPr>
        <w:t xml:space="preserve"> the officers, with the Director of the DSS submitting daily and detailed reports to the Director-General of Military Security and to the Minister of Defence.</w:t>
      </w:r>
    </w:p>
    <w:p w14:paraId="6C41A2E7" w14:textId="77777777" w:rsidR="00146B62" w:rsidRPr="00F331E3" w:rsidRDefault="00146B62" w:rsidP="0020294E">
      <w:pPr>
        <w:spacing w:line="240" w:lineRule="exact"/>
        <w:ind w:left="1440"/>
        <w:jc w:val="both"/>
        <w:rPr>
          <w:rFonts w:ascii="Verdana" w:hAnsi="Verdana"/>
          <w:sz w:val="22"/>
          <w:szCs w:val="22"/>
          <w:lang w:val="en-GB"/>
        </w:rPr>
      </w:pPr>
    </w:p>
    <w:p w14:paraId="74BCC15F" w14:textId="77C757C4" w:rsidR="00EF459D" w:rsidRPr="00F331E3" w:rsidRDefault="00330731" w:rsidP="0020294E">
      <w:pPr>
        <w:spacing w:line="240" w:lineRule="exact"/>
        <w:ind w:left="720"/>
        <w:jc w:val="both"/>
        <w:rPr>
          <w:rFonts w:ascii="Verdana" w:hAnsi="Verdana"/>
          <w:i/>
          <w:sz w:val="22"/>
          <w:szCs w:val="22"/>
          <w:lang w:val="en-GB"/>
        </w:rPr>
      </w:pPr>
      <w:r w:rsidRPr="00F331E3">
        <w:rPr>
          <w:rFonts w:ascii="Verdana" w:hAnsi="Verdana"/>
          <w:sz w:val="22"/>
          <w:szCs w:val="22"/>
          <w:lang w:val="en-GB"/>
        </w:rPr>
        <w:t>While in</w:t>
      </w:r>
      <w:r w:rsidR="00146B62" w:rsidRPr="00F331E3">
        <w:rPr>
          <w:rFonts w:ascii="Verdana" w:hAnsi="Verdana"/>
          <w:sz w:val="22"/>
          <w:szCs w:val="22"/>
          <w:lang w:val="en-GB"/>
        </w:rPr>
        <w:t xml:space="preserve"> the DDS</w:t>
      </w:r>
      <w:r w:rsidR="0008252B" w:rsidRPr="00F331E3">
        <w:rPr>
          <w:rFonts w:ascii="Verdana" w:hAnsi="Verdana"/>
          <w:sz w:val="22"/>
          <w:szCs w:val="22"/>
          <w:lang w:val="en-GB"/>
        </w:rPr>
        <w:t>’s</w:t>
      </w:r>
      <w:r w:rsidR="00146B62" w:rsidRPr="00F331E3">
        <w:rPr>
          <w:rFonts w:ascii="Verdana" w:hAnsi="Verdana"/>
          <w:sz w:val="22"/>
          <w:szCs w:val="22"/>
          <w:lang w:val="en-GB"/>
        </w:rPr>
        <w:t xml:space="preserve"> custody, the detainees </w:t>
      </w:r>
      <w:r w:rsidR="002557C4" w:rsidRPr="00F331E3">
        <w:rPr>
          <w:rFonts w:ascii="Verdana" w:hAnsi="Verdana"/>
          <w:sz w:val="22"/>
          <w:szCs w:val="22"/>
          <w:lang w:val="en-GB"/>
        </w:rPr>
        <w:t xml:space="preserve">were </w:t>
      </w:r>
      <w:r w:rsidR="00D10546" w:rsidRPr="00F331E3">
        <w:rPr>
          <w:rFonts w:ascii="Verdana" w:hAnsi="Verdana"/>
          <w:sz w:val="22"/>
          <w:szCs w:val="22"/>
          <w:lang w:val="en-GB"/>
        </w:rPr>
        <w:t xml:space="preserve">allegedly </w:t>
      </w:r>
      <w:r w:rsidR="002557C4" w:rsidRPr="00F331E3">
        <w:rPr>
          <w:rFonts w:ascii="Verdana" w:hAnsi="Verdana"/>
          <w:sz w:val="22"/>
          <w:szCs w:val="22"/>
          <w:lang w:val="en-GB"/>
        </w:rPr>
        <w:t>subjected to torture and other-ill-treatment.</w:t>
      </w:r>
      <w:r w:rsidR="00F653D0" w:rsidRPr="00F331E3">
        <w:rPr>
          <w:rFonts w:ascii="Verdana" w:hAnsi="Verdana"/>
          <w:sz w:val="22"/>
          <w:szCs w:val="22"/>
          <w:lang w:val="en-GB"/>
        </w:rPr>
        <w:t xml:space="preserve"> </w:t>
      </w:r>
      <w:r w:rsidR="00D10546" w:rsidRPr="00F331E3">
        <w:rPr>
          <w:rFonts w:ascii="Verdana" w:hAnsi="Verdana"/>
          <w:sz w:val="22"/>
          <w:szCs w:val="22"/>
          <w:lang w:val="en-GB"/>
        </w:rPr>
        <w:t xml:space="preserve">Methods of torture and other ill-treatment referred to by the victims include beating, punching, hanging between two tables in a position known as the “grilled chicken,” </w:t>
      </w:r>
      <w:r w:rsidR="00146B62" w:rsidRPr="00F331E3">
        <w:rPr>
          <w:rFonts w:ascii="Verdana" w:hAnsi="Verdana"/>
          <w:sz w:val="22"/>
          <w:szCs w:val="22"/>
          <w:lang w:val="en-GB"/>
        </w:rPr>
        <w:t xml:space="preserve">hanging by the feet, and </w:t>
      </w:r>
      <w:r w:rsidR="00D10546" w:rsidRPr="00F331E3">
        <w:rPr>
          <w:rFonts w:ascii="Verdana" w:hAnsi="Verdana"/>
          <w:sz w:val="22"/>
          <w:szCs w:val="22"/>
          <w:lang w:val="en-GB"/>
        </w:rPr>
        <w:t xml:space="preserve">plunging the detainee’s head </w:t>
      </w:r>
      <w:r w:rsidR="00146B62" w:rsidRPr="00F331E3">
        <w:rPr>
          <w:rFonts w:ascii="Verdana" w:hAnsi="Verdana"/>
          <w:sz w:val="22"/>
          <w:szCs w:val="22"/>
          <w:lang w:val="en-GB"/>
        </w:rPr>
        <w:t>in</w:t>
      </w:r>
      <w:r w:rsidR="00D10546" w:rsidRPr="00F331E3">
        <w:rPr>
          <w:rFonts w:ascii="Verdana" w:hAnsi="Verdana"/>
          <w:sz w:val="22"/>
          <w:szCs w:val="22"/>
          <w:lang w:val="en-GB"/>
        </w:rPr>
        <w:t xml:space="preserve"> dirty water until suffocation</w:t>
      </w:r>
      <w:r w:rsidR="00146B62" w:rsidRPr="00F331E3">
        <w:rPr>
          <w:rFonts w:ascii="Verdana" w:hAnsi="Verdana"/>
          <w:sz w:val="22"/>
          <w:szCs w:val="22"/>
          <w:lang w:val="en-GB"/>
        </w:rPr>
        <w:t>.</w:t>
      </w:r>
      <w:r w:rsidR="00D10546" w:rsidRPr="00F331E3">
        <w:rPr>
          <w:rFonts w:ascii="Verdana" w:hAnsi="Verdana"/>
          <w:sz w:val="22"/>
          <w:szCs w:val="22"/>
          <w:lang w:val="en-GB"/>
        </w:rPr>
        <w:t xml:space="preserve"> </w:t>
      </w:r>
    </w:p>
    <w:p w14:paraId="7DB4751B" w14:textId="77777777" w:rsidR="00EF459D" w:rsidRPr="00F331E3" w:rsidRDefault="00EF459D" w:rsidP="0020294E">
      <w:pPr>
        <w:spacing w:line="240" w:lineRule="exact"/>
        <w:ind w:left="1440"/>
        <w:jc w:val="both"/>
        <w:rPr>
          <w:rFonts w:ascii="Verdana" w:hAnsi="Verdana"/>
          <w:sz w:val="22"/>
          <w:szCs w:val="22"/>
          <w:lang w:val="en-GB"/>
        </w:rPr>
      </w:pPr>
    </w:p>
    <w:p w14:paraId="40751C33" w14:textId="357EEDBE" w:rsidR="002557C4" w:rsidRPr="00F331E3" w:rsidRDefault="002557C4" w:rsidP="0020294E">
      <w:pPr>
        <w:spacing w:line="240" w:lineRule="exact"/>
        <w:ind w:left="720"/>
        <w:jc w:val="both"/>
        <w:rPr>
          <w:rFonts w:ascii="Verdana" w:hAnsi="Verdana"/>
          <w:sz w:val="22"/>
          <w:szCs w:val="22"/>
          <w:lang w:val="en-GB"/>
        </w:rPr>
      </w:pPr>
      <w:r w:rsidRPr="00F331E3">
        <w:rPr>
          <w:rFonts w:ascii="Verdana" w:hAnsi="Verdana"/>
          <w:sz w:val="22"/>
          <w:szCs w:val="22"/>
          <w:lang w:val="en-GB"/>
        </w:rPr>
        <w:t xml:space="preserve">The majority of those </w:t>
      </w:r>
      <w:r w:rsidR="00146B62" w:rsidRPr="00F331E3">
        <w:rPr>
          <w:rFonts w:ascii="Verdana" w:hAnsi="Verdana"/>
          <w:sz w:val="22"/>
          <w:szCs w:val="22"/>
          <w:lang w:val="en-GB"/>
        </w:rPr>
        <w:t>detained</w:t>
      </w:r>
      <w:r w:rsidRPr="00F331E3">
        <w:rPr>
          <w:rFonts w:ascii="Verdana" w:hAnsi="Verdana"/>
          <w:sz w:val="22"/>
          <w:szCs w:val="22"/>
          <w:lang w:val="en-GB"/>
        </w:rPr>
        <w:t xml:space="preserve"> were released without charge. </w:t>
      </w:r>
      <w:r w:rsidR="0008252B" w:rsidRPr="00F331E3">
        <w:rPr>
          <w:rFonts w:ascii="Verdana" w:hAnsi="Verdana"/>
          <w:sz w:val="22"/>
          <w:szCs w:val="22"/>
          <w:lang w:val="en-GB"/>
        </w:rPr>
        <w:t xml:space="preserve">For years, </w:t>
      </w:r>
      <w:r w:rsidR="00523A18" w:rsidRPr="00F331E3">
        <w:rPr>
          <w:rFonts w:ascii="Verdana" w:hAnsi="Verdana"/>
          <w:sz w:val="22"/>
          <w:szCs w:val="22"/>
          <w:lang w:val="en-GB"/>
        </w:rPr>
        <w:t xml:space="preserve">many of them </w:t>
      </w:r>
      <w:r w:rsidRPr="00F331E3">
        <w:rPr>
          <w:rFonts w:ascii="Verdana" w:hAnsi="Verdana"/>
          <w:sz w:val="22"/>
          <w:szCs w:val="22"/>
          <w:lang w:val="en-GB"/>
        </w:rPr>
        <w:t>were subjected to harassment</w:t>
      </w:r>
      <w:r w:rsidR="00AB1026" w:rsidRPr="00F331E3">
        <w:rPr>
          <w:rFonts w:ascii="Verdana" w:hAnsi="Verdana"/>
          <w:sz w:val="22"/>
          <w:szCs w:val="22"/>
          <w:lang w:val="en-GB"/>
        </w:rPr>
        <w:t xml:space="preserve"> and intimidation by </w:t>
      </w:r>
      <w:r w:rsidR="0099085D" w:rsidRPr="00F331E3">
        <w:rPr>
          <w:rFonts w:ascii="Verdana" w:hAnsi="Verdana"/>
          <w:sz w:val="22"/>
          <w:szCs w:val="22"/>
          <w:lang w:val="en-GB"/>
        </w:rPr>
        <w:t xml:space="preserve">the </w:t>
      </w:r>
      <w:r w:rsidR="00AB1026" w:rsidRPr="00F331E3">
        <w:rPr>
          <w:rFonts w:ascii="Verdana" w:hAnsi="Verdana"/>
          <w:sz w:val="22"/>
          <w:szCs w:val="22"/>
          <w:lang w:val="en-GB"/>
        </w:rPr>
        <w:t>security services. In so</w:t>
      </w:r>
      <w:r w:rsidRPr="00F331E3">
        <w:rPr>
          <w:rFonts w:ascii="Verdana" w:hAnsi="Verdana"/>
          <w:sz w:val="22"/>
          <w:szCs w:val="22"/>
          <w:lang w:val="en-GB"/>
        </w:rPr>
        <w:t xml:space="preserve">me instances, </w:t>
      </w:r>
      <w:r w:rsidR="00AB1026" w:rsidRPr="00F331E3">
        <w:rPr>
          <w:rFonts w:ascii="Verdana" w:hAnsi="Verdana"/>
          <w:sz w:val="22"/>
          <w:szCs w:val="22"/>
          <w:lang w:val="en-GB"/>
        </w:rPr>
        <w:t>officers</w:t>
      </w:r>
      <w:r w:rsidR="00146B62" w:rsidRPr="00F331E3">
        <w:rPr>
          <w:rFonts w:ascii="Verdana" w:hAnsi="Verdana"/>
          <w:sz w:val="22"/>
          <w:szCs w:val="22"/>
          <w:lang w:val="en-GB"/>
        </w:rPr>
        <w:t xml:space="preserve"> </w:t>
      </w:r>
      <w:r w:rsidR="00AB1026" w:rsidRPr="00F331E3">
        <w:rPr>
          <w:rFonts w:ascii="Verdana" w:hAnsi="Verdana"/>
          <w:sz w:val="22"/>
          <w:szCs w:val="22"/>
          <w:lang w:val="en-GB"/>
        </w:rPr>
        <w:t xml:space="preserve">were </w:t>
      </w:r>
      <w:r w:rsidR="00146B62" w:rsidRPr="00F331E3">
        <w:rPr>
          <w:rFonts w:ascii="Verdana" w:hAnsi="Verdana"/>
          <w:sz w:val="22"/>
          <w:szCs w:val="22"/>
          <w:lang w:val="en-GB"/>
        </w:rPr>
        <w:t xml:space="preserve">forced to </w:t>
      </w:r>
      <w:r w:rsidRPr="00F331E3">
        <w:rPr>
          <w:rFonts w:ascii="Verdana" w:hAnsi="Verdana"/>
          <w:sz w:val="22"/>
          <w:szCs w:val="22"/>
          <w:lang w:val="en-GB"/>
        </w:rPr>
        <w:t>report to the police station up to eight times a day.</w:t>
      </w:r>
    </w:p>
    <w:p w14:paraId="67C79BC1" w14:textId="77777777" w:rsidR="002557C4" w:rsidRPr="00F331E3" w:rsidRDefault="002557C4" w:rsidP="0020294E">
      <w:pPr>
        <w:spacing w:line="240" w:lineRule="exact"/>
        <w:ind w:left="1440"/>
        <w:jc w:val="both"/>
        <w:rPr>
          <w:rFonts w:ascii="Verdana" w:hAnsi="Verdana"/>
          <w:sz w:val="22"/>
          <w:szCs w:val="22"/>
          <w:lang w:val="en-GB"/>
        </w:rPr>
      </w:pPr>
    </w:p>
    <w:p w14:paraId="1473073F" w14:textId="22D3F7EF" w:rsidR="00146B62" w:rsidRPr="00F331E3" w:rsidRDefault="002557C4" w:rsidP="0020294E">
      <w:pPr>
        <w:spacing w:line="240" w:lineRule="exact"/>
        <w:ind w:left="720"/>
        <w:jc w:val="both"/>
        <w:rPr>
          <w:rFonts w:ascii="Verdana" w:hAnsi="Verdana"/>
          <w:bCs/>
          <w:iCs/>
          <w:sz w:val="22"/>
          <w:szCs w:val="22"/>
          <w:lang w:val="en-GB"/>
        </w:rPr>
      </w:pPr>
      <w:r w:rsidRPr="00F331E3">
        <w:rPr>
          <w:rFonts w:ascii="Verdana" w:hAnsi="Verdana"/>
          <w:sz w:val="22"/>
          <w:szCs w:val="22"/>
          <w:lang w:val="en-GB"/>
        </w:rPr>
        <w:t xml:space="preserve">On 11 April 2011, following the </w:t>
      </w:r>
      <w:r w:rsidR="00814672" w:rsidRPr="00F331E3">
        <w:rPr>
          <w:rFonts w:ascii="Verdana" w:hAnsi="Verdana"/>
          <w:sz w:val="22"/>
          <w:szCs w:val="22"/>
          <w:lang w:val="en-GB"/>
        </w:rPr>
        <w:t>u</w:t>
      </w:r>
      <w:r w:rsidRPr="00F331E3">
        <w:rPr>
          <w:rFonts w:ascii="Verdana" w:hAnsi="Verdana"/>
          <w:sz w:val="22"/>
          <w:szCs w:val="22"/>
          <w:lang w:val="en-GB"/>
        </w:rPr>
        <w:t xml:space="preserve">prising, some of the victims filed a complaint </w:t>
      </w:r>
      <w:r w:rsidR="00330731" w:rsidRPr="00F331E3">
        <w:rPr>
          <w:rFonts w:ascii="Verdana" w:hAnsi="Verdana"/>
          <w:sz w:val="22"/>
          <w:szCs w:val="22"/>
          <w:lang w:val="en-GB"/>
        </w:rPr>
        <w:t xml:space="preserve">under articles 101 of the Criminal Code (acts of violence committed by public officials against persons) and 101bis (torture) </w:t>
      </w:r>
      <w:r w:rsidRPr="00F331E3">
        <w:rPr>
          <w:rFonts w:ascii="Verdana" w:hAnsi="Verdana"/>
          <w:sz w:val="22"/>
          <w:szCs w:val="22"/>
          <w:lang w:val="en-GB"/>
        </w:rPr>
        <w:t>against</w:t>
      </w:r>
      <w:r w:rsidR="00330731" w:rsidRPr="00F331E3">
        <w:rPr>
          <w:rFonts w:ascii="Verdana" w:hAnsi="Verdana"/>
          <w:sz w:val="22"/>
          <w:szCs w:val="22"/>
          <w:lang w:val="en-GB"/>
        </w:rPr>
        <w:t>:</w:t>
      </w:r>
      <w:r w:rsidRPr="00F331E3">
        <w:rPr>
          <w:rFonts w:ascii="Verdana" w:hAnsi="Verdana"/>
          <w:sz w:val="22"/>
          <w:szCs w:val="22"/>
          <w:lang w:val="en-GB"/>
        </w:rPr>
        <w:t xml:space="preserve"> the police officers who</w:t>
      </w:r>
      <w:r w:rsidR="0021373E" w:rsidRPr="00F331E3">
        <w:rPr>
          <w:rFonts w:ascii="Verdana" w:hAnsi="Verdana"/>
          <w:sz w:val="22"/>
          <w:szCs w:val="22"/>
          <w:lang w:val="en-GB"/>
        </w:rPr>
        <w:t xml:space="preserve"> allegedly</w:t>
      </w:r>
      <w:r w:rsidRPr="00F331E3">
        <w:rPr>
          <w:rFonts w:ascii="Verdana" w:hAnsi="Verdana"/>
          <w:sz w:val="22"/>
          <w:szCs w:val="22"/>
          <w:lang w:val="en-GB"/>
        </w:rPr>
        <w:t xml:space="preserve"> </w:t>
      </w:r>
      <w:r w:rsidR="00AB1026" w:rsidRPr="00F331E3">
        <w:rPr>
          <w:rFonts w:ascii="Verdana" w:hAnsi="Verdana"/>
          <w:sz w:val="22"/>
          <w:szCs w:val="22"/>
          <w:lang w:val="en-GB"/>
        </w:rPr>
        <w:t>tortured them,</w:t>
      </w:r>
      <w:r w:rsidRPr="00F331E3">
        <w:rPr>
          <w:rFonts w:ascii="Verdana" w:hAnsi="Verdana"/>
          <w:sz w:val="22"/>
          <w:szCs w:val="22"/>
          <w:lang w:val="en-GB"/>
        </w:rPr>
        <w:t xml:space="preserve"> </w:t>
      </w:r>
      <w:r w:rsidR="00AB1026" w:rsidRPr="00F331E3">
        <w:rPr>
          <w:rFonts w:ascii="Verdana" w:hAnsi="Verdana"/>
          <w:sz w:val="22"/>
          <w:szCs w:val="22"/>
          <w:lang w:val="en-GB"/>
        </w:rPr>
        <w:t xml:space="preserve">former </w:t>
      </w:r>
      <w:r w:rsidRPr="00F331E3">
        <w:rPr>
          <w:rFonts w:ascii="Verdana" w:hAnsi="Verdana"/>
          <w:sz w:val="22"/>
          <w:szCs w:val="22"/>
          <w:lang w:val="en-GB"/>
        </w:rPr>
        <w:t>President Ben Ali, former Ministers of Defence and Interior, officials from the Ministries of Defence and Interior and military</w:t>
      </w:r>
      <w:r w:rsidR="00AD6074" w:rsidRPr="00F331E3">
        <w:rPr>
          <w:rFonts w:ascii="Verdana" w:hAnsi="Verdana"/>
          <w:sz w:val="22"/>
          <w:szCs w:val="22"/>
          <w:lang w:val="en-GB"/>
        </w:rPr>
        <w:t xml:space="preserve"> officials</w:t>
      </w:r>
      <w:r w:rsidRPr="00F331E3">
        <w:rPr>
          <w:rFonts w:ascii="Verdana" w:hAnsi="Verdana"/>
          <w:sz w:val="22"/>
          <w:szCs w:val="22"/>
          <w:lang w:val="en-GB"/>
        </w:rPr>
        <w:t>.</w:t>
      </w:r>
      <w:r w:rsidR="00330731" w:rsidRPr="00F331E3">
        <w:rPr>
          <w:rFonts w:ascii="Verdana" w:hAnsi="Verdana"/>
          <w:sz w:val="22"/>
          <w:szCs w:val="22"/>
          <w:lang w:val="en-GB"/>
        </w:rPr>
        <w:t xml:space="preserve"> T</w:t>
      </w:r>
      <w:r w:rsidR="0021373E" w:rsidRPr="00F331E3">
        <w:rPr>
          <w:rFonts w:ascii="Verdana" w:hAnsi="Verdana"/>
          <w:sz w:val="22"/>
          <w:szCs w:val="22"/>
          <w:lang w:val="en-GB"/>
        </w:rPr>
        <w:t xml:space="preserve">he complaint was lodged </w:t>
      </w:r>
      <w:r w:rsidRPr="00F331E3">
        <w:rPr>
          <w:rFonts w:ascii="Verdana" w:hAnsi="Verdana"/>
          <w:sz w:val="22"/>
          <w:szCs w:val="22"/>
          <w:lang w:val="en-GB"/>
        </w:rPr>
        <w:t xml:space="preserve">with </w:t>
      </w:r>
      <w:r w:rsidR="0021373E" w:rsidRPr="00F331E3">
        <w:rPr>
          <w:rFonts w:ascii="Verdana" w:hAnsi="Verdana"/>
          <w:sz w:val="22"/>
          <w:szCs w:val="22"/>
          <w:lang w:val="en-GB"/>
        </w:rPr>
        <w:t xml:space="preserve">an investigative </w:t>
      </w:r>
      <w:r w:rsidRPr="00F331E3">
        <w:rPr>
          <w:rFonts w:ascii="Verdana" w:hAnsi="Verdana"/>
          <w:bCs/>
          <w:iCs/>
          <w:sz w:val="22"/>
          <w:szCs w:val="22"/>
          <w:lang w:val="en-GB"/>
        </w:rPr>
        <w:t xml:space="preserve">judge at the </w:t>
      </w:r>
      <w:r w:rsidR="00F653D0" w:rsidRPr="00F331E3">
        <w:rPr>
          <w:rFonts w:ascii="Verdana" w:hAnsi="Verdana"/>
          <w:bCs/>
          <w:iCs/>
          <w:sz w:val="22"/>
          <w:szCs w:val="22"/>
          <w:lang w:val="en-GB"/>
        </w:rPr>
        <w:t>civilian Tribunal</w:t>
      </w:r>
      <w:r w:rsidRPr="00F331E3">
        <w:rPr>
          <w:rFonts w:ascii="Verdana" w:hAnsi="Verdana"/>
          <w:bCs/>
          <w:iCs/>
          <w:sz w:val="22"/>
          <w:szCs w:val="22"/>
          <w:lang w:val="en-GB"/>
        </w:rPr>
        <w:t xml:space="preserve"> of First Ins</w:t>
      </w:r>
      <w:r w:rsidR="0021373E" w:rsidRPr="00F331E3">
        <w:rPr>
          <w:rFonts w:ascii="Verdana" w:hAnsi="Verdana"/>
          <w:bCs/>
          <w:iCs/>
          <w:sz w:val="22"/>
          <w:szCs w:val="22"/>
          <w:lang w:val="en-GB"/>
        </w:rPr>
        <w:t>tance in Tunis.</w:t>
      </w:r>
      <w:r w:rsidRPr="00F331E3">
        <w:rPr>
          <w:rFonts w:ascii="Verdana" w:hAnsi="Verdana"/>
          <w:bCs/>
          <w:iCs/>
          <w:sz w:val="22"/>
          <w:szCs w:val="22"/>
          <w:lang w:val="en-GB"/>
        </w:rPr>
        <w:t xml:space="preserve"> The investigative judge opened the investigation on 2 May 2011</w:t>
      </w:r>
      <w:r w:rsidR="00146B62" w:rsidRPr="00F331E3">
        <w:rPr>
          <w:rFonts w:ascii="Verdana" w:hAnsi="Verdana"/>
          <w:bCs/>
          <w:iCs/>
          <w:sz w:val="22"/>
          <w:szCs w:val="22"/>
          <w:lang w:val="en-GB"/>
        </w:rPr>
        <w:t xml:space="preserve"> </w:t>
      </w:r>
      <w:r w:rsidR="005A490C" w:rsidRPr="00F331E3">
        <w:rPr>
          <w:rFonts w:ascii="Verdana" w:hAnsi="Verdana"/>
          <w:bCs/>
          <w:iCs/>
          <w:sz w:val="22"/>
          <w:szCs w:val="22"/>
          <w:lang w:val="en-GB"/>
        </w:rPr>
        <w:t xml:space="preserve">and </w:t>
      </w:r>
      <w:r w:rsidR="00146B62" w:rsidRPr="00F331E3">
        <w:rPr>
          <w:rFonts w:ascii="Verdana" w:hAnsi="Verdana"/>
          <w:bCs/>
          <w:iCs/>
          <w:sz w:val="22"/>
          <w:szCs w:val="22"/>
          <w:lang w:val="en-GB"/>
        </w:rPr>
        <w:t>was reportedly subject to pressure</w:t>
      </w:r>
      <w:r w:rsidR="002E4DB6" w:rsidRPr="00F331E3">
        <w:rPr>
          <w:rFonts w:ascii="Verdana" w:hAnsi="Verdana"/>
          <w:bCs/>
          <w:iCs/>
          <w:sz w:val="22"/>
          <w:szCs w:val="22"/>
          <w:lang w:val="en-GB"/>
        </w:rPr>
        <w:t xml:space="preserve"> </w:t>
      </w:r>
      <w:r w:rsidR="0008252B" w:rsidRPr="00F331E3">
        <w:rPr>
          <w:rFonts w:ascii="Verdana" w:hAnsi="Verdana"/>
          <w:bCs/>
          <w:iCs/>
          <w:sz w:val="22"/>
          <w:szCs w:val="22"/>
          <w:lang w:val="en-GB"/>
        </w:rPr>
        <w:t>from</w:t>
      </w:r>
      <w:r w:rsidR="002E4DB6" w:rsidRPr="00F331E3">
        <w:rPr>
          <w:rFonts w:ascii="Verdana" w:hAnsi="Verdana"/>
          <w:bCs/>
          <w:iCs/>
          <w:sz w:val="22"/>
          <w:szCs w:val="22"/>
          <w:lang w:val="en-GB"/>
        </w:rPr>
        <w:t xml:space="preserve"> military officials to transfer</w:t>
      </w:r>
      <w:r w:rsidRPr="00F331E3">
        <w:rPr>
          <w:rFonts w:ascii="Verdana" w:hAnsi="Verdana"/>
          <w:bCs/>
          <w:iCs/>
          <w:sz w:val="22"/>
          <w:szCs w:val="22"/>
          <w:lang w:val="en-GB"/>
        </w:rPr>
        <w:t xml:space="preserve"> </w:t>
      </w:r>
      <w:r w:rsidR="0008252B" w:rsidRPr="00F331E3">
        <w:rPr>
          <w:rFonts w:ascii="Verdana" w:hAnsi="Verdana"/>
          <w:bCs/>
          <w:iCs/>
          <w:sz w:val="22"/>
          <w:szCs w:val="22"/>
          <w:lang w:val="en-GB"/>
        </w:rPr>
        <w:t xml:space="preserve">the case to a military court. The investigative judge subsequently transferred the case to the </w:t>
      </w:r>
      <w:r w:rsidR="00146B62" w:rsidRPr="00F331E3">
        <w:rPr>
          <w:rFonts w:ascii="Verdana" w:hAnsi="Verdana"/>
          <w:bCs/>
          <w:iCs/>
          <w:sz w:val="22"/>
          <w:szCs w:val="22"/>
          <w:lang w:val="en-GB"/>
        </w:rPr>
        <w:t>First Instance Military Court of Tunis</w:t>
      </w:r>
      <w:r w:rsidR="002E4DB6" w:rsidRPr="00F331E3">
        <w:rPr>
          <w:rFonts w:ascii="Verdana" w:hAnsi="Verdana"/>
          <w:bCs/>
          <w:iCs/>
          <w:sz w:val="22"/>
          <w:szCs w:val="22"/>
          <w:lang w:val="en-GB"/>
        </w:rPr>
        <w:t xml:space="preserve"> </w:t>
      </w:r>
      <w:r w:rsidRPr="00F331E3">
        <w:rPr>
          <w:rFonts w:ascii="Verdana" w:hAnsi="Verdana"/>
          <w:bCs/>
          <w:iCs/>
          <w:sz w:val="22"/>
          <w:szCs w:val="22"/>
          <w:lang w:val="en-GB"/>
        </w:rPr>
        <w:t xml:space="preserve">on 27 October 2011. </w:t>
      </w:r>
    </w:p>
    <w:p w14:paraId="7152196D" w14:textId="77777777" w:rsidR="00146B62" w:rsidRPr="00F331E3" w:rsidRDefault="00146B62" w:rsidP="0020294E">
      <w:pPr>
        <w:spacing w:line="240" w:lineRule="exact"/>
        <w:ind w:left="1440"/>
        <w:jc w:val="both"/>
        <w:rPr>
          <w:rFonts w:ascii="Verdana" w:hAnsi="Verdana"/>
          <w:bCs/>
          <w:iCs/>
          <w:sz w:val="22"/>
          <w:szCs w:val="22"/>
          <w:lang w:val="en-GB"/>
        </w:rPr>
      </w:pPr>
    </w:p>
    <w:p w14:paraId="2CE00E00" w14:textId="00D30B08" w:rsidR="002557C4" w:rsidRPr="00F331E3" w:rsidRDefault="008478FE" w:rsidP="0020294E">
      <w:pPr>
        <w:spacing w:line="240" w:lineRule="exact"/>
        <w:ind w:left="720"/>
        <w:jc w:val="both"/>
        <w:rPr>
          <w:rFonts w:ascii="Verdana" w:hAnsi="Verdana"/>
          <w:bCs/>
          <w:iCs/>
          <w:sz w:val="22"/>
          <w:szCs w:val="22"/>
          <w:lang w:val="en-GB"/>
        </w:rPr>
      </w:pPr>
      <w:r w:rsidRPr="00F331E3">
        <w:rPr>
          <w:rFonts w:ascii="Verdana" w:hAnsi="Verdana"/>
          <w:bCs/>
          <w:iCs/>
          <w:sz w:val="22"/>
          <w:szCs w:val="22"/>
          <w:lang w:val="en-GB"/>
        </w:rPr>
        <w:t>T</w:t>
      </w:r>
      <w:r w:rsidR="00AD6074" w:rsidRPr="00F331E3">
        <w:rPr>
          <w:rFonts w:ascii="Verdana" w:hAnsi="Verdana"/>
          <w:bCs/>
          <w:iCs/>
          <w:sz w:val="22"/>
          <w:szCs w:val="22"/>
          <w:lang w:val="en-GB"/>
        </w:rPr>
        <w:t xml:space="preserve">he </w:t>
      </w:r>
      <w:r w:rsidRPr="00F331E3">
        <w:rPr>
          <w:rFonts w:ascii="Verdana" w:hAnsi="Verdana"/>
          <w:bCs/>
          <w:iCs/>
          <w:sz w:val="22"/>
          <w:szCs w:val="22"/>
          <w:lang w:val="en-GB"/>
        </w:rPr>
        <w:t>military investigative judge officially charged</w:t>
      </w:r>
      <w:r w:rsidR="00523A18" w:rsidRPr="00F331E3">
        <w:rPr>
          <w:rFonts w:ascii="Verdana" w:hAnsi="Verdana"/>
          <w:bCs/>
          <w:iCs/>
          <w:sz w:val="22"/>
          <w:szCs w:val="22"/>
          <w:lang w:val="en-GB"/>
        </w:rPr>
        <w:t xml:space="preserve"> </w:t>
      </w:r>
      <w:r w:rsidR="004B534D" w:rsidRPr="00F331E3">
        <w:rPr>
          <w:rFonts w:ascii="Verdana" w:hAnsi="Verdana"/>
          <w:bCs/>
          <w:iCs/>
          <w:sz w:val="22"/>
          <w:szCs w:val="22"/>
          <w:lang w:val="en-GB"/>
        </w:rPr>
        <w:t xml:space="preserve">the </w:t>
      </w:r>
      <w:r w:rsidR="00AD6074" w:rsidRPr="00F331E3">
        <w:rPr>
          <w:rFonts w:ascii="Verdana" w:hAnsi="Verdana"/>
          <w:bCs/>
          <w:iCs/>
          <w:sz w:val="22"/>
          <w:szCs w:val="22"/>
          <w:lang w:val="en-GB"/>
        </w:rPr>
        <w:t xml:space="preserve">officers from </w:t>
      </w:r>
      <w:r w:rsidRPr="00F331E3">
        <w:rPr>
          <w:rFonts w:ascii="Verdana" w:hAnsi="Verdana"/>
          <w:bCs/>
          <w:iCs/>
          <w:sz w:val="22"/>
          <w:szCs w:val="22"/>
          <w:lang w:val="en-GB"/>
        </w:rPr>
        <w:t xml:space="preserve">the </w:t>
      </w:r>
      <w:r w:rsidR="00AD6074" w:rsidRPr="00F331E3">
        <w:rPr>
          <w:rFonts w:ascii="Verdana" w:hAnsi="Verdana"/>
          <w:bCs/>
          <w:iCs/>
          <w:sz w:val="22"/>
          <w:szCs w:val="22"/>
          <w:lang w:val="en-GB"/>
        </w:rPr>
        <w:t xml:space="preserve">National Security, officials from the Ministry of Interior and </w:t>
      </w:r>
      <w:r w:rsidR="00523A18" w:rsidRPr="00F331E3">
        <w:rPr>
          <w:rFonts w:ascii="Verdana" w:hAnsi="Verdana"/>
          <w:bCs/>
          <w:iCs/>
          <w:sz w:val="22"/>
          <w:szCs w:val="22"/>
          <w:lang w:val="en-GB"/>
        </w:rPr>
        <w:t xml:space="preserve">former President Ben Ali with committing </w:t>
      </w:r>
      <w:r w:rsidR="00523A18" w:rsidRPr="00F331E3">
        <w:rPr>
          <w:rFonts w:ascii="Verdana" w:hAnsi="Verdana"/>
          <w:sz w:val="22"/>
          <w:szCs w:val="22"/>
          <w:lang w:val="en-GB"/>
        </w:rPr>
        <w:t>acts of violence against persons.</w:t>
      </w:r>
      <w:r w:rsidR="002557C4" w:rsidRPr="00F331E3">
        <w:rPr>
          <w:rFonts w:ascii="Verdana" w:hAnsi="Verdana"/>
          <w:bCs/>
          <w:iCs/>
          <w:sz w:val="22"/>
          <w:szCs w:val="22"/>
          <w:lang w:val="en-GB"/>
        </w:rPr>
        <w:t xml:space="preserve"> </w:t>
      </w:r>
      <w:r w:rsidRPr="00F331E3">
        <w:rPr>
          <w:rFonts w:ascii="Verdana" w:hAnsi="Verdana"/>
          <w:bCs/>
          <w:iCs/>
          <w:sz w:val="22"/>
          <w:szCs w:val="22"/>
          <w:lang w:val="en-GB"/>
        </w:rPr>
        <w:t>Officials from the Ministry of Defence and the military were not charged.</w:t>
      </w:r>
    </w:p>
    <w:p w14:paraId="3DE999CC" w14:textId="77777777" w:rsidR="008478FE" w:rsidRPr="00F331E3" w:rsidRDefault="008478FE" w:rsidP="0020294E">
      <w:pPr>
        <w:spacing w:line="240" w:lineRule="exact"/>
        <w:ind w:left="1440"/>
        <w:jc w:val="both"/>
        <w:rPr>
          <w:rFonts w:ascii="Verdana" w:hAnsi="Verdana"/>
          <w:sz w:val="22"/>
          <w:szCs w:val="22"/>
          <w:lang w:val="en-GB"/>
        </w:rPr>
      </w:pPr>
    </w:p>
    <w:p w14:paraId="48282C2D" w14:textId="7D8ADFA0" w:rsidR="00E10102" w:rsidRPr="00F331E3" w:rsidRDefault="008478FE" w:rsidP="0020294E">
      <w:pPr>
        <w:spacing w:line="240" w:lineRule="exact"/>
        <w:ind w:left="720"/>
        <w:jc w:val="both"/>
        <w:rPr>
          <w:rFonts w:ascii="Verdana" w:hAnsi="Verdana"/>
          <w:sz w:val="22"/>
          <w:szCs w:val="22"/>
          <w:lang w:val="en-GB"/>
        </w:rPr>
      </w:pPr>
      <w:r w:rsidRPr="00F331E3">
        <w:rPr>
          <w:rFonts w:ascii="Verdana" w:hAnsi="Verdana"/>
          <w:bCs/>
          <w:iCs/>
          <w:sz w:val="22"/>
          <w:szCs w:val="22"/>
          <w:lang w:val="en-GB"/>
        </w:rPr>
        <w:t>The First I</w:t>
      </w:r>
      <w:r w:rsidR="000B19E6" w:rsidRPr="00F331E3">
        <w:rPr>
          <w:rFonts w:ascii="Verdana" w:hAnsi="Verdana"/>
          <w:bCs/>
          <w:iCs/>
          <w:sz w:val="22"/>
          <w:szCs w:val="22"/>
          <w:lang w:val="en-GB"/>
        </w:rPr>
        <w:t>nstance Military Court of Tunis</w:t>
      </w:r>
      <w:r w:rsidRPr="00F331E3">
        <w:rPr>
          <w:rFonts w:ascii="Verdana" w:hAnsi="Verdana"/>
          <w:bCs/>
          <w:iCs/>
          <w:sz w:val="22"/>
          <w:szCs w:val="22"/>
          <w:lang w:val="en-GB"/>
        </w:rPr>
        <w:t xml:space="preserve"> </w:t>
      </w:r>
      <w:r w:rsidR="00AD6074" w:rsidRPr="00F331E3">
        <w:rPr>
          <w:rFonts w:ascii="Verdana" w:hAnsi="Verdana"/>
          <w:sz w:val="22"/>
          <w:szCs w:val="22"/>
          <w:lang w:val="en-GB"/>
        </w:rPr>
        <w:t xml:space="preserve">argued that article 101 </w:t>
      </w:r>
      <w:proofErr w:type="spellStart"/>
      <w:r w:rsidR="00AD6074" w:rsidRPr="00F331E3">
        <w:rPr>
          <w:rFonts w:ascii="Verdana" w:hAnsi="Verdana"/>
          <w:sz w:val="22"/>
          <w:szCs w:val="22"/>
          <w:lang w:val="en-GB"/>
        </w:rPr>
        <w:t>bis</w:t>
      </w:r>
      <w:proofErr w:type="spellEnd"/>
      <w:r w:rsidR="00AD6074" w:rsidRPr="00F331E3">
        <w:rPr>
          <w:rFonts w:ascii="Verdana" w:hAnsi="Verdana"/>
          <w:sz w:val="22"/>
          <w:szCs w:val="22"/>
          <w:lang w:val="en-GB"/>
        </w:rPr>
        <w:t xml:space="preserve"> </w:t>
      </w:r>
      <w:r w:rsidR="004B534D" w:rsidRPr="00F331E3">
        <w:rPr>
          <w:rFonts w:ascii="Verdana" w:hAnsi="Verdana"/>
          <w:sz w:val="22"/>
          <w:szCs w:val="22"/>
          <w:lang w:val="en-GB"/>
        </w:rPr>
        <w:t>on torture could not apply retroactively because it was</w:t>
      </w:r>
      <w:r w:rsidR="00AD6074" w:rsidRPr="00F331E3">
        <w:rPr>
          <w:rFonts w:ascii="Verdana" w:hAnsi="Verdana"/>
          <w:sz w:val="22"/>
          <w:szCs w:val="22"/>
          <w:lang w:val="en-GB"/>
        </w:rPr>
        <w:t xml:space="preserve"> introduced into national legislation on 2 August 1999, after the facts had occurred. </w:t>
      </w:r>
      <w:r w:rsidR="004B534D" w:rsidRPr="00F331E3">
        <w:rPr>
          <w:rFonts w:ascii="Verdana" w:hAnsi="Verdana"/>
          <w:sz w:val="22"/>
          <w:szCs w:val="22"/>
          <w:lang w:val="en-GB"/>
        </w:rPr>
        <w:t>The Court also argued that although the Convention against Torture and Other Cruel, Inhuman or Degrading Treatment or Punishment (CAT) was ratified by the Tuni</w:t>
      </w:r>
      <w:r w:rsidR="007A74DB" w:rsidRPr="00F331E3">
        <w:rPr>
          <w:rFonts w:ascii="Verdana" w:hAnsi="Verdana"/>
          <w:sz w:val="22"/>
          <w:szCs w:val="22"/>
          <w:lang w:val="en-GB"/>
        </w:rPr>
        <w:t>sian state on 11 July 1988</w:t>
      </w:r>
      <w:r w:rsidRPr="00F331E3">
        <w:rPr>
          <w:rFonts w:ascii="Verdana" w:hAnsi="Verdana"/>
          <w:sz w:val="22"/>
          <w:szCs w:val="22"/>
          <w:lang w:val="en-GB"/>
        </w:rPr>
        <w:t xml:space="preserve">, the </w:t>
      </w:r>
      <w:r w:rsidR="00330731" w:rsidRPr="00F331E3">
        <w:rPr>
          <w:rFonts w:ascii="Verdana" w:hAnsi="Verdana"/>
          <w:sz w:val="22"/>
          <w:szCs w:val="22"/>
          <w:lang w:val="en-GB"/>
        </w:rPr>
        <w:t>CAT</w:t>
      </w:r>
      <w:r w:rsidRPr="00F331E3">
        <w:rPr>
          <w:rFonts w:ascii="Verdana" w:hAnsi="Verdana"/>
          <w:sz w:val="22"/>
          <w:szCs w:val="22"/>
          <w:lang w:val="en-GB"/>
        </w:rPr>
        <w:t xml:space="preserve"> could not apply to the case</w:t>
      </w:r>
      <w:r w:rsidR="00330731" w:rsidRPr="00F331E3">
        <w:rPr>
          <w:rFonts w:ascii="Verdana" w:hAnsi="Verdana"/>
          <w:sz w:val="22"/>
          <w:szCs w:val="22"/>
          <w:lang w:val="en-GB"/>
        </w:rPr>
        <w:t xml:space="preserve"> because</w:t>
      </w:r>
      <w:r w:rsidRPr="00F331E3">
        <w:rPr>
          <w:rFonts w:ascii="Verdana" w:hAnsi="Verdana"/>
          <w:sz w:val="22"/>
          <w:szCs w:val="22"/>
          <w:lang w:val="en-GB"/>
        </w:rPr>
        <w:t xml:space="preserve"> </w:t>
      </w:r>
      <w:r w:rsidR="00330731" w:rsidRPr="00F331E3">
        <w:rPr>
          <w:rFonts w:ascii="Verdana" w:hAnsi="Verdana"/>
          <w:sz w:val="22"/>
          <w:szCs w:val="22"/>
          <w:lang w:val="en-GB"/>
        </w:rPr>
        <w:t>it</w:t>
      </w:r>
      <w:r w:rsidRPr="00F331E3">
        <w:rPr>
          <w:rFonts w:ascii="Verdana" w:hAnsi="Verdana"/>
          <w:sz w:val="22"/>
          <w:szCs w:val="22"/>
          <w:lang w:val="en-GB"/>
        </w:rPr>
        <w:t xml:space="preserve"> does not contain provisions spelling out specific penalties that courts can apply in such cases.</w:t>
      </w:r>
    </w:p>
    <w:p w14:paraId="395F4DCA" w14:textId="77777777" w:rsidR="002557C4" w:rsidRPr="00F331E3" w:rsidRDefault="002557C4" w:rsidP="0020294E">
      <w:pPr>
        <w:spacing w:line="240" w:lineRule="exact"/>
        <w:ind w:left="1440"/>
        <w:jc w:val="both"/>
        <w:rPr>
          <w:rFonts w:ascii="Verdana" w:hAnsi="Verdana"/>
          <w:sz w:val="22"/>
          <w:szCs w:val="22"/>
          <w:lang w:val="en-GB"/>
        </w:rPr>
      </w:pPr>
    </w:p>
    <w:p w14:paraId="1837FFCC" w14:textId="6AEC3851" w:rsidR="002557C4" w:rsidRDefault="002557C4" w:rsidP="0020294E">
      <w:pPr>
        <w:spacing w:line="240" w:lineRule="exact"/>
        <w:ind w:left="720"/>
        <w:jc w:val="both"/>
        <w:rPr>
          <w:rFonts w:ascii="Verdana" w:hAnsi="Verdana"/>
          <w:bCs/>
          <w:iCs/>
          <w:sz w:val="22"/>
          <w:szCs w:val="22"/>
          <w:lang w:val="en-GB"/>
        </w:rPr>
      </w:pPr>
      <w:r w:rsidRPr="00F331E3">
        <w:rPr>
          <w:rFonts w:ascii="Verdana" w:hAnsi="Verdana"/>
          <w:bCs/>
          <w:iCs/>
          <w:sz w:val="22"/>
          <w:szCs w:val="22"/>
          <w:lang w:val="en-GB"/>
        </w:rPr>
        <w:t xml:space="preserve">On 29 November 2011, the </w:t>
      </w:r>
      <w:r w:rsidRPr="00F331E3">
        <w:rPr>
          <w:rFonts w:ascii="Verdana" w:hAnsi="Verdana"/>
          <w:sz w:val="22"/>
          <w:szCs w:val="22"/>
          <w:lang w:val="en-GB"/>
        </w:rPr>
        <w:t xml:space="preserve">First Instance Military Court of Tunis </w:t>
      </w:r>
      <w:r w:rsidR="00523A18" w:rsidRPr="00F331E3">
        <w:rPr>
          <w:rFonts w:ascii="Verdana" w:hAnsi="Verdana"/>
          <w:bCs/>
          <w:iCs/>
          <w:sz w:val="22"/>
          <w:szCs w:val="22"/>
          <w:lang w:val="en-GB"/>
        </w:rPr>
        <w:t>found the accused guilty</w:t>
      </w:r>
      <w:r w:rsidR="008478FE" w:rsidRPr="00F331E3">
        <w:rPr>
          <w:rFonts w:ascii="Verdana" w:hAnsi="Verdana"/>
          <w:bCs/>
          <w:iCs/>
          <w:sz w:val="22"/>
          <w:szCs w:val="22"/>
          <w:lang w:val="en-GB"/>
        </w:rPr>
        <w:t xml:space="preserve"> </w:t>
      </w:r>
      <w:r w:rsidRPr="00F331E3">
        <w:rPr>
          <w:rFonts w:ascii="Verdana" w:hAnsi="Verdana"/>
          <w:bCs/>
          <w:iCs/>
          <w:sz w:val="22"/>
          <w:szCs w:val="22"/>
          <w:lang w:val="en-GB"/>
        </w:rPr>
        <w:t xml:space="preserve">and sentenced them to prison sentences </w:t>
      </w:r>
      <w:r w:rsidR="008478FE" w:rsidRPr="00F331E3">
        <w:rPr>
          <w:rFonts w:ascii="Verdana" w:hAnsi="Verdana"/>
          <w:bCs/>
          <w:iCs/>
          <w:sz w:val="22"/>
          <w:szCs w:val="22"/>
          <w:lang w:val="en-GB"/>
        </w:rPr>
        <w:lastRenderedPageBreak/>
        <w:t>ranging from four to five years imprisonment</w:t>
      </w:r>
      <w:r w:rsidRPr="00F331E3">
        <w:rPr>
          <w:rFonts w:ascii="Verdana" w:hAnsi="Verdana"/>
          <w:bCs/>
          <w:iCs/>
          <w:sz w:val="22"/>
          <w:szCs w:val="22"/>
          <w:lang w:val="en-GB"/>
        </w:rPr>
        <w:t>. Although the Military</w:t>
      </w:r>
      <w:r w:rsidR="00330731" w:rsidRPr="00F331E3">
        <w:rPr>
          <w:rFonts w:ascii="Verdana" w:hAnsi="Verdana"/>
          <w:bCs/>
          <w:iCs/>
          <w:sz w:val="22"/>
          <w:szCs w:val="22"/>
          <w:lang w:val="en-GB"/>
        </w:rPr>
        <w:t xml:space="preserve"> Appeal</w:t>
      </w:r>
      <w:r w:rsidRPr="00F331E3">
        <w:rPr>
          <w:rFonts w:ascii="Verdana" w:hAnsi="Verdana"/>
          <w:bCs/>
          <w:iCs/>
          <w:sz w:val="22"/>
          <w:szCs w:val="22"/>
          <w:lang w:val="en-GB"/>
        </w:rPr>
        <w:t xml:space="preserve"> Court upheld the convictions of the four accused who had appealed, it reduced each of their sentences</w:t>
      </w:r>
      <w:r w:rsidR="000B19E6" w:rsidRPr="00F331E3">
        <w:rPr>
          <w:rFonts w:ascii="Verdana" w:hAnsi="Verdana"/>
          <w:bCs/>
          <w:iCs/>
          <w:sz w:val="22"/>
          <w:szCs w:val="22"/>
          <w:lang w:val="en-GB"/>
        </w:rPr>
        <w:t xml:space="preserve"> to two years imprisonment</w:t>
      </w:r>
      <w:r w:rsidRPr="00F331E3">
        <w:rPr>
          <w:rFonts w:ascii="Verdana" w:hAnsi="Verdana"/>
          <w:bCs/>
          <w:iCs/>
          <w:sz w:val="22"/>
          <w:szCs w:val="22"/>
          <w:lang w:val="en-GB"/>
        </w:rPr>
        <w:t xml:space="preserve"> on the basis that there was “no obstacle” to doing so. On 23 October 2012, the military chamber at the Cassation Court upheld the decision of the Military Court of Appeal.</w:t>
      </w:r>
    </w:p>
    <w:p w14:paraId="1026221A" w14:textId="77777777" w:rsidR="00F331E3" w:rsidRDefault="00F331E3" w:rsidP="0020294E">
      <w:pPr>
        <w:spacing w:line="240" w:lineRule="exact"/>
        <w:ind w:left="720"/>
        <w:jc w:val="both"/>
        <w:rPr>
          <w:rFonts w:ascii="Verdana" w:hAnsi="Verdana"/>
          <w:bCs/>
          <w:iCs/>
          <w:sz w:val="22"/>
          <w:szCs w:val="22"/>
          <w:lang w:val="en-GB"/>
        </w:rPr>
      </w:pPr>
    </w:p>
    <w:p w14:paraId="790E156D" w14:textId="77777777" w:rsidR="002557C4" w:rsidRPr="00F331E3" w:rsidRDefault="002557C4" w:rsidP="0020294E">
      <w:pPr>
        <w:spacing w:line="240" w:lineRule="exact"/>
        <w:rPr>
          <w:rFonts w:ascii="Verdana" w:hAnsi="Verdana"/>
          <w:sz w:val="22"/>
          <w:szCs w:val="22"/>
          <w:lang w:val="en-GB"/>
        </w:rPr>
      </w:pPr>
    </w:p>
    <w:p w14:paraId="2DE0367F" w14:textId="1773147D" w:rsidR="00523A18" w:rsidRPr="00F331E3" w:rsidRDefault="007819AE" w:rsidP="0020294E">
      <w:pPr>
        <w:spacing w:line="240" w:lineRule="exact"/>
        <w:rPr>
          <w:rFonts w:ascii="Verdana" w:hAnsi="Verdana"/>
          <w:sz w:val="22"/>
          <w:szCs w:val="22"/>
          <w:lang w:val="en-GB"/>
        </w:rPr>
      </w:pPr>
      <w:r w:rsidRPr="00F331E3">
        <w:rPr>
          <w:rFonts w:ascii="Verdana" w:hAnsi="Verdana"/>
          <w:sz w:val="22"/>
          <w:szCs w:val="22"/>
          <w:lang w:val="en-GB"/>
        </w:rPr>
        <w:t>Ladies and gentlemen,</w:t>
      </w:r>
    </w:p>
    <w:p w14:paraId="54CE8371" w14:textId="77777777" w:rsidR="000348E6" w:rsidRPr="00F331E3" w:rsidRDefault="000348E6" w:rsidP="0020294E">
      <w:pPr>
        <w:spacing w:line="240" w:lineRule="exact"/>
        <w:rPr>
          <w:rFonts w:ascii="Verdana" w:hAnsi="Verdana"/>
          <w:sz w:val="22"/>
          <w:szCs w:val="22"/>
          <w:lang w:val="en-GB"/>
        </w:rPr>
      </w:pPr>
    </w:p>
    <w:p w14:paraId="36A613BD" w14:textId="4D0C9AE5" w:rsidR="00E925F9" w:rsidRPr="00F331E3" w:rsidRDefault="00385542" w:rsidP="0020294E">
      <w:pPr>
        <w:spacing w:line="240" w:lineRule="exact"/>
        <w:jc w:val="both"/>
        <w:rPr>
          <w:rFonts w:ascii="Verdana" w:hAnsi="Verdana"/>
          <w:sz w:val="22"/>
          <w:szCs w:val="22"/>
          <w:lang w:val="en-GB"/>
        </w:rPr>
      </w:pPr>
      <w:r w:rsidRPr="00F331E3">
        <w:rPr>
          <w:rFonts w:ascii="Verdana" w:hAnsi="Verdana"/>
          <w:sz w:val="22"/>
          <w:szCs w:val="22"/>
          <w:lang w:val="en-GB"/>
        </w:rPr>
        <w:t>As consistently affirmed by</w:t>
      </w:r>
      <w:r w:rsidR="009F2EF5" w:rsidRPr="00F331E3">
        <w:rPr>
          <w:rFonts w:ascii="Verdana" w:hAnsi="Verdana"/>
          <w:sz w:val="22"/>
          <w:szCs w:val="22"/>
          <w:lang w:val="en-GB"/>
        </w:rPr>
        <w:t xml:space="preserve"> the Human Rights C</w:t>
      </w:r>
      <w:r w:rsidRPr="00F331E3">
        <w:rPr>
          <w:rFonts w:ascii="Verdana" w:hAnsi="Verdana"/>
          <w:sz w:val="22"/>
          <w:szCs w:val="22"/>
          <w:lang w:val="en-GB"/>
        </w:rPr>
        <w:t xml:space="preserve">ommittee, </w:t>
      </w:r>
      <w:r w:rsidR="00330731" w:rsidRPr="00F331E3">
        <w:rPr>
          <w:rFonts w:ascii="Verdana" w:hAnsi="Verdana"/>
          <w:sz w:val="22"/>
          <w:szCs w:val="22"/>
          <w:lang w:val="en-GB"/>
        </w:rPr>
        <w:t>a</w:t>
      </w:r>
      <w:r w:rsidR="00E925F9" w:rsidRPr="00F331E3">
        <w:rPr>
          <w:rFonts w:ascii="Verdana" w:hAnsi="Verdana"/>
          <w:sz w:val="22"/>
          <w:szCs w:val="22"/>
          <w:lang w:val="en-GB"/>
        </w:rPr>
        <w:t xml:space="preserve">rticle 14 of the ICCPR applies to all courts and tribunals, regardless of whether </w:t>
      </w:r>
      <w:r w:rsidR="008B40D6" w:rsidRPr="00F331E3">
        <w:rPr>
          <w:rFonts w:ascii="Verdana" w:hAnsi="Verdana"/>
          <w:sz w:val="22"/>
          <w:szCs w:val="22"/>
          <w:lang w:val="en-GB"/>
        </w:rPr>
        <w:t>they are ordinary or special</w:t>
      </w:r>
      <w:r w:rsidRPr="00F331E3">
        <w:rPr>
          <w:rFonts w:ascii="Verdana" w:hAnsi="Verdana"/>
          <w:sz w:val="22"/>
          <w:szCs w:val="22"/>
          <w:lang w:val="en-GB"/>
        </w:rPr>
        <w:t>ized</w:t>
      </w:r>
      <w:r w:rsidR="00E925F9" w:rsidRPr="00F331E3">
        <w:rPr>
          <w:rFonts w:ascii="Verdana" w:hAnsi="Verdana"/>
          <w:sz w:val="22"/>
          <w:szCs w:val="22"/>
          <w:lang w:val="en-GB"/>
        </w:rPr>
        <w:t xml:space="preserve">, civilian or military.  </w:t>
      </w:r>
    </w:p>
    <w:p w14:paraId="473CA4D8" w14:textId="77777777" w:rsidR="00E925F9" w:rsidRPr="00F331E3" w:rsidRDefault="00E925F9" w:rsidP="0020294E">
      <w:pPr>
        <w:spacing w:line="240" w:lineRule="exact"/>
        <w:jc w:val="both"/>
        <w:rPr>
          <w:rFonts w:ascii="Verdana" w:hAnsi="Verdana"/>
          <w:sz w:val="22"/>
          <w:szCs w:val="22"/>
          <w:lang w:val="en-GB"/>
        </w:rPr>
      </w:pPr>
    </w:p>
    <w:p w14:paraId="0D976F32" w14:textId="50475A10" w:rsidR="00523A18" w:rsidRPr="00F331E3" w:rsidRDefault="00986368" w:rsidP="0020294E">
      <w:pPr>
        <w:spacing w:line="240" w:lineRule="exact"/>
        <w:jc w:val="both"/>
        <w:rPr>
          <w:rFonts w:ascii="Verdana" w:hAnsi="Verdana"/>
          <w:sz w:val="22"/>
          <w:szCs w:val="22"/>
          <w:lang w:val="en-GB"/>
        </w:rPr>
      </w:pPr>
      <w:r w:rsidRPr="00F331E3">
        <w:rPr>
          <w:rFonts w:ascii="Verdana" w:hAnsi="Verdana"/>
          <w:sz w:val="22"/>
          <w:szCs w:val="22"/>
          <w:lang w:val="en-GB"/>
        </w:rPr>
        <w:t>However, in countries where military courts</w:t>
      </w:r>
      <w:r w:rsidR="000B19E6" w:rsidRPr="00F331E3">
        <w:rPr>
          <w:rFonts w:ascii="Verdana" w:hAnsi="Verdana"/>
          <w:sz w:val="22"/>
          <w:szCs w:val="22"/>
          <w:lang w:val="en-GB"/>
        </w:rPr>
        <w:t xml:space="preserve"> continue to operate, including in the MENA region</w:t>
      </w:r>
      <w:r w:rsidRPr="00F331E3">
        <w:rPr>
          <w:rFonts w:ascii="Verdana" w:hAnsi="Verdana"/>
          <w:sz w:val="22"/>
          <w:szCs w:val="22"/>
          <w:lang w:val="en-GB"/>
        </w:rPr>
        <w:t>, serious concerns continue to be raised about</w:t>
      </w:r>
      <w:r w:rsidR="00E925F9" w:rsidRPr="00F331E3">
        <w:rPr>
          <w:rFonts w:ascii="Verdana" w:hAnsi="Verdana"/>
          <w:sz w:val="22"/>
          <w:szCs w:val="22"/>
          <w:lang w:val="en-GB"/>
        </w:rPr>
        <w:t xml:space="preserve"> </w:t>
      </w:r>
      <w:r w:rsidR="001F78FC" w:rsidRPr="00F331E3">
        <w:rPr>
          <w:rFonts w:ascii="Verdana" w:hAnsi="Verdana"/>
          <w:sz w:val="22"/>
          <w:szCs w:val="22"/>
          <w:lang w:val="en-GB"/>
        </w:rPr>
        <w:t>the failure of these courts to comply with and implement international</w:t>
      </w:r>
      <w:r w:rsidR="00E925F9" w:rsidRPr="00F331E3">
        <w:rPr>
          <w:rFonts w:ascii="Verdana" w:hAnsi="Verdana"/>
          <w:sz w:val="22"/>
          <w:szCs w:val="22"/>
          <w:lang w:val="en-GB"/>
        </w:rPr>
        <w:t xml:space="preserve"> fair trial </w:t>
      </w:r>
      <w:r w:rsidR="00E77A70" w:rsidRPr="00F331E3">
        <w:rPr>
          <w:rFonts w:ascii="Verdana" w:hAnsi="Verdana"/>
          <w:sz w:val="22"/>
          <w:szCs w:val="22"/>
          <w:lang w:val="en-GB"/>
        </w:rPr>
        <w:t xml:space="preserve">standards and </w:t>
      </w:r>
      <w:r w:rsidR="00330731" w:rsidRPr="00F331E3">
        <w:rPr>
          <w:rFonts w:ascii="Verdana" w:hAnsi="Verdana"/>
          <w:sz w:val="22"/>
          <w:szCs w:val="22"/>
          <w:lang w:val="en-GB"/>
        </w:rPr>
        <w:t>guarantees in their procedures</w:t>
      </w:r>
      <w:r w:rsidRPr="00F331E3">
        <w:rPr>
          <w:rFonts w:ascii="Verdana" w:hAnsi="Verdana"/>
          <w:sz w:val="22"/>
          <w:szCs w:val="22"/>
          <w:lang w:val="en-GB"/>
        </w:rPr>
        <w:t>.</w:t>
      </w:r>
    </w:p>
    <w:p w14:paraId="0189DC7F" w14:textId="77777777" w:rsidR="00986368" w:rsidRPr="00F331E3" w:rsidRDefault="00986368" w:rsidP="0020294E">
      <w:pPr>
        <w:spacing w:line="240" w:lineRule="exact"/>
        <w:jc w:val="both"/>
        <w:rPr>
          <w:rFonts w:ascii="Verdana" w:hAnsi="Verdana"/>
          <w:sz w:val="22"/>
          <w:szCs w:val="22"/>
          <w:lang w:val="en-GB"/>
        </w:rPr>
      </w:pPr>
    </w:p>
    <w:p w14:paraId="6EC59D88" w14:textId="5C56FF5D" w:rsidR="008D5609" w:rsidRPr="00F331E3" w:rsidRDefault="00E645F0"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A cornerstone of a fair trial is </w:t>
      </w:r>
      <w:r w:rsidR="002B0FDB" w:rsidRPr="00F331E3">
        <w:rPr>
          <w:rFonts w:ascii="Verdana" w:hAnsi="Verdana"/>
          <w:sz w:val="22"/>
          <w:szCs w:val="22"/>
          <w:lang w:val="en-GB"/>
        </w:rPr>
        <w:t xml:space="preserve">one’s </w:t>
      </w:r>
      <w:r w:rsidRPr="00F331E3">
        <w:rPr>
          <w:rFonts w:ascii="Verdana" w:hAnsi="Verdana"/>
          <w:sz w:val="22"/>
          <w:szCs w:val="22"/>
          <w:lang w:val="en-GB"/>
        </w:rPr>
        <w:t xml:space="preserve">right to </w:t>
      </w:r>
      <w:r w:rsidR="002B0FDB" w:rsidRPr="00F331E3">
        <w:rPr>
          <w:rFonts w:ascii="Verdana" w:hAnsi="Verdana"/>
          <w:sz w:val="22"/>
          <w:szCs w:val="22"/>
          <w:lang w:val="en-GB"/>
        </w:rPr>
        <w:t>have his or her case heard</w:t>
      </w:r>
      <w:r w:rsidRPr="00F331E3">
        <w:rPr>
          <w:rFonts w:ascii="Verdana" w:hAnsi="Verdana"/>
          <w:sz w:val="22"/>
          <w:szCs w:val="22"/>
          <w:lang w:val="en-GB"/>
        </w:rPr>
        <w:t xml:space="preserve"> </w:t>
      </w:r>
      <w:r w:rsidR="008D5609" w:rsidRPr="00F331E3">
        <w:rPr>
          <w:rFonts w:ascii="Verdana" w:hAnsi="Verdana"/>
          <w:sz w:val="22"/>
          <w:szCs w:val="22"/>
          <w:lang w:val="en-GB"/>
        </w:rPr>
        <w:t>before an independent and impartial tribunal</w:t>
      </w:r>
      <w:r w:rsidRPr="00F331E3">
        <w:rPr>
          <w:rFonts w:ascii="Verdana" w:hAnsi="Verdana"/>
          <w:sz w:val="22"/>
          <w:szCs w:val="22"/>
          <w:lang w:val="en-GB"/>
        </w:rPr>
        <w:t xml:space="preserve">. </w:t>
      </w:r>
      <w:r w:rsidR="00476E65" w:rsidRPr="00F331E3">
        <w:rPr>
          <w:rFonts w:ascii="Verdana" w:hAnsi="Verdana"/>
          <w:sz w:val="22"/>
          <w:szCs w:val="22"/>
          <w:lang w:val="en-GB"/>
        </w:rPr>
        <w:t>The independence and impartiality of a tribunal can be appreciated in light of</w:t>
      </w:r>
      <w:r w:rsidR="0046739D" w:rsidRPr="00F331E3">
        <w:rPr>
          <w:rFonts w:ascii="Verdana" w:hAnsi="Verdana"/>
          <w:sz w:val="22"/>
          <w:szCs w:val="22"/>
          <w:lang w:val="en-GB"/>
        </w:rPr>
        <w:t xml:space="preserve"> a</w:t>
      </w:r>
      <w:r w:rsidR="00476E65" w:rsidRPr="00F331E3">
        <w:rPr>
          <w:rFonts w:ascii="Verdana" w:hAnsi="Verdana"/>
          <w:sz w:val="22"/>
          <w:szCs w:val="22"/>
          <w:lang w:val="en-GB"/>
        </w:rPr>
        <w:t xml:space="preserve"> number </w:t>
      </w:r>
      <w:r w:rsidR="0046739D" w:rsidRPr="00F331E3">
        <w:rPr>
          <w:rFonts w:ascii="Verdana" w:hAnsi="Verdana"/>
          <w:sz w:val="22"/>
          <w:szCs w:val="22"/>
          <w:lang w:val="en-GB"/>
        </w:rPr>
        <w:t xml:space="preserve">of </w:t>
      </w:r>
      <w:r w:rsidR="00476E65" w:rsidRPr="00F331E3">
        <w:rPr>
          <w:rFonts w:ascii="Verdana" w:hAnsi="Verdana"/>
          <w:sz w:val="22"/>
          <w:szCs w:val="22"/>
          <w:lang w:val="en-GB"/>
        </w:rPr>
        <w:t xml:space="preserve">elements, including </w:t>
      </w:r>
      <w:r w:rsidR="0067483D" w:rsidRPr="00F331E3">
        <w:rPr>
          <w:rFonts w:ascii="Verdana" w:hAnsi="Verdana"/>
          <w:sz w:val="22"/>
          <w:szCs w:val="22"/>
          <w:lang w:val="en-GB"/>
        </w:rPr>
        <w:t xml:space="preserve">those relating to the management of the career </w:t>
      </w:r>
      <w:r w:rsidR="008D5609" w:rsidRPr="00F331E3">
        <w:rPr>
          <w:rFonts w:ascii="Verdana" w:hAnsi="Verdana"/>
          <w:sz w:val="22"/>
          <w:szCs w:val="22"/>
          <w:lang w:val="en-GB"/>
        </w:rPr>
        <w:t xml:space="preserve">of its members, </w:t>
      </w:r>
      <w:r w:rsidR="0067483D" w:rsidRPr="00F331E3">
        <w:rPr>
          <w:rFonts w:ascii="Verdana" w:hAnsi="Verdana"/>
          <w:sz w:val="22"/>
          <w:szCs w:val="22"/>
          <w:lang w:val="en-GB"/>
        </w:rPr>
        <w:t xml:space="preserve">in particular the procedure of their appointment, </w:t>
      </w:r>
      <w:r w:rsidR="008D5609" w:rsidRPr="00F331E3">
        <w:rPr>
          <w:rFonts w:ascii="Verdana" w:hAnsi="Verdana"/>
          <w:sz w:val="22"/>
          <w:szCs w:val="22"/>
          <w:lang w:val="en-GB"/>
        </w:rPr>
        <w:t xml:space="preserve">their </w:t>
      </w:r>
      <w:r w:rsidR="00476E65" w:rsidRPr="00F331E3">
        <w:rPr>
          <w:rFonts w:ascii="Verdana" w:hAnsi="Verdana"/>
          <w:sz w:val="22"/>
          <w:szCs w:val="22"/>
          <w:lang w:val="en-GB"/>
        </w:rPr>
        <w:t>security of tenure</w:t>
      </w:r>
      <w:r w:rsidR="008D5609" w:rsidRPr="00F331E3">
        <w:rPr>
          <w:rFonts w:ascii="Verdana" w:hAnsi="Verdana"/>
          <w:sz w:val="22"/>
          <w:szCs w:val="22"/>
          <w:lang w:val="en-GB"/>
        </w:rPr>
        <w:t xml:space="preserve">, </w:t>
      </w:r>
      <w:r w:rsidR="00476E65" w:rsidRPr="00F331E3">
        <w:rPr>
          <w:rFonts w:ascii="Verdana" w:hAnsi="Verdana"/>
          <w:sz w:val="22"/>
          <w:szCs w:val="22"/>
          <w:lang w:val="en-GB"/>
        </w:rPr>
        <w:t xml:space="preserve">and </w:t>
      </w:r>
      <w:r w:rsidR="00945682" w:rsidRPr="00F331E3">
        <w:rPr>
          <w:rFonts w:ascii="Verdana" w:hAnsi="Verdana"/>
          <w:sz w:val="22"/>
          <w:szCs w:val="22"/>
          <w:lang w:val="en-GB"/>
        </w:rPr>
        <w:t xml:space="preserve">the </w:t>
      </w:r>
      <w:r w:rsidR="00476E65" w:rsidRPr="00F331E3">
        <w:rPr>
          <w:rFonts w:ascii="Verdana" w:hAnsi="Verdana"/>
          <w:sz w:val="22"/>
          <w:szCs w:val="22"/>
          <w:lang w:val="en-GB"/>
        </w:rPr>
        <w:t xml:space="preserve">disciplinary </w:t>
      </w:r>
      <w:r w:rsidR="001F78FC" w:rsidRPr="00F331E3">
        <w:rPr>
          <w:rFonts w:ascii="Verdana" w:hAnsi="Verdana"/>
          <w:sz w:val="22"/>
          <w:szCs w:val="22"/>
          <w:lang w:val="en-GB"/>
        </w:rPr>
        <w:t>system</w:t>
      </w:r>
      <w:r w:rsidR="00945682" w:rsidRPr="00F331E3">
        <w:rPr>
          <w:rFonts w:ascii="Verdana" w:hAnsi="Verdana"/>
          <w:sz w:val="22"/>
          <w:szCs w:val="22"/>
          <w:lang w:val="en-GB"/>
        </w:rPr>
        <w:t xml:space="preserve"> they are subject to</w:t>
      </w:r>
      <w:r w:rsidR="008D5609" w:rsidRPr="00F331E3">
        <w:rPr>
          <w:rFonts w:ascii="Verdana" w:hAnsi="Verdana"/>
          <w:sz w:val="22"/>
          <w:szCs w:val="22"/>
          <w:lang w:val="en-GB"/>
        </w:rPr>
        <w:t xml:space="preserve">. </w:t>
      </w:r>
      <w:r w:rsidR="00EF3B30" w:rsidRPr="00F331E3">
        <w:rPr>
          <w:rFonts w:ascii="Verdana" w:hAnsi="Verdana"/>
          <w:sz w:val="22"/>
          <w:szCs w:val="22"/>
          <w:lang w:val="en-GB"/>
        </w:rPr>
        <w:t xml:space="preserve">In the case of military </w:t>
      </w:r>
      <w:r w:rsidR="00E77A70" w:rsidRPr="00F331E3">
        <w:rPr>
          <w:rFonts w:ascii="Verdana" w:hAnsi="Verdana"/>
          <w:sz w:val="22"/>
          <w:szCs w:val="22"/>
          <w:lang w:val="en-GB"/>
        </w:rPr>
        <w:t>judges</w:t>
      </w:r>
      <w:r w:rsidR="00EF3B30" w:rsidRPr="00F331E3">
        <w:rPr>
          <w:rFonts w:ascii="Verdana" w:hAnsi="Verdana"/>
          <w:sz w:val="22"/>
          <w:szCs w:val="22"/>
          <w:lang w:val="en-GB"/>
        </w:rPr>
        <w:t xml:space="preserve">, attention has also to be paid to </w:t>
      </w:r>
      <w:r w:rsidR="001F78FC" w:rsidRPr="00F331E3">
        <w:rPr>
          <w:rFonts w:ascii="Verdana" w:hAnsi="Verdana"/>
          <w:sz w:val="22"/>
          <w:szCs w:val="22"/>
          <w:lang w:val="en-GB"/>
        </w:rPr>
        <w:t>the</w:t>
      </w:r>
      <w:r w:rsidR="00E77A70" w:rsidRPr="00F331E3">
        <w:rPr>
          <w:rFonts w:ascii="Verdana" w:hAnsi="Verdana"/>
          <w:sz w:val="22"/>
          <w:szCs w:val="22"/>
          <w:lang w:val="en-GB"/>
        </w:rPr>
        <w:t>ir</w:t>
      </w:r>
      <w:r w:rsidR="001F78FC" w:rsidRPr="00F331E3">
        <w:rPr>
          <w:rFonts w:ascii="Verdana" w:hAnsi="Verdana"/>
          <w:sz w:val="22"/>
          <w:szCs w:val="22"/>
          <w:lang w:val="en-GB"/>
        </w:rPr>
        <w:t xml:space="preserve"> </w:t>
      </w:r>
      <w:r w:rsidR="00EF3B30" w:rsidRPr="00F331E3">
        <w:rPr>
          <w:rFonts w:ascii="Verdana" w:hAnsi="Verdana"/>
          <w:sz w:val="22"/>
          <w:szCs w:val="22"/>
          <w:lang w:val="en-GB"/>
        </w:rPr>
        <w:t>statutory independence from the military chain of command in the course of carrying out their judicial functions.</w:t>
      </w:r>
    </w:p>
    <w:p w14:paraId="45C15524" w14:textId="77777777" w:rsidR="00D54483" w:rsidRPr="00F331E3" w:rsidRDefault="00D54483" w:rsidP="0020294E">
      <w:pPr>
        <w:spacing w:line="240" w:lineRule="exact"/>
        <w:jc w:val="both"/>
        <w:rPr>
          <w:rFonts w:ascii="Verdana" w:hAnsi="Verdana"/>
          <w:sz w:val="22"/>
          <w:szCs w:val="22"/>
          <w:lang w:val="en-GB"/>
        </w:rPr>
      </w:pPr>
    </w:p>
    <w:p w14:paraId="79EB1F38" w14:textId="72C518CE" w:rsidR="00815A20" w:rsidRPr="00F331E3" w:rsidRDefault="00815A20" w:rsidP="0020294E">
      <w:pPr>
        <w:spacing w:line="240" w:lineRule="exact"/>
        <w:jc w:val="both"/>
        <w:rPr>
          <w:rFonts w:ascii="Verdana" w:hAnsi="Verdana"/>
          <w:sz w:val="22"/>
          <w:szCs w:val="22"/>
          <w:lang w:val="en-GB"/>
        </w:rPr>
      </w:pPr>
      <w:r w:rsidRPr="00F331E3">
        <w:rPr>
          <w:rFonts w:ascii="Verdana" w:hAnsi="Verdana"/>
          <w:sz w:val="22"/>
          <w:szCs w:val="22"/>
          <w:lang w:val="en-GB"/>
        </w:rPr>
        <w:t>In many countrie</w:t>
      </w:r>
      <w:r w:rsidR="00404ED3" w:rsidRPr="00F331E3">
        <w:rPr>
          <w:rFonts w:ascii="Verdana" w:hAnsi="Verdana"/>
          <w:sz w:val="22"/>
          <w:szCs w:val="22"/>
          <w:lang w:val="en-GB"/>
        </w:rPr>
        <w:t xml:space="preserve">s in the MENA region, </w:t>
      </w:r>
      <w:r w:rsidR="0067483D" w:rsidRPr="00F331E3">
        <w:rPr>
          <w:rFonts w:ascii="Verdana" w:hAnsi="Verdana"/>
          <w:sz w:val="22"/>
          <w:szCs w:val="22"/>
          <w:lang w:val="en-GB"/>
        </w:rPr>
        <w:t>m</w:t>
      </w:r>
      <w:r w:rsidR="00404ED3" w:rsidRPr="00F331E3">
        <w:rPr>
          <w:rFonts w:ascii="Verdana" w:hAnsi="Verdana"/>
          <w:sz w:val="22"/>
          <w:szCs w:val="22"/>
          <w:lang w:val="en-GB"/>
        </w:rPr>
        <w:t>ilitary judges are subject to military disciplinary rules</w:t>
      </w:r>
      <w:r w:rsidR="001203EE" w:rsidRPr="00F331E3">
        <w:rPr>
          <w:rFonts w:ascii="Verdana" w:hAnsi="Verdana"/>
          <w:sz w:val="22"/>
          <w:szCs w:val="22"/>
          <w:lang w:val="en-GB"/>
        </w:rPr>
        <w:t>,</w:t>
      </w:r>
      <w:r w:rsidR="00404ED3" w:rsidRPr="00F331E3">
        <w:rPr>
          <w:rFonts w:ascii="Verdana" w:hAnsi="Verdana"/>
          <w:sz w:val="22"/>
          <w:szCs w:val="22"/>
          <w:lang w:val="en-GB"/>
        </w:rPr>
        <w:t xml:space="preserve"> which are largely based on the concept of subor</w:t>
      </w:r>
      <w:r w:rsidR="0067483D" w:rsidRPr="00F331E3">
        <w:rPr>
          <w:rFonts w:ascii="Verdana" w:hAnsi="Verdana"/>
          <w:sz w:val="22"/>
          <w:szCs w:val="22"/>
          <w:lang w:val="en-GB"/>
        </w:rPr>
        <w:t>dination to superior commanders, and their</w:t>
      </w:r>
      <w:r w:rsidRPr="00F331E3">
        <w:rPr>
          <w:rFonts w:ascii="Verdana" w:hAnsi="Verdana"/>
          <w:sz w:val="22"/>
          <w:szCs w:val="22"/>
          <w:lang w:val="en-GB"/>
        </w:rPr>
        <w:t xml:space="preserve"> </w:t>
      </w:r>
      <w:r w:rsidR="0067483D" w:rsidRPr="00F331E3">
        <w:rPr>
          <w:rFonts w:ascii="Verdana" w:hAnsi="Verdana"/>
          <w:sz w:val="22"/>
          <w:szCs w:val="22"/>
          <w:lang w:val="en-GB"/>
        </w:rPr>
        <w:t>careers are effectively under the control of the executive.</w:t>
      </w:r>
    </w:p>
    <w:p w14:paraId="2BAC3168" w14:textId="77777777" w:rsidR="00815A20" w:rsidRPr="00F331E3" w:rsidRDefault="00815A20" w:rsidP="0020294E">
      <w:pPr>
        <w:spacing w:line="240" w:lineRule="exact"/>
        <w:jc w:val="both"/>
        <w:rPr>
          <w:rFonts w:ascii="Verdana" w:hAnsi="Verdana"/>
          <w:sz w:val="22"/>
          <w:szCs w:val="22"/>
          <w:lang w:val="en-GB"/>
        </w:rPr>
      </w:pPr>
    </w:p>
    <w:p w14:paraId="5C7571DB" w14:textId="08F0D8A0" w:rsidR="00964AA5" w:rsidRPr="00F331E3" w:rsidRDefault="00964AA5"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 Morocco, under article 5 of </w:t>
      </w:r>
      <w:r w:rsidR="00330731" w:rsidRPr="00F331E3">
        <w:rPr>
          <w:rFonts w:ascii="Verdana" w:hAnsi="Verdana"/>
          <w:sz w:val="22"/>
          <w:szCs w:val="22"/>
          <w:lang w:val="en-GB"/>
        </w:rPr>
        <w:t xml:space="preserve">Royal Decree No. </w:t>
      </w:r>
      <w:r w:rsidRPr="00F331E3">
        <w:rPr>
          <w:rFonts w:ascii="Verdana" w:hAnsi="Verdana"/>
          <w:sz w:val="22"/>
          <w:szCs w:val="22"/>
          <w:lang w:val="en-GB"/>
        </w:rPr>
        <w:t>1-77-56 of 12 July 1977 setting out the statute of military judges, military judges are appointed by a royal decree on the proposal of the Minister of Defence.</w:t>
      </w:r>
      <w:r w:rsidR="00330731" w:rsidRPr="00F331E3">
        <w:rPr>
          <w:rFonts w:ascii="Verdana" w:hAnsi="Verdana"/>
          <w:sz w:val="22"/>
          <w:szCs w:val="22"/>
          <w:lang w:val="en-GB"/>
        </w:rPr>
        <w:t xml:space="preserve"> Under a</w:t>
      </w:r>
      <w:r w:rsidRPr="00F331E3">
        <w:rPr>
          <w:rFonts w:ascii="Verdana" w:hAnsi="Verdana"/>
          <w:sz w:val="22"/>
          <w:szCs w:val="22"/>
          <w:lang w:val="en-GB"/>
        </w:rPr>
        <w:t>rticle 7, they are subject to the general disciplinary requirements of the armed forces. Similarly,</w:t>
      </w:r>
      <w:r w:rsidR="001F78FC" w:rsidRPr="00F331E3">
        <w:rPr>
          <w:rFonts w:ascii="Verdana" w:hAnsi="Verdana"/>
          <w:sz w:val="22"/>
          <w:szCs w:val="22"/>
          <w:lang w:val="en-GB"/>
        </w:rPr>
        <w:t xml:space="preserve"> under article 7, </w:t>
      </w:r>
      <w:r w:rsidRPr="00F331E3">
        <w:rPr>
          <w:rFonts w:ascii="Verdana" w:hAnsi="Verdana"/>
          <w:sz w:val="22"/>
          <w:szCs w:val="22"/>
          <w:lang w:val="en-GB"/>
        </w:rPr>
        <w:t xml:space="preserve">although </w:t>
      </w:r>
      <w:r w:rsidR="001F78FC" w:rsidRPr="00F331E3">
        <w:rPr>
          <w:rFonts w:ascii="Verdana" w:hAnsi="Verdana"/>
          <w:sz w:val="22"/>
          <w:szCs w:val="22"/>
          <w:lang w:val="en-GB"/>
        </w:rPr>
        <w:t xml:space="preserve">military </w:t>
      </w:r>
      <w:r w:rsidRPr="00F331E3">
        <w:rPr>
          <w:rFonts w:ascii="Verdana" w:hAnsi="Verdana"/>
          <w:sz w:val="22"/>
          <w:szCs w:val="22"/>
          <w:lang w:val="en-GB"/>
        </w:rPr>
        <w:t>investigating judges are to exercise their functions “subject to the absolute independence of investigating judges”, they are subordinate to their hierarchical superiors and the Minister of Defence</w:t>
      </w:r>
      <w:r w:rsidR="001F78FC" w:rsidRPr="00F331E3">
        <w:rPr>
          <w:rFonts w:ascii="Verdana" w:hAnsi="Verdana"/>
          <w:sz w:val="22"/>
          <w:szCs w:val="22"/>
          <w:lang w:val="en-GB"/>
        </w:rPr>
        <w:t>.</w:t>
      </w:r>
    </w:p>
    <w:p w14:paraId="73646EAD" w14:textId="3BE26729" w:rsidR="00964AA5" w:rsidRPr="00F331E3" w:rsidRDefault="00964AA5" w:rsidP="0020294E">
      <w:pPr>
        <w:spacing w:line="240" w:lineRule="exact"/>
        <w:jc w:val="both"/>
        <w:rPr>
          <w:rFonts w:ascii="Verdana" w:hAnsi="Verdana"/>
          <w:sz w:val="22"/>
          <w:szCs w:val="22"/>
          <w:lang w:val="en-GB"/>
        </w:rPr>
      </w:pPr>
    </w:p>
    <w:p w14:paraId="3C949141" w14:textId="1AB32288" w:rsidR="00CD4E0B" w:rsidRPr="00F331E3" w:rsidRDefault="00CD4E0B"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 Tunisia, under </w:t>
      </w:r>
      <w:r w:rsidR="00330731" w:rsidRPr="00F331E3">
        <w:rPr>
          <w:rFonts w:ascii="Verdana" w:hAnsi="Verdana"/>
          <w:sz w:val="22"/>
          <w:szCs w:val="22"/>
          <w:lang w:val="en-GB"/>
        </w:rPr>
        <w:t xml:space="preserve">Law-Decree No. </w:t>
      </w:r>
      <w:r w:rsidRPr="00F331E3">
        <w:rPr>
          <w:rFonts w:ascii="Verdana" w:hAnsi="Verdana"/>
          <w:sz w:val="22"/>
          <w:szCs w:val="22"/>
          <w:lang w:val="en-GB"/>
        </w:rPr>
        <w:t>2011-70, military judges are appointed by decree following a proposition by the Minister of Defence and a decision by the Military Judicial Council (MJC). The MJC is itself presided over by the Minister of Defence</w:t>
      </w:r>
      <w:r w:rsidR="00330731" w:rsidRPr="00F331E3">
        <w:rPr>
          <w:rFonts w:ascii="Verdana" w:hAnsi="Verdana"/>
          <w:sz w:val="22"/>
          <w:szCs w:val="22"/>
          <w:lang w:val="en-GB"/>
        </w:rPr>
        <w:t>. Under a</w:t>
      </w:r>
      <w:r w:rsidRPr="00F331E3">
        <w:rPr>
          <w:rFonts w:ascii="Verdana" w:hAnsi="Verdana"/>
          <w:sz w:val="22"/>
          <w:szCs w:val="22"/>
          <w:lang w:val="en-GB"/>
        </w:rPr>
        <w:t>rticle 19 of this law, military judges are subject to “general disciplinary rules</w:t>
      </w:r>
      <w:r w:rsidR="00330731" w:rsidRPr="00F331E3">
        <w:rPr>
          <w:rFonts w:ascii="Verdana" w:hAnsi="Verdana"/>
          <w:sz w:val="22"/>
          <w:szCs w:val="22"/>
          <w:lang w:val="en-GB"/>
        </w:rPr>
        <w:t>”</w:t>
      </w:r>
      <w:r w:rsidRPr="00F331E3">
        <w:rPr>
          <w:rFonts w:ascii="Verdana" w:hAnsi="Verdana"/>
          <w:sz w:val="22"/>
          <w:szCs w:val="22"/>
          <w:lang w:val="en-GB"/>
        </w:rPr>
        <w:t xml:space="preserve">. </w:t>
      </w:r>
    </w:p>
    <w:p w14:paraId="24EC2D68" w14:textId="77777777" w:rsidR="00D54483" w:rsidRPr="00F331E3" w:rsidRDefault="00D54483" w:rsidP="0020294E">
      <w:pPr>
        <w:spacing w:line="240" w:lineRule="exact"/>
        <w:jc w:val="both"/>
        <w:rPr>
          <w:rFonts w:ascii="Verdana" w:hAnsi="Verdana"/>
          <w:sz w:val="22"/>
          <w:szCs w:val="22"/>
          <w:lang w:val="en-GB"/>
        </w:rPr>
      </w:pPr>
    </w:p>
    <w:p w14:paraId="0F43F59C" w14:textId="2A7CFABC" w:rsidR="00876BCE" w:rsidRPr="00F331E3" w:rsidRDefault="00815A20" w:rsidP="0020294E">
      <w:pPr>
        <w:spacing w:line="240" w:lineRule="exact"/>
        <w:jc w:val="both"/>
        <w:rPr>
          <w:rFonts w:ascii="Verdana" w:hAnsi="Verdana"/>
          <w:bCs/>
          <w:sz w:val="22"/>
          <w:szCs w:val="22"/>
          <w:lang w:val="en-GB"/>
        </w:rPr>
      </w:pPr>
      <w:r w:rsidRPr="00F331E3">
        <w:rPr>
          <w:rFonts w:ascii="Verdana" w:hAnsi="Verdana"/>
          <w:bCs/>
          <w:sz w:val="22"/>
          <w:szCs w:val="22"/>
          <w:lang w:val="en-GB"/>
        </w:rPr>
        <w:t>In Egypt, both</w:t>
      </w:r>
      <w:r w:rsidR="00876BCE" w:rsidRPr="00F331E3">
        <w:rPr>
          <w:rFonts w:ascii="Verdana" w:hAnsi="Verdana"/>
          <w:bCs/>
          <w:sz w:val="22"/>
          <w:szCs w:val="22"/>
          <w:lang w:val="en-GB"/>
        </w:rPr>
        <w:t xml:space="preserve"> the 2014 Constitution</w:t>
      </w:r>
      <w:r w:rsidR="008E5804" w:rsidRPr="00F331E3">
        <w:rPr>
          <w:rFonts w:ascii="Verdana" w:hAnsi="Verdana"/>
          <w:bCs/>
          <w:sz w:val="22"/>
          <w:szCs w:val="22"/>
          <w:lang w:val="en-GB"/>
        </w:rPr>
        <w:t xml:space="preserve"> (article 204)</w:t>
      </w:r>
      <w:r w:rsidR="00876BCE" w:rsidRPr="00F331E3">
        <w:rPr>
          <w:rFonts w:ascii="Verdana" w:hAnsi="Verdana"/>
          <w:bCs/>
          <w:sz w:val="22"/>
          <w:szCs w:val="22"/>
          <w:lang w:val="en-GB"/>
        </w:rPr>
        <w:t xml:space="preserve"> and </w:t>
      </w:r>
      <w:r w:rsidRPr="00F331E3">
        <w:rPr>
          <w:rFonts w:ascii="Verdana" w:hAnsi="Verdana"/>
          <w:bCs/>
          <w:sz w:val="22"/>
          <w:szCs w:val="22"/>
          <w:lang w:val="en-GB"/>
        </w:rPr>
        <w:t xml:space="preserve">the </w:t>
      </w:r>
      <w:r w:rsidR="00330731" w:rsidRPr="00F331E3">
        <w:rPr>
          <w:rFonts w:ascii="Verdana" w:hAnsi="Verdana"/>
          <w:bCs/>
          <w:sz w:val="22"/>
          <w:szCs w:val="22"/>
          <w:lang w:val="en-GB"/>
        </w:rPr>
        <w:t>MJL</w:t>
      </w:r>
      <w:r w:rsidR="005A4BBF" w:rsidRPr="00F331E3">
        <w:rPr>
          <w:rFonts w:ascii="Verdana" w:hAnsi="Verdana"/>
          <w:bCs/>
          <w:sz w:val="22"/>
          <w:szCs w:val="22"/>
          <w:lang w:val="en-GB"/>
        </w:rPr>
        <w:t xml:space="preserve"> (a</w:t>
      </w:r>
      <w:r w:rsidR="008E5804" w:rsidRPr="00F331E3">
        <w:rPr>
          <w:rFonts w:ascii="Verdana" w:hAnsi="Verdana"/>
          <w:bCs/>
          <w:sz w:val="22"/>
          <w:szCs w:val="22"/>
          <w:lang w:val="en-GB"/>
        </w:rPr>
        <w:t>rticle 1)</w:t>
      </w:r>
      <w:r w:rsidRPr="00F331E3">
        <w:rPr>
          <w:rFonts w:ascii="Verdana" w:hAnsi="Verdana"/>
          <w:bCs/>
          <w:sz w:val="22"/>
          <w:szCs w:val="22"/>
          <w:lang w:val="en-GB"/>
        </w:rPr>
        <w:t xml:space="preserve"> </w:t>
      </w:r>
      <w:r w:rsidR="00876BCE" w:rsidRPr="00F331E3">
        <w:rPr>
          <w:rFonts w:ascii="Verdana" w:hAnsi="Verdana"/>
          <w:bCs/>
          <w:sz w:val="22"/>
          <w:szCs w:val="22"/>
          <w:lang w:val="en-GB"/>
        </w:rPr>
        <w:t xml:space="preserve">describe the military court system as an independent judiciary. The new Constitution further guarantees the independence and </w:t>
      </w:r>
      <w:proofErr w:type="spellStart"/>
      <w:r w:rsidR="00876BCE" w:rsidRPr="00F331E3">
        <w:rPr>
          <w:rFonts w:ascii="Verdana" w:hAnsi="Verdana"/>
          <w:bCs/>
          <w:sz w:val="22"/>
          <w:szCs w:val="22"/>
          <w:lang w:val="en-GB"/>
        </w:rPr>
        <w:t>irremovability</w:t>
      </w:r>
      <w:proofErr w:type="spellEnd"/>
      <w:r w:rsidR="00876BCE" w:rsidRPr="00F331E3">
        <w:rPr>
          <w:rFonts w:ascii="Verdana" w:hAnsi="Verdana"/>
          <w:bCs/>
          <w:sz w:val="22"/>
          <w:szCs w:val="22"/>
          <w:lang w:val="en-GB"/>
        </w:rPr>
        <w:t xml:space="preserve"> of military judges and provide</w:t>
      </w:r>
      <w:r w:rsidR="009F2EF5" w:rsidRPr="00F331E3">
        <w:rPr>
          <w:rFonts w:ascii="Verdana" w:hAnsi="Verdana"/>
          <w:bCs/>
          <w:sz w:val="22"/>
          <w:szCs w:val="22"/>
          <w:lang w:val="en-GB"/>
        </w:rPr>
        <w:t>s</w:t>
      </w:r>
      <w:r w:rsidR="00876BCE" w:rsidRPr="00F331E3">
        <w:rPr>
          <w:rFonts w:ascii="Verdana" w:hAnsi="Verdana"/>
          <w:bCs/>
          <w:sz w:val="22"/>
          <w:szCs w:val="22"/>
          <w:lang w:val="en-GB"/>
        </w:rPr>
        <w:t xml:space="preserve"> that they “share the security, rights and duties stipulated for members of other judiciaries”.</w:t>
      </w:r>
      <w:r w:rsidRPr="00F331E3">
        <w:rPr>
          <w:rFonts w:ascii="Verdana" w:hAnsi="Verdana"/>
          <w:bCs/>
          <w:sz w:val="22"/>
          <w:szCs w:val="22"/>
          <w:lang w:val="en-GB"/>
        </w:rPr>
        <w:t xml:space="preserve"> However, </w:t>
      </w:r>
      <w:r w:rsidR="005A4BBF" w:rsidRPr="00F331E3">
        <w:rPr>
          <w:rFonts w:ascii="Verdana" w:hAnsi="Verdana"/>
          <w:bCs/>
          <w:sz w:val="22"/>
          <w:szCs w:val="22"/>
          <w:lang w:val="en-GB"/>
        </w:rPr>
        <w:t>under a</w:t>
      </w:r>
      <w:r w:rsidR="001F78FC" w:rsidRPr="00F331E3">
        <w:rPr>
          <w:rFonts w:ascii="Verdana" w:hAnsi="Verdana"/>
          <w:bCs/>
          <w:sz w:val="22"/>
          <w:szCs w:val="22"/>
          <w:lang w:val="en-GB"/>
        </w:rPr>
        <w:t>rticle 1 of the MJL, military courts operate under the direct super</w:t>
      </w:r>
      <w:r w:rsidR="005A4BBF" w:rsidRPr="00F331E3">
        <w:rPr>
          <w:rFonts w:ascii="Verdana" w:hAnsi="Verdana"/>
          <w:bCs/>
          <w:sz w:val="22"/>
          <w:szCs w:val="22"/>
          <w:lang w:val="en-GB"/>
        </w:rPr>
        <w:t>vision of the Ministry of Defenc</w:t>
      </w:r>
      <w:r w:rsidR="001F78FC" w:rsidRPr="00F331E3">
        <w:rPr>
          <w:rFonts w:ascii="Verdana" w:hAnsi="Verdana"/>
          <w:bCs/>
          <w:sz w:val="22"/>
          <w:szCs w:val="22"/>
          <w:lang w:val="en-GB"/>
        </w:rPr>
        <w:t xml:space="preserve">e. </w:t>
      </w:r>
      <w:r w:rsidR="00580E7B">
        <w:rPr>
          <w:rFonts w:ascii="Verdana" w:hAnsi="Verdana"/>
          <w:bCs/>
          <w:sz w:val="22"/>
          <w:szCs w:val="22"/>
          <w:lang w:val="en-GB"/>
        </w:rPr>
        <w:t>U</w:t>
      </w:r>
      <w:r w:rsidR="00580E7B" w:rsidRPr="00F331E3">
        <w:rPr>
          <w:rFonts w:ascii="Verdana" w:hAnsi="Verdana"/>
          <w:bCs/>
          <w:sz w:val="22"/>
          <w:szCs w:val="22"/>
          <w:lang w:val="en-GB"/>
        </w:rPr>
        <w:t>nder article 54</w:t>
      </w:r>
      <w:r w:rsidR="00580E7B">
        <w:rPr>
          <w:rFonts w:ascii="Verdana" w:hAnsi="Verdana"/>
          <w:bCs/>
          <w:sz w:val="22"/>
          <w:szCs w:val="22"/>
          <w:lang w:val="en-GB"/>
        </w:rPr>
        <w:t>, m</w:t>
      </w:r>
      <w:r w:rsidRPr="00F331E3">
        <w:rPr>
          <w:rFonts w:ascii="Verdana" w:hAnsi="Verdana"/>
          <w:bCs/>
          <w:sz w:val="22"/>
          <w:szCs w:val="22"/>
          <w:lang w:val="en-GB"/>
        </w:rPr>
        <w:t>ilitary judges are appointed</w:t>
      </w:r>
      <w:r w:rsidR="001F78FC" w:rsidRPr="00F331E3">
        <w:rPr>
          <w:rFonts w:ascii="Verdana" w:hAnsi="Verdana"/>
          <w:bCs/>
          <w:sz w:val="22"/>
          <w:szCs w:val="22"/>
          <w:lang w:val="en-GB"/>
        </w:rPr>
        <w:t xml:space="preserve"> </w:t>
      </w:r>
      <w:r w:rsidR="005A4BBF" w:rsidRPr="00F331E3">
        <w:rPr>
          <w:rFonts w:ascii="Verdana" w:hAnsi="Verdana"/>
          <w:bCs/>
          <w:sz w:val="22"/>
          <w:szCs w:val="22"/>
          <w:lang w:val="en-GB"/>
        </w:rPr>
        <w:t>by the Minister of Defenc</w:t>
      </w:r>
      <w:r w:rsidRPr="00F331E3">
        <w:rPr>
          <w:rFonts w:ascii="Verdana" w:hAnsi="Verdana"/>
          <w:bCs/>
          <w:sz w:val="22"/>
          <w:szCs w:val="22"/>
          <w:lang w:val="en-GB"/>
        </w:rPr>
        <w:t>e based on the recommendation of the Director of the Military Judiciary.</w:t>
      </w:r>
      <w:r w:rsidR="00876BCE" w:rsidRPr="00F331E3">
        <w:rPr>
          <w:rFonts w:ascii="Verdana" w:hAnsi="Verdana"/>
          <w:bCs/>
          <w:sz w:val="22"/>
          <w:szCs w:val="22"/>
          <w:lang w:val="en-GB"/>
        </w:rPr>
        <w:t xml:space="preserve"> </w:t>
      </w:r>
    </w:p>
    <w:p w14:paraId="07FB9460" w14:textId="77777777" w:rsidR="00815A20" w:rsidRPr="00F331E3" w:rsidRDefault="00815A20" w:rsidP="0020294E">
      <w:pPr>
        <w:spacing w:line="240" w:lineRule="exact"/>
        <w:jc w:val="both"/>
        <w:rPr>
          <w:rFonts w:ascii="Verdana" w:hAnsi="Verdana"/>
          <w:bCs/>
          <w:sz w:val="22"/>
          <w:szCs w:val="22"/>
          <w:lang w:val="en-GB"/>
        </w:rPr>
      </w:pPr>
    </w:p>
    <w:p w14:paraId="01EE838E" w14:textId="081DF668" w:rsidR="00B0779D" w:rsidRPr="00F331E3" w:rsidRDefault="001F78FC" w:rsidP="0020294E">
      <w:pPr>
        <w:spacing w:line="240" w:lineRule="exact"/>
        <w:jc w:val="both"/>
        <w:rPr>
          <w:rFonts w:ascii="Verdana" w:hAnsi="Verdana"/>
          <w:sz w:val="22"/>
          <w:szCs w:val="22"/>
          <w:lang w:val="en-GB"/>
        </w:rPr>
      </w:pPr>
      <w:r w:rsidRPr="00F331E3">
        <w:rPr>
          <w:rFonts w:ascii="Verdana" w:hAnsi="Verdana"/>
          <w:bCs/>
          <w:sz w:val="22"/>
          <w:szCs w:val="22"/>
          <w:lang w:val="en-GB"/>
        </w:rPr>
        <w:t>Under international law and standards, n</w:t>
      </w:r>
      <w:r w:rsidR="00815A20" w:rsidRPr="00F331E3">
        <w:rPr>
          <w:rFonts w:ascii="Verdana" w:hAnsi="Verdana"/>
          <w:bCs/>
          <w:sz w:val="22"/>
          <w:szCs w:val="22"/>
          <w:lang w:val="en-GB"/>
        </w:rPr>
        <w:t xml:space="preserve">ot only </w:t>
      </w:r>
      <w:r w:rsidR="00404ED3" w:rsidRPr="00F331E3">
        <w:rPr>
          <w:rFonts w:ascii="Verdana" w:hAnsi="Verdana"/>
          <w:bCs/>
          <w:sz w:val="22"/>
          <w:szCs w:val="22"/>
          <w:lang w:val="en-GB"/>
        </w:rPr>
        <w:t>must</w:t>
      </w:r>
      <w:r w:rsidR="00815A20" w:rsidRPr="00F331E3">
        <w:rPr>
          <w:rFonts w:ascii="Verdana" w:hAnsi="Verdana"/>
          <w:bCs/>
          <w:sz w:val="22"/>
          <w:szCs w:val="22"/>
          <w:lang w:val="en-GB"/>
        </w:rPr>
        <w:t xml:space="preserve"> court</w:t>
      </w:r>
      <w:r w:rsidR="00BF13E5" w:rsidRPr="00F331E3">
        <w:rPr>
          <w:rFonts w:ascii="Verdana" w:hAnsi="Verdana"/>
          <w:bCs/>
          <w:sz w:val="22"/>
          <w:szCs w:val="22"/>
          <w:lang w:val="en-GB"/>
        </w:rPr>
        <w:t>s</w:t>
      </w:r>
      <w:r w:rsidR="00815A20" w:rsidRPr="00F331E3">
        <w:rPr>
          <w:rFonts w:ascii="Verdana" w:hAnsi="Verdana"/>
          <w:bCs/>
          <w:sz w:val="22"/>
          <w:szCs w:val="22"/>
          <w:lang w:val="en-GB"/>
        </w:rPr>
        <w:t xml:space="preserve"> be independent and impartial, </w:t>
      </w:r>
      <w:r w:rsidR="00404ED3" w:rsidRPr="00F331E3">
        <w:rPr>
          <w:rFonts w:ascii="Verdana" w:hAnsi="Verdana"/>
          <w:bCs/>
          <w:sz w:val="22"/>
          <w:szCs w:val="22"/>
          <w:lang w:val="en-GB"/>
        </w:rPr>
        <w:t xml:space="preserve">they must also be </w:t>
      </w:r>
      <w:r w:rsidR="00404ED3" w:rsidRPr="00F331E3">
        <w:rPr>
          <w:rFonts w:ascii="Verdana" w:hAnsi="Verdana"/>
          <w:bCs/>
          <w:iCs/>
          <w:sz w:val="22"/>
          <w:szCs w:val="22"/>
          <w:lang w:val="en-GB"/>
        </w:rPr>
        <w:t>seen</w:t>
      </w:r>
      <w:r w:rsidR="00FE4996" w:rsidRPr="00F331E3">
        <w:rPr>
          <w:rFonts w:ascii="Verdana" w:hAnsi="Verdana"/>
          <w:bCs/>
          <w:iCs/>
          <w:sz w:val="22"/>
          <w:szCs w:val="22"/>
          <w:lang w:val="en-GB"/>
        </w:rPr>
        <w:t xml:space="preserve"> by the public</w:t>
      </w:r>
      <w:r w:rsidR="00404ED3" w:rsidRPr="00F331E3">
        <w:rPr>
          <w:rFonts w:ascii="Verdana" w:hAnsi="Verdana"/>
          <w:bCs/>
          <w:sz w:val="22"/>
          <w:szCs w:val="22"/>
          <w:lang w:val="en-GB"/>
        </w:rPr>
        <w:t xml:space="preserve"> to be independent and impartial</w:t>
      </w:r>
      <w:r w:rsidR="00B0779D" w:rsidRPr="00F331E3">
        <w:rPr>
          <w:rFonts w:ascii="Verdana" w:hAnsi="Verdana"/>
          <w:bCs/>
          <w:sz w:val="22"/>
          <w:szCs w:val="22"/>
          <w:lang w:val="en-GB"/>
        </w:rPr>
        <w:t xml:space="preserve">. </w:t>
      </w:r>
      <w:r w:rsidR="00B0779D" w:rsidRPr="00F331E3">
        <w:rPr>
          <w:rFonts w:ascii="Verdana" w:hAnsi="Verdana"/>
          <w:sz w:val="22"/>
          <w:szCs w:val="22"/>
          <w:lang w:val="en-GB"/>
        </w:rPr>
        <w:t xml:space="preserve">This appearance is undermined when </w:t>
      </w:r>
      <w:r w:rsidR="001203EE" w:rsidRPr="00F331E3">
        <w:rPr>
          <w:rFonts w:ascii="Verdana" w:hAnsi="Verdana"/>
          <w:sz w:val="22"/>
          <w:szCs w:val="22"/>
          <w:lang w:val="en-GB"/>
        </w:rPr>
        <w:t xml:space="preserve">cases involving human rights violations by military and security forces are </w:t>
      </w:r>
      <w:r w:rsidR="00945682" w:rsidRPr="00F331E3">
        <w:rPr>
          <w:rFonts w:ascii="Verdana" w:hAnsi="Verdana"/>
          <w:sz w:val="22"/>
          <w:szCs w:val="22"/>
          <w:lang w:val="en-GB"/>
        </w:rPr>
        <w:t xml:space="preserve">investigated, </w:t>
      </w:r>
      <w:r w:rsidR="00006909" w:rsidRPr="00F331E3">
        <w:rPr>
          <w:rFonts w:ascii="Verdana" w:hAnsi="Verdana"/>
          <w:sz w:val="22"/>
          <w:szCs w:val="22"/>
          <w:lang w:val="en-GB"/>
        </w:rPr>
        <w:t xml:space="preserve">prosecuted </w:t>
      </w:r>
      <w:r w:rsidR="00945682" w:rsidRPr="00F331E3">
        <w:rPr>
          <w:rFonts w:ascii="Verdana" w:hAnsi="Verdana"/>
          <w:sz w:val="22"/>
          <w:szCs w:val="22"/>
          <w:lang w:val="en-GB"/>
        </w:rPr>
        <w:t xml:space="preserve">and </w:t>
      </w:r>
      <w:r w:rsidRPr="00F331E3">
        <w:rPr>
          <w:rFonts w:ascii="Verdana" w:hAnsi="Verdana"/>
          <w:sz w:val="22"/>
          <w:szCs w:val="22"/>
          <w:lang w:val="en-GB"/>
        </w:rPr>
        <w:t>tried</w:t>
      </w:r>
      <w:r w:rsidR="00945682" w:rsidRPr="00F331E3">
        <w:rPr>
          <w:rFonts w:ascii="Verdana" w:hAnsi="Verdana"/>
          <w:sz w:val="22"/>
          <w:szCs w:val="22"/>
          <w:lang w:val="en-GB"/>
        </w:rPr>
        <w:t xml:space="preserve"> by those who are institutional</w:t>
      </w:r>
      <w:r w:rsidR="005A4BBF" w:rsidRPr="00F331E3">
        <w:rPr>
          <w:rFonts w:ascii="Verdana" w:hAnsi="Verdana"/>
          <w:sz w:val="22"/>
          <w:szCs w:val="22"/>
          <w:lang w:val="en-GB"/>
        </w:rPr>
        <w:t>ly</w:t>
      </w:r>
      <w:r w:rsidR="00945682" w:rsidRPr="00F331E3">
        <w:rPr>
          <w:rFonts w:ascii="Verdana" w:hAnsi="Verdana"/>
          <w:sz w:val="22"/>
          <w:szCs w:val="22"/>
          <w:lang w:val="en-GB"/>
        </w:rPr>
        <w:t xml:space="preserve"> linked or otherwise subordinated to the alleged perpetrators. </w:t>
      </w:r>
      <w:r w:rsidR="001203EE" w:rsidRPr="00F331E3">
        <w:rPr>
          <w:rFonts w:ascii="Verdana" w:hAnsi="Verdana"/>
          <w:sz w:val="22"/>
          <w:szCs w:val="22"/>
          <w:lang w:val="en-GB"/>
        </w:rPr>
        <w:t xml:space="preserve">In both Egypt and Tunisia, military </w:t>
      </w:r>
      <w:r w:rsidR="00006909" w:rsidRPr="00F331E3">
        <w:rPr>
          <w:rFonts w:ascii="Verdana" w:hAnsi="Verdana"/>
          <w:sz w:val="22"/>
          <w:szCs w:val="22"/>
          <w:lang w:val="en-GB"/>
        </w:rPr>
        <w:t xml:space="preserve">and security </w:t>
      </w:r>
      <w:r w:rsidR="001203EE" w:rsidRPr="00F331E3">
        <w:rPr>
          <w:rFonts w:ascii="Verdana" w:hAnsi="Verdana"/>
          <w:sz w:val="22"/>
          <w:szCs w:val="22"/>
          <w:lang w:val="en-GB"/>
        </w:rPr>
        <w:t xml:space="preserve">personnel </w:t>
      </w:r>
      <w:r w:rsidR="005A4BBF" w:rsidRPr="00F331E3">
        <w:rPr>
          <w:rFonts w:ascii="Verdana" w:hAnsi="Verdana"/>
          <w:sz w:val="22"/>
          <w:szCs w:val="22"/>
          <w:lang w:val="en-GB"/>
        </w:rPr>
        <w:t>have been responsible for</w:t>
      </w:r>
      <w:r w:rsidR="00006909" w:rsidRPr="00F331E3">
        <w:rPr>
          <w:rFonts w:ascii="Verdana" w:hAnsi="Verdana"/>
          <w:sz w:val="22"/>
          <w:szCs w:val="22"/>
          <w:lang w:val="en-GB"/>
        </w:rPr>
        <w:t xml:space="preserve"> </w:t>
      </w:r>
      <w:r w:rsidR="001203EE" w:rsidRPr="00F331E3">
        <w:rPr>
          <w:rFonts w:ascii="Verdana" w:hAnsi="Verdana"/>
          <w:sz w:val="22"/>
          <w:szCs w:val="22"/>
          <w:lang w:val="en-GB"/>
        </w:rPr>
        <w:t>serious violations of international human rights law, including torture</w:t>
      </w:r>
      <w:r w:rsidR="00006909" w:rsidRPr="00F331E3">
        <w:rPr>
          <w:rFonts w:ascii="Verdana" w:hAnsi="Verdana"/>
          <w:sz w:val="22"/>
          <w:szCs w:val="22"/>
          <w:lang w:val="en-GB"/>
        </w:rPr>
        <w:t xml:space="preserve"> and other </w:t>
      </w:r>
      <w:proofErr w:type="gramStart"/>
      <w:r w:rsidR="00006909" w:rsidRPr="00F331E3">
        <w:rPr>
          <w:rFonts w:ascii="Verdana" w:hAnsi="Verdana"/>
          <w:sz w:val="22"/>
          <w:szCs w:val="22"/>
          <w:lang w:val="en-GB"/>
        </w:rPr>
        <w:t>ill-treatment</w:t>
      </w:r>
      <w:proofErr w:type="gramEnd"/>
      <w:r w:rsidR="001203EE" w:rsidRPr="00F331E3">
        <w:rPr>
          <w:rFonts w:ascii="Verdana" w:hAnsi="Verdana"/>
          <w:sz w:val="22"/>
          <w:szCs w:val="22"/>
          <w:lang w:val="en-GB"/>
        </w:rPr>
        <w:t xml:space="preserve">, arbitrary detention, </w:t>
      </w:r>
      <w:r w:rsidR="00006909" w:rsidRPr="00F331E3">
        <w:rPr>
          <w:rFonts w:ascii="Verdana" w:hAnsi="Verdana"/>
          <w:sz w:val="22"/>
          <w:szCs w:val="22"/>
          <w:lang w:val="en-GB"/>
        </w:rPr>
        <w:t>unlawful killings</w:t>
      </w:r>
      <w:r w:rsidR="001203EE" w:rsidRPr="00F331E3">
        <w:rPr>
          <w:rFonts w:ascii="Verdana" w:hAnsi="Verdana"/>
          <w:sz w:val="22"/>
          <w:szCs w:val="22"/>
          <w:lang w:val="en-GB"/>
        </w:rPr>
        <w:t xml:space="preserve"> and enforced disappearances</w:t>
      </w:r>
      <w:r w:rsidR="00006909" w:rsidRPr="00F331E3">
        <w:rPr>
          <w:rFonts w:ascii="Verdana" w:hAnsi="Verdana"/>
          <w:sz w:val="22"/>
          <w:szCs w:val="22"/>
          <w:lang w:val="en-GB"/>
        </w:rPr>
        <w:t>. These violations</w:t>
      </w:r>
      <w:r w:rsidR="001203EE" w:rsidRPr="00F331E3">
        <w:rPr>
          <w:rFonts w:ascii="Verdana" w:hAnsi="Verdana"/>
          <w:sz w:val="22"/>
          <w:szCs w:val="22"/>
          <w:lang w:val="en-GB"/>
        </w:rPr>
        <w:t xml:space="preserve"> have been </w:t>
      </w:r>
      <w:r w:rsidR="005A4BBF" w:rsidRPr="00F331E3">
        <w:rPr>
          <w:rFonts w:ascii="Verdana" w:hAnsi="Verdana"/>
          <w:sz w:val="22"/>
          <w:szCs w:val="22"/>
          <w:lang w:val="en-GB"/>
        </w:rPr>
        <w:t>widely</w:t>
      </w:r>
      <w:r w:rsidR="001203EE" w:rsidRPr="00F331E3">
        <w:rPr>
          <w:rFonts w:ascii="Verdana" w:hAnsi="Verdana"/>
          <w:sz w:val="22"/>
          <w:szCs w:val="22"/>
          <w:lang w:val="en-GB"/>
        </w:rPr>
        <w:t xml:space="preserve"> documented, including by domestic investigation mechanisms established following the 2010 and 2011 uprisings in both countries. </w:t>
      </w:r>
    </w:p>
    <w:p w14:paraId="6EAF90F5" w14:textId="77777777" w:rsidR="00B0779D" w:rsidRPr="00F331E3" w:rsidRDefault="00B0779D" w:rsidP="0020294E">
      <w:pPr>
        <w:spacing w:line="240" w:lineRule="exact"/>
        <w:jc w:val="both"/>
        <w:rPr>
          <w:rFonts w:ascii="Verdana" w:hAnsi="Verdana"/>
          <w:sz w:val="22"/>
          <w:szCs w:val="22"/>
          <w:lang w:val="en-GB"/>
        </w:rPr>
      </w:pPr>
    </w:p>
    <w:p w14:paraId="33958F61" w14:textId="718796A7" w:rsidR="008D5609" w:rsidRPr="00F331E3" w:rsidRDefault="001F78FC" w:rsidP="0020294E">
      <w:pPr>
        <w:spacing w:line="240" w:lineRule="exact"/>
        <w:jc w:val="both"/>
        <w:rPr>
          <w:rFonts w:ascii="Verdana" w:hAnsi="Verdana"/>
          <w:bCs/>
          <w:sz w:val="22"/>
          <w:szCs w:val="22"/>
          <w:lang w:val="en-GB"/>
        </w:rPr>
      </w:pPr>
      <w:r w:rsidRPr="00F331E3">
        <w:rPr>
          <w:rFonts w:ascii="Verdana" w:hAnsi="Verdana"/>
          <w:bCs/>
          <w:sz w:val="22"/>
          <w:szCs w:val="22"/>
          <w:lang w:val="en-GB"/>
        </w:rPr>
        <w:t>Under international law and standards, r</w:t>
      </w:r>
      <w:r w:rsidR="00D43C4E" w:rsidRPr="00F331E3">
        <w:rPr>
          <w:rFonts w:ascii="Verdana" w:hAnsi="Verdana"/>
          <w:bCs/>
          <w:sz w:val="22"/>
          <w:szCs w:val="22"/>
          <w:lang w:val="en-GB"/>
        </w:rPr>
        <w:t>espect for the right to a fair trial also requires ensuring</w:t>
      </w:r>
      <w:r w:rsidR="008E5804" w:rsidRPr="00F331E3">
        <w:rPr>
          <w:rFonts w:ascii="Verdana" w:hAnsi="Verdana"/>
          <w:bCs/>
          <w:sz w:val="22"/>
          <w:szCs w:val="22"/>
          <w:lang w:val="en-GB"/>
        </w:rPr>
        <w:t xml:space="preserve"> </w:t>
      </w:r>
      <w:r w:rsidR="0046739D" w:rsidRPr="00F331E3">
        <w:rPr>
          <w:rFonts w:ascii="Verdana" w:hAnsi="Verdana"/>
          <w:bCs/>
          <w:sz w:val="22"/>
          <w:szCs w:val="22"/>
          <w:lang w:val="en-GB"/>
        </w:rPr>
        <w:t>and safeguard</w:t>
      </w:r>
      <w:r w:rsidR="00D43C4E" w:rsidRPr="00F331E3">
        <w:rPr>
          <w:rFonts w:ascii="Verdana" w:hAnsi="Verdana"/>
          <w:bCs/>
          <w:sz w:val="22"/>
          <w:szCs w:val="22"/>
          <w:lang w:val="en-GB"/>
        </w:rPr>
        <w:t>ing</w:t>
      </w:r>
      <w:r w:rsidR="008E5804" w:rsidRPr="00F331E3">
        <w:rPr>
          <w:rFonts w:ascii="Verdana" w:hAnsi="Verdana"/>
          <w:bCs/>
          <w:sz w:val="22"/>
          <w:szCs w:val="22"/>
          <w:lang w:val="en-GB"/>
        </w:rPr>
        <w:t xml:space="preserve"> the rights of defence, including the right of individuals arrested or </w:t>
      </w:r>
      <w:r w:rsidR="0046739D" w:rsidRPr="00F331E3">
        <w:rPr>
          <w:rFonts w:ascii="Verdana" w:hAnsi="Verdana"/>
          <w:bCs/>
          <w:sz w:val="22"/>
          <w:szCs w:val="22"/>
          <w:lang w:val="en-GB"/>
        </w:rPr>
        <w:t>detained to have prompt access to a lawyer</w:t>
      </w:r>
      <w:r w:rsidR="00945682" w:rsidRPr="00F331E3">
        <w:rPr>
          <w:rFonts w:ascii="Verdana" w:hAnsi="Verdana"/>
          <w:bCs/>
          <w:sz w:val="22"/>
          <w:szCs w:val="22"/>
          <w:lang w:val="en-GB"/>
        </w:rPr>
        <w:t>,</w:t>
      </w:r>
      <w:r w:rsidR="0046739D" w:rsidRPr="00F331E3">
        <w:rPr>
          <w:rFonts w:ascii="Verdana" w:hAnsi="Verdana"/>
          <w:bCs/>
          <w:sz w:val="22"/>
          <w:szCs w:val="22"/>
          <w:lang w:val="en-GB"/>
        </w:rPr>
        <w:t xml:space="preserve"> to</w:t>
      </w:r>
      <w:r w:rsidR="008E5804" w:rsidRPr="00F331E3">
        <w:rPr>
          <w:rFonts w:ascii="Verdana" w:hAnsi="Verdana"/>
          <w:bCs/>
          <w:sz w:val="22"/>
          <w:szCs w:val="22"/>
          <w:lang w:val="en-GB"/>
        </w:rPr>
        <w:t xml:space="preserve"> </w:t>
      </w:r>
      <w:r w:rsidR="00945682" w:rsidRPr="00F331E3">
        <w:rPr>
          <w:rFonts w:ascii="Verdana" w:hAnsi="Verdana"/>
          <w:bCs/>
          <w:sz w:val="22"/>
          <w:szCs w:val="22"/>
          <w:lang w:val="en-GB"/>
        </w:rPr>
        <w:t xml:space="preserve">consult with their lawyer in full confidentiality, and to </w:t>
      </w:r>
      <w:r w:rsidR="008E5804" w:rsidRPr="00F331E3">
        <w:rPr>
          <w:rFonts w:ascii="Verdana" w:hAnsi="Verdana"/>
          <w:bCs/>
          <w:sz w:val="22"/>
          <w:szCs w:val="22"/>
          <w:lang w:val="en-GB"/>
        </w:rPr>
        <w:t xml:space="preserve">have adequate </w:t>
      </w:r>
      <w:r w:rsidR="0046739D" w:rsidRPr="00F331E3">
        <w:rPr>
          <w:rFonts w:ascii="Verdana" w:hAnsi="Verdana"/>
          <w:bCs/>
          <w:sz w:val="22"/>
          <w:szCs w:val="22"/>
          <w:lang w:val="en-GB"/>
        </w:rPr>
        <w:t xml:space="preserve">time and facilities to prepare their defence. </w:t>
      </w:r>
    </w:p>
    <w:p w14:paraId="31B3CD1F" w14:textId="77777777" w:rsidR="002B0FDB" w:rsidRPr="00F331E3" w:rsidRDefault="002B0FDB" w:rsidP="0020294E">
      <w:pPr>
        <w:spacing w:line="240" w:lineRule="exact"/>
        <w:jc w:val="both"/>
        <w:rPr>
          <w:rFonts w:ascii="Verdana" w:hAnsi="Verdana"/>
          <w:sz w:val="22"/>
          <w:szCs w:val="22"/>
          <w:lang w:val="en-GB"/>
        </w:rPr>
      </w:pPr>
    </w:p>
    <w:p w14:paraId="06F9CF1D" w14:textId="12326FFC" w:rsidR="007643E0" w:rsidRPr="00F331E3" w:rsidRDefault="002B0FDB"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However, in many countries in the </w:t>
      </w:r>
      <w:r w:rsidR="006C71B8" w:rsidRPr="00F331E3">
        <w:rPr>
          <w:rFonts w:ascii="Verdana" w:hAnsi="Verdana"/>
          <w:sz w:val="22"/>
          <w:szCs w:val="22"/>
          <w:lang w:val="en-GB"/>
        </w:rPr>
        <w:t xml:space="preserve">MENA </w:t>
      </w:r>
      <w:r w:rsidRPr="00F331E3">
        <w:rPr>
          <w:rFonts w:ascii="Verdana" w:hAnsi="Verdana"/>
          <w:sz w:val="22"/>
          <w:szCs w:val="22"/>
          <w:lang w:val="en-GB"/>
        </w:rPr>
        <w:t xml:space="preserve">region, proceedings before </w:t>
      </w:r>
      <w:r w:rsidR="007643E0" w:rsidRPr="00F331E3">
        <w:rPr>
          <w:rFonts w:ascii="Verdana" w:hAnsi="Verdana"/>
          <w:sz w:val="22"/>
          <w:szCs w:val="22"/>
          <w:lang w:val="en-GB"/>
        </w:rPr>
        <w:t>military</w:t>
      </w:r>
      <w:r w:rsidRPr="00F331E3">
        <w:rPr>
          <w:rFonts w:ascii="Verdana" w:hAnsi="Verdana"/>
          <w:sz w:val="22"/>
          <w:szCs w:val="22"/>
          <w:lang w:val="en-GB"/>
        </w:rPr>
        <w:t xml:space="preserve"> courts generally </w:t>
      </w:r>
      <w:r w:rsidR="00E77A70" w:rsidRPr="00F331E3">
        <w:rPr>
          <w:rFonts w:ascii="Verdana" w:hAnsi="Verdana"/>
          <w:sz w:val="22"/>
          <w:szCs w:val="22"/>
          <w:lang w:val="en-GB"/>
        </w:rPr>
        <w:t>fail to meet these requirements and t</w:t>
      </w:r>
      <w:r w:rsidR="007643E0" w:rsidRPr="00F331E3">
        <w:rPr>
          <w:rFonts w:ascii="Verdana" w:hAnsi="Verdana"/>
          <w:sz w:val="22"/>
          <w:szCs w:val="22"/>
          <w:lang w:val="en-GB"/>
        </w:rPr>
        <w:t xml:space="preserve">he rights of defence are </w:t>
      </w:r>
      <w:r w:rsidR="00372749" w:rsidRPr="00F331E3">
        <w:rPr>
          <w:rFonts w:ascii="Verdana" w:hAnsi="Verdana"/>
          <w:sz w:val="22"/>
          <w:szCs w:val="22"/>
          <w:lang w:val="en-GB"/>
        </w:rPr>
        <w:t>largely undermined. This include</w:t>
      </w:r>
      <w:r w:rsidR="005A4BBF" w:rsidRPr="00F331E3">
        <w:rPr>
          <w:rFonts w:ascii="Verdana" w:hAnsi="Verdana"/>
          <w:sz w:val="22"/>
          <w:szCs w:val="22"/>
          <w:lang w:val="en-GB"/>
        </w:rPr>
        <w:t>s</w:t>
      </w:r>
      <w:r w:rsidR="007643E0" w:rsidRPr="00F331E3">
        <w:rPr>
          <w:rFonts w:ascii="Verdana" w:hAnsi="Verdana"/>
          <w:sz w:val="22"/>
          <w:szCs w:val="22"/>
          <w:lang w:val="en-GB"/>
        </w:rPr>
        <w:t xml:space="preserve"> denying or severely limiting detainees’ access to legal counsel</w:t>
      </w:r>
      <w:r w:rsidR="00372749" w:rsidRPr="00F331E3">
        <w:rPr>
          <w:rFonts w:ascii="Verdana" w:hAnsi="Verdana"/>
          <w:sz w:val="22"/>
          <w:szCs w:val="22"/>
          <w:lang w:val="en-GB"/>
        </w:rPr>
        <w:t>, denying or severely limiting detainees’</w:t>
      </w:r>
      <w:r w:rsidR="007643E0" w:rsidRPr="00F331E3">
        <w:rPr>
          <w:rFonts w:ascii="Verdana" w:hAnsi="Verdana"/>
          <w:sz w:val="22"/>
          <w:szCs w:val="22"/>
          <w:lang w:val="en-GB"/>
        </w:rPr>
        <w:t xml:space="preserve"> </w:t>
      </w:r>
      <w:r w:rsidR="00372749" w:rsidRPr="00F331E3">
        <w:rPr>
          <w:rFonts w:ascii="Verdana" w:hAnsi="Verdana"/>
          <w:sz w:val="22"/>
          <w:szCs w:val="22"/>
          <w:lang w:val="en-GB"/>
        </w:rPr>
        <w:t xml:space="preserve">right </w:t>
      </w:r>
      <w:r w:rsidR="007643E0" w:rsidRPr="00F331E3">
        <w:rPr>
          <w:rFonts w:ascii="Verdana" w:hAnsi="Verdana"/>
          <w:sz w:val="22"/>
          <w:szCs w:val="22"/>
          <w:lang w:val="en-GB"/>
        </w:rPr>
        <w:t xml:space="preserve">to communicate </w:t>
      </w:r>
      <w:r w:rsidR="006C71B8" w:rsidRPr="00F331E3">
        <w:rPr>
          <w:rFonts w:ascii="Verdana" w:hAnsi="Verdana"/>
          <w:sz w:val="22"/>
          <w:szCs w:val="22"/>
          <w:lang w:val="en-GB"/>
        </w:rPr>
        <w:t xml:space="preserve">with </w:t>
      </w:r>
      <w:r w:rsidR="00372749" w:rsidRPr="00F331E3">
        <w:rPr>
          <w:rFonts w:ascii="Verdana" w:hAnsi="Verdana"/>
          <w:sz w:val="22"/>
          <w:szCs w:val="22"/>
          <w:lang w:val="en-GB"/>
        </w:rPr>
        <w:t xml:space="preserve">their lawyers </w:t>
      </w:r>
      <w:r w:rsidR="007643E0" w:rsidRPr="00F331E3">
        <w:rPr>
          <w:rFonts w:ascii="Verdana" w:hAnsi="Verdana"/>
          <w:sz w:val="22"/>
          <w:szCs w:val="22"/>
          <w:lang w:val="en-GB"/>
        </w:rPr>
        <w:t>confidentially, and r</w:t>
      </w:r>
      <w:r w:rsidR="006C71B8" w:rsidRPr="00F331E3">
        <w:rPr>
          <w:rFonts w:ascii="Verdana" w:hAnsi="Verdana"/>
          <w:sz w:val="22"/>
          <w:szCs w:val="22"/>
          <w:lang w:val="en-GB"/>
        </w:rPr>
        <w:t>estricting</w:t>
      </w:r>
      <w:r w:rsidR="007643E0" w:rsidRPr="00F331E3">
        <w:rPr>
          <w:rFonts w:ascii="Verdana" w:hAnsi="Verdana"/>
          <w:sz w:val="22"/>
          <w:szCs w:val="22"/>
          <w:lang w:val="en-GB"/>
        </w:rPr>
        <w:t xml:space="preserve"> the a</w:t>
      </w:r>
      <w:r w:rsidR="005A4BBF" w:rsidRPr="00F331E3">
        <w:rPr>
          <w:rFonts w:ascii="Verdana" w:hAnsi="Verdana"/>
          <w:sz w:val="22"/>
          <w:szCs w:val="22"/>
          <w:lang w:val="en-GB"/>
        </w:rPr>
        <w:t>ccused and their legal counsel’s</w:t>
      </w:r>
      <w:r w:rsidR="007643E0" w:rsidRPr="00F331E3">
        <w:rPr>
          <w:rFonts w:ascii="Verdana" w:hAnsi="Verdana"/>
          <w:sz w:val="22"/>
          <w:szCs w:val="22"/>
          <w:lang w:val="en-GB"/>
        </w:rPr>
        <w:t xml:space="preserve"> access to the case file, including the formal charges</w:t>
      </w:r>
      <w:r w:rsidR="006C71B8" w:rsidRPr="00F331E3">
        <w:rPr>
          <w:rFonts w:ascii="Verdana" w:hAnsi="Verdana"/>
          <w:sz w:val="22"/>
          <w:szCs w:val="22"/>
          <w:lang w:val="en-GB"/>
        </w:rPr>
        <w:t xml:space="preserve"> </w:t>
      </w:r>
      <w:r w:rsidR="007643E0" w:rsidRPr="00F331E3">
        <w:rPr>
          <w:rFonts w:ascii="Verdana" w:hAnsi="Verdana"/>
          <w:sz w:val="22"/>
          <w:szCs w:val="22"/>
          <w:lang w:val="en-GB"/>
        </w:rPr>
        <w:t>and evidence against the accused.</w:t>
      </w:r>
    </w:p>
    <w:p w14:paraId="1BF506B6" w14:textId="7EB53A0D" w:rsidR="002B0FDB" w:rsidRPr="00F331E3" w:rsidRDefault="002B0FDB" w:rsidP="0020294E">
      <w:pPr>
        <w:spacing w:line="240" w:lineRule="exact"/>
        <w:jc w:val="both"/>
        <w:rPr>
          <w:rFonts w:ascii="Verdana" w:hAnsi="Verdana"/>
          <w:sz w:val="22"/>
          <w:szCs w:val="22"/>
          <w:lang w:val="en-GB"/>
        </w:rPr>
      </w:pPr>
    </w:p>
    <w:p w14:paraId="49D3A7C4" w14:textId="066AC9A4" w:rsidR="007643E0" w:rsidRPr="00F331E3" w:rsidRDefault="007643E0" w:rsidP="0020294E">
      <w:pPr>
        <w:spacing w:line="240" w:lineRule="exact"/>
        <w:jc w:val="both"/>
        <w:rPr>
          <w:rFonts w:ascii="Verdana" w:hAnsi="Verdana"/>
          <w:b/>
          <w:bCs/>
          <w:sz w:val="22"/>
          <w:szCs w:val="22"/>
          <w:lang w:val="en-GB"/>
        </w:rPr>
      </w:pPr>
      <w:r w:rsidRPr="00F331E3">
        <w:rPr>
          <w:rFonts w:ascii="Verdana" w:hAnsi="Verdana"/>
          <w:bCs/>
          <w:sz w:val="22"/>
          <w:szCs w:val="22"/>
          <w:lang w:val="en-GB"/>
        </w:rPr>
        <w:t>In Morocco, for example, the accused is guaranteed only five days’ not</w:t>
      </w:r>
      <w:r w:rsidR="005A4BBF" w:rsidRPr="00F331E3">
        <w:rPr>
          <w:rFonts w:ascii="Verdana" w:hAnsi="Verdana"/>
          <w:bCs/>
          <w:sz w:val="22"/>
          <w:szCs w:val="22"/>
          <w:lang w:val="en-GB"/>
        </w:rPr>
        <w:t>ice before the first hearing of the charges,</w:t>
      </w:r>
      <w:r w:rsidRPr="00F331E3">
        <w:rPr>
          <w:rFonts w:ascii="Verdana" w:hAnsi="Verdana"/>
          <w:bCs/>
          <w:sz w:val="22"/>
          <w:szCs w:val="22"/>
          <w:lang w:val="en-GB"/>
        </w:rPr>
        <w:t xml:space="preserve"> the applicable legal provision u</w:t>
      </w:r>
      <w:r w:rsidR="005A4BBF" w:rsidRPr="00F331E3">
        <w:rPr>
          <w:rFonts w:ascii="Verdana" w:hAnsi="Verdana"/>
          <w:bCs/>
          <w:sz w:val="22"/>
          <w:szCs w:val="22"/>
          <w:lang w:val="en-GB"/>
        </w:rPr>
        <w:t>nder which he or she is charged</w:t>
      </w:r>
      <w:r w:rsidRPr="00F331E3">
        <w:rPr>
          <w:rFonts w:ascii="Verdana" w:hAnsi="Verdana"/>
          <w:bCs/>
          <w:sz w:val="22"/>
          <w:szCs w:val="22"/>
          <w:lang w:val="en-GB"/>
        </w:rPr>
        <w:t xml:space="preserve"> and the details of witnesses that will be called. </w:t>
      </w:r>
      <w:r w:rsidR="00580E7B">
        <w:rPr>
          <w:rFonts w:ascii="Verdana" w:hAnsi="Verdana"/>
          <w:bCs/>
          <w:sz w:val="22"/>
          <w:szCs w:val="22"/>
          <w:lang w:val="en-GB"/>
        </w:rPr>
        <w:t>Under article 80 of the CMJ, t</w:t>
      </w:r>
      <w:r w:rsidRPr="00F331E3">
        <w:rPr>
          <w:rFonts w:ascii="Verdana" w:hAnsi="Verdana"/>
          <w:bCs/>
          <w:sz w:val="22"/>
          <w:szCs w:val="22"/>
          <w:lang w:val="en-GB"/>
        </w:rPr>
        <w:t xml:space="preserve">he accused must also notify the military court before the first session of the witnesses they intend to call. </w:t>
      </w:r>
    </w:p>
    <w:p w14:paraId="3A32669B" w14:textId="77777777" w:rsidR="002B0FDB" w:rsidRPr="00F331E3" w:rsidRDefault="002B0FDB" w:rsidP="0020294E">
      <w:pPr>
        <w:spacing w:line="240" w:lineRule="exact"/>
        <w:jc w:val="both"/>
        <w:rPr>
          <w:rFonts w:ascii="Verdana" w:hAnsi="Verdana"/>
          <w:sz w:val="22"/>
          <w:szCs w:val="22"/>
          <w:lang w:val="en-GB"/>
        </w:rPr>
      </w:pPr>
    </w:p>
    <w:p w14:paraId="41879DB4" w14:textId="0082A0F8" w:rsidR="00AC4A5B" w:rsidRPr="00F331E3" w:rsidRDefault="00B56647"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 Egypt, </w:t>
      </w:r>
      <w:r w:rsidR="00580E7B">
        <w:rPr>
          <w:rFonts w:ascii="Verdana" w:hAnsi="Verdana"/>
          <w:bCs/>
          <w:sz w:val="22"/>
          <w:szCs w:val="22"/>
          <w:lang w:val="en-GB"/>
        </w:rPr>
        <w:t>u</w:t>
      </w:r>
      <w:r w:rsidRPr="00F331E3">
        <w:rPr>
          <w:rFonts w:ascii="Verdana" w:hAnsi="Verdana"/>
          <w:bCs/>
          <w:sz w:val="22"/>
          <w:szCs w:val="22"/>
          <w:lang w:val="en-GB"/>
        </w:rPr>
        <w:t xml:space="preserve">nder </w:t>
      </w:r>
      <w:r w:rsidR="00580E7B">
        <w:rPr>
          <w:rFonts w:ascii="Verdana" w:hAnsi="Verdana"/>
          <w:bCs/>
          <w:sz w:val="22"/>
          <w:szCs w:val="22"/>
          <w:lang w:val="en-GB"/>
        </w:rPr>
        <w:t xml:space="preserve">article 68 of </w:t>
      </w:r>
      <w:r w:rsidRPr="00F331E3">
        <w:rPr>
          <w:rFonts w:ascii="Verdana" w:hAnsi="Verdana"/>
          <w:bCs/>
          <w:sz w:val="22"/>
          <w:szCs w:val="22"/>
          <w:lang w:val="en-GB"/>
        </w:rPr>
        <w:t xml:space="preserve">the MJL, a person charged with a criminal offence is given a minimum of 24 </w:t>
      </w:r>
      <w:r w:rsidR="005A4BBF" w:rsidRPr="00F331E3">
        <w:rPr>
          <w:rFonts w:ascii="Verdana" w:hAnsi="Verdana"/>
          <w:bCs/>
          <w:sz w:val="22"/>
          <w:szCs w:val="22"/>
          <w:lang w:val="en-GB"/>
        </w:rPr>
        <w:t>hours’ notice</w:t>
      </w:r>
      <w:r w:rsidRPr="00F331E3">
        <w:rPr>
          <w:rFonts w:ascii="Verdana" w:hAnsi="Verdana"/>
          <w:bCs/>
          <w:sz w:val="22"/>
          <w:szCs w:val="22"/>
          <w:lang w:val="en-GB"/>
        </w:rPr>
        <w:t xml:space="preserve"> before appearing before the court. </w:t>
      </w:r>
    </w:p>
    <w:p w14:paraId="19285F41" w14:textId="77777777" w:rsidR="00AC4A5B" w:rsidRPr="00F331E3" w:rsidRDefault="00AC4A5B" w:rsidP="0020294E">
      <w:pPr>
        <w:spacing w:line="240" w:lineRule="exact"/>
        <w:jc w:val="both"/>
        <w:rPr>
          <w:rFonts w:ascii="Verdana" w:hAnsi="Verdana"/>
          <w:sz w:val="22"/>
          <w:szCs w:val="22"/>
          <w:lang w:val="en-GB"/>
        </w:rPr>
      </w:pPr>
    </w:p>
    <w:p w14:paraId="7AD515EF" w14:textId="1156E79A" w:rsidR="00FE4996" w:rsidRPr="00F331E3" w:rsidRDefault="00AC4A5B" w:rsidP="0020294E">
      <w:pPr>
        <w:widowControl w:val="0"/>
        <w:autoSpaceDE w:val="0"/>
        <w:autoSpaceDN w:val="0"/>
        <w:adjustRightInd w:val="0"/>
        <w:spacing w:line="240" w:lineRule="exact"/>
        <w:jc w:val="both"/>
        <w:rPr>
          <w:rFonts w:ascii="Verdana" w:hAnsi="Verdana"/>
          <w:sz w:val="22"/>
          <w:szCs w:val="22"/>
          <w:lang w:val="en-GB"/>
        </w:rPr>
      </w:pPr>
      <w:r w:rsidRPr="00F331E3">
        <w:rPr>
          <w:rFonts w:ascii="Verdana" w:hAnsi="Verdana"/>
          <w:sz w:val="22"/>
          <w:szCs w:val="22"/>
          <w:lang w:val="en-GB"/>
        </w:rPr>
        <w:t xml:space="preserve">In General Comment No. 32, the Human Rights Committee stated that what counts as “adequate time” </w:t>
      </w:r>
      <w:r w:rsidR="00AB3539" w:rsidRPr="00F331E3">
        <w:rPr>
          <w:rFonts w:ascii="Verdana" w:hAnsi="Verdana"/>
          <w:bCs/>
          <w:sz w:val="22"/>
          <w:szCs w:val="22"/>
          <w:lang w:val="en-GB"/>
        </w:rPr>
        <w:t xml:space="preserve">to prepare </w:t>
      </w:r>
      <w:r w:rsidR="00AB3539">
        <w:rPr>
          <w:rFonts w:ascii="Verdana" w:hAnsi="Verdana"/>
          <w:bCs/>
          <w:sz w:val="22"/>
          <w:szCs w:val="22"/>
          <w:lang w:val="en-GB"/>
        </w:rPr>
        <w:t>one’s</w:t>
      </w:r>
      <w:r w:rsidR="00AB3539" w:rsidRPr="00F331E3">
        <w:rPr>
          <w:rFonts w:ascii="Verdana" w:hAnsi="Verdana"/>
          <w:bCs/>
          <w:sz w:val="22"/>
          <w:szCs w:val="22"/>
          <w:lang w:val="en-GB"/>
        </w:rPr>
        <w:t xml:space="preserve"> defence</w:t>
      </w:r>
      <w:r w:rsidR="00AB3539" w:rsidRPr="00F331E3">
        <w:rPr>
          <w:rFonts w:ascii="Verdana" w:hAnsi="Verdana"/>
          <w:sz w:val="22"/>
          <w:szCs w:val="22"/>
          <w:lang w:val="en-GB"/>
        </w:rPr>
        <w:t xml:space="preserve"> </w:t>
      </w:r>
      <w:r w:rsidRPr="00F331E3">
        <w:rPr>
          <w:rFonts w:ascii="Verdana" w:hAnsi="Verdana"/>
          <w:sz w:val="22"/>
          <w:szCs w:val="22"/>
          <w:lang w:val="en-GB"/>
        </w:rPr>
        <w:t xml:space="preserve">depends on the circumstances of each case. “If counsel reasonably feel that the time for the preparation of the defence is insufficient, it is incumbent on them to request the adjournment of the trial. There is an obligation to grant reasonable requests for adjournment, in particular, when the accused is charged with a serious criminal offence and additional time for preparation of the defence is needed.” </w:t>
      </w:r>
    </w:p>
    <w:p w14:paraId="240C316B" w14:textId="77777777" w:rsidR="00FE4996" w:rsidRPr="00F331E3" w:rsidRDefault="00FE4996" w:rsidP="0020294E">
      <w:pPr>
        <w:widowControl w:val="0"/>
        <w:autoSpaceDE w:val="0"/>
        <w:autoSpaceDN w:val="0"/>
        <w:adjustRightInd w:val="0"/>
        <w:spacing w:line="240" w:lineRule="exact"/>
        <w:jc w:val="both"/>
        <w:rPr>
          <w:rFonts w:ascii="Verdana" w:hAnsi="Verdana"/>
          <w:sz w:val="22"/>
          <w:szCs w:val="22"/>
          <w:lang w:val="en-GB"/>
        </w:rPr>
      </w:pPr>
    </w:p>
    <w:p w14:paraId="6CE94D58" w14:textId="7DA375F4" w:rsidR="00B56647" w:rsidRPr="00F331E3" w:rsidRDefault="00FE4996" w:rsidP="0020294E">
      <w:pPr>
        <w:widowControl w:val="0"/>
        <w:autoSpaceDE w:val="0"/>
        <w:autoSpaceDN w:val="0"/>
        <w:adjustRightInd w:val="0"/>
        <w:spacing w:line="240" w:lineRule="exact"/>
        <w:jc w:val="both"/>
        <w:rPr>
          <w:rFonts w:ascii="Verdana" w:hAnsi="Verdana" w:cs="AmnestyTradeGothic-Light"/>
          <w:sz w:val="22"/>
          <w:szCs w:val="22"/>
          <w:lang w:val="en-GB"/>
        </w:rPr>
      </w:pPr>
      <w:r w:rsidRPr="00F331E3">
        <w:rPr>
          <w:rFonts w:ascii="Verdana" w:hAnsi="Verdana" w:cs="AmnestyTradeGothic-Light"/>
          <w:sz w:val="22"/>
          <w:szCs w:val="22"/>
          <w:lang w:val="en-GB"/>
        </w:rPr>
        <w:t>In addition</w:t>
      </w:r>
      <w:r w:rsidR="00A00221" w:rsidRPr="00F331E3">
        <w:rPr>
          <w:rFonts w:ascii="Verdana" w:hAnsi="Verdana" w:cs="AmnestyTradeGothic-Light"/>
          <w:sz w:val="22"/>
          <w:szCs w:val="22"/>
          <w:lang w:val="en-GB"/>
        </w:rPr>
        <w:t>,</w:t>
      </w:r>
      <w:r w:rsidRPr="00F331E3">
        <w:rPr>
          <w:rFonts w:ascii="Verdana" w:hAnsi="Verdana" w:cs="AmnestyTradeGothic-Light"/>
          <w:sz w:val="22"/>
          <w:szCs w:val="22"/>
          <w:lang w:val="en-GB"/>
        </w:rPr>
        <w:t xml:space="preserve"> “adequate facilities” must include access to “all materials that the prosecution plans to offer in court against the accused or that are exculpatory”. In the case of Egypt, </w:t>
      </w:r>
      <w:r w:rsidRPr="00F331E3">
        <w:rPr>
          <w:rFonts w:ascii="Verdana" w:hAnsi="Verdana"/>
          <w:sz w:val="22"/>
          <w:szCs w:val="22"/>
          <w:lang w:val="en-GB"/>
        </w:rPr>
        <w:t>t</w:t>
      </w:r>
      <w:r w:rsidR="00B56647" w:rsidRPr="00F331E3">
        <w:rPr>
          <w:rFonts w:ascii="Verdana" w:hAnsi="Verdana"/>
          <w:sz w:val="22"/>
          <w:szCs w:val="22"/>
          <w:lang w:val="en-GB"/>
        </w:rPr>
        <w:t>he accused or his or her representative may review the case file but may not copy any documents considered classified</w:t>
      </w:r>
      <w:r w:rsidR="00580E7B">
        <w:rPr>
          <w:rFonts w:ascii="Verdana" w:hAnsi="Verdana"/>
          <w:sz w:val="22"/>
          <w:szCs w:val="22"/>
          <w:lang w:val="en-GB"/>
        </w:rPr>
        <w:t xml:space="preserve"> (article 67 of the MJL)</w:t>
      </w:r>
      <w:r w:rsidR="00B56647" w:rsidRPr="00F331E3">
        <w:rPr>
          <w:rFonts w:ascii="Verdana" w:hAnsi="Verdana"/>
          <w:sz w:val="22"/>
          <w:szCs w:val="22"/>
          <w:lang w:val="en-GB"/>
        </w:rPr>
        <w:t xml:space="preserve">. </w:t>
      </w:r>
      <w:r w:rsidRPr="00F331E3">
        <w:rPr>
          <w:rFonts w:ascii="Verdana" w:hAnsi="Verdana"/>
          <w:sz w:val="22"/>
          <w:szCs w:val="22"/>
          <w:lang w:val="en-GB"/>
        </w:rPr>
        <w:t>In Morocco, the prosecutor cannot share secret classified documents with the defence counsel</w:t>
      </w:r>
      <w:r w:rsidR="00580E7B">
        <w:rPr>
          <w:rFonts w:ascii="Verdana" w:hAnsi="Verdana"/>
          <w:sz w:val="22"/>
          <w:szCs w:val="22"/>
          <w:lang w:val="en-GB"/>
        </w:rPr>
        <w:t xml:space="preserve"> (article 80 of the CMJ)</w:t>
      </w:r>
      <w:r w:rsidRPr="00F331E3">
        <w:rPr>
          <w:rFonts w:ascii="Verdana" w:hAnsi="Verdana"/>
          <w:sz w:val="22"/>
          <w:szCs w:val="22"/>
          <w:lang w:val="en-GB"/>
        </w:rPr>
        <w:t>.</w:t>
      </w:r>
      <w:r w:rsidR="00B56647" w:rsidRPr="00F331E3">
        <w:rPr>
          <w:rFonts w:ascii="Verdana" w:hAnsi="Verdana"/>
          <w:sz w:val="22"/>
          <w:szCs w:val="22"/>
          <w:lang w:val="en-GB"/>
        </w:rPr>
        <w:t xml:space="preserve"> </w:t>
      </w:r>
      <w:r w:rsidR="00A00221" w:rsidRPr="00F331E3">
        <w:rPr>
          <w:rFonts w:ascii="Verdana" w:hAnsi="Verdana" w:cs="AmnestyTradeGothic-Light"/>
          <w:sz w:val="22"/>
          <w:szCs w:val="22"/>
          <w:lang w:val="en-GB"/>
        </w:rPr>
        <w:t>The Prosecutor has discretionary powers to decide which documents cannot be shared with the defence because they are secret.</w:t>
      </w:r>
    </w:p>
    <w:p w14:paraId="59D0DC27" w14:textId="220F2606" w:rsidR="002B0FDB" w:rsidRPr="00F331E3" w:rsidRDefault="002B0FDB"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 </w:t>
      </w:r>
    </w:p>
    <w:p w14:paraId="7AF97404" w14:textId="4DA0B3E7" w:rsidR="00A00221" w:rsidRPr="00F331E3" w:rsidRDefault="00A00221" w:rsidP="0020294E">
      <w:pPr>
        <w:widowControl w:val="0"/>
        <w:autoSpaceDE w:val="0"/>
        <w:autoSpaceDN w:val="0"/>
        <w:adjustRightInd w:val="0"/>
        <w:spacing w:line="240" w:lineRule="exact"/>
        <w:jc w:val="both"/>
        <w:rPr>
          <w:rFonts w:ascii="Verdana" w:hAnsi="Verdana" w:cs="AmnestyTradeGothic-Light"/>
          <w:sz w:val="22"/>
          <w:szCs w:val="22"/>
          <w:lang w:val="en-GB"/>
        </w:rPr>
      </w:pPr>
      <w:r w:rsidRPr="00F331E3">
        <w:rPr>
          <w:rFonts w:ascii="Verdana" w:hAnsi="Verdana"/>
          <w:sz w:val="22"/>
          <w:szCs w:val="22"/>
          <w:lang w:val="en-GB"/>
        </w:rPr>
        <w:t xml:space="preserve">Such provisions run counter to international standards on the rights of defence and the principle of equality of arms. Under this principle, </w:t>
      </w:r>
      <w:r w:rsidRPr="00F331E3">
        <w:rPr>
          <w:rFonts w:ascii="Verdana" w:hAnsi="Verdana" w:cs="AmnestyTradeGothic-Light"/>
          <w:sz w:val="22"/>
          <w:szCs w:val="22"/>
          <w:lang w:val="en-GB"/>
        </w:rPr>
        <w:t xml:space="preserve">the </w:t>
      </w:r>
      <w:r w:rsidRPr="00F331E3">
        <w:rPr>
          <w:rFonts w:ascii="Verdana" w:hAnsi="Verdana" w:cs="AmnestyTradeGothic-Light"/>
          <w:sz w:val="22"/>
          <w:szCs w:val="22"/>
          <w:lang w:val="en-GB"/>
        </w:rPr>
        <w:lastRenderedPageBreak/>
        <w:t>defence should be able to prepare and present its case on a footing equal to that of the prosecution.</w:t>
      </w:r>
      <w:r w:rsidR="005E5476" w:rsidRPr="00F331E3">
        <w:rPr>
          <w:rFonts w:ascii="Verdana" w:hAnsi="Verdana" w:cs="AmnestyTradeGothic-Light"/>
          <w:sz w:val="22"/>
          <w:szCs w:val="22"/>
          <w:lang w:val="en-GB"/>
        </w:rPr>
        <w:t xml:space="preserve"> As the European Court of Human Rights has recognised, “a trial would not be fair if it took place in such conditions as to put the accused unfairly at a disadvantage”.</w:t>
      </w:r>
      <w:r w:rsidR="005E5476" w:rsidRPr="00F331E3">
        <w:rPr>
          <w:rStyle w:val="FootnoteReference"/>
          <w:rFonts w:ascii="Verdana" w:hAnsi="Verdana" w:cs="AmnestyTradeGothic-Light"/>
          <w:sz w:val="22"/>
          <w:szCs w:val="22"/>
          <w:lang w:val="en-GB"/>
        </w:rPr>
        <w:footnoteReference w:id="8"/>
      </w:r>
    </w:p>
    <w:p w14:paraId="7E84C142" w14:textId="77777777" w:rsidR="00670533" w:rsidRPr="00F331E3" w:rsidRDefault="00670533" w:rsidP="0020294E">
      <w:pPr>
        <w:widowControl w:val="0"/>
        <w:autoSpaceDE w:val="0"/>
        <w:autoSpaceDN w:val="0"/>
        <w:adjustRightInd w:val="0"/>
        <w:spacing w:line="240" w:lineRule="exact"/>
        <w:jc w:val="both"/>
        <w:rPr>
          <w:rFonts w:ascii="Verdana" w:hAnsi="Verdana" w:cs="AmnestyTradeGothic-Light"/>
          <w:sz w:val="22"/>
          <w:szCs w:val="22"/>
          <w:lang w:val="en-GB"/>
        </w:rPr>
      </w:pPr>
    </w:p>
    <w:p w14:paraId="14AC2123" w14:textId="321D698C" w:rsidR="00670533" w:rsidRPr="00F331E3" w:rsidRDefault="007819AE" w:rsidP="0020294E">
      <w:pPr>
        <w:spacing w:line="240" w:lineRule="exact"/>
        <w:jc w:val="both"/>
        <w:rPr>
          <w:rFonts w:ascii="Verdana" w:hAnsi="Verdana"/>
          <w:sz w:val="22"/>
          <w:szCs w:val="22"/>
          <w:lang w:val="en-GB"/>
        </w:rPr>
      </w:pPr>
      <w:r w:rsidRPr="00F331E3">
        <w:rPr>
          <w:rFonts w:ascii="Verdana" w:hAnsi="Verdana"/>
          <w:sz w:val="22"/>
          <w:szCs w:val="22"/>
          <w:lang w:val="en-GB"/>
        </w:rPr>
        <w:t>Ladies and gentlemen,</w:t>
      </w:r>
    </w:p>
    <w:p w14:paraId="2A7FE8AC" w14:textId="77777777" w:rsidR="00670533" w:rsidRPr="00F331E3" w:rsidRDefault="00670533" w:rsidP="0020294E">
      <w:pPr>
        <w:spacing w:line="240" w:lineRule="exact"/>
        <w:jc w:val="both"/>
        <w:rPr>
          <w:rFonts w:ascii="Verdana" w:hAnsi="Verdana"/>
          <w:sz w:val="22"/>
          <w:szCs w:val="22"/>
          <w:lang w:val="en-GB"/>
        </w:rPr>
      </w:pPr>
    </w:p>
    <w:p w14:paraId="080DE7BA" w14:textId="12A3C48D"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 would like now to emphasize two further points that I think are important to the debate about the administration of justice through military courts, in particular their jurisdiction over civilians as well as over allegations of human rights violations and </w:t>
      </w:r>
      <w:r w:rsidR="0020294E" w:rsidRPr="00F331E3">
        <w:rPr>
          <w:rFonts w:ascii="Verdana" w:hAnsi="Verdana"/>
          <w:sz w:val="22"/>
          <w:szCs w:val="22"/>
          <w:lang w:val="en-GB"/>
        </w:rPr>
        <w:t>ordinary crimes committed</w:t>
      </w:r>
      <w:r w:rsidRPr="00F331E3">
        <w:rPr>
          <w:rFonts w:ascii="Verdana" w:hAnsi="Verdana"/>
          <w:sz w:val="22"/>
          <w:szCs w:val="22"/>
          <w:lang w:val="en-GB"/>
        </w:rPr>
        <w:t xml:space="preserve"> by military personnel.</w:t>
      </w:r>
    </w:p>
    <w:p w14:paraId="187F8ADD" w14:textId="77777777" w:rsidR="00670533" w:rsidRPr="00F331E3" w:rsidRDefault="00670533" w:rsidP="0020294E">
      <w:pPr>
        <w:spacing w:line="240" w:lineRule="exact"/>
        <w:jc w:val="both"/>
        <w:rPr>
          <w:rFonts w:ascii="Verdana" w:hAnsi="Verdana"/>
          <w:sz w:val="22"/>
          <w:szCs w:val="22"/>
          <w:lang w:val="en-GB"/>
        </w:rPr>
      </w:pPr>
    </w:p>
    <w:p w14:paraId="6FFEEDEA" w14:textId="09982A15" w:rsidR="00670533" w:rsidRPr="00F331E3" w:rsidRDefault="00670533" w:rsidP="00932D22">
      <w:pPr>
        <w:spacing w:line="240" w:lineRule="exact"/>
        <w:jc w:val="both"/>
        <w:rPr>
          <w:rFonts w:ascii="Verdana" w:hAnsi="Verdana"/>
          <w:sz w:val="22"/>
          <w:szCs w:val="22"/>
          <w:lang w:val="en-GB"/>
        </w:rPr>
      </w:pPr>
      <w:r w:rsidRPr="00F331E3">
        <w:rPr>
          <w:rFonts w:ascii="Verdana" w:hAnsi="Verdana"/>
          <w:sz w:val="22"/>
          <w:szCs w:val="22"/>
          <w:lang w:val="en-GB"/>
        </w:rPr>
        <w:t xml:space="preserve">First, in countries where military courts continue to exist and to have </w:t>
      </w:r>
      <w:r w:rsidR="0020294E" w:rsidRPr="00F331E3">
        <w:rPr>
          <w:rFonts w:ascii="Verdana" w:hAnsi="Verdana"/>
          <w:sz w:val="22"/>
          <w:szCs w:val="22"/>
          <w:lang w:val="en-GB"/>
        </w:rPr>
        <w:t xml:space="preserve">this </w:t>
      </w:r>
      <w:r w:rsidRPr="00F331E3">
        <w:rPr>
          <w:rFonts w:ascii="Verdana" w:hAnsi="Verdana"/>
          <w:sz w:val="22"/>
          <w:szCs w:val="22"/>
          <w:lang w:val="en-GB"/>
        </w:rPr>
        <w:t xml:space="preserve">broad jurisdiction, authorities, including in the MENA region, argue that such practices are not prohibited by international law, often referring to General Comment No. 32 of the Human Rights Committee. However, </w:t>
      </w:r>
      <w:r w:rsidR="0020294E" w:rsidRPr="00F331E3">
        <w:rPr>
          <w:rFonts w:ascii="Verdana" w:hAnsi="Verdana"/>
          <w:sz w:val="22"/>
          <w:szCs w:val="22"/>
          <w:lang w:val="en-GB"/>
        </w:rPr>
        <w:t>General C</w:t>
      </w:r>
      <w:r w:rsidRPr="00F331E3">
        <w:rPr>
          <w:rFonts w:ascii="Verdana" w:hAnsi="Verdana"/>
          <w:sz w:val="22"/>
          <w:szCs w:val="22"/>
          <w:lang w:val="en-GB"/>
        </w:rPr>
        <w:t xml:space="preserve">omment </w:t>
      </w:r>
      <w:r w:rsidR="0020294E" w:rsidRPr="00F331E3">
        <w:rPr>
          <w:rFonts w:ascii="Verdana" w:hAnsi="Verdana"/>
          <w:sz w:val="22"/>
          <w:szCs w:val="22"/>
          <w:lang w:val="en-GB"/>
        </w:rPr>
        <w:t xml:space="preserve">No. </w:t>
      </w:r>
      <w:r w:rsidRPr="00F331E3">
        <w:rPr>
          <w:rFonts w:ascii="Verdana" w:hAnsi="Verdana"/>
          <w:sz w:val="22"/>
          <w:szCs w:val="22"/>
          <w:lang w:val="en-GB"/>
        </w:rPr>
        <w:t>32 does not give, and should not be interpreted or understood to give</w:t>
      </w:r>
      <w:r w:rsidR="0020294E" w:rsidRPr="00F331E3">
        <w:rPr>
          <w:rFonts w:ascii="Verdana" w:hAnsi="Verdana"/>
          <w:sz w:val="22"/>
          <w:szCs w:val="22"/>
          <w:lang w:val="en-GB"/>
        </w:rPr>
        <w:t>,</w:t>
      </w:r>
      <w:r w:rsidRPr="00F331E3">
        <w:rPr>
          <w:rFonts w:ascii="Verdana" w:hAnsi="Verdana"/>
          <w:sz w:val="22"/>
          <w:szCs w:val="22"/>
          <w:lang w:val="en-GB"/>
        </w:rPr>
        <w:t xml:space="preserve"> governments a blanket authorization to try civilians before military courts. The Committee stated that while the ICCPR “does not prohibit the trial of civilians in military courts or special courts, it requires that such trials are in full conformity with the requirements of article 14</w:t>
      </w:r>
      <w:r w:rsidR="0020294E" w:rsidRPr="00F331E3">
        <w:rPr>
          <w:rFonts w:ascii="Verdana" w:hAnsi="Verdana"/>
          <w:sz w:val="22"/>
          <w:szCs w:val="22"/>
          <w:lang w:val="en-GB"/>
        </w:rPr>
        <w:t>”,</w:t>
      </w:r>
      <w:r w:rsidRPr="00F331E3">
        <w:rPr>
          <w:rFonts w:ascii="Verdana" w:hAnsi="Verdana"/>
          <w:sz w:val="22"/>
          <w:szCs w:val="22"/>
          <w:lang w:val="en-GB"/>
        </w:rPr>
        <w:t xml:space="preserve"> and that military trials of civilians should be “exceptional” and “limited to cases where the State party can show that resorting to such trials is necessary and justified by objective and serious reasons, and where with regard to the specific class of individuals and offences at issue the regular civilian courts are unable to undertake the trials”.</w:t>
      </w:r>
      <w:r w:rsidR="00932D22" w:rsidRPr="00F331E3">
        <w:rPr>
          <w:rFonts w:ascii="Verdana" w:hAnsi="Verdana"/>
          <w:sz w:val="22"/>
          <w:szCs w:val="22"/>
          <w:lang w:val="en-GB"/>
        </w:rPr>
        <w:t xml:space="preserve"> In most cases</w:t>
      </w:r>
      <w:r w:rsidR="00F1773C">
        <w:rPr>
          <w:rFonts w:ascii="Verdana" w:hAnsi="Verdana"/>
          <w:sz w:val="22"/>
          <w:szCs w:val="22"/>
          <w:lang w:val="en-GB"/>
        </w:rPr>
        <w:t>,</w:t>
      </w:r>
      <w:r w:rsidRPr="00F331E3">
        <w:rPr>
          <w:rFonts w:ascii="Verdana" w:hAnsi="Verdana"/>
          <w:sz w:val="22"/>
          <w:szCs w:val="22"/>
          <w:lang w:val="en-GB"/>
        </w:rPr>
        <w:t xml:space="preserve"> </w:t>
      </w:r>
      <w:r w:rsidR="00932D22" w:rsidRPr="00F331E3">
        <w:rPr>
          <w:rFonts w:ascii="Verdana" w:hAnsi="Verdana"/>
          <w:sz w:val="22"/>
          <w:szCs w:val="22"/>
          <w:lang w:val="en-GB"/>
        </w:rPr>
        <w:t>S</w:t>
      </w:r>
      <w:r w:rsidRPr="00F331E3">
        <w:rPr>
          <w:rFonts w:ascii="Verdana" w:hAnsi="Verdana"/>
          <w:sz w:val="22"/>
          <w:szCs w:val="22"/>
          <w:lang w:val="en-GB"/>
        </w:rPr>
        <w:t xml:space="preserve">ates fail to meet these requirements and military justice systems run in parallel, </w:t>
      </w:r>
      <w:r w:rsidR="00932D22" w:rsidRPr="00F331E3">
        <w:rPr>
          <w:rFonts w:ascii="Verdana" w:hAnsi="Verdana"/>
          <w:sz w:val="22"/>
          <w:szCs w:val="22"/>
          <w:lang w:val="en-GB"/>
        </w:rPr>
        <w:t>often to</w:t>
      </w:r>
      <w:r w:rsidRPr="00F331E3">
        <w:rPr>
          <w:rFonts w:ascii="Verdana" w:hAnsi="Verdana"/>
          <w:sz w:val="22"/>
          <w:szCs w:val="22"/>
          <w:lang w:val="en-GB"/>
        </w:rPr>
        <w:t xml:space="preserve"> the detriment of the ordinary justice systems.  </w:t>
      </w:r>
    </w:p>
    <w:p w14:paraId="21FA1B9A" w14:textId="77777777" w:rsidR="00670533" w:rsidRPr="00F331E3" w:rsidRDefault="00670533" w:rsidP="0020294E">
      <w:pPr>
        <w:spacing w:line="240" w:lineRule="exact"/>
        <w:jc w:val="both"/>
        <w:rPr>
          <w:rFonts w:ascii="Verdana" w:hAnsi="Verdana"/>
          <w:sz w:val="22"/>
          <w:szCs w:val="22"/>
          <w:lang w:val="en-GB"/>
        </w:rPr>
      </w:pPr>
    </w:p>
    <w:p w14:paraId="1301A483" w14:textId="73F0E1FB"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Furthermore, General</w:t>
      </w:r>
      <w:r w:rsidR="00932D22" w:rsidRPr="00F331E3">
        <w:rPr>
          <w:rFonts w:ascii="Verdana" w:hAnsi="Verdana"/>
          <w:sz w:val="22"/>
          <w:szCs w:val="22"/>
          <w:lang w:val="en-GB"/>
        </w:rPr>
        <w:t xml:space="preserve"> C</w:t>
      </w:r>
      <w:r w:rsidRPr="00F331E3">
        <w:rPr>
          <w:rFonts w:ascii="Verdana" w:hAnsi="Verdana"/>
          <w:sz w:val="22"/>
          <w:szCs w:val="22"/>
          <w:lang w:val="en-GB"/>
        </w:rPr>
        <w:t xml:space="preserve">omment </w:t>
      </w:r>
      <w:r w:rsidR="00932D22" w:rsidRPr="00F331E3">
        <w:rPr>
          <w:rFonts w:ascii="Verdana" w:hAnsi="Verdana"/>
          <w:sz w:val="22"/>
          <w:szCs w:val="22"/>
          <w:lang w:val="en-GB"/>
        </w:rPr>
        <w:t xml:space="preserve">No. </w:t>
      </w:r>
      <w:r w:rsidRPr="00F331E3">
        <w:rPr>
          <w:rFonts w:ascii="Verdana" w:hAnsi="Verdana"/>
          <w:sz w:val="22"/>
          <w:szCs w:val="22"/>
          <w:lang w:val="en-GB"/>
        </w:rPr>
        <w:t>32 should be read in conjunction with relevant decisions from the</w:t>
      </w:r>
      <w:r w:rsidR="00932D22" w:rsidRPr="00F331E3">
        <w:rPr>
          <w:rFonts w:ascii="Verdana" w:hAnsi="Verdana"/>
          <w:sz w:val="22"/>
          <w:szCs w:val="22"/>
          <w:lang w:val="en-GB"/>
        </w:rPr>
        <w:t xml:space="preserve"> Human Rights</w:t>
      </w:r>
      <w:r w:rsidRPr="00F331E3">
        <w:rPr>
          <w:rFonts w:ascii="Verdana" w:hAnsi="Verdana"/>
          <w:sz w:val="22"/>
          <w:szCs w:val="22"/>
          <w:lang w:val="en-GB"/>
        </w:rPr>
        <w:t xml:space="preserve"> Committee where it has consistently called on states to prohibit trials of civilians by military courts.</w:t>
      </w:r>
      <w:r w:rsidRPr="00F331E3">
        <w:rPr>
          <w:rFonts w:ascii="Verdana" w:hAnsi="Verdana"/>
          <w:sz w:val="22"/>
          <w:szCs w:val="22"/>
          <w:vertAlign w:val="superscript"/>
          <w:lang w:val="en-GB"/>
        </w:rPr>
        <w:footnoteReference w:id="9"/>
      </w:r>
      <w:r w:rsidRPr="00F331E3">
        <w:rPr>
          <w:rFonts w:ascii="Verdana" w:hAnsi="Verdana"/>
          <w:sz w:val="22"/>
          <w:szCs w:val="22"/>
          <w:lang w:val="en-GB"/>
        </w:rPr>
        <w:t xml:space="preserve"> </w:t>
      </w:r>
    </w:p>
    <w:p w14:paraId="4110E698" w14:textId="77777777" w:rsidR="00670533" w:rsidRPr="00F331E3" w:rsidRDefault="00670533" w:rsidP="0020294E">
      <w:pPr>
        <w:spacing w:line="240" w:lineRule="exact"/>
        <w:jc w:val="both"/>
        <w:rPr>
          <w:rFonts w:ascii="Verdana" w:hAnsi="Verdana"/>
          <w:sz w:val="22"/>
          <w:szCs w:val="22"/>
          <w:lang w:val="en-GB"/>
        </w:rPr>
      </w:pPr>
    </w:p>
    <w:p w14:paraId="406B271E" w14:textId="77777777"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Indeed, there is a growing consensus, attested to by UN treaty bodies, special rapporteurs and working groups to limit the jurisdiction of military courts to military personnel for military offences only. </w:t>
      </w:r>
      <w:proofErr w:type="gramStart"/>
      <w:r w:rsidRPr="00F331E3">
        <w:rPr>
          <w:rFonts w:ascii="Verdana" w:hAnsi="Verdana"/>
          <w:sz w:val="22"/>
          <w:szCs w:val="22"/>
          <w:lang w:val="en-GB"/>
        </w:rPr>
        <w:t>This consensus is supported by numerous regional courts and mechanisms, including the Inter-American Court of Human Rights, the Inter-American Commission of Human Rights, the European Court of Human Rights, and the African Commission on Human and Peoples’ Rights</w:t>
      </w:r>
      <w:proofErr w:type="gramEnd"/>
      <w:r w:rsidRPr="00F331E3">
        <w:rPr>
          <w:rFonts w:ascii="Verdana" w:hAnsi="Verdana"/>
          <w:sz w:val="22"/>
          <w:szCs w:val="22"/>
          <w:lang w:val="en-GB"/>
        </w:rPr>
        <w:t xml:space="preserve">. National courts, including supreme courts, as we heard today from the speaker from Uganda, are also part of this growing consensus.  </w:t>
      </w:r>
    </w:p>
    <w:p w14:paraId="69C871D4" w14:textId="77777777" w:rsidR="00670533" w:rsidRPr="00F331E3" w:rsidRDefault="00670533" w:rsidP="0020294E">
      <w:pPr>
        <w:spacing w:line="240" w:lineRule="exact"/>
        <w:jc w:val="both"/>
        <w:rPr>
          <w:rFonts w:ascii="Verdana" w:hAnsi="Verdana"/>
          <w:sz w:val="22"/>
          <w:szCs w:val="22"/>
          <w:lang w:val="en-GB"/>
        </w:rPr>
      </w:pPr>
    </w:p>
    <w:p w14:paraId="6A8B95D4" w14:textId="77777777"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My second point is about the very nature of the jurisdiction of military courts: whether it is exceptional or specialized. </w:t>
      </w:r>
    </w:p>
    <w:p w14:paraId="07FFD5E3" w14:textId="77777777" w:rsidR="00670533" w:rsidRPr="00F331E3" w:rsidRDefault="00670533" w:rsidP="0020294E">
      <w:pPr>
        <w:spacing w:line="240" w:lineRule="exact"/>
        <w:jc w:val="both"/>
        <w:rPr>
          <w:rFonts w:ascii="Verdana" w:hAnsi="Verdana"/>
          <w:sz w:val="22"/>
          <w:szCs w:val="22"/>
          <w:lang w:val="en-GB"/>
        </w:rPr>
      </w:pPr>
    </w:p>
    <w:p w14:paraId="7CBD2035" w14:textId="7F507AF0" w:rsidR="00670533" w:rsidRPr="00F331E3" w:rsidRDefault="00670533" w:rsidP="00932D22">
      <w:pPr>
        <w:spacing w:line="240" w:lineRule="exact"/>
        <w:jc w:val="both"/>
        <w:rPr>
          <w:rFonts w:ascii="Verdana" w:hAnsi="Verdana"/>
          <w:sz w:val="22"/>
          <w:szCs w:val="22"/>
          <w:lang w:val="en-GB"/>
        </w:rPr>
      </w:pPr>
      <w:r w:rsidRPr="00F331E3">
        <w:rPr>
          <w:rFonts w:ascii="Verdana" w:hAnsi="Verdana"/>
          <w:sz w:val="22"/>
          <w:szCs w:val="22"/>
          <w:lang w:val="en-GB"/>
        </w:rPr>
        <w:t xml:space="preserve">So often, military courts are referred to as specialized courts. However, when military courts have broad personal and subject matter jurisdiction, when the jurisdiction of ordinary courts is curtailed to </w:t>
      </w:r>
      <w:r w:rsidR="00932D22" w:rsidRPr="00F331E3">
        <w:rPr>
          <w:rFonts w:ascii="Verdana" w:hAnsi="Verdana"/>
          <w:sz w:val="22"/>
          <w:szCs w:val="22"/>
          <w:lang w:val="en-GB"/>
        </w:rPr>
        <w:t xml:space="preserve">the benefit of </w:t>
      </w:r>
      <w:r w:rsidR="00932D22" w:rsidRPr="00F331E3">
        <w:rPr>
          <w:rFonts w:ascii="Verdana" w:hAnsi="Verdana"/>
          <w:sz w:val="22"/>
          <w:szCs w:val="22"/>
          <w:lang w:val="en-GB"/>
        </w:rPr>
        <w:lastRenderedPageBreak/>
        <w:t xml:space="preserve">military courts </w:t>
      </w:r>
      <w:r w:rsidRPr="00F331E3">
        <w:rPr>
          <w:rFonts w:ascii="Verdana" w:hAnsi="Verdana"/>
          <w:sz w:val="22"/>
          <w:szCs w:val="22"/>
          <w:lang w:val="en-GB"/>
        </w:rPr>
        <w:t xml:space="preserve">and when military courts have </w:t>
      </w:r>
      <w:r w:rsidR="00932D22" w:rsidRPr="00F331E3">
        <w:rPr>
          <w:rFonts w:ascii="Verdana" w:hAnsi="Verdana"/>
          <w:sz w:val="22"/>
          <w:szCs w:val="22"/>
          <w:lang w:val="en-GB"/>
        </w:rPr>
        <w:t>the</w:t>
      </w:r>
      <w:r w:rsidRPr="00F331E3">
        <w:rPr>
          <w:rFonts w:ascii="Verdana" w:hAnsi="Verdana"/>
          <w:sz w:val="22"/>
          <w:szCs w:val="22"/>
          <w:lang w:val="en-GB"/>
        </w:rPr>
        <w:t xml:space="preserve"> competenc</w:t>
      </w:r>
      <w:r w:rsidR="00932D22" w:rsidRPr="00F331E3">
        <w:rPr>
          <w:rFonts w:ascii="Verdana" w:hAnsi="Verdana"/>
          <w:sz w:val="22"/>
          <w:szCs w:val="22"/>
          <w:lang w:val="en-GB"/>
        </w:rPr>
        <w:t>e</w:t>
      </w:r>
      <w:r w:rsidRPr="00F331E3">
        <w:rPr>
          <w:rFonts w:ascii="Verdana" w:hAnsi="Verdana"/>
          <w:sz w:val="22"/>
          <w:szCs w:val="22"/>
          <w:lang w:val="en-GB"/>
        </w:rPr>
        <w:t xml:space="preserve"> to determine what crimes fall within their jurisdiction, I think that the jurisdiction exercised by these courts is exceptional </w:t>
      </w:r>
      <w:r w:rsidR="00932D22" w:rsidRPr="00F331E3">
        <w:rPr>
          <w:rFonts w:ascii="Verdana" w:hAnsi="Verdana"/>
          <w:sz w:val="22"/>
          <w:szCs w:val="22"/>
          <w:lang w:val="en-GB"/>
        </w:rPr>
        <w:t xml:space="preserve">rather </w:t>
      </w:r>
      <w:r w:rsidRPr="00F331E3">
        <w:rPr>
          <w:rFonts w:ascii="Verdana" w:hAnsi="Verdana"/>
          <w:sz w:val="22"/>
          <w:szCs w:val="22"/>
          <w:lang w:val="en-GB"/>
        </w:rPr>
        <w:t xml:space="preserve">than specialized.   </w:t>
      </w:r>
    </w:p>
    <w:p w14:paraId="7E897AAD" w14:textId="77777777" w:rsidR="00670533" w:rsidRPr="00F331E3" w:rsidRDefault="00670533" w:rsidP="0020294E">
      <w:pPr>
        <w:spacing w:line="240" w:lineRule="exact"/>
        <w:jc w:val="both"/>
        <w:rPr>
          <w:rFonts w:ascii="Verdana" w:hAnsi="Verdana"/>
          <w:sz w:val="22"/>
          <w:szCs w:val="22"/>
          <w:lang w:val="en-GB"/>
        </w:rPr>
      </w:pPr>
    </w:p>
    <w:p w14:paraId="7B342E90" w14:textId="53CF217F"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Military courts can be considered specialized to the extent, and only to the extent, that their jurisdiction is limited to military personnel for military offences, and that th</w:t>
      </w:r>
      <w:r w:rsidR="00932D22" w:rsidRPr="00F331E3">
        <w:rPr>
          <w:rFonts w:ascii="Verdana" w:hAnsi="Verdana"/>
          <w:sz w:val="22"/>
          <w:szCs w:val="22"/>
          <w:lang w:val="en-GB"/>
        </w:rPr>
        <w:t>ese offenc</w:t>
      </w:r>
      <w:r w:rsidRPr="00F331E3">
        <w:rPr>
          <w:rFonts w:ascii="Verdana" w:hAnsi="Verdana"/>
          <w:sz w:val="22"/>
          <w:szCs w:val="22"/>
          <w:lang w:val="en-GB"/>
        </w:rPr>
        <w:t xml:space="preserve">es are narrowly defined to include alleged breaches of military discipline only. </w:t>
      </w:r>
    </w:p>
    <w:p w14:paraId="1BEB43EC" w14:textId="77777777" w:rsidR="00670533" w:rsidRPr="00F331E3" w:rsidRDefault="00670533" w:rsidP="0020294E">
      <w:pPr>
        <w:spacing w:line="240" w:lineRule="exact"/>
        <w:jc w:val="both"/>
        <w:rPr>
          <w:rFonts w:ascii="Verdana" w:hAnsi="Verdana"/>
          <w:sz w:val="22"/>
          <w:szCs w:val="22"/>
          <w:lang w:val="en-GB"/>
        </w:rPr>
      </w:pPr>
    </w:p>
    <w:p w14:paraId="2B998715" w14:textId="1BD73A5E" w:rsidR="00670533" w:rsidRPr="00F331E3" w:rsidRDefault="00670533" w:rsidP="00932D22">
      <w:pPr>
        <w:spacing w:line="240" w:lineRule="exact"/>
        <w:jc w:val="both"/>
        <w:rPr>
          <w:rFonts w:ascii="Verdana" w:hAnsi="Verdana"/>
          <w:sz w:val="22"/>
          <w:szCs w:val="22"/>
          <w:lang w:val="en-GB"/>
        </w:rPr>
      </w:pPr>
      <w:r w:rsidRPr="00F331E3">
        <w:rPr>
          <w:rFonts w:ascii="Verdana" w:hAnsi="Verdana"/>
          <w:sz w:val="22"/>
          <w:szCs w:val="22"/>
          <w:lang w:val="en-GB"/>
        </w:rPr>
        <w:t xml:space="preserve">In </w:t>
      </w:r>
      <w:r w:rsidR="00AB3539">
        <w:rPr>
          <w:rFonts w:ascii="Verdana" w:hAnsi="Verdana"/>
          <w:sz w:val="22"/>
          <w:szCs w:val="22"/>
          <w:lang w:val="en-GB"/>
        </w:rPr>
        <w:t xml:space="preserve">this regard, </w:t>
      </w:r>
      <w:r w:rsidRPr="00F331E3">
        <w:rPr>
          <w:rFonts w:ascii="Verdana" w:hAnsi="Verdana"/>
          <w:sz w:val="22"/>
          <w:szCs w:val="22"/>
          <w:lang w:val="en-GB"/>
        </w:rPr>
        <w:t xml:space="preserve">recent developments relating to the jurisdiction of military courts </w:t>
      </w:r>
      <w:r w:rsidR="00AB3539">
        <w:rPr>
          <w:rFonts w:ascii="Verdana" w:hAnsi="Verdana"/>
          <w:sz w:val="22"/>
          <w:szCs w:val="22"/>
          <w:lang w:val="en-GB"/>
        </w:rPr>
        <w:t>in both Tunisia and Morocco</w:t>
      </w:r>
      <w:r w:rsidR="00AB3539" w:rsidRPr="00F331E3">
        <w:rPr>
          <w:rFonts w:ascii="Verdana" w:hAnsi="Verdana"/>
          <w:sz w:val="22"/>
          <w:szCs w:val="22"/>
          <w:lang w:val="en-GB"/>
        </w:rPr>
        <w:t xml:space="preserve"> </w:t>
      </w:r>
      <w:r w:rsidRPr="00F331E3">
        <w:rPr>
          <w:rFonts w:ascii="Verdana" w:hAnsi="Verdana"/>
          <w:sz w:val="22"/>
          <w:szCs w:val="22"/>
          <w:lang w:val="en-GB"/>
        </w:rPr>
        <w:t xml:space="preserve">are a source of satisfaction. In Tunisia, the 2014 </w:t>
      </w:r>
      <w:r w:rsidR="00932D22" w:rsidRPr="00F331E3">
        <w:rPr>
          <w:rFonts w:ascii="Verdana" w:hAnsi="Verdana"/>
          <w:sz w:val="22"/>
          <w:szCs w:val="22"/>
          <w:lang w:val="en-GB"/>
        </w:rPr>
        <w:t>C</w:t>
      </w:r>
      <w:r w:rsidRPr="00F331E3">
        <w:rPr>
          <w:rFonts w:ascii="Verdana" w:hAnsi="Verdana"/>
          <w:sz w:val="22"/>
          <w:szCs w:val="22"/>
          <w:lang w:val="en-GB"/>
        </w:rPr>
        <w:t>onstitution restricts the jurisdiction of military courts to military offences. In Morocco, a new law</w:t>
      </w:r>
      <w:r w:rsidR="00932D22" w:rsidRPr="00F331E3">
        <w:rPr>
          <w:rFonts w:ascii="Verdana" w:hAnsi="Verdana"/>
          <w:sz w:val="22"/>
          <w:szCs w:val="22"/>
          <w:lang w:val="en-GB"/>
        </w:rPr>
        <w:t>, Law No.</w:t>
      </w:r>
      <w:r w:rsidRPr="00F331E3">
        <w:rPr>
          <w:rFonts w:ascii="Verdana" w:hAnsi="Verdana"/>
          <w:sz w:val="22"/>
          <w:szCs w:val="22"/>
          <w:lang w:val="en-GB"/>
        </w:rPr>
        <w:t xml:space="preserve"> 108-13 on military justice</w:t>
      </w:r>
      <w:r w:rsidR="00932D22" w:rsidRPr="00F331E3">
        <w:rPr>
          <w:rFonts w:ascii="Verdana" w:hAnsi="Verdana"/>
          <w:sz w:val="22"/>
          <w:szCs w:val="22"/>
          <w:lang w:val="en-GB"/>
        </w:rPr>
        <w:t>,</w:t>
      </w:r>
      <w:r w:rsidRPr="00F331E3">
        <w:rPr>
          <w:rFonts w:ascii="Verdana" w:hAnsi="Verdana"/>
          <w:sz w:val="22"/>
          <w:szCs w:val="22"/>
          <w:lang w:val="en-GB"/>
        </w:rPr>
        <w:t xml:space="preserve"> has been approved by the first chamber of the Parliament, limiting the jurisdiction of military courts to military personnel for military offences.</w:t>
      </w:r>
    </w:p>
    <w:p w14:paraId="3BDFFC02" w14:textId="77777777" w:rsidR="00670533" w:rsidRPr="00F331E3" w:rsidRDefault="00670533" w:rsidP="0020294E">
      <w:pPr>
        <w:spacing w:line="240" w:lineRule="exact"/>
        <w:jc w:val="both"/>
        <w:rPr>
          <w:rFonts w:ascii="Verdana" w:hAnsi="Verdana"/>
          <w:sz w:val="22"/>
          <w:szCs w:val="22"/>
          <w:lang w:val="en-GB"/>
        </w:rPr>
      </w:pPr>
    </w:p>
    <w:p w14:paraId="1AD3A83A" w14:textId="49C1CA5C"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 xml:space="preserve">In both countries, </w:t>
      </w:r>
      <w:r w:rsidR="00F1773C">
        <w:rPr>
          <w:rFonts w:ascii="Verdana" w:hAnsi="Verdana"/>
          <w:sz w:val="22"/>
          <w:szCs w:val="22"/>
          <w:lang w:val="en-GB"/>
        </w:rPr>
        <w:t xml:space="preserve">however, </w:t>
      </w:r>
      <w:r w:rsidRPr="00F331E3">
        <w:rPr>
          <w:rFonts w:ascii="Verdana" w:hAnsi="Verdana"/>
          <w:sz w:val="22"/>
          <w:szCs w:val="22"/>
          <w:lang w:val="en-GB"/>
        </w:rPr>
        <w:t xml:space="preserve">efforts should continue to be undertaken to ensure that these military offences are </w:t>
      </w:r>
      <w:r w:rsidR="00F1773C">
        <w:rPr>
          <w:rFonts w:ascii="Verdana" w:hAnsi="Verdana"/>
          <w:sz w:val="22"/>
          <w:szCs w:val="22"/>
          <w:lang w:val="en-GB"/>
        </w:rPr>
        <w:t xml:space="preserve">clearly </w:t>
      </w:r>
      <w:r w:rsidRPr="00F331E3">
        <w:rPr>
          <w:rFonts w:ascii="Verdana" w:hAnsi="Verdana"/>
          <w:sz w:val="22"/>
          <w:szCs w:val="22"/>
          <w:lang w:val="en-GB"/>
        </w:rPr>
        <w:t xml:space="preserve">defined in the law and are limited to alleged breaches of military discipline only, to </w:t>
      </w:r>
      <w:r w:rsidR="00932D22" w:rsidRPr="00F331E3">
        <w:rPr>
          <w:rFonts w:ascii="Verdana" w:hAnsi="Verdana"/>
          <w:sz w:val="22"/>
          <w:szCs w:val="22"/>
          <w:lang w:val="en-GB"/>
        </w:rPr>
        <w:t xml:space="preserve">the </w:t>
      </w:r>
      <w:r w:rsidRPr="00F331E3">
        <w:rPr>
          <w:rFonts w:ascii="Verdana" w:hAnsi="Verdana"/>
          <w:sz w:val="22"/>
          <w:szCs w:val="22"/>
          <w:lang w:val="en-GB"/>
        </w:rPr>
        <w:t xml:space="preserve">exclusion of human rights violations and </w:t>
      </w:r>
      <w:r w:rsidR="00F1773C">
        <w:rPr>
          <w:rFonts w:ascii="Verdana" w:hAnsi="Verdana"/>
          <w:sz w:val="22"/>
          <w:szCs w:val="22"/>
          <w:lang w:val="en-GB"/>
        </w:rPr>
        <w:t>ordinary crimes</w:t>
      </w:r>
      <w:r w:rsidRPr="00F331E3">
        <w:rPr>
          <w:rFonts w:ascii="Verdana" w:hAnsi="Verdana"/>
          <w:sz w:val="22"/>
          <w:szCs w:val="22"/>
          <w:lang w:val="en-GB"/>
        </w:rPr>
        <w:t xml:space="preserve"> by military </w:t>
      </w:r>
      <w:r w:rsidR="00651708">
        <w:rPr>
          <w:rFonts w:ascii="Verdana" w:hAnsi="Verdana"/>
          <w:sz w:val="22"/>
          <w:szCs w:val="22"/>
          <w:lang w:val="en-GB"/>
        </w:rPr>
        <w:t xml:space="preserve">and security </w:t>
      </w:r>
      <w:r w:rsidRPr="00F331E3">
        <w:rPr>
          <w:rFonts w:ascii="Verdana" w:hAnsi="Verdana"/>
          <w:sz w:val="22"/>
          <w:szCs w:val="22"/>
          <w:lang w:val="en-GB"/>
        </w:rPr>
        <w:t>personnel.</w:t>
      </w:r>
    </w:p>
    <w:p w14:paraId="44E98832" w14:textId="77777777" w:rsidR="00670533" w:rsidRPr="00F331E3" w:rsidRDefault="00670533" w:rsidP="0020294E">
      <w:pPr>
        <w:spacing w:line="240" w:lineRule="exact"/>
        <w:jc w:val="both"/>
        <w:rPr>
          <w:rFonts w:ascii="Verdana" w:hAnsi="Verdana"/>
          <w:sz w:val="22"/>
          <w:szCs w:val="22"/>
          <w:lang w:val="en-GB"/>
        </w:rPr>
      </w:pPr>
    </w:p>
    <w:p w14:paraId="4E1AB8CF" w14:textId="4BED63D7" w:rsidR="00670533" w:rsidRPr="00F331E3" w:rsidRDefault="00670533" w:rsidP="0020294E">
      <w:pPr>
        <w:spacing w:line="240" w:lineRule="exact"/>
        <w:jc w:val="both"/>
        <w:rPr>
          <w:rFonts w:ascii="Verdana" w:hAnsi="Verdana"/>
          <w:sz w:val="22"/>
          <w:szCs w:val="22"/>
          <w:lang w:val="en-GB"/>
        </w:rPr>
      </w:pPr>
      <w:r w:rsidRPr="00F331E3">
        <w:rPr>
          <w:rFonts w:ascii="Verdana" w:hAnsi="Verdana"/>
          <w:sz w:val="22"/>
          <w:szCs w:val="22"/>
          <w:lang w:val="en-GB"/>
        </w:rPr>
        <w:t>I thank you</w:t>
      </w:r>
      <w:r w:rsidR="008F5DFD" w:rsidRPr="00F331E3">
        <w:rPr>
          <w:rFonts w:ascii="Verdana" w:hAnsi="Verdana"/>
          <w:sz w:val="22"/>
          <w:szCs w:val="22"/>
          <w:lang w:val="en-GB"/>
        </w:rPr>
        <w:t>.</w:t>
      </w:r>
      <w:r w:rsidRPr="00F331E3">
        <w:rPr>
          <w:rFonts w:ascii="Verdana" w:hAnsi="Verdana"/>
          <w:sz w:val="22"/>
          <w:szCs w:val="22"/>
          <w:lang w:val="en-GB"/>
        </w:rPr>
        <w:t xml:space="preserve">  </w:t>
      </w:r>
    </w:p>
    <w:p w14:paraId="45F6F484" w14:textId="77777777" w:rsidR="00670533" w:rsidRDefault="00670533" w:rsidP="0020294E">
      <w:pPr>
        <w:widowControl w:val="0"/>
        <w:autoSpaceDE w:val="0"/>
        <w:autoSpaceDN w:val="0"/>
        <w:adjustRightInd w:val="0"/>
        <w:spacing w:line="240" w:lineRule="exact"/>
        <w:jc w:val="both"/>
        <w:rPr>
          <w:rFonts w:ascii="Verdana" w:hAnsi="Verdana" w:cs="AmnestyTradeGothic-Light"/>
          <w:sz w:val="22"/>
          <w:szCs w:val="22"/>
          <w:lang w:val="en-GB"/>
        </w:rPr>
      </w:pPr>
    </w:p>
    <w:p w14:paraId="3F9EFF80" w14:textId="77777777" w:rsidR="00F1773C" w:rsidRDefault="00F1773C" w:rsidP="0020294E">
      <w:pPr>
        <w:widowControl w:val="0"/>
        <w:autoSpaceDE w:val="0"/>
        <w:autoSpaceDN w:val="0"/>
        <w:adjustRightInd w:val="0"/>
        <w:spacing w:line="240" w:lineRule="exact"/>
        <w:jc w:val="both"/>
        <w:rPr>
          <w:rFonts w:ascii="Verdana" w:hAnsi="Verdana" w:cs="AmnestyTradeGothic-Light"/>
          <w:sz w:val="22"/>
          <w:szCs w:val="22"/>
          <w:lang w:val="en-GB"/>
        </w:rPr>
      </w:pPr>
    </w:p>
    <w:p w14:paraId="51BC96CF" w14:textId="77777777" w:rsidR="00F1773C" w:rsidRDefault="00F1773C" w:rsidP="0020294E">
      <w:pPr>
        <w:widowControl w:val="0"/>
        <w:autoSpaceDE w:val="0"/>
        <w:autoSpaceDN w:val="0"/>
        <w:adjustRightInd w:val="0"/>
        <w:spacing w:line="240" w:lineRule="exact"/>
        <w:jc w:val="both"/>
        <w:rPr>
          <w:rFonts w:ascii="Verdana" w:hAnsi="Verdana" w:cs="AmnestyTradeGothic-Light"/>
          <w:sz w:val="22"/>
          <w:szCs w:val="22"/>
          <w:lang w:val="en-GB"/>
        </w:rPr>
      </w:pPr>
    </w:p>
    <w:p w14:paraId="4AF25DB6" w14:textId="77777777" w:rsidR="00F1773C" w:rsidRDefault="00F1773C" w:rsidP="0020294E">
      <w:pPr>
        <w:widowControl w:val="0"/>
        <w:autoSpaceDE w:val="0"/>
        <w:autoSpaceDN w:val="0"/>
        <w:adjustRightInd w:val="0"/>
        <w:spacing w:line="240" w:lineRule="exact"/>
        <w:jc w:val="both"/>
        <w:rPr>
          <w:rFonts w:ascii="Verdana" w:hAnsi="Verdana" w:cs="AmnestyTradeGothic-Light"/>
          <w:sz w:val="22"/>
          <w:szCs w:val="22"/>
          <w:lang w:val="en-GB"/>
        </w:rPr>
      </w:pPr>
    </w:p>
    <w:p w14:paraId="4F01F924" w14:textId="77777777" w:rsidR="00F1773C" w:rsidRDefault="00F1773C" w:rsidP="0020294E">
      <w:pPr>
        <w:widowControl w:val="0"/>
        <w:autoSpaceDE w:val="0"/>
        <w:autoSpaceDN w:val="0"/>
        <w:adjustRightInd w:val="0"/>
        <w:spacing w:line="240" w:lineRule="exact"/>
        <w:jc w:val="both"/>
        <w:rPr>
          <w:rFonts w:ascii="Verdana" w:hAnsi="Verdana" w:cs="AmnestyTradeGothic-Light"/>
          <w:sz w:val="22"/>
          <w:szCs w:val="22"/>
          <w:lang w:val="en-GB"/>
        </w:rPr>
      </w:pPr>
    </w:p>
    <w:p w14:paraId="19BFB4BE" w14:textId="2588DC2F" w:rsidR="00F1773C" w:rsidRDefault="00F1773C" w:rsidP="0020294E">
      <w:pPr>
        <w:widowControl w:val="0"/>
        <w:autoSpaceDE w:val="0"/>
        <w:autoSpaceDN w:val="0"/>
        <w:adjustRightInd w:val="0"/>
        <w:spacing w:line="240" w:lineRule="exact"/>
        <w:jc w:val="both"/>
        <w:rPr>
          <w:rFonts w:ascii="Verdana" w:hAnsi="Verdana" w:cs="AmnestyTradeGothic-Light"/>
          <w:sz w:val="22"/>
          <w:szCs w:val="22"/>
          <w:lang w:val="en-GB"/>
        </w:rPr>
      </w:pPr>
      <w:r>
        <w:rPr>
          <w:rFonts w:ascii="Verdana" w:hAnsi="Verdana" w:cs="AmnestyTradeGothic-Light"/>
          <w:sz w:val="22"/>
          <w:szCs w:val="22"/>
          <w:lang w:val="en-GB"/>
        </w:rPr>
        <w:t>Said BENARBIA</w:t>
      </w:r>
    </w:p>
    <w:p w14:paraId="064CAC41" w14:textId="77777777" w:rsidR="00F1773C" w:rsidRPr="00F1773C" w:rsidRDefault="00F1773C" w:rsidP="00F1773C">
      <w:pPr>
        <w:widowControl w:val="0"/>
        <w:autoSpaceDE w:val="0"/>
        <w:autoSpaceDN w:val="0"/>
        <w:adjustRightInd w:val="0"/>
        <w:spacing w:line="240" w:lineRule="exact"/>
        <w:jc w:val="both"/>
        <w:rPr>
          <w:rFonts w:ascii="Verdana" w:hAnsi="Verdana" w:cs="AmnestyTradeGothic-Light"/>
          <w:sz w:val="22"/>
          <w:szCs w:val="22"/>
          <w:lang w:val="en-GB"/>
        </w:rPr>
      </w:pPr>
      <w:r w:rsidRPr="00F1773C">
        <w:rPr>
          <w:rFonts w:ascii="Verdana" w:hAnsi="Verdana" w:cs="AmnestyTradeGothic-Light"/>
          <w:sz w:val="22"/>
          <w:szCs w:val="22"/>
          <w:lang w:val="en-GB"/>
        </w:rPr>
        <w:t>Director, Middle East and North Africa Programme</w:t>
      </w:r>
    </w:p>
    <w:p w14:paraId="4678FCC0" w14:textId="77777777" w:rsidR="00F1773C" w:rsidRPr="00F1773C" w:rsidRDefault="00F1773C" w:rsidP="00F1773C">
      <w:pPr>
        <w:widowControl w:val="0"/>
        <w:autoSpaceDE w:val="0"/>
        <w:autoSpaceDN w:val="0"/>
        <w:adjustRightInd w:val="0"/>
        <w:spacing w:line="240" w:lineRule="exact"/>
        <w:jc w:val="both"/>
        <w:rPr>
          <w:rFonts w:ascii="Verdana" w:hAnsi="Verdana" w:cs="AmnestyTradeGothic-Light"/>
          <w:sz w:val="22"/>
          <w:szCs w:val="22"/>
          <w:lang w:val="en-GB"/>
        </w:rPr>
      </w:pPr>
      <w:r w:rsidRPr="00F1773C">
        <w:rPr>
          <w:rFonts w:ascii="Verdana" w:hAnsi="Verdana" w:cs="AmnestyTradeGothic-Light"/>
          <w:sz w:val="22"/>
          <w:szCs w:val="22"/>
          <w:lang w:val="en-GB"/>
        </w:rPr>
        <w:t>International Commission of Jurists</w:t>
      </w:r>
    </w:p>
    <w:p w14:paraId="6A85AE9E" w14:textId="641B4C58" w:rsidR="00F1773C" w:rsidRPr="00F331E3" w:rsidRDefault="00F1773C" w:rsidP="00F1773C">
      <w:pPr>
        <w:widowControl w:val="0"/>
        <w:autoSpaceDE w:val="0"/>
        <w:autoSpaceDN w:val="0"/>
        <w:adjustRightInd w:val="0"/>
        <w:spacing w:line="240" w:lineRule="exact"/>
        <w:jc w:val="both"/>
        <w:rPr>
          <w:rFonts w:ascii="Verdana" w:hAnsi="Verdana" w:cs="AmnestyTradeGothic-Light"/>
          <w:sz w:val="22"/>
          <w:szCs w:val="22"/>
          <w:lang w:val="en-GB"/>
        </w:rPr>
      </w:pPr>
    </w:p>
    <w:sectPr w:rsidR="00F1773C" w:rsidRPr="00F331E3" w:rsidSect="00AC1D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35E01" w14:textId="77777777" w:rsidR="00AB3539" w:rsidRDefault="00AB3539" w:rsidP="00537CD0">
      <w:r>
        <w:separator/>
      </w:r>
    </w:p>
  </w:endnote>
  <w:endnote w:type="continuationSeparator" w:id="0">
    <w:p w14:paraId="6EA05C22" w14:textId="77777777" w:rsidR="00AB3539" w:rsidRDefault="00AB3539" w:rsidP="0053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mnestyTradeGothic-Light">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72232" w14:textId="77777777" w:rsidR="00AB3539" w:rsidRDefault="00AB3539" w:rsidP="00537CD0">
      <w:r>
        <w:separator/>
      </w:r>
    </w:p>
  </w:footnote>
  <w:footnote w:type="continuationSeparator" w:id="0">
    <w:p w14:paraId="05E74BFF" w14:textId="77777777" w:rsidR="00AB3539" w:rsidRDefault="00AB3539" w:rsidP="00537CD0">
      <w:r>
        <w:continuationSeparator/>
      </w:r>
    </w:p>
  </w:footnote>
  <w:footnote w:id="1">
    <w:p w14:paraId="2CF90284" w14:textId="7D8ADB49" w:rsidR="00AB3539" w:rsidRPr="00932D22" w:rsidRDefault="00AB3539">
      <w:pPr>
        <w:pStyle w:val="FootnoteText"/>
        <w:rPr>
          <w:sz w:val="17"/>
          <w:szCs w:val="17"/>
          <w:lang w:val="fr-FR"/>
        </w:rPr>
      </w:pPr>
      <w:r w:rsidRPr="00932D22">
        <w:rPr>
          <w:rStyle w:val="FootnoteReference"/>
          <w:sz w:val="17"/>
          <w:szCs w:val="17"/>
        </w:rPr>
        <w:footnoteRef/>
      </w:r>
      <w:r w:rsidRPr="00932D22">
        <w:rPr>
          <w:sz w:val="17"/>
          <w:szCs w:val="17"/>
        </w:rPr>
        <w:t xml:space="preserve"> </w:t>
      </w:r>
      <w:r w:rsidRPr="00932D22">
        <w:rPr>
          <w:sz w:val="17"/>
          <w:szCs w:val="17"/>
          <w:lang w:val="en-GB"/>
        </w:rPr>
        <w:t>Law No. 2011-69, amending the Code of Military Justice.</w:t>
      </w:r>
    </w:p>
  </w:footnote>
  <w:footnote w:id="2">
    <w:p w14:paraId="6796C7F2" w14:textId="43E70135" w:rsidR="00AB3539" w:rsidRPr="00932D22" w:rsidRDefault="00AB3539" w:rsidP="006C3396">
      <w:pPr>
        <w:pStyle w:val="FootnoteText"/>
        <w:jc w:val="both"/>
        <w:rPr>
          <w:sz w:val="17"/>
          <w:szCs w:val="17"/>
        </w:rPr>
      </w:pPr>
      <w:r w:rsidRPr="00932D22">
        <w:rPr>
          <w:rStyle w:val="FootnoteReference"/>
          <w:sz w:val="17"/>
          <w:szCs w:val="17"/>
        </w:rPr>
        <w:footnoteRef/>
      </w:r>
      <w:r w:rsidRPr="00932D22">
        <w:rPr>
          <w:sz w:val="17"/>
          <w:szCs w:val="17"/>
        </w:rPr>
        <w:t xml:space="preserve"> </w:t>
      </w:r>
      <w:r w:rsidRPr="00F331E3">
        <w:rPr>
          <w:sz w:val="17"/>
          <w:szCs w:val="17"/>
        </w:rPr>
        <w:t>Royal Decree No.1-56-270 of 10 November 1956 on the Code of Military Justice</w:t>
      </w:r>
      <w:r w:rsidRPr="00F331E3">
        <w:rPr>
          <w:bCs/>
          <w:sz w:val="17"/>
          <w:szCs w:val="17"/>
        </w:rPr>
        <w:t>, as amended</w:t>
      </w:r>
      <w:r w:rsidRPr="00932D22">
        <w:rPr>
          <w:bCs/>
          <w:sz w:val="17"/>
          <w:szCs w:val="17"/>
        </w:rPr>
        <w:t xml:space="preserve">. Pursuant to article 3, </w:t>
      </w:r>
      <w:r w:rsidRPr="00932D22">
        <w:rPr>
          <w:sz w:val="17"/>
          <w:szCs w:val="17"/>
        </w:rPr>
        <w:t>“Active service” includes young soldiers, voluntary recruits, those who have re-enlisted or are on indefinite leave, temporary recruits or reserve members, from the moment they join until they return home. It also includes those on leave or in military hospitals or prisons or under the jurisdiction of the military court, as well as prisoners of war.</w:t>
      </w:r>
    </w:p>
  </w:footnote>
  <w:footnote w:id="3">
    <w:p w14:paraId="1E818621" w14:textId="77777777" w:rsidR="00AB3539" w:rsidRPr="00932D22" w:rsidRDefault="00AB3539" w:rsidP="006C3396">
      <w:pPr>
        <w:pStyle w:val="FootnoteText"/>
        <w:jc w:val="both"/>
        <w:rPr>
          <w:i/>
          <w:sz w:val="17"/>
          <w:szCs w:val="17"/>
        </w:rPr>
      </w:pPr>
      <w:r w:rsidRPr="00932D22">
        <w:rPr>
          <w:rStyle w:val="FootnoteReference"/>
          <w:sz w:val="17"/>
          <w:szCs w:val="17"/>
        </w:rPr>
        <w:footnoteRef/>
      </w:r>
      <w:r w:rsidRPr="00932D22">
        <w:rPr>
          <w:sz w:val="17"/>
          <w:szCs w:val="17"/>
        </w:rPr>
        <w:t xml:space="preserve"> </w:t>
      </w:r>
      <w:r w:rsidRPr="00932D22">
        <w:rPr>
          <w:i/>
          <w:sz w:val="17"/>
          <w:szCs w:val="17"/>
        </w:rPr>
        <w:t>Id.</w:t>
      </w:r>
    </w:p>
  </w:footnote>
  <w:footnote w:id="4">
    <w:p w14:paraId="6A035316" w14:textId="0EEBBC40" w:rsidR="00AB3539" w:rsidRPr="00932D22" w:rsidRDefault="00AB3539" w:rsidP="005A4BBF">
      <w:pPr>
        <w:pStyle w:val="FootnoteText"/>
        <w:jc w:val="both"/>
        <w:rPr>
          <w:sz w:val="17"/>
          <w:szCs w:val="17"/>
        </w:rPr>
      </w:pPr>
      <w:r w:rsidRPr="00932D22">
        <w:rPr>
          <w:rStyle w:val="FootnoteReference"/>
          <w:sz w:val="17"/>
          <w:szCs w:val="17"/>
        </w:rPr>
        <w:footnoteRef/>
      </w:r>
      <w:r w:rsidRPr="00932D22">
        <w:rPr>
          <w:sz w:val="17"/>
          <w:szCs w:val="17"/>
        </w:rPr>
        <w:t xml:space="preserve"> </w:t>
      </w:r>
      <w:r w:rsidRPr="00932D22">
        <w:rPr>
          <w:i/>
          <w:sz w:val="17"/>
          <w:szCs w:val="17"/>
        </w:rPr>
        <w:t xml:space="preserve">Id., </w:t>
      </w:r>
      <w:r w:rsidRPr="00932D22">
        <w:rPr>
          <w:sz w:val="17"/>
          <w:szCs w:val="17"/>
        </w:rPr>
        <w:t>article 8.</w:t>
      </w:r>
    </w:p>
  </w:footnote>
  <w:footnote w:id="5">
    <w:p w14:paraId="1C976E8D" w14:textId="0A5F89ED" w:rsidR="00AB3539" w:rsidRPr="00932D22" w:rsidRDefault="00AB3539" w:rsidP="006C3396">
      <w:pPr>
        <w:pStyle w:val="FootnoteText"/>
        <w:jc w:val="both"/>
        <w:rPr>
          <w:sz w:val="17"/>
          <w:szCs w:val="17"/>
        </w:rPr>
      </w:pPr>
      <w:r w:rsidRPr="00932D22">
        <w:rPr>
          <w:rStyle w:val="FootnoteReference"/>
          <w:sz w:val="17"/>
          <w:szCs w:val="17"/>
        </w:rPr>
        <w:footnoteRef/>
      </w:r>
      <w:r w:rsidRPr="00932D22">
        <w:rPr>
          <w:sz w:val="17"/>
          <w:szCs w:val="17"/>
        </w:rPr>
        <w:t xml:space="preserve"> </w:t>
      </w:r>
      <w:r w:rsidRPr="00932D22">
        <w:rPr>
          <w:i/>
          <w:sz w:val="17"/>
          <w:szCs w:val="17"/>
        </w:rPr>
        <w:t xml:space="preserve">Id., </w:t>
      </w:r>
      <w:r w:rsidRPr="00932D22">
        <w:rPr>
          <w:sz w:val="17"/>
          <w:szCs w:val="17"/>
        </w:rPr>
        <w:t>article 4.</w:t>
      </w:r>
    </w:p>
  </w:footnote>
  <w:footnote w:id="6">
    <w:p w14:paraId="534A1358" w14:textId="4FC3F17C" w:rsidR="00AB3539" w:rsidRPr="00932D22" w:rsidRDefault="00AB3539" w:rsidP="006C3396">
      <w:pPr>
        <w:pStyle w:val="FootnoteText"/>
        <w:jc w:val="both"/>
        <w:rPr>
          <w:sz w:val="17"/>
          <w:szCs w:val="17"/>
        </w:rPr>
      </w:pPr>
      <w:r w:rsidRPr="00932D22">
        <w:rPr>
          <w:rStyle w:val="FootnoteReference"/>
          <w:sz w:val="17"/>
          <w:szCs w:val="17"/>
        </w:rPr>
        <w:footnoteRef/>
      </w:r>
      <w:r w:rsidRPr="00932D22">
        <w:rPr>
          <w:sz w:val="17"/>
          <w:szCs w:val="17"/>
        </w:rPr>
        <w:t xml:space="preserve"> Code of Military Justice, article 5.</w:t>
      </w:r>
    </w:p>
  </w:footnote>
  <w:footnote w:id="7">
    <w:p w14:paraId="27C2C54E" w14:textId="2B1413F1" w:rsidR="00AB3539" w:rsidRPr="00932D22" w:rsidRDefault="00AB3539" w:rsidP="00EF459D">
      <w:pPr>
        <w:widowControl w:val="0"/>
        <w:autoSpaceDE w:val="0"/>
        <w:autoSpaceDN w:val="0"/>
        <w:adjustRightInd w:val="0"/>
        <w:rPr>
          <w:rFonts w:ascii="Verdana" w:hAnsi="Verdana" w:cs="Verdana"/>
          <w:sz w:val="17"/>
          <w:szCs w:val="17"/>
        </w:rPr>
      </w:pPr>
      <w:r w:rsidRPr="00932D22">
        <w:rPr>
          <w:rStyle w:val="FootnoteReference"/>
          <w:rFonts w:ascii="Verdana" w:hAnsi="Verdana"/>
          <w:sz w:val="17"/>
          <w:szCs w:val="17"/>
        </w:rPr>
        <w:footnoteRef/>
      </w:r>
      <w:r w:rsidRPr="00932D22">
        <w:rPr>
          <w:rFonts w:ascii="Verdana" w:hAnsi="Verdana"/>
          <w:sz w:val="17"/>
          <w:szCs w:val="17"/>
        </w:rPr>
        <w:t xml:space="preserve"> </w:t>
      </w:r>
      <w:r w:rsidRPr="00932D22">
        <w:rPr>
          <w:rFonts w:ascii="Verdana" w:hAnsi="Verdana" w:cs="Verdana"/>
          <w:sz w:val="17"/>
          <w:szCs w:val="17"/>
        </w:rPr>
        <w:t>Case No. 74937, First Instance Permanent Military Court of Tunis, Tunisia; Case No. No.20416, Military Court of Appeal of Tunis, Tunisia.</w:t>
      </w:r>
    </w:p>
  </w:footnote>
  <w:footnote w:id="8">
    <w:p w14:paraId="158B9029" w14:textId="77777777" w:rsidR="00AB3539" w:rsidRPr="00932D22" w:rsidRDefault="00AB3539" w:rsidP="005E5476">
      <w:pPr>
        <w:pStyle w:val="FootnoteText"/>
        <w:rPr>
          <w:sz w:val="17"/>
          <w:szCs w:val="17"/>
        </w:rPr>
      </w:pPr>
      <w:r w:rsidRPr="00932D22">
        <w:rPr>
          <w:rStyle w:val="FootnoteReference"/>
          <w:sz w:val="17"/>
          <w:szCs w:val="17"/>
        </w:rPr>
        <w:footnoteRef/>
      </w:r>
      <w:r w:rsidRPr="00932D22">
        <w:rPr>
          <w:sz w:val="17"/>
          <w:szCs w:val="17"/>
        </w:rPr>
        <w:t xml:space="preserve"> </w:t>
      </w:r>
      <w:proofErr w:type="spellStart"/>
      <w:r w:rsidRPr="00932D22">
        <w:rPr>
          <w:i/>
          <w:iCs/>
          <w:sz w:val="17"/>
          <w:szCs w:val="17"/>
        </w:rPr>
        <w:t>Delcourt</w:t>
      </w:r>
      <w:proofErr w:type="spellEnd"/>
      <w:r w:rsidRPr="00932D22">
        <w:rPr>
          <w:i/>
          <w:iCs/>
          <w:sz w:val="17"/>
          <w:szCs w:val="17"/>
        </w:rPr>
        <w:t xml:space="preserve"> v. Belgium</w:t>
      </w:r>
      <w:r w:rsidRPr="00932D22">
        <w:rPr>
          <w:sz w:val="17"/>
          <w:szCs w:val="17"/>
        </w:rPr>
        <w:t>, Application No. 2689/65, European Court of Human Rights, Judgment of</w:t>
      </w:r>
    </w:p>
    <w:p w14:paraId="29227565" w14:textId="26264512" w:rsidR="00AB3539" w:rsidRPr="00932D22" w:rsidRDefault="00AB3539" w:rsidP="005E5476">
      <w:pPr>
        <w:pStyle w:val="FootnoteText"/>
        <w:rPr>
          <w:sz w:val="17"/>
          <w:szCs w:val="17"/>
          <w:lang w:val="fr-FR"/>
        </w:rPr>
      </w:pPr>
      <w:r w:rsidRPr="00932D22">
        <w:rPr>
          <w:sz w:val="17"/>
          <w:szCs w:val="17"/>
        </w:rPr>
        <w:t>17 January 1970, para. 34.</w:t>
      </w:r>
    </w:p>
  </w:footnote>
  <w:footnote w:id="9">
    <w:p w14:paraId="7230C473" w14:textId="2C680CAA" w:rsidR="00AB3539" w:rsidRPr="00932D22" w:rsidRDefault="00AB3539" w:rsidP="00932D22">
      <w:pPr>
        <w:jc w:val="both"/>
        <w:rPr>
          <w:rFonts w:ascii="Verdana" w:hAnsi="Verdana"/>
          <w:sz w:val="17"/>
          <w:szCs w:val="17"/>
        </w:rPr>
      </w:pPr>
      <w:r w:rsidRPr="00932D22">
        <w:rPr>
          <w:rStyle w:val="FootnoteReference"/>
          <w:rFonts w:ascii="Verdana" w:hAnsi="Verdana"/>
          <w:sz w:val="17"/>
          <w:szCs w:val="17"/>
        </w:rPr>
        <w:footnoteRef/>
      </w:r>
      <w:r>
        <w:rPr>
          <w:rFonts w:ascii="Verdana" w:hAnsi="Verdana"/>
          <w:sz w:val="17"/>
          <w:szCs w:val="17"/>
        </w:rPr>
        <w:t xml:space="preserve"> HRC Concluding Observations:</w:t>
      </w:r>
      <w:r w:rsidRPr="00932D22">
        <w:rPr>
          <w:rFonts w:ascii="Verdana" w:hAnsi="Verdana"/>
          <w:sz w:val="17"/>
          <w:szCs w:val="17"/>
        </w:rPr>
        <w:t xml:space="preserve"> Slovakia, U</w:t>
      </w:r>
      <w:r>
        <w:rPr>
          <w:rFonts w:ascii="Verdana" w:hAnsi="Verdana"/>
          <w:sz w:val="17"/>
          <w:szCs w:val="17"/>
        </w:rPr>
        <w:t xml:space="preserve">N Doc. CCPR/C/79/Add.79 (1997), para. 20; </w:t>
      </w:r>
      <w:r w:rsidRPr="00932D22">
        <w:rPr>
          <w:rFonts w:ascii="Verdana" w:hAnsi="Verdana"/>
          <w:sz w:val="17"/>
          <w:szCs w:val="17"/>
        </w:rPr>
        <w:t xml:space="preserve">HRC Lebanon, UN Doc. </w:t>
      </w:r>
      <w:r w:rsidRPr="00932D22">
        <w:rPr>
          <w:rFonts w:ascii="Verdana" w:hAnsi="Verdana"/>
          <w:sz w:val="17"/>
          <w:szCs w:val="17"/>
          <w:lang w:val="es-AR"/>
        </w:rPr>
        <w:t>CCPR/C/79/Add.78</w:t>
      </w:r>
      <w:r>
        <w:rPr>
          <w:rFonts w:ascii="Verdana" w:hAnsi="Verdana"/>
          <w:sz w:val="17"/>
          <w:szCs w:val="17"/>
          <w:lang w:val="es-AR"/>
        </w:rPr>
        <w:t xml:space="preserve"> (1997), para. </w:t>
      </w:r>
      <w:r w:rsidRPr="00932D22">
        <w:rPr>
          <w:rFonts w:ascii="Verdana" w:hAnsi="Verdana"/>
          <w:sz w:val="17"/>
          <w:szCs w:val="17"/>
          <w:lang w:val="es-AR"/>
        </w:rPr>
        <w:t>14; Chile, UN Doc. CCPR/C/CHL/CO/5</w:t>
      </w:r>
      <w:r>
        <w:rPr>
          <w:rFonts w:ascii="Verdana" w:hAnsi="Verdana"/>
          <w:sz w:val="17"/>
          <w:szCs w:val="17"/>
          <w:lang w:val="es-AR"/>
        </w:rPr>
        <w:t xml:space="preserve"> (2007) §12; </w:t>
      </w:r>
      <w:r w:rsidRPr="00932D22">
        <w:rPr>
          <w:rFonts w:ascii="Verdana" w:hAnsi="Verdana"/>
          <w:sz w:val="17"/>
          <w:szCs w:val="17"/>
          <w:lang w:val="es-AR"/>
        </w:rPr>
        <w:t>Tajikistan, UN Doc. CCPR/CO/84/TJK</w:t>
      </w:r>
      <w:r>
        <w:rPr>
          <w:rFonts w:ascii="Verdana" w:hAnsi="Verdana"/>
          <w:sz w:val="17"/>
          <w:szCs w:val="17"/>
          <w:lang w:val="es-AR"/>
        </w:rPr>
        <w:t xml:space="preserve"> (2004), para. </w:t>
      </w:r>
      <w:r w:rsidRPr="00932D22">
        <w:rPr>
          <w:rFonts w:ascii="Verdana" w:hAnsi="Verdana"/>
          <w:sz w:val="17"/>
          <w:szCs w:val="17"/>
          <w:lang w:val="es-AR"/>
        </w:rPr>
        <w:t>18;</w:t>
      </w:r>
      <w:r>
        <w:rPr>
          <w:rFonts w:ascii="Verdana" w:hAnsi="Verdana"/>
          <w:sz w:val="17"/>
          <w:szCs w:val="17"/>
          <w:lang w:val="es-AR"/>
        </w:rPr>
        <w:t xml:space="preserve"> and</w:t>
      </w:r>
      <w:r w:rsidRPr="00932D22">
        <w:rPr>
          <w:rFonts w:ascii="Verdana" w:hAnsi="Verdana"/>
          <w:sz w:val="17"/>
          <w:szCs w:val="17"/>
          <w:lang w:val="es-AR"/>
        </w:rPr>
        <w:t xml:space="preserve"> Ecuador, UN Doc. </w:t>
      </w:r>
      <w:r w:rsidRPr="00932D22">
        <w:rPr>
          <w:rFonts w:ascii="Verdana" w:hAnsi="Verdana"/>
          <w:sz w:val="17"/>
          <w:szCs w:val="17"/>
        </w:rPr>
        <w:t>CCPR/C/ECU/CO/5</w:t>
      </w:r>
      <w:r>
        <w:rPr>
          <w:rFonts w:ascii="Verdana" w:hAnsi="Verdana"/>
          <w:sz w:val="17"/>
          <w:szCs w:val="17"/>
        </w:rPr>
        <w:t xml:space="preserve"> (2009), para. </w:t>
      </w:r>
      <w:r w:rsidRPr="00932D22">
        <w:rPr>
          <w:rFonts w:ascii="Verdana" w:hAnsi="Verdana"/>
          <w:sz w:val="17"/>
          <w:szCs w:val="17"/>
        </w:rPr>
        <w:t>5</w:t>
      </w:r>
      <w:r>
        <w:rPr>
          <w:rFonts w:ascii="Verdana" w:hAnsi="Verdana"/>
          <w:sz w:val="17"/>
          <w:szCs w:val="17"/>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D00"/>
    <w:multiLevelType w:val="hybridMultilevel"/>
    <w:tmpl w:val="84F04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D0"/>
    <w:rsid w:val="00006909"/>
    <w:rsid w:val="00013901"/>
    <w:rsid w:val="000348E6"/>
    <w:rsid w:val="0008252B"/>
    <w:rsid w:val="000B19E6"/>
    <w:rsid w:val="000B495F"/>
    <w:rsid w:val="001203EE"/>
    <w:rsid w:val="00127974"/>
    <w:rsid w:val="001364F4"/>
    <w:rsid w:val="00143A79"/>
    <w:rsid w:val="00146B62"/>
    <w:rsid w:val="00195BEF"/>
    <w:rsid w:val="001C2531"/>
    <w:rsid w:val="001F78FC"/>
    <w:rsid w:val="0020294E"/>
    <w:rsid w:val="0021373E"/>
    <w:rsid w:val="00222CDA"/>
    <w:rsid w:val="002402A3"/>
    <w:rsid w:val="002557C4"/>
    <w:rsid w:val="002646CC"/>
    <w:rsid w:val="00287550"/>
    <w:rsid w:val="00293A9D"/>
    <w:rsid w:val="002B0FDB"/>
    <w:rsid w:val="002C5151"/>
    <w:rsid w:val="002E4DB6"/>
    <w:rsid w:val="00301A32"/>
    <w:rsid w:val="00302BE6"/>
    <w:rsid w:val="00330731"/>
    <w:rsid w:val="00343667"/>
    <w:rsid w:val="00372749"/>
    <w:rsid w:val="003757F5"/>
    <w:rsid w:val="00385542"/>
    <w:rsid w:val="00404ED3"/>
    <w:rsid w:val="0041675C"/>
    <w:rsid w:val="00442D2E"/>
    <w:rsid w:val="00452489"/>
    <w:rsid w:val="0046739D"/>
    <w:rsid w:val="00476E65"/>
    <w:rsid w:val="00486A68"/>
    <w:rsid w:val="004B0B99"/>
    <w:rsid w:val="004B534D"/>
    <w:rsid w:val="00513207"/>
    <w:rsid w:val="00522F4A"/>
    <w:rsid w:val="00523A18"/>
    <w:rsid w:val="00537CD0"/>
    <w:rsid w:val="00550293"/>
    <w:rsid w:val="00580E7B"/>
    <w:rsid w:val="005A490C"/>
    <w:rsid w:val="005A4BBF"/>
    <w:rsid w:val="005E5476"/>
    <w:rsid w:val="00617ECD"/>
    <w:rsid w:val="00627D9F"/>
    <w:rsid w:val="00651708"/>
    <w:rsid w:val="00670533"/>
    <w:rsid w:val="0067483D"/>
    <w:rsid w:val="0068247B"/>
    <w:rsid w:val="00687181"/>
    <w:rsid w:val="006C3396"/>
    <w:rsid w:val="006C71B8"/>
    <w:rsid w:val="00717A58"/>
    <w:rsid w:val="007643E0"/>
    <w:rsid w:val="00765D53"/>
    <w:rsid w:val="007819AE"/>
    <w:rsid w:val="007A048C"/>
    <w:rsid w:val="007A74DB"/>
    <w:rsid w:val="007B402D"/>
    <w:rsid w:val="007C1BD4"/>
    <w:rsid w:val="00814672"/>
    <w:rsid w:val="00815A20"/>
    <w:rsid w:val="008478FE"/>
    <w:rsid w:val="00876BCE"/>
    <w:rsid w:val="00885C28"/>
    <w:rsid w:val="008B40D6"/>
    <w:rsid w:val="008C572D"/>
    <w:rsid w:val="008D21EC"/>
    <w:rsid w:val="008D5609"/>
    <w:rsid w:val="008E5804"/>
    <w:rsid w:val="008F5DFD"/>
    <w:rsid w:val="00932D22"/>
    <w:rsid w:val="00945682"/>
    <w:rsid w:val="00963E3C"/>
    <w:rsid w:val="00964AA5"/>
    <w:rsid w:val="00986368"/>
    <w:rsid w:val="0099085D"/>
    <w:rsid w:val="009F2EF5"/>
    <w:rsid w:val="00A00221"/>
    <w:rsid w:val="00AB1026"/>
    <w:rsid w:val="00AB3539"/>
    <w:rsid w:val="00AC1D7A"/>
    <w:rsid w:val="00AC4A5B"/>
    <w:rsid w:val="00AD6074"/>
    <w:rsid w:val="00B0779D"/>
    <w:rsid w:val="00B228EB"/>
    <w:rsid w:val="00B22E17"/>
    <w:rsid w:val="00B56647"/>
    <w:rsid w:val="00BF13E5"/>
    <w:rsid w:val="00C02287"/>
    <w:rsid w:val="00C055A6"/>
    <w:rsid w:val="00C82D86"/>
    <w:rsid w:val="00C95119"/>
    <w:rsid w:val="00CC598C"/>
    <w:rsid w:val="00CD4E0B"/>
    <w:rsid w:val="00CF7DC7"/>
    <w:rsid w:val="00D10546"/>
    <w:rsid w:val="00D43C4E"/>
    <w:rsid w:val="00D54483"/>
    <w:rsid w:val="00D700DA"/>
    <w:rsid w:val="00D84C00"/>
    <w:rsid w:val="00DB70EC"/>
    <w:rsid w:val="00DD0643"/>
    <w:rsid w:val="00DE0B49"/>
    <w:rsid w:val="00DF386D"/>
    <w:rsid w:val="00E10102"/>
    <w:rsid w:val="00E175A1"/>
    <w:rsid w:val="00E645F0"/>
    <w:rsid w:val="00E67694"/>
    <w:rsid w:val="00E77A70"/>
    <w:rsid w:val="00E87765"/>
    <w:rsid w:val="00E925F9"/>
    <w:rsid w:val="00EC23E6"/>
    <w:rsid w:val="00EF3B30"/>
    <w:rsid w:val="00EF459D"/>
    <w:rsid w:val="00F1773C"/>
    <w:rsid w:val="00F250F7"/>
    <w:rsid w:val="00F331E3"/>
    <w:rsid w:val="00F653D0"/>
    <w:rsid w:val="00F86FD9"/>
    <w:rsid w:val="00FE4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2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7CD0"/>
    <w:pPr>
      <w:keepNext/>
      <w:keepLines/>
      <w:spacing w:line="256" w:lineRule="exact"/>
      <w:outlineLvl w:val="2"/>
    </w:pPr>
    <w:rPr>
      <w:rFonts w:ascii="Verdana" w:eastAsiaTheme="majorEastAsia" w:hAnsi="Verdana" w:cstheme="majorBidi"/>
      <w:bCs/>
      <w:i/>
      <w:sz w:val="19"/>
      <w:szCs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CD0"/>
    <w:rPr>
      <w:rFonts w:ascii="Verdana" w:eastAsiaTheme="majorEastAsia" w:hAnsi="Verdana" w:cstheme="majorBidi"/>
      <w:bCs/>
      <w:i/>
      <w:sz w:val="19"/>
      <w:szCs w:val="19"/>
      <w:lang w:eastAsia="ja-JP"/>
    </w:rPr>
  </w:style>
  <w:style w:type="paragraph" w:styleId="FootnoteText">
    <w:name w:val="footnote text"/>
    <w:aliases w:val="5_G,Voetnoottekst1,Char1,FA Fu1,Footnote Text Char Char Char1,Footnote Text Char Char Char Char1,Footnote Text Char Char1,Footnote Text Char Char Char Char Char1,FA Fu,FA Fußnotentext,Footnote reference,ßnotentext,FA,FA Fuﬂnotentext, Char1"/>
    <w:basedOn w:val="Normal"/>
    <w:link w:val="FootnoteTextChar"/>
    <w:unhideWhenUsed/>
    <w:qFormat/>
    <w:rsid w:val="00537CD0"/>
    <w:rPr>
      <w:rFonts w:ascii="Verdana" w:hAnsi="Verdana"/>
      <w:sz w:val="19"/>
      <w:lang w:eastAsia="ja-JP"/>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FA Fu Char,FA Fußnotentext Char"/>
    <w:basedOn w:val="DefaultParagraphFont"/>
    <w:link w:val="FootnoteText"/>
    <w:rsid w:val="00537CD0"/>
    <w:rPr>
      <w:rFonts w:ascii="Verdana" w:hAnsi="Verdana"/>
      <w:sz w:val="19"/>
      <w:lang w:eastAsia="ja-JP"/>
    </w:rPr>
  </w:style>
  <w:style w:type="character" w:styleId="FootnoteReference">
    <w:name w:val="footnote reference"/>
    <w:aliases w:val="4_G,Footnote number,referencia nota al pie,Footnotes refss,Appel note de bas de page,f,Footnote Text Char1 Car Car Car Car,Footnote Text Char Char Car Car Car Car,Char Car Car Car Car,Char Char Char Car Car Car Car Car,BVI fnr,callout"/>
    <w:basedOn w:val="DefaultParagraphFont"/>
    <w:unhideWhenUsed/>
    <w:rsid w:val="00537CD0"/>
    <w:rPr>
      <w:vertAlign w:val="superscript"/>
    </w:rPr>
  </w:style>
  <w:style w:type="paragraph" w:styleId="ListParagraph">
    <w:name w:val="List Paragraph"/>
    <w:basedOn w:val="Normal"/>
    <w:qFormat/>
    <w:rsid w:val="00537CD0"/>
    <w:pPr>
      <w:ind w:left="720"/>
      <w:contextualSpacing/>
    </w:pPr>
    <w:rPr>
      <w:rFonts w:ascii="Verdana" w:eastAsiaTheme="minorHAnsi" w:hAnsi="Verdana"/>
      <w:sz w:val="19"/>
      <w:lang w:eastAsia="ja-JP"/>
    </w:rPr>
  </w:style>
  <w:style w:type="character" w:styleId="Hyperlink">
    <w:name w:val="Hyperlink"/>
    <w:basedOn w:val="DefaultParagraphFont"/>
    <w:uiPriority w:val="99"/>
    <w:unhideWhenUsed/>
    <w:rsid w:val="001C2531"/>
    <w:rPr>
      <w:color w:val="0000FF" w:themeColor="hyperlink"/>
      <w:u w:val="single"/>
    </w:rPr>
  </w:style>
  <w:style w:type="character" w:customStyle="1" w:styleId="st">
    <w:name w:val="st"/>
    <w:basedOn w:val="DefaultParagraphFont"/>
    <w:rsid w:val="00D700DA"/>
  </w:style>
  <w:style w:type="paragraph" w:styleId="BalloonText">
    <w:name w:val="Balloon Text"/>
    <w:basedOn w:val="Normal"/>
    <w:link w:val="BalloonTextChar"/>
    <w:uiPriority w:val="99"/>
    <w:semiHidden/>
    <w:unhideWhenUsed/>
    <w:rsid w:val="002C5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1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7CD0"/>
    <w:pPr>
      <w:keepNext/>
      <w:keepLines/>
      <w:spacing w:line="256" w:lineRule="exact"/>
      <w:outlineLvl w:val="2"/>
    </w:pPr>
    <w:rPr>
      <w:rFonts w:ascii="Verdana" w:eastAsiaTheme="majorEastAsia" w:hAnsi="Verdana" w:cstheme="majorBidi"/>
      <w:bCs/>
      <w:i/>
      <w:sz w:val="19"/>
      <w:szCs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CD0"/>
    <w:rPr>
      <w:rFonts w:ascii="Verdana" w:eastAsiaTheme="majorEastAsia" w:hAnsi="Verdana" w:cstheme="majorBidi"/>
      <w:bCs/>
      <w:i/>
      <w:sz w:val="19"/>
      <w:szCs w:val="19"/>
      <w:lang w:eastAsia="ja-JP"/>
    </w:rPr>
  </w:style>
  <w:style w:type="paragraph" w:styleId="FootnoteText">
    <w:name w:val="footnote text"/>
    <w:aliases w:val="5_G,Voetnoottekst1,Char1,FA Fu1,Footnote Text Char Char Char1,Footnote Text Char Char Char Char1,Footnote Text Char Char1,Footnote Text Char Char Char Char Char1,FA Fu,FA Fußnotentext,Footnote reference,ßnotentext,FA,FA Fuﬂnotentext, Char1"/>
    <w:basedOn w:val="Normal"/>
    <w:link w:val="FootnoteTextChar"/>
    <w:unhideWhenUsed/>
    <w:qFormat/>
    <w:rsid w:val="00537CD0"/>
    <w:rPr>
      <w:rFonts w:ascii="Verdana" w:hAnsi="Verdana"/>
      <w:sz w:val="19"/>
      <w:lang w:eastAsia="ja-JP"/>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FA Fu Char,FA Fußnotentext Char"/>
    <w:basedOn w:val="DefaultParagraphFont"/>
    <w:link w:val="FootnoteText"/>
    <w:rsid w:val="00537CD0"/>
    <w:rPr>
      <w:rFonts w:ascii="Verdana" w:hAnsi="Verdana"/>
      <w:sz w:val="19"/>
      <w:lang w:eastAsia="ja-JP"/>
    </w:rPr>
  </w:style>
  <w:style w:type="character" w:styleId="FootnoteReference">
    <w:name w:val="footnote reference"/>
    <w:aliases w:val="4_G,Footnote number,referencia nota al pie,Footnotes refss,Appel note de bas de page,f,Footnote Text Char1 Car Car Car Car,Footnote Text Char Char Car Car Car Car,Char Car Car Car Car,Char Char Char Car Car Car Car Car,BVI fnr,callout"/>
    <w:basedOn w:val="DefaultParagraphFont"/>
    <w:unhideWhenUsed/>
    <w:rsid w:val="00537CD0"/>
    <w:rPr>
      <w:vertAlign w:val="superscript"/>
    </w:rPr>
  </w:style>
  <w:style w:type="paragraph" w:styleId="ListParagraph">
    <w:name w:val="List Paragraph"/>
    <w:basedOn w:val="Normal"/>
    <w:qFormat/>
    <w:rsid w:val="00537CD0"/>
    <w:pPr>
      <w:ind w:left="720"/>
      <w:contextualSpacing/>
    </w:pPr>
    <w:rPr>
      <w:rFonts w:ascii="Verdana" w:eastAsiaTheme="minorHAnsi" w:hAnsi="Verdana"/>
      <w:sz w:val="19"/>
      <w:lang w:eastAsia="ja-JP"/>
    </w:rPr>
  </w:style>
  <w:style w:type="character" w:styleId="Hyperlink">
    <w:name w:val="Hyperlink"/>
    <w:basedOn w:val="DefaultParagraphFont"/>
    <w:uiPriority w:val="99"/>
    <w:unhideWhenUsed/>
    <w:rsid w:val="001C2531"/>
    <w:rPr>
      <w:color w:val="0000FF" w:themeColor="hyperlink"/>
      <w:u w:val="single"/>
    </w:rPr>
  </w:style>
  <w:style w:type="character" w:customStyle="1" w:styleId="st">
    <w:name w:val="st"/>
    <w:basedOn w:val="DefaultParagraphFont"/>
    <w:rsid w:val="00D700DA"/>
  </w:style>
  <w:style w:type="paragraph" w:styleId="BalloonText">
    <w:name w:val="Balloon Text"/>
    <w:basedOn w:val="Normal"/>
    <w:link w:val="BalloonTextChar"/>
    <w:uiPriority w:val="99"/>
    <w:semiHidden/>
    <w:unhideWhenUsed/>
    <w:rsid w:val="002C5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1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6066">
      <w:bodyDiv w:val="1"/>
      <w:marLeft w:val="0"/>
      <w:marRight w:val="0"/>
      <w:marTop w:val="0"/>
      <w:marBottom w:val="0"/>
      <w:divBdr>
        <w:top w:val="none" w:sz="0" w:space="0" w:color="auto"/>
        <w:left w:val="none" w:sz="0" w:space="0" w:color="auto"/>
        <w:bottom w:val="none" w:sz="0" w:space="0" w:color="auto"/>
        <w:right w:val="none" w:sz="0" w:space="0" w:color="auto"/>
      </w:divBdr>
      <w:divsChild>
        <w:div w:id="2136873725">
          <w:marLeft w:val="0"/>
          <w:marRight w:val="0"/>
          <w:marTop w:val="0"/>
          <w:marBottom w:val="0"/>
          <w:divBdr>
            <w:top w:val="none" w:sz="0" w:space="0" w:color="auto"/>
            <w:left w:val="none" w:sz="0" w:space="0" w:color="auto"/>
            <w:bottom w:val="none" w:sz="0" w:space="0" w:color="auto"/>
            <w:right w:val="none" w:sz="0" w:space="0" w:color="auto"/>
          </w:divBdr>
        </w:div>
        <w:div w:id="1538009413">
          <w:marLeft w:val="0"/>
          <w:marRight w:val="0"/>
          <w:marTop w:val="0"/>
          <w:marBottom w:val="0"/>
          <w:divBdr>
            <w:top w:val="none" w:sz="0" w:space="0" w:color="auto"/>
            <w:left w:val="none" w:sz="0" w:space="0" w:color="auto"/>
            <w:bottom w:val="none" w:sz="0" w:space="0" w:color="auto"/>
            <w:right w:val="none" w:sz="0" w:space="0" w:color="auto"/>
          </w:divBdr>
        </w:div>
        <w:div w:id="1373769988">
          <w:marLeft w:val="0"/>
          <w:marRight w:val="0"/>
          <w:marTop w:val="0"/>
          <w:marBottom w:val="0"/>
          <w:divBdr>
            <w:top w:val="none" w:sz="0" w:space="0" w:color="auto"/>
            <w:left w:val="none" w:sz="0" w:space="0" w:color="auto"/>
            <w:bottom w:val="none" w:sz="0" w:space="0" w:color="auto"/>
            <w:right w:val="none" w:sz="0" w:space="0" w:color="auto"/>
          </w:divBdr>
        </w:div>
        <w:div w:id="1164855987">
          <w:marLeft w:val="0"/>
          <w:marRight w:val="0"/>
          <w:marTop w:val="0"/>
          <w:marBottom w:val="0"/>
          <w:divBdr>
            <w:top w:val="none" w:sz="0" w:space="0" w:color="auto"/>
            <w:left w:val="none" w:sz="0" w:space="0" w:color="auto"/>
            <w:bottom w:val="none" w:sz="0" w:space="0" w:color="auto"/>
            <w:right w:val="none" w:sz="0" w:space="0" w:color="auto"/>
          </w:divBdr>
        </w:div>
        <w:div w:id="1523979542">
          <w:marLeft w:val="0"/>
          <w:marRight w:val="0"/>
          <w:marTop w:val="0"/>
          <w:marBottom w:val="0"/>
          <w:divBdr>
            <w:top w:val="none" w:sz="0" w:space="0" w:color="auto"/>
            <w:left w:val="none" w:sz="0" w:space="0" w:color="auto"/>
            <w:bottom w:val="none" w:sz="0" w:space="0" w:color="auto"/>
            <w:right w:val="none" w:sz="0" w:space="0" w:color="auto"/>
          </w:divBdr>
        </w:div>
        <w:div w:id="153648736">
          <w:marLeft w:val="0"/>
          <w:marRight w:val="0"/>
          <w:marTop w:val="0"/>
          <w:marBottom w:val="0"/>
          <w:divBdr>
            <w:top w:val="none" w:sz="0" w:space="0" w:color="auto"/>
            <w:left w:val="none" w:sz="0" w:space="0" w:color="auto"/>
            <w:bottom w:val="none" w:sz="0" w:space="0" w:color="auto"/>
            <w:right w:val="none" w:sz="0" w:space="0" w:color="auto"/>
          </w:divBdr>
        </w:div>
        <w:div w:id="1315793093">
          <w:marLeft w:val="0"/>
          <w:marRight w:val="0"/>
          <w:marTop w:val="0"/>
          <w:marBottom w:val="0"/>
          <w:divBdr>
            <w:top w:val="none" w:sz="0" w:space="0" w:color="auto"/>
            <w:left w:val="none" w:sz="0" w:space="0" w:color="auto"/>
            <w:bottom w:val="none" w:sz="0" w:space="0" w:color="auto"/>
            <w:right w:val="none" w:sz="0" w:space="0" w:color="auto"/>
          </w:divBdr>
        </w:div>
        <w:div w:id="1982036074">
          <w:marLeft w:val="0"/>
          <w:marRight w:val="0"/>
          <w:marTop w:val="0"/>
          <w:marBottom w:val="0"/>
          <w:divBdr>
            <w:top w:val="none" w:sz="0" w:space="0" w:color="auto"/>
            <w:left w:val="none" w:sz="0" w:space="0" w:color="auto"/>
            <w:bottom w:val="none" w:sz="0" w:space="0" w:color="auto"/>
            <w:right w:val="none" w:sz="0" w:space="0" w:color="auto"/>
          </w:divBdr>
        </w:div>
        <w:div w:id="946930075">
          <w:marLeft w:val="0"/>
          <w:marRight w:val="0"/>
          <w:marTop w:val="0"/>
          <w:marBottom w:val="0"/>
          <w:divBdr>
            <w:top w:val="none" w:sz="0" w:space="0" w:color="auto"/>
            <w:left w:val="none" w:sz="0" w:space="0" w:color="auto"/>
            <w:bottom w:val="none" w:sz="0" w:space="0" w:color="auto"/>
            <w:right w:val="none" w:sz="0" w:space="0" w:color="auto"/>
          </w:divBdr>
        </w:div>
        <w:div w:id="560143610">
          <w:marLeft w:val="0"/>
          <w:marRight w:val="0"/>
          <w:marTop w:val="0"/>
          <w:marBottom w:val="0"/>
          <w:divBdr>
            <w:top w:val="none" w:sz="0" w:space="0" w:color="auto"/>
            <w:left w:val="none" w:sz="0" w:space="0" w:color="auto"/>
            <w:bottom w:val="none" w:sz="0" w:space="0" w:color="auto"/>
            <w:right w:val="none" w:sz="0" w:space="0" w:color="auto"/>
          </w:divBdr>
        </w:div>
        <w:div w:id="764308139">
          <w:marLeft w:val="0"/>
          <w:marRight w:val="0"/>
          <w:marTop w:val="0"/>
          <w:marBottom w:val="0"/>
          <w:divBdr>
            <w:top w:val="none" w:sz="0" w:space="0" w:color="auto"/>
            <w:left w:val="none" w:sz="0" w:space="0" w:color="auto"/>
            <w:bottom w:val="none" w:sz="0" w:space="0" w:color="auto"/>
            <w:right w:val="none" w:sz="0" w:space="0" w:color="auto"/>
          </w:divBdr>
        </w:div>
        <w:div w:id="1455366240">
          <w:marLeft w:val="0"/>
          <w:marRight w:val="0"/>
          <w:marTop w:val="0"/>
          <w:marBottom w:val="0"/>
          <w:divBdr>
            <w:top w:val="none" w:sz="0" w:space="0" w:color="auto"/>
            <w:left w:val="none" w:sz="0" w:space="0" w:color="auto"/>
            <w:bottom w:val="none" w:sz="0" w:space="0" w:color="auto"/>
            <w:right w:val="none" w:sz="0" w:space="0" w:color="auto"/>
          </w:divBdr>
        </w:div>
        <w:div w:id="284585622">
          <w:marLeft w:val="0"/>
          <w:marRight w:val="0"/>
          <w:marTop w:val="0"/>
          <w:marBottom w:val="0"/>
          <w:divBdr>
            <w:top w:val="none" w:sz="0" w:space="0" w:color="auto"/>
            <w:left w:val="none" w:sz="0" w:space="0" w:color="auto"/>
            <w:bottom w:val="none" w:sz="0" w:space="0" w:color="auto"/>
            <w:right w:val="none" w:sz="0" w:space="0" w:color="auto"/>
          </w:divBdr>
        </w:div>
        <w:div w:id="176972142">
          <w:marLeft w:val="0"/>
          <w:marRight w:val="0"/>
          <w:marTop w:val="0"/>
          <w:marBottom w:val="0"/>
          <w:divBdr>
            <w:top w:val="none" w:sz="0" w:space="0" w:color="auto"/>
            <w:left w:val="none" w:sz="0" w:space="0" w:color="auto"/>
            <w:bottom w:val="none" w:sz="0" w:space="0" w:color="auto"/>
            <w:right w:val="none" w:sz="0" w:space="0" w:color="auto"/>
          </w:divBdr>
        </w:div>
        <w:div w:id="1489176359">
          <w:marLeft w:val="0"/>
          <w:marRight w:val="0"/>
          <w:marTop w:val="0"/>
          <w:marBottom w:val="0"/>
          <w:divBdr>
            <w:top w:val="none" w:sz="0" w:space="0" w:color="auto"/>
            <w:left w:val="none" w:sz="0" w:space="0" w:color="auto"/>
            <w:bottom w:val="none" w:sz="0" w:space="0" w:color="auto"/>
            <w:right w:val="none" w:sz="0" w:space="0" w:color="auto"/>
          </w:divBdr>
        </w:div>
        <w:div w:id="1803107792">
          <w:marLeft w:val="0"/>
          <w:marRight w:val="0"/>
          <w:marTop w:val="0"/>
          <w:marBottom w:val="0"/>
          <w:divBdr>
            <w:top w:val="none" w:sz="0" w:space="0" w:color="auto"/>
            <w:left w:val="none" w:sz="0" w:space="0" w:color="auto"/>
            <w:bottom w:val="none" w:sz="0" w:space="0" w:color="auto"/>
            <w:right w:val="none" w:sz="0" w:space="0" w:color="auto"/>
          </w:divBdr>
        </w:div>
        <w:div w:id="2045252380">
          <w:marLeft w:val="0"/>
          <w:marRight w:val="0"/>
          <w:marTop w:val="0"/>
          <w:marBottom w:val="0"/>
          <w:divBdr>
            <w:top w:val="none" w:sz="0" w:space="0" w:color="auto"/>
            <w:left w:val="none" w:sz="0" w:space="0" w:color="auto"/>
            <w:bottom w:val="none" w:sz="0" w:space="0" w:color="auto"/>
            <w:right w:val="none" w:sz="0" w:space="0" w:color="auto"/>
          </w:divBdr>
        </w:div>
        <w:div w:id="580673945">
          <w:marLeft w:val="0"/>
          <w:marRight w:val="0"/>
          <w:marTop w:val="0"/>
          <w:marBottom w:val="0"/>
          <w:divBdr>
            <w:top w:val="none" w:sz="0" w:space="0" w:color="auto"/>
            <w:left w:val="none" w:sz="0" w:space="0" w:color="auto"/>
            <w:bottom w:val="none" w:sz="0" w:space="0" w:color="auto"/>
            <w:right w:val="none" w:sz="0" w:space="0" w:color="auto"/>
          </w:divBdr>
        </w:div>
        <w:div w:id="1227037284">
          <w:marLeft w:val="0"/>
          <w:marRight w:val="0"/>
          <w:marTop w:val="0"/>
          <w:marBottom w:val="0"/>
          <w:divBdr>
            <w:top w:val="none" w:sz="0" w:space="0" w:color="auto"/>
            <w:left w:val="none" w:sz="0" w:space="0" w:color="auto"/>
            <w:bottom w:val="none" w:sz="0" w:space="0" w:color="auto"/>
            <w:right w:val="none" w:sz="0" w:space="0" w:color="auto"/>
          </w:divBdr>
        </w:div>
      </w:divsChild>
    </w:div>
    <w:div w:id="481191279">
      <w:bodyDiv w:val="1"/>
      <w:marLeft w:val="0"/>
      <w:marRight w:val="0"/>
      <w:marTop w:val="0"/>
      <w:marBottom w:val="0"/>
      <w:divBdr>
        <w:top w:val="none" w:sz="0" w:space="0" w:color="auto"/>
        <w:left w:val="none" w:sz="0" w:space="0" w:color="auto"/>
        <w:bottom w:val="none" w:sz="0" w:space="0" w:color="auto"/>
        <w:right w:val="none" w:sz="0" w:space="0" w:color="auto"/>
      </w:divBdr>
      <w:divsChild>
        <w:div w:id="1032732054">
          <w:marLeft w:val="0"/>
          <w:marRight w:val="0"/>
          <w:marTop w:val="0"/>
          <w:marBottom w:val="0"/>
          <w:divBdr>
            <w:top w:val="none" w:sz="0" w:space="0" w:color="auto"/>
            <w:left w:val="none" w:sz="0" w:space="0" w:color="auto"/>
            <w:bottom w:val="none" w:sz="0" w:space="0" w:color="auto"/>
            <w:right w:val="none" w:sz="0" w:space="0" w:color="auto"/>
          </w:divBdr>
        </w:div>
        <w:div w:id="927543858">
          <w:marLeft w:val="0"/>
          <w:marRight w:val="0"/>
          <w:marTop w:val="0"/>
          <w:marBottom w:val="0"/>
          <w:divBdr>
            <w:top w:val="none" w:sz="0" w:space="0" w:color="auto"/>
            <w:left w:val="none" w:sz="0" w:space="0" w:color="auto"/>
            <w:bottom w:val="none" w:sz="0" w:space="0" w:color="auto"/>
            <w:right w:val="none" w:sz="0" w:space="0" w:color="auto"/>
          </w:divBdr>
        </w:div>
        <w:div w:id="918170662">
          <w:marLeft w:val="0"/>
          <w:marRight w:val="0"/>
          <w:marTop w:val="0"/>
          <w:marBottom w:val="0"/>
          <w:divBdr>
            <w:top w:val="none" w:sz="0" w:space="0" w:color="auto"/>
            <w:left w:val="none" w:sz="0" w:space="0" w:color="auto"/>
            <w:bottom w:val="none" w:sz="0" w:space="0" w:color="auto"/>
            <w:right w:val="none" w:sz="0" w:space="0" w:color="auto"/>
          </w:divBdr>
        </w:div>
        <w:div w:id="975377168">
          <w:marLeft w:val="0"/>
          <w:marRight w:val="0"/>
          <w:marTop w:val="0"/>
          <w:marBottom w:val="0"/>
          <w:divBdr>
            <w:top w:val="none" w:sz="0" w:space="0" w:color="auto"/>
            <w:left w:val="none" w:sz="0" w:space="0" w:color="auto"/>
            <w:bottom w:val="none" w:sz="0" w:space="0" w:color="auto"/>
            <w:right w:val="none" w:sz="0" w:space="0" w:color="auto"/>
          </w:divBdr>
        </w:div>
        <w:div w:id="1755475848">
          <w:marLeft w:val="0"/>
          <w:marRight w:val="0"/>
          <w:marTop w:val="0"/>
          <w:marBottom w:val="0"/>
          <w:divBdr>
            <w:top w:val="none" w:sz="0" w:space="0" w:color="auto"/>
            <w:left w:val="none" w:sz="0" w:space="0" w:color="auto"/>
            <w:bottom w:val="none" w:sz="0" w:space="0" w:color="auto"/>
            <w:right w:val="none" w:sz="0" w:space="0" w:color="auto"/>
          </w:divBdr>
        </w:div>
        <w:div w:id="1869760712">
          <w:marLeft w:val="0"/>
          <w:marRight w:val="0"/>
          <w:marTop w:val="0"/>
          <w:marBottom w:val="0"/>
          <w:divBdr>
            <w:top w:val="none" w:sz="0" w:space="0" w:color="auto"/>
            <w:left w:val="none" w:sz="0" w:space="0" w:color="auto"/>
            <w:bottom w:val="none" w:sz="0" w:space="0" w:color="auto"/>
            <w:right w:val="none" w:sz="0" w:space="0" w:color="auto"/>
          </w:divBdr>
        </w:div>
        <w:div w:id="1287542970">
          <w:marLeft w:val="0"/>
          <w:marRight w:val="0"/>
          <w:marTop w:val="0"/>
          <w:marBottom w:val="0"/>
          <w:divBdr>
            <w:top w:val="none" w:sz="0" w:space="0" w:color="auto"/>
            <w:left w:val="none" w:sz="0" w:space="0" w:color="auto"/>
            <w:bottom w:val="none" w:sz="0" w:space="0" w:color="auto"/>
            <w:right w:val="none" w:sz="0" w:space="0" w:color="auto"/>
          </w:divBdr>
        </w:div>
        <w:div w:id="2063409388">
          <w:marLeft w:val="0"/>
          <w:marRight w:val="0"/>
          <w:marTop w:val="0"/>
          <w:marBottom w:val="0"/>
          <w:divBdr>
            <w:top w:val="none" w:sz="0" w:space="0" w:color="auto"/>
            <w:left w:val="none" w:sz="0" w:space="0" w:color="auto"/>
            <w:bottom w:val="none" w:sz="0" w:space="0" w:color="auto"/>
            <w:right w:val="none" w:sz="0" w:space="0" w:color="auto"/>
          </w:divBdr>
        </w:div>
        <w:div w:id="64033971">
          <w:marLeft w:val="0"/>
          <w:marRight w:val="0"/>
          <w:marTop w:val="0"/>
          <w:marBottom w:val="0"/>
          <w:divBdr>
            <w:top w:val="none" w:sz="0" w:space="0" w:color="auto"/>
            <w:left w:val="none" w:sz="0" w:space="0" w:color="auto"/>
            <w:bottom w:val="none" w:sz="0" w:space="0" w:color="auto"/>
            <w:right w:val="none" w:sz="0" w:space="0" w:color="auto"/>
          </w:divBdr>
        </w:div>
        <w:div w:id="842284991">
          <w:marLeft w:val="0"/>
          <w:marRight w:val="0"/>
          <w:marTop w:val="0"/>
          <w:marBottom w:val="0"/>
          <w:divBdr>
            <w:top w:val="none" w:sz="0" w:space="0" w:color="auto"/>
            <w:left w:val="none" w:sz="0" w:space="0" w:color="auto"/>
            <w:bottom w:val="none" w:sz="0" w:space="0" w:color="auto"/>
            <w:right w:val="none" w:sz="0" w:space="0" w:color="auto"/>
          </w:divBdr>
        </w:div>
      </w:divsChild>
    </w:div>
    <w:div w:id="1105348969">
      <w:bodyDiv w:val="1"/>
      <w:marLeft w:val="0"/>
      <w:marRight w:val="0"/>
      <w:marTop w:val="0"/>
      <w:marBottom w:val="0"/>
      <w:divBdr>
        <w:top w:val="none" w:sz="0" w:space="0" w:color="auto"/>
        <w:left w:val="none" w:sz="0" w:space="0" w:color="auto"/>
        <w:bottom w:val="none" w:sz="0" w:space="0" w:color="auto"/>
        <w:right w:val="none" w:sz="0" w:space="0" w:color="auto"/>
      </w:divBdr>
      <w:divsChild>
        <w:div w:id="1543253254">
          <w:marLeft w:val="0"/>
          <w:marRight w:val="0"/>
          <w:marTop w:val="0"/>
          <w:marBottom w:val="0"/>
          <w:divBdr>
            <w:top w:val="none" w:sz="0" w:space="0" w:color="auto"/>
            <w:left w:val="none" w:sz="0" w:space="0" w:color="auto"/>
            <w:bottom w:val="none" w:sz="0" w:space="0" w:color="auto"/>
            <w:right w:val="none" w:sz="0" w:space="0" w:color="auto"/>
          </w:divBdr>
        </w:div>
        <w:div w:id="1102334122">
          <w:marLeft w:val="0"/>
          <w:marRight w:val="0"/>
          <w:marTop w:val="0"/>
          <w:marBottom w:val="0"/>
          <w:divBdr>
            <w:top w:val="none" w:sz="0" w:space="0" w:color="auto"/>
            <w:left w:val="none" w:sz="0" w:space="0" w:color="auto"/>
            <w:bottom w:val="none" w:sz="0" w:space="0" w:color="auto"/>
            <w:right w:val="none" w:sz="0" w:space="0" w:color="auto"/>
          </w:divBdr>
        </w:div>
        <w:div w:id="1079790646">
          <w:marLeft w:val="0"/>
          <w:marRight w:val="0"/>
          <w:marTop w:val="0"/>
          <w:marBottom w:val="0"/>
          <w:divBdr>
            <w:top w:val="none" w:sz="0" w:space="0" w:color="auto"/>
            <w:left w:val="none" w:sz="0" w:space="0" w:color="auto"/>
            <w:bottom w:val="none" w:sz="0" w:space="0" w:color="auto"/>
            <w:right w:val="none" w:sz="0" w:space="0" w:color="auto"/>
          </w:divBdr>
        </w:div>
        <w:div w:id="1091510213">
          <w:marLeft w:val="0"/>
          <w:marRight w:val="0"/>
          <w:marTop w:val="0"/>
          <w:marBottom w:val="0"/>
          <w:divBdr>
            <w:top w:val="none" w:sz="0" w:space="0" w:color="auto"/>
            <w:left w:val="none" w:sz="0" w:space="0" w:color="auto"/>
            <w:bottom w:val="none" w:sz="0" w:space="0" w:color="auto"/>
            <w:right w:val="none" w:sz="0" w:space="0" w:color="auto"/>
          </w:divBdr>
        </w:div>
        <w:div w:id="1458137847">
          <w:marLeft w:val="0"/>
          <w:marRight w:val="0"/>
          <w:marTop w:val="0"/>
          <w:marBottom w:val="0"/>
          <w:divBdr>
            <w:top w:val="none" w:sz="0" w:space="0" w:color="auto"/>
            <w:left w:val="none" w:sz="0" w:space="0" w:color="auto"/>
            <w:bottom w:val="none" w:sz="0" w:space="0" w:color="auto"/>
            <w:right w:val="none" w:sz="0" w:space="0" w:color="auto"/>
          </w:divBdr>
        </w:div>
        <w:div w:id="1038312752">
          <w:marLeft w:val="0"/>
          <w:marRight w:val="0"/>
          <w:marTop w:val="0"/>
          <w:marBottom w:val="0"/>
          <w:divBdr>
            <w:top w:val="none" w:sz="0" w:space="0" w:color="auto"/>
            <w:left w:val="none" w:sz="0" w:space="0" w:color="auto"/>
            <w:bottom w:val="none" w:sz="0" w:space="0" w:color="auto"/>
            <w:right w:val="none" w:sz="0" w:space="0" w:color="auto"/>
          </w:divBdr>
        </w:div>
        <w:div w:id="2061589359">
          <w:marLeft w:val="0"/>
          <w:marRight w:val="0"/>
          <w:marTop w:val="0"/>
          <w:marBottom w:val="0"/>
          <w:divBdr>
            <w:top w:val="none" w:sz="0" w:space="0" w:color="auto"/>
            <w:left w:val="none" w:sz="0" w:space="0" w:color="auto"/>
            <w:bottom w:val="none" w:sz="0" w:space="0" w:color="auto"/>
            <w:right w:val="none" w:sz="0" w:space="0" w:color="auto"/>
          </w:divBdr>
        </w:div>
        <w:div w:id="1438451711">
          <w:marLeft w:val="0"/>
          <w:marRight w:val="0"/>
          <w:marTop w:val="0"/>
          <w:marBottom w:val="0"/>
          <w:divBdr>
            <w:top w:val="none" w:sz="0" w:space="0" w:color="auto"/>
            <w:left w:val="none" w:sz="0" w:space="0" w:color="auto"/>
            <w:bottom w:val="none" w:sz="0" w:space="0" w:color="auto"/>
            <w:right w:val="none" w:sz="0" w:space="0" w:color="auto"/>
          </w:divBdr>
        </w:div>
        <w:div w:id="1281376333">
          <w:marLeft w:val="0"/>
          <w:marRight w:val="0"/>
          <w:marTop w:val="0"/>
          <w:marBottom w:val="0"/>
          <w:divBdr>
            <w:top w:val="none" w:sz="0" w:space="0" w:color="auto"/>
            <w:left w:val="none" w:sz="0" w:space="0" w:color="auto"/>
            <w:bottom w:val="none" w:sz="0" w:space="0" w:color="auto"/>
            <w:right w:val="none" w:sz="0" w:space="0" w:color="auto"/>
          </w:divBdr>
        </w:div>
        <w:div w:id="1786730387">
          <w:marLeft w:val="0"/>
          <w:marRight w:val="0"/>
          <w:marTop w:val="0"/>
          <w:marBottom w:val="0"/>
          <w:divBdr>
            <w:top w:val="none" w:sz="0" w:space="0" w:color="auto"/>
            <w:left w:val="none" w:sz="0" w:space="0" w:color="auto"/>
            <w:bottom w:val="none" w:sz="0" w:space="0" w:color="auto"/>
            <w:right w:val="none" w:sz="0" w:space="0" w:color="auto"/>
          </w:divBdr>
        </w:div>
        <w:div w:id="1337611770">
          <w:marLeft w:val="0"/>
          <w:marRight w:val="0"/>
          <w:marTop w:val="0"/>
          <w:marBottom w:val="0"/>
          <w:divBdr>
            <w:top w:val="none" w:sz="0" w:space="0" w:color="auto"/>
            <w:left w:val="none" w:sz="0" w:space="0" w:color="auto"/>
            <w:bottom w:val="none" w:sz="0" w:space="0" w:color="auto"/>
            <w:right w:val="none" w:sz="0" w:space="0" w:color="auto"/>
          </w:divBdr>
        </w:div>
        <w:div w:id="160127329">
          <w:marLeft w:val="0"/>
          <w:marRight w:val="0"/>
          <w:marTop w:val="0"/>
          <w:marBottom w:val="0"/>
          <w:divBdr>
            <w:top w:val="none" w:sz="0" w:space="0" w:color="auto"/>
            <w:left w:val="none" w:sz="0" w:space="0" w:color="auto"/>
            <w:bottom w:val="none" w:sz="0" w:space="0" w:color="auto"/>
            <w:right w:val="none" w:sz="0" w:space="0" w:color="auto"/>
          </w:divBdr>
        </w:div>
        <w:div w:id="2053458525">
          <w:marLeft w:val="0"/>
          <w:marRight w:val="0"/>
          <w:marTop w:val="0"/>
          <w:marBottom w:val="0"/>
          <w:divBdr>
            <w:top w:val="none" w:sz="0" w:space="0" w:color="auto"/>
            <w:left w:val="none" w:sz="0" w:space="0" w:color="auto"/>
            <w:bottom w:val="none" w:sz="0" w:space="0" w:color="auto"/>
            <w:right w:val="none" w:sz="0" w:space="0" w:color="auto"/>
          </w:divBdr>
        </w:div>
        <w:div w:id="1837962822">
          <w:marLeft w:val="0"/>
          <w:marRight w:val="0"/>
          <w:marTop w:val="0"/>
          <w:marBottom w:val="0"/>
          <w:divBdr>
            <w:top w:val="none" w:sz="0" w:space="0" w:color="auto"/>
            <w:left w:val="none" w:sz="0" w:space="0" w:color="auto"/>
            <w:bottom w:val="none" w:sz="0" w:space="0" w:color="auto"/>
            <w:right w:val="none" w:sz="0" w:space="0" w:color="auto"/>
          </w:divBdr>
        </w:div>
        <w:div w:id="268590308">
          <w:marLeft w:val="0"/>
          <w:marRight w:val="0"/>
          <w:marTop w:val="0"/>
          <w:marBottom w:val="0"/>
          <w:divBdr>
            <w:top w:val="none" w:sz="0" w:space="0" w:color="auto"/>
            <w:left w:val="none" w:sz="0" w:space="0" w:color="auto"/>
            <w:bottom w:val="none" w:sz="0" w:space="0" w:color="auto"/>
            <w:right w:val="none" w:sz="0" w:space="0" w:color="auto"/>
          </w:divBdr>
        </w:div>
      </w:divsChild>
    </w:div>
    <w:div w:id="1288588208">
      <w:bodyDiv w:val="1"/>
      <w:marLeft w:val="0"/>
      <w:marRight w:val="0"/>
      <w:marTop w:val="0"/>
      <w:marBottom w:val="0"/>
      <w:divBdr>
        <w:top w:val="none" w:sz="0" w:space="0" w:color="auto"/>
        <w:left w:val="none" w:sz="0" w:space="0" w:color="auto"/>
        <w:bottom w:val="none" w:sz="0" w:space="0" w:color="auto"/>
        <w:right w:val="none" w:sz="0" w:space="0" w:color="auto"/>
      </w:divBdr>
      <w:divsChild>
        <w:div w:id="328797411">
          <w:marLeft w:val="0"/>
          <w:marRight w:val="0"/>
          <w:marTop w:val="0"/>
          <w:marBottom w:val="0"/>
          <w:divBdr>
            <w:top w:val="none" w:sz="0" w:space="0" w:color="auto"/>
            <w:left w:val="none" w:sz="0" w:space="0" w:color="auto"/>
            <w:bottom w:val="none" w:sz="0" w:space="0" w:color="auto"/>
            <w:right w:val="none" w:sz="0" w:space="0" w:color="auto"/>
          </w:divBdr>
        </w:div>
        <w:div w:id="1664115770">
          <w:marLeft w:val="0"/>
          <w:marRight w:val="0"/>
          <w:marTop w:val="0"/>
          <w:marBottom w:val="0"/>
          <w:divBdr>
            <w:top w:val="none" w:sz="0" w:space="0" w:color="auto"/>
            <w:left w:val="none" w:sz="0" w:space="0" w:color="auto"/>
            <w:bottom w:val="none" w:sz="0" w:space="0" w:color="auto"/>
            <w:right w:val="none" w:sz="0" w:space="0" w:color="auto"/>
          </w:divBdr>
        </w:div>
        <w:div w:id="467288050">
          <w:marLeft w:val="0"/>
          <w:marRight w:val="0"/>
          <w:marTop w:val="0"/>
          <w:marBottom w:val="0"/>
          <w:divBdr>
            <w:top w:val="none" w:sz="0" w:space="0" w:color="auto"/>
            <w:left w:val="none" w:sz="0" w:space="0" w:color="auto"/>
            <w:bottom w:val="none" w:sz="0" w:space="0" w:color="auto"/>
            <w:right w:val="none" w:sz="0" w:space="0" w:color="auto"/>
          </w:divBdr>
        </w:div>
        <w:div w:id="1238397727">
          <w:marLeft w:val="0"/>
          <w:marRight w:val="0"/>
          <w:marTop w:val="0"/>
          <w:marBottom w:val="0"/>
          <w:divBdr>
            <w:top w:val="none" w:sz="0" w:space="0" w:color="auto"/>
            <w:left w:val="none" w:sz="0" w:space="0" w:color="auto"/>
            <w:bottom w:val="none" w:sz="0" w:space="0" w:color="auto"/>
            <w:right w:val="none" w:sz="0" w:space="0" w:color="auto"/>
          </w:divBdr>
        </w:div>
        <w:div w:id="161816672">
          <w:marLeft w:val="0"/>
          <w:marRight w:val="0"/>
          <w:marTop w:val="0"/>
          <w:marBottom w:val="0"/>
          <w:divBdr>
            <w:top w:val="none" w:sz="0" w:space="0" w:color="auto"/>
            <w:left w:val="none" w:sz="0" w:space="0" w:color="auto"/>
            <w:bottom w:val="none" w:sz="0" w:space="0" w:color="auto"/>
            <w:right w:val="none" w:sz="0" w:space="0" w:color="auto"/>
          </w:divBdr>
        </w:div>
        <w:div w:id="120343514">
          <w:marLeft w:val="0"/>
          <w:marRight w:val="0"/>
          <w:marTop w:val="0"/>
          <w:marBottom w:val="0"/>
          <w:divBdr>
            <w:top w:val="none" w:sz="0" w:space="0" w:color="auto"/>
            <w:left w:val="none" w:sz="0" w:space="0" w:color="auto"/>
            <w:bottom w:val="none" w:sz="0" w:space="0" w:color="auto"/>
            <w:right w:val="none" w:sz="0" w:space="0" w:color="auto"/>
          </w:divBdr>
        </w:div>
        <w:div w:id="434863604">
          <w:marLeft w:val="0"/>
          <w:marRight w:val="0"/>
          <w:marTop w:val="0"/>
          <w:marBottom w:val="0"/>
          <w:divBdr>
            <w:top w:val="none" w:sz="0" w:space="0" w:color="auto"/>
            <w:left w:val="none" w:sz="0" w:space="0" w:color="auto"/>
            <w:bottom w:val="none" w:sz="0" w:space="0" w:color="auto"/>
            <w:right w:val="none" w:sz="0" w:space="0" w:color="auto"/>
          </w:divBdr>
        </w:div>
        <w:div w:id="351611785">
          <w:marLeft w:val="0"/>
          <w:marRight w:val="0"/>
          <w:marTop w:val="0"/>
          <w:marBottom w:val="0"/>
          <w:divBdr>
            <w:top w:val="none" w:sz="0" w:space="0" w:color="auto"/>
            <w:left w:val="none" w:sz="0" w:space="0" w:color="auto"/>
            <w:bottom w:val="none" w:sz="0" w:space="0" w:color="auto"/>
            <w:right w:val="none" w:sz="0" w:space="0" w:color="auto"/>
          </w:divBdr>
        </w:div>
        <w:div w:id="720977041">
          <w:marLeft w:val="0"/>
          <w:marRight w:val="0"/>
          <w:marTop w:val="0"/>
          <w:marBottom w:val="0"/>
          <w:divBdr>
            <w:top w:val="none" w:sz="0" w:space="0" w:color="auto"/>
            <w:left w:val="none" w:sz="0" w:space="0" w:color="auto"/>
            <w:bottom w:val="none" w:sz="0" w:space="0" w:color="auto"/>
            <w:right w:val="none" w:sz="0" w:space="0" w:color="auto"/>
          </w:divBdr>
        </w:div>
        <w:div w:id="505945782">
          <w:marLeft w:val="0"/>
          <w:marRight w:val="0"/>
          <w:marTop w:val="0"/>
          <w:marBottom w:val="0"/>
          <w:divBdr>
            <w:top w:val="none" w:sz="0" w:space="0" w:color="auto"/>
            <w:left w:val="none" w:sz="0" w:space="0" w:color="auto"/>
            <w:bottom w:val="none" w:sz="0" w:space="0" w:color="auto"/>
            <w:right w:val="none" w:sz="0" w:space="0" w:color="auto"/>
          </w:divBdr>
        </w:div>
      </w:divsChild>
    </w:div>
    <w:div w:id="1394815108">
      <w:bodyDiv w:val="1"/>
      <w:marLeft w:val="0"/>
      <w:marRight w:val="0"/>
      <w:marTop w:val="0"/>
      <w:marBottom w:val="0"/>
      <w:divBdr>
        <w:top w:val="none" w:sz="0" w:space="0" w:color="auto"/>
        <w:left w:val="none" w:sz="0" w:space="0" w:color="auto"/>
        <w:bottom w:val="none" w:sz="0" w:space="0" w:color="auto"/>
        <w:right w:val="none" w:sz="0" w:space="0" w:color="auto"/>
      </w:divBdr>
      <w:divsChild>
        <w:div w:id="2046560712">
          <w:marLeft w:val="0"/>
          <w:marRight w:val="0"/>
          <w:marTop w:val="0"/>
          <w:marBottom w:val="0"/>
          <w:divBdr>
            <w:top w:val="none" w:sz="0" w:space="0" w:color="auto"/>
            <w:left w:val="none" w:sz="0" w:space="0" w:color="auto"/>
            <w:bottom w:val="none" w:sz="0" w:space="0" w:color="auto"/>
            <w:right w:val="none" w:sz="0" w:space="0" w:color="auto"/>
          </w:divBdr>
        </w:div>
        <w:div w:id="1320226962">
          <w:marLeft w:val="0"/>
          <w:marRight w:val="0"/>
          <w:marTop w:val="0"/>
          <w:marBottom w:val="0"/>
          <w:divBdr>
            <w:top w:val="none" w:sz="0" w:space="0" w:color="auto"/>
            <w:left w:val="none" w:sz="0" w:space="0" w:color="auto"/>
            <w:bottom w:val="none" w:sz="0" w:space="0" w:color="auto"/>
            <w:right w:val="none" w:sz="0" w:space="0" w:color="auto"/>
          </w:divBdr>
        </w:div>
        <w:div w:id="1231621968">
          <w:marLeft w:val="0"/>
          <w:marRight w:val="0"/>
          <w:marTop w:val="0"/>
          <w:marBottom w:val="0"/>
          <w:divBdr>
            <w:top w:val="none" w:sz="0" w:space="0" w:color="auto"/>
            <w:left w:val="none" w:sz="0" w:space="0" w:color="auto"/>
            <w:bottom w:val="none" w:sz="0" w:space="0" w:color="auto"/>
            <w:right w:val="none" w:sz="0" w:space="0" w:color="auto"/>
          </w:divBdr>
        </w:div>
        <w:div w:id="248121245">
          <w:marLeft w:val="0"/>
          <w:marRight w:val="0"/>
          <w:marTop w:val="0"/>
          <w:marBottom w:val="0"/>
          <w:divBdr>
            <w:top w:val="none" w:sz="0" w:space="0" w:color="auto"/>
            <w:left w:val="none" w:sz="0" w:space="0" w:color="auto"/>
            <w:bottom w:val="none" w:sz="0" w:space="0" w:color="auto"/>
            <w:right w:val="none" w:sz="0" w:space="0" w:color="auto"/>
          </w:divBdr>
        </w:div>
        <w:div w:id="227687898">
          <w:marLeft w:val="0"/>
          <w:marRight w:val="0"/>
          <w:marTop w:val="0"/>
          <w:marBottom w:val="0"/>
          <w:divBdr>
            <w:top w:val="none" w:sz="0" w:space="0" w:color="auto"/>
            <w:left w:val="none" w:sz="0" w:space="0" w:color="auto"/>
            <w:bottom w:val="none" w:sz="0" w:space="0" w:color="auto"/>
            <w:right w:val="none" w:sz="0" w:space="0" w:color="auto"/>
          </w:divBdr>
        </w:div>
        <w:div w:id="1736931290">
          <w:marLeft w:val="0"/>
          <w:marRight w:val="0"/>
          <w:marTop w:val="0"/>
          <w:marBottom w:val="0"/>
          <w:divBdr>
            <w:top w:val="none" w:sz="0" w:space="0" w:color="auto"/>
            <w:left w:val="none" w:sz="0" w:space="0" w:color="auto"/>
            <w:bottom w:val="none" w:sz="0" w:space="0" w:color="auto"/>
            <w:right w:val="none" w:sz="0" w:space="0" w:color="auto"/>
          </w:divBdr>
        </w:div>
        <w:div w:id="481627434">
          <w:marLeft w:val="0"/>
          <w:marRight w:val="0"/>
          <w:marTop w:val="0"/>
          <w:marBottom w:val="0"/>
          <w:divBdr>
            <w:top w:val="none" w:sz="0" w:space="0" w:color="auto"/>
            <w:left w:val="none" w:sz="0" w:space="0" w:color="auto"/>
            <w:bottom w:val="none" w:sz="0" w:space="0" w:color="auto"/>
            <w:right w:val="none" w:sz="0" w:space="0" w:color="auto"/>
          </w:divBdr>
        </w:div>
        <w:div w:id="454641405">
          <w:marLeft w:val="0"/>
          <w:marRight w:val="0"/>
          <w:marTop w:val="0"/>
          <w:marBottom w:val="0"/>
          <w:divBdr>
            <w:top w:val="none" w:sz="0" w:space="0" w:color="auto"/>
            <w:left w:val="none" w:sz="0" w:space="0" w:color="auto"/>
            <w:bottom w:val="none" w:sz="0" w:space="0" w:color="auto"/>
            <w:right w:val="none" w:sz="0" w:space="0" w:color="auto"/>
          </w:divBdr>
        </w:div>
        <w:div w:id="1779135052">
          <w:marLeft w:val="0"/>
          <w:marRight w:val="0"/>
          <w:marTop w:val="0"/>
          <w:marBottom w:val="0"/>
          <w:divBdr>
            <w:top w:val="none" w:sz="0" w:space="0" w:color="auto"/>
            <w:left w:val="none" w:sz="0" w:space="0" w:color="auto"/>
            <w:bottom w:val="none" w:sz="0" w:space="0" w:color="auto"/>
            <w:right w:val="none" w:sz="0" w:space="0" w:color="auto"/>
          </w:divBdr>
        </w:div>
        <w:div w:id="2115786412">
          <w:marLeft w:val="0"/>
          <w:marRight w:val="0"/>
          <w:marTop w:val="0"/>
          <w:marBottom w:val="0"/>
          <w:divBdr>
            <w:top w:val="none" w:sz="0" w:space="0" w:color="auto"/>
            <w:left w:val="none" w:sz="0" w:space="0" w:color="auto"/>
            <w:bottom w:val="none" w:sz="0" w:space="0" w:color="auto"/>
            <w:right w:val="none" w:sz="0" w:space="0" w:color="auto"/>
          </w:divBdr>
        </w:div>
        <w:div w:id="859196307">
          <w:marLeft w:val="0"/>
          <w:marRight w:val="0"/>
          <w:marTop w:val="0"/>
          <w:marBottom w:val="0"/>
          <w:divBdr>
            <w:top w:val="none" w:sz="0" w:space="0" w:color="auto"/>
            <w:left w:val="none" w:sz="0" w:space="0" w:color="auto"/>
            <w:bottom w:val="none" w:sz="0" w:space="0" w:color="auto"/>
            <w:right w:val="none" w:sz="0" w:space="0" w:color="auto"/>
          </w:divBdr>
        </w:div>
        <w:div w:id="1614900135">
          <w:marLeft w:val="0"/>
          <w:marRight w:val="0"/>
          <w:marTop w:val="0"/>
          <w:marBottom w:val="0"/>
          <w:divBdr>
            <w:top w:val="none" w:sz="0" w:space="0" w:color="auto"/>
            <w:left w:val="none" w:sz="0" w:space="0" w:color="auto"/>
            <w:bottom w:val="none" w:sz="0" w:space="0" w:color="auto"/>
            <w:right w:val="none" w:sz="0" w:space="0" w:color="auto"/>
          </w:divBdr>
        </w:div>
        <w:div w:id="2126924953">
          <w:marLeft w:val="0"/>
          <w:marRight w:val="0"/>
          <w:marTop w:val="0"/>
          <w:marBottom w:val="0"/>
          <w:divBdr>
            <w:top w:val="none" w:sz="0" w:space="0" w:color="auto"/>
            <w:left w:val="none" w:sz="0" w:space="0" w:color="auto"/>
            <w:bottom w:val="none" w:sz="0" w:space="0" w:color="auto"/>
            <w:right w:val="none" w:sz="0" w:space="0" w:color="auto"/>
          </w:divBdr>
        </w:div>
        <w:div w:id="483738097">
          <w:marLeft w:val="0"/>
          <w:marRight w:val="0"/>
          <w:marTop w:val="0"/>
          <w:marBottom w:val="0"/>
          <w:divBdr>
            <w:top w:val="none" w:sz="0" w:space="0" w:color="auto"/>
            <w:left w:val="none" w:sz="0" w:space="0" w:color="auto"/>
            <w:bottom w:val="none" w:sz="0" w:space="0" w:color="auto"/>
            <w:right w:val="none" w:sz="0" w:space="0" w:color="auto"/>
          </w:divBdr>
        </w:div>
        <w:div w:id="1582566900">
          <w:marLeft w:val="0"/>
          <w:marRight w:val="0"/>
          <w:marTop w:val="0"/>
          <w:marBottom w:val="0"/>
          <w:divBdr>
            <w:top w:val="none" w:sz="0" w:space="0" w:color="auto"/>
            <w:left w:val="none" w:sz="0" w:space="0" w:color="auto"/>
            <w:bottom w:val="none" w:sz="0" w:space="0" w:color="auto"/>
            <w:right w:val="none" w:sz="0" w:space="0" w:color="auto"/>
          </w:divBdr>
        </w:div>
      </w:divsChild>
    </w:div>
    <w:div w:id="1746955723">
      <w:bodyDiv w:val="1"/>
      <w:marLeft w:val="0"/>
      <w:marRight w:val="0"/>
      <w:marTop w:val="0"/>
      <w:marBottom w:val="0"/>
      <w:divBdr>
        <w:top w:val="none" w:sz="0" w:space="0" w:color="auto"/>
        <w:left w:val="none" w:sz="0" w:space="0" w:color="auto"/>
        <w:bottom w:val="none" w:sz="0" w:space="0" w:color="auto"/>
        <w:right w:val="none" w:sz="0" w:space="0" w:color="auto"/>
      </w:divBdr>
      <w:divsChild>
        <w:div w:id="596598016">
          <w:marLeft w:val="0"/>
          <w:marRight w:val="0"/>
          <w:marTop w:val="0"/>
          <w:marBottom w:val="0"/>
          <w:divBdr>
            <w:top w:val="none" w:sz="0" w:space="0" w:color="auto"/>
            <w:left w:val="none" w:sz="0" w:space="0" w:color="auto"/>
            <w:bottom w:val="none" w:sz="0" w:space="0" w:color="auto"/>
            <w:right w:val="none" w:sz="0" w:space="0" w:color="auto"/>
          </w:divBdr>
        </w:div>
        <w:div w:id="1529030176">
          <w:marLeft w:val="0"/>
          <w:marRight w:val="0"/>
          <w:marTop w:val="0"/>
          <w:marBottom w:val="0"/>
          <w:divBdr>
            <w:top w:val="none" w:sz="0" w:space="0" w:color="auto"/>
            <w:left w:val="none" w:sz="0" w:space="0" w:color="auto"/>
            <w:bottom w:val="none" w:sz="0" w:space="0" w:color="auto"/>
            <w:right w:val="none" w:sz="0" w:space="0" w:color="auto"/>
          </w:divBdr>
        </w:div>
        <w:div w:id="931084324">
          <w:marLeft w:val="0"/>
          <w:marRight w:val="0"/>
          <w:marTop w:val="0"/>
          <w:marBottom w:val="0"/>
          <w:divBdr>
            <w:top w:val="none" w:sz="0" w:space="0" w:color="auto"/>
            <w:left w:val="none" w:sz="0" w:space="0" w:color="auto"/>
            <w:bottom w:val="none" w:sz="0" w:space="0" w:color="auto"/>
            <w:right w:val="none" w:sz="0" w:space="0" w:color="auto"/>
          </w:divBdr>
        </w:div>
        <w:div w:id="1173910662">
          <w:marLeft w:val="0"/>
          <w:marRight w:val="0"/>
          <w:marTop w:val="0"/>
          <w:marBottom w:val="0"/>
          <w:divBdr>
            <w:top w:val="none" w:sz="0" w:space="0" w:color="auto"/>
            <w:left w:val="none" w:sz="0" w:space="0" w:color="auto"/>
            <w:bottom w:val="none" w:sz="0" w:space="0" w:color="auto"/>
            <w:right w:val="none" w:sz="0" w:space="0" w:color="auto"/>
          </w:divBdr>
        </w:div>
        <w:div w:id="1661038945">
          <w:marLeft w:val="0"/>
          <w:marRight w:val="0"/>
          <w:marTop w:val="0"/>
          <w:marBottom w:val="0"/>
          <w:divBdr>
            <w:top w:val="none" w:sz="0" w:space="0" w:color="auto"/>
            <w:left w:val="none" w:sz="0" w:space="0" w:color="auto"/>
            <w:bottom w:val="none" w:sz="0" w:space="0" w:color="auto"/>
            <w:right w:val="none" w:sz="0" w:space="0" w:color="auto"/>
          </w:divBdr>
        </w:div>
        <w:div w:id="928932323">
          <w:marLeft w:val="0"/>
          <w:marRight w:val="0"/>
          <w:marTop w:val="0"/>
          <w:marBottom w:val="0"/>
          <w:divBdr>
            <w:top w:val="none" w:sz="0" w:space="0" w:color="auto"/>
            <w:left w:val="none" w:sz="0" w:space="0" w:color="auto"/>
            <w:bottom w:val="none" w:sz="0" w:space="0" w:color="auto"/>
            <w:right w:val="none" w:sz="0" w:space="0" w:color="auto"/>
          </w:divBdr>
        </w:div>
        <w:div w:id="1824740614">
          <w:marLeft w:val="0"/>
          <w:marRight w:val="0"/>
          <w:marTop w:val="0"/>
          <w:marBottom w:val="0"/>
          <w:divBdr>
            <w:top w:val="none" w:sz="0" w:space="0" w:color="auto"/>
            <w:left w:val="none" w:sz="0" w:space="0" w:color="auto"/>
            <w:bottom w:val="none" w:sz="0" w:space="0" w:color="auto"/>
            <w:right w:val="none" w:sz="0" w:space="0" w:color="auto"/>
          </w:divBdr>
        </w:div>
        <w:div w:id="1463306284">
          <w:marLeft w:val="0"/>
          <w:marRight w:val="0"/>
          <w:marTop w:val="0"/>
          <w:marBottom w:val="0"/>
          <w:divBdr>
            <w:top w:val="none" w:sz="0" w:space="0" w:color="auto"/>
            <w:left w:val="none" w:sz="0" w:space="0" w:color="auto"/>
            <w:bottom w:val="none" w:sz="0" w:space="0" w:color="auto"/>
            <w:right w:val="none" w:sz="0" w:space="0" w:color="auto"/>
          </w:divBdr>
        </w:div>
        <w:div w:id="1774469437">
          <w:marLeft w:val="0"/>
          <w:marRight w:val="0"/>
          <w:marTop w:val="0"/>
          <w:marBottom w:val="0"/>
          <w:divBdr>
            <w:top w:val="none" w:sz="0" w:space="0" w:color="auto"/>
            <w:left w:val="none" w:sz="0" w:space="0" w:color="auto"/>
            <w:bottom w:val="none" w:sz="0" w:space="0" w:color="auto"/>
            <w:right w:val="none" w:sz="0" w:space="0" w:color="auto"/>
          </w:divBdr>
        </w:div>
        <w:div w:id="1775785657">
          <w:marLeft w:val="0"/>
          <w:marRight w:val="0"/>
          <w:marTop w:val="0"/>
          <w:marBottom w:val="0"/>
          <w:divBdr>
            <w:top w:val="none" w:sz="0" w:space="0" w:color="auto"/>
            <w:left w:val="none" w:sz="0" w:space="0" w:color="auto"/>
            <w:bottom w:val="none" w:sz="0" w:space="0" w:color="auto"/>
            <w:right w:val="none" w:sz="0" w:space="0" w:color="auto"/>
          </w:divBdr>
        </w:div>
        <w:div w:id="377507409">
          <w:marLeft w:val="0"/>
          <w:marRight w:val="0"/>
          <w:marTop w:val="0"/>
          <w:marBottom w:val="0"/>
          <w:divBdr>
            <w:top w:val="none" w:sz="0" w:space="0" w:color="auto"/>
            <w:left w:val="none" w:sz="0" w:space="0" w:color="auto"/>
            <w:bottom w:val="none" w:sz="0" w:space="0" w:color="auto"/>
            <w:right w:val="none" w:sz="0" w:space="0" w:color="auto"/>
          </w:divBdr>
        </w:div>
        <w:div w:id="586499447">
          <w:marLeft w:val="0"/>
          <w:marRight w:val="0"/>
          <w:marTop w:val="0"/>
          <w:marBottom w:val="0"/>
          <w:divBdr>
            <w:top w:val="none" w:sz="0" w:space="0" w:color="auto"/>
            <w:left w:val="none" w:sz="0" w:space="0" w:color="auto"/>
            <w:bottom w:val="none" w:sz="0" w:space="0" w:color="auto"/>
            <w:right w:val="none" w:sz="0" w:space="0" w:color="auto"/>
          </w:divBdr>
        </w:div>
        <w:div w:id="314266958">
          <w:marLeft w:val="0"/>
          <w:marRight w:val="0"/>
          <w:marTop w:val="0"/>
          <w:marBottom w:val="0"/>
          <w:divBdr>
            <w:top w:val="none" w:sz="0" w:space="0" w:color="auto"/>
            <w:left w:val="none" w:sz="0" w:space="0" w:color="auto"/>
            <w:bottom w:val="none" w:sz="0" w:space="0" w:color="auto"/>
            <w:right w:val="none" w:sz="0" w:space="0" w:color="auto"/>
          </w:divBdr>
        </w:div>
        <w:div w:id="543753311">
          <w:marLeft w:val="0"/>
          <w:marRight w:val="0"/>
          <w:marTop w:val="0"/>
          <w:marBottom w:val="0"/>
          <w:divBdr>
            <w:top w:val="none" w:sz="0" w:space="0" w:color="auto"/>
            <w:left w:val="none" w:sz="0" w:space="0" w:color="auto"/>
            <w:bottom w:val="none" w:sz="0" w:space="0" w:color="auto"/>
            <w:right w:val="none" w:sz="0" w:space="0" w:color="auto"/>
          </w:divBdr>
        </w:div>
        <w:div w:id="1056467140">
          <w:marLeft w:val="0"/>
          <w:marRight w:val="0"/>
          <w:marTop w:val="0"/>
          <w:marBottom w:val="0"/>
          <w:divBdr>
            <w:top w:val="none" w:sz="0" w:space="0" w:color="auto"/>
            <w:left w:val="none" w:sz="0" w:space="0" w:color="auto"/>
            <w:bottom w:val="none" w:sz="0" w:space="0" w:color="auto"/>
            <w:right w:val="none" w:sz="0" w:space="0" w:color="auto"/>
          </w:divBdr>
        </w:div>
        <w:div w:id="1361929926">
          <w:marLeft w:val="0"/>
          <w:marRight w:val="0"/>
          <w:marTop w:val="0"/>
          <w:marBottom w:val="0"/>
          <w:divBdr>
            <w:top w:val="none" w:sz="0" w:space="0" w:color="auto"/>
            <w:left w:val="none" w:sz="0" w:space="0" w:color="auto"/>
            <w:bottom w:val="none" w:sz="0" w:space="0" w:color="auto"/>
            <w:right w:val="none" w:sz="0" w:space="0" w:color="auto"/>
          </w:divBdr>
        </w:div>
        <w:div w:id="1492718542">
          <w:marLeft w:val="0"/>
          <w:marRight w:val="0"/>
          <w:marTop w:val="0"/>
          <w:marBottom w:val="0"/>
          <w:divBdr>
            <w:top w:val="none" w:sz="0" w:space="0" w:color="auto"/>
            <w:left w:val="none" w:sz="0" w:space="0" w:color="auto"/>
            <w:bottom w:val="none" w:sz="0" w:space="0" w:color="auto"/>
            <w:right w:val="none" w:sz="0" w:space="0" w:color="auto"/>
          </w:divBdr>
        </w:div>
        <w:div w:id="1286155922">
          <w:marLeft w:val="0"/>
          <w:marRight w:val="0"/>
          <w:marTop w:val="0"/>
          <w:marBottom w:val="0"/>
          <w:divBdr>
            <w:top w:val="none" w:sz="0" w:space="0" w:color="auto"/>
            <w:left w:val="none" w:sz="0" w:space="0" w:color="auto"/>
            <w:bottom w:val="none" w:sz="0" w:space="0" w:color="auto"/>
            <w:right w:val="none" w:sz="0" w:space="0" w:color="auto"/>
          </w:divBdr>
        </w:div>
        <w:div w:id="802580837">
          <w:marLeft w:val="0"/>
          <w:marRight w:val="0"/>
          <w:marTop w:val="0"/>
          <w:marBottom w:val="0"/>
          <w:divBdr>
            <w:top w:val="none" w:sz="0" w:space="0" w:color="auto"/>
            <w:left w:val="none" w:sz="0" w:space="0" w:color="auto"/>
            <w:bottom w:val="none" w:sz="0" w:space="0" w:color="auto"/>
            <w:right w:val="none" w:sz="0" w:space="0" w:color="auto"/>
          </w:divBdr>
        </w:div>
      </w:divsChild>
    </w:div>
    <w:div w:id="1836609336">
      <w:bodyDiv w:val="1"/>
      <w:marLeft w:val="0"/>
      <w:marRight w:val="0"/>
      <w:marTop w:val="0"/>
      <w:marBottom w:val="0"/>
      <w:divBdr>
        <w:top w:val="none" w:sz="0" w:space="0" w:color="auto"/>
        <w:left w:val="none" w:sz="0" w:space="0" w:color="auto"/>
        <w:bottom w:val="none" w:sz="0" w:space="0" w:color="auto"/>
        <w:right w:val="none" w:sz="0" w:space="0" w:color="auto"/>
      </w:divBdr>
      <w:divsChild>
        <w:div w:id="435831037">
          <w:marLeft w:val="0"/>
          <w:marRight w:val="0"/>
          <w:marTop w:val="0"/>
          <w:marBottom w:val="0"/>
          <w:divBdr>
            <w:top w:val="none" w:sz="0" w:space="0" w:color="auto"/>
            <w:left w:val="none" w:sz="0" w:space="0" w:color="auto"/>
            <w:bottom w:val="none" w:sz="0" w:space="0" w:color="auto"/>
            <w:right w:val="none" w:sz="0" w:space="0" w:color="auto"/>
          </w:divBdr>
        </w:div>
        <w:div w:id="1094932099">
          <w:marLeft w:val="0"/>
          <w:marRight w:val="0"/>
          <w:marTop w:val="0"/>
          <w:marBottom w:val="0"/>
          <w:divBdr>
            <w:top w:val="none" w:sz="0" w:space="0" w:color="auto"/>
            <w:left w:val="none" w:sz="0" w:space="0" w:color="auto"/>
            <w:bottom w:val="none" w:sz="0" w:space="0" w:color="auto"/>
            <w:right w:val="none" w:sz="0" w:space="0" w:color="auto"/>
          </w:divBdr>
        </w:div>
        <w:div w:id="296299950">
          <w:marLeft w:val="0"/>
          <w:marRight w:val="0"/>
          <w:marTop w:val="0"/>
          <w:marBottom w:val="0"/>
          <w:divBdr>
            <w:top w:val="none" w:sz="0" w:space="0" w:color="auto"/>
            <w:left w:val="none" w:sz="0" w:space="0" w:color="auto"/>
            <w:bottom w:val="none" w:sz="0" w:space="0" w:color="auto"/>
            <w:right w:val="none" w:sz="0" w:space="0" w:color="auto"/>
          </w:divBdr>
        </w:div>
        <w:div w:id="2029289356">
          <w:marLeft w:val="0"/>
          <w:marRight w:val="0"/>
          <w:marTop w:val="0"/>
          <w:marBottom w:val="0"/>
          <w:divBdr>
            <w:top w:val="none" w:sz="0" w:space="0" w:color="auto"/>
            <w:left w:val="none" w:sz="0" w:space="0" w:color="auto"/>
            <w:bottom w:val="none" w:sz="0" w:space="0" w:color="auto"/>
            <w:right w:val="none" w:sz="0" w:space="0" w:color="auto"/>
          </w:divBdr>
        </w:div>
        <w:div w:id="1029259329">
          <w:marLeft w:val="0"/>
          <w:marRight w:val="0"/>
          <w:marTop w:val="0"/>
          <w:marBottom w:val="0"/>
          <w:divBdr>
            <w:top w:val="none" w:sz="0" w:space="0" w:color="auto"/>
            <w:left w:val="none" w:sz="0" w:space="0" w:color="auto"/>
            <w:bottom w:val="none" w:sz="0" w:space="0" w:color="auto"/>
            <w:right w:val="none" w:sz="0" w:space="0" w:color="auto"/>
          </w:divBdr>
        </w:div>
        <w:div w:id="206992116">
          <w:marLeft w:val="0"/>
          <w:marRight w:val="0"/>
          <w:marTop w:val="0"/>
          <w:marBottom w:val="0"/>
          <w:divBdr>
            <w:top w:val="none" w:sz="0" w:space="0" w:color="auto"/>
            <w:left w:val="none" w:sz="0" w:space="0" w:color="auto"/>
            <w:bottom w:val="none" w:sz="0" w:space="0" w:color="auto"/>
            <w:right w:val="none" w:sz="0" w:space="0" w:color="auto"/>
          </w:divBdr>
        </w:div>
        <w:div w:id="601762437">
          <w:marLeft w:val="0"/>
          <w:marRight w:val="0"/>
          <w:marTop w:val="0"/>
          <w:marBottom w:val="0"/>
          <w:divBdr>
            <w:top w:val="none" w:sz="0" w:space="0" w:color="auto"/>
            <w:left w:val="none" w:sz="0" w:space="0" w:color="auto"/>
            <w:bottom w:val="none" w:sz="0" w:space="0" w:color="auto"/>
            <w:right w:val="none" w:sz="0" w:space="0" w:color="auto"/>
          </w:divBdr>
        </w:div>
        <w:div w:id="916331030">
          <w:marLeft w:val="0"/>
          <w:marRight w:val="0"/>
          <w:marTop w:val="0"/>
          <w:marBottom w:val="0"/>
          <w:divBdr>
            <w:top w:val="none" w:sz="0" w:space="0" w:color="auto"/>
            <w:left w:val="none" w:sz="0" w:space="0" w:color="auto"/>
            <w:bottom w:val="none" w:sz="0" w:space="0" w:color="auto"/>
            <w:right w:val="none" w:sz="0" w:space="0" w:color="auto"/>
          </w:divBdr>
        </w:div>
        <w:div w:id="1430660016">
          <w:marLeft w:val="0"/>
          <w:marRight w:val="0"/>
          <w:marTop w:val="0"/>
          <w:marBottom w:val="0"/>
          <w:divBdr>
            <w:top w:val="none" w:sz="0" w:space="0" w:color="auto"/>
            <w:left w:val="none" w:sz="0" w:space="0" w:color="auto"/>
            <w:bottom w:val="none" w:sz="0" w:space="0" w:color="auto"/>
            <w:right w:val="none" w:sz="0" w:space="0" w:color="auto"/>
          </w:divBdr>
        </w:div>
        <w:div w:id="950862764">
          <w:marLeft w:val="0"/>
          <w:marRight w:val="0"/>
          <w:marTop w:val="0"/>
          <w:marBottom w:val="0"/>
          <w:divBdr>
            <w:top w:val="none" w:sz="0" w:space="0" w:color="auto"/>
            <w:left w:val="none" w:sz="0" w:space="0" w:color="auto"/>
            <w:bottom w:val="none" w:sz="0" w:space="0" w:color="auto"/>
            <w:right w:val="none" w:sz="0" w:space="0" w:color="auto"/>
          </w:divBdr>
        </w:div>
        <w:div w:id="1844854382">
          <w:marLeft w:val="0"/>
          <w:marRight w:val="0"/>
          <w:marTop w:val="0"/>
          <w:marBottom w:val="0"/>
          <w:divBdr>
            <w:top w:val="none" w:sz="0" w:space="0" w:color="auto"/>
            <w:left w:val="none" w:sz="0" w:space="0" w:color="auto"/>
            <w:bottom w:val="none" w:sz="0" w:space="0" w:color="auto"/>
            <w:right w:val="none" w:sz="0" w:space="0" w:color="auto"/>
          </w:divBdr>
        </w:div>
        <w:div w:id="636034993">
          <w:marLeft w:val="0"/>
          <w:marRight w:val="0"/>
          <w:marTop w:val="0"/>
          <w:marBottom w:val="0"/>
          <w:divBdr>
            <w:top w:val="none" w:sz="0" w:space="0" w:color="auto"/>
            <w:left w:val="none" w:sz="0" w:space="0" w:color="auto"/>
            <w:bottom w:val="none" w:sz="0" w:space="0" w:color="auto"/>
            <w:right w:val="none" w:sz="0" w:space="0" w:color="auto"/>
          </w:divBdr>
        </w:div>
        <w:div w:id="1652129132">
          <w:marLeft w:val="0"/>
          <w:marRight w:val="0"/>
          <w:marTop w:val="0"/>
          <w:marBottom w:val="0"/>
          <w:divBdr>
            <w:top w:val="none" w:sz="0" w:space="0" w:color="auto"/>
            <w:left w:val="none" w:sz="0" w:space="0" w:color="auto"/>
            <w:bottom w:val="none" w:sz="0" w:space="0" w:color="auto"/>
            <w:right w:val="none" w:sz="0" w:space="0" w:color="auto"/>
          </w:divBdr>
        </w:div>
        <w:div w:id="1399862544">
          <w:marLeft w:val="0"/>
          <w:marRight w:val="0"/>
          <w:marTop w:val="0"/>
          <w:marBottom w:val="0"/>
          <w:divBdr>
            <w:top w:val="none" w:sz="0" w:space="0" w:color="auto"/>
            <w:left w:val="none" w:sz="0" w:space="0" w:color="auto"/>
            <w:bottom w:val="none" w:sz="0" w:space="0" w:color="auto"/>
            <w:right w:val="none" w:sz="0" w:space="0" w:color="auto"/>
          </w:divBdr>
        </w:div>
        <w:div w:id="809908284">
          <w:marLeft w:val="0"/>
          <w:marRight w:val="0"/>
          <w:marTop w:val="0"/>
          <w:marBottom w:val="0"/>
          <w:divBdr>
            <w:top w:val="none" w:sz="0" w:space="0" w:color="auto"/>
            <w:left w:val="none" w:sz="0" w:space="0" w:color="auto"/>
            <w:bottom w:val="none" w:sz="0" w:space="0" w:color="auto"/>
            <w:right w:val="none" w:sz="0" w:space="0" w:color="auto"/>
          </w:divBdr>
        </w:div>
        <w:div w:id="2051687179">
          <w:marLeft w:val="0"/>
          <w:marRight w:val="0"/>
          <w:marTop w:val="0"/>
          <w:marBottom w:val="0"/>
          <w:divBdr>
            <w:top w:val="none" w:sz="0" w:space="0" w:color="auto"/>
            <w:left w:val="none" w:sz="0" w:space="0" w:color="auto"/>
            <w:bottom w:val="none" w:sz="0" w:space="0" w:color="auto"/>
            <w:right w:val="none" w:sz="0" w:space="0" w:color="auto"/>
          </w:divBdr>
        </w:div>
        <w:div w:id="672269332">
          <w:marLeft w:val="0"/>
          <w:marRight w:val="0"/>
          <w:marTop w:val="0"/>
          <w:marBottom w:val="0"/>
          <w:divBdr>
            <w:top w:val="none" w:sz="0" w:space="0" w:color="auto"/>
            <w:left w:val="none" w:sz="0" w:space="0" w:color="auto"/>
            <w:bottom w:val="none" w:sz="0" w:space="0" w:color="auto"/>
            <w:right w:val="none" w:sz="0" w:space="0" w:color="auto"/>
          </w:divBdr>
        </w:div>
        <w:div w:id="2058502657">
          <w:marLeft w:val="0"/>
          <w:marRight w:val="0"/>
          <w:marTop w:val="0"/>
          <w:marBottom w:val="0"/>
          <w:divBdr>
            <w:top w:val="none" w:sz="0" w:space="0" w:color="auto"/>
            <w:left w:val="none" w:sz="0" w:space="0" w:color="auto"/>
            <w:bottom w:val="none" w:sz="0" w:space="0" w:color="auto"/>
            <w:right w:val="none" w:sz="0" w:space="0" w:color="auto"/>
          </w:divBdr>
        </w:div>
        <w:div w:id="11413821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6E8CE5-61E3-45B5-A3FC-0A613EB94188}"/>
</file>

<file path=customXml/itemProps2.xml><?xml version="1.0" encoding="utf-8"?>
<ds:datastoreItem xmlns:ds="http://schemas.openxmlformats.org/officeDocument/2006/customXml" ds:itemID="{13570C27-047C-4562-95FD-2304F0827D0B}"/>
</file>

<file path=customXml/itemProps3.xml><?xml version="1.0" encoding="utf-8"?>
<ds:datastoreItem xmlns:ds="http://schemas.openxmlformats.org/officeDocument/2006/customXml" ds:itemID="{7D7554E9-B745-4B13-B6CA-317D57044150}"/>
</file>

<file path=docProps/app.xml><?xml version="1.0" encoding="utf-8"?>
<Properties xmlns="http://schemas.openxmlformats.org/officeDocument/2006/extended-properties" xmlns:vt="http://schemas.openxmlformats.org/officeDocument/2006/docPropsVTypes">
  <Template>Normal.dotm</Template>
  <TotalTime>50</TotalTime>
  <Pages>8</Pages>
  <Words>3411</Words>
  <Characters>19446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Benarbia</dc:creator>
  <cp:keywords/>
  <dc:description/>
  <cp:lastModifiedBy>Said Benarbia</cp:lastModifiedBy>
  <cp:revision>5</cp:revision>
  <cp:lastPrinted>2014-12-04T22:09:00Z</cp:lastPrinted>
  <dcterms:created xsi:type="dcterms:W3CDTF">2014-12-04T21:06:00Z</dcterms:created>
  <dcterms:modified xsi:type="dcterms:W3CDTF">2014-12-04T22:09:00Z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