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693C" w:rsidRPr="00210C41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693C" w:rsidRPr="00210C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693C" w:rsidRPr="00210C41" w:rsidRDefault="0076693C" w:rsidP="0076693C">
                  <w:pPr>
                    <w:spacing w:before="90" w:after="90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210C41">
                    <w:rPr>
                      <w:rFonts w:eastAsia="Times New Roman" w:cs="Arial"/>
                      <w:color w:val="000000"/>
                    </w:rPr>
                    <w:t>Civil Society Section</w:t>
                  </w:r>
                </w:p>
                <w:p w:rsidR="0076693C" w:rsidRPr="00210C41" w:rsidRDefault="0076693C" w:rsidP="0076693C">
                  <w:pPr>
                    <w:spacing w:before="90" w:after="90"/>
                    <w:jc w:val="center"/>
                    <w:rPr>
                      <w:rFonts w:eastAsia="Times New Roman" w:cs="Arial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color w:val="000000"/>
                    </w:rPr>
                    <w:t>Office of the United Nations High Commissioner for Human Rights</w:t>
                  </w:r>
                </w:p>
              </w:tc>
            </w:tr>
          </w:tbl>
          <w:p w:rsidR="0076693C" w:rsidRPr="00210C41" w:rsidRDefault="0076693C" w:rsidP="0076693C">
            <w:pPr>
              <w:rPr>
                <w:rFonts w:eastAsia="Times New Roman" w:cs="Times New Roman"/>
              </w:rPr>
            </w:pPr>
          </w:p>
        </w:tc>
      </w:tr>
      <w:tr w:rsidR="0076693C" w:rsidRPr="00210C41">
        <w:trPr>
          <w:tblCellSpacing w:w="0" w:type="dxa"/>
          <w:jc w:val="center"/>
        </w:trPr>
        <w:tc>
          <w:tcPr>
            <w:tcW w:w="5000" w:type="pct"/>
            <w:hideMark/>
          </w:tcPr>
          <w:p w:rsidR="0076693C" w:rsidRPr="00210C41" w:rsidRDefault="0076693C" w:rsidP="0076693C">
            <w:pPr>
              <w:rPr>
                <w:rFonts w:eastAsia="Times New Roman" w:cs="Times New Roman"/>
              </w:rPr>
            </w:pPr>
          </w:p>
        </w:tc>
      </w:tr>
      <w:tr w:rsidR="0076693C" w:rsidRPr="00210C41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693C" w:rsidRPr="00210C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693C" w:rsidRPr="00210C41" w:rsidRDefault="0076693C" w:rsidP="0076693C">
                  <w:pPr>
                    <w:jc w:val="center"/>
                    <w:rPr>
                      <w:rFonts w:eastAsia="Times New Roman" w:cs="Arial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b/>
                      <w:bCs/>
                      <w:color w:val="000000"/>
                    </w:rPr>
                    <w:t xml:space="preserve">UN expert on cultural rights </w:t>
                  </w:r>
                </w:p>
                <w:p w:rsidR="0076693C" w:rsidRPr="00210C41" w:rsidRDefault="0076693C" w:rsidP="0076693C">
                  <w:pPr>
                    <w:jc w:val="center"/>
                    <w:rPr>
                      <w:rFonts w:eastAsia="Times New Roman" w:cs="Arial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b/>
                      <w:bCs/>
                      <w:color w:val="000000"/>
                    </w:rPr>
                    <w:t>Consultation on the right to enjoy benefits of scientific progress and its applications</w:t>
                  </w:r>
                </w:p>
                <w:p w:rsidR="0076693C" w:rsidRPr="00210C41" w:rsidRDefault="0076693C" w:rsidP="0076693C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  <w:p w:rsidR="0076693C" w:rsidRPr="00210C41" w:rsidRDefault="0076693C" w:rsidP="0076693C">
                  <w:pPr>
                    <w:jc w:val="center"/>
                    <w:rPr>
                      <w:rFonts w:eastAsia="Times New Roman" w:cs="Arial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color w:val="000000"/>
                    </w:rPr>
                    <w:t xml:space="preserve">QUESTIONNAIRE ON THE RIGHT TO ENJOY THE BENEFITS OF SCIENTIFIC PROGRESS AND ITS APPLICATIONS </w:t>
                  </w:r>
                </w:p>
                <w:p w:rsidR="00210C41" w:rsidRDefault="00210C41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210C41" w:rsidRDefault="00210C41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210C41" w:rsidRDefault="00227B6A" w:rsidP="0076693C">
                  <w:pPr>
                    <w:rPr>
                      <w:rFonts w:eastAsia="Times New Roman" w:cs="Arial"/>
                      <w:color w:val="000000"/>
                      <w:lang w:val="en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Response from Ipas, an international NGO working globally and in selected countries, to </w:t>
                  </w:r>
                  <w:r w:rsidRPr="00227B6A">
                    <w:rPr>
                      <w:rFonts w:eastAsia="Times New Roman" w:cs="Arial"/>
                      <w:color w:val="000000"/>
                      <w:lang w:val="en"/>
                    </w:rPr>
                    <w:t xml:space="preserve">end preventable deaths and disabilities from unsafe abortion. </w:t>
                  </w:r>
                  <w:r>
                    <w:rPr>
                      <w:rFonts w:eastAsia="Times New Roman" w:cs="Arial"/>
                      <w:color w:val="000000"/>
                      <w:lang w:val="en"/>
                    </w:rPr>
                    <w:t>I</w:t>
                  </w:r>
                  <w:r w:rsidRPr="00227B6A">
                    <w:rPr>
                      <w:rFonts w:eastAsia="Times New Roman" w:cs="Arial"/>
                      <w:color w:val="000000"/>
                      <w:lang w:val="en"/>
                    </w:rPr>
                    <w:t>pas works to ensure that women can obtain safe, respectful and comprehensive abortion care, including counseling and contraception to prevent future unintended pregnancies.</w:t>
                  </w:r>
                </w:p>
                <w:p w:rsidR="00227B6A" w:rsidRPr="00210C41" w:rsidRDefault="00227B6A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6693C" w:rsidRPr="00210C41" w:rsidRDefault="0076693C" w:rsidP="0076693C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b/>
                      <w:color w:val="000000"/>
                    </w:rPr>
                    <w:t xml:space="preserve">Accessing the benefits of science and its applications </w:t>
                  </w:r>
                </w:p>
                <w:p w:rsidR="00227B6A" w:rsidRDefault="00227B6A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6693C" w:rsidRPr="00210C41" w:rsidRDefault="0076693C" w:rsidP="0076693C">
                  <w:pPr>
                    <w:rPr>
                      <w:rFonts w:eastAsia="Times New Roman" w:cs="Arial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color w:val="000000"/>
                    </w:rPr>
                    <w:t>2</w:t>
                  </w:r>
                  <w:r w:rsidRPr="00227B6A">
                    <w:rPr>
                      <w:rFonts w:eastAsia="Times New Roman" w:cs="Arial"/>
                      <w:b/>
                      <w:color w:val="000000"/>
                    </w:rPr>
                    <w:t>. What are the key challenges faced in your country in undertaking research at the domestic level and ensuring access to scientific developments and its applications, particularly for marginalized groups?</w:t>
                  </w:r>
                  <w:r w:rsidRPr="00210C41"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696844" w:rsidRPr="00DB2CD6" w:rsidRDefault="00227B6A" w:rsidP="00696844">
                  <w:pPr>
                    <w:rPr>
                      <w:rFonts w:eastAsia="Times New Roman" w:cs="Arial"/>
                      <w:b/>
                      <w:i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In 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various </w:t>
                  </w:r>
                  <w:r>
                    <w:rPr>
                      <w:rFonts w:eastAsia="Times New Roman" w:cs="Arial"/>
                      <w:color w:val="000000"/>
                    </w:rPr>
                    <w:t>countries, insufficient information is available on the magnitude of unsafe abortion</w:t>
                  </w:r>
                  <w:r w:rsidR="00AD0B7C">
                    <w:rPr>
                      <w:rFonts w:eastAsia="Times New Roman" w:cs="Arial"/>
                      <w:color w:val="000000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</w:rPr>
                    <w:t>the deaths and short- and long-term disabilities and illnesses suffered by women and girls as a result of complications</w:t>
                  </w:r>
                  <w:r w:rsidR="00AD0B7C">
                    <w:rPr>
                      <w:rFonts w:eastAsia="Times New Roman" w:cs="Arial"/>
                      <w:color w:val="000000"/>
                    </w:rPr>
                    <w:t>, and measures needed to improve post-abortion and induced abortion care</w:t>
                  </w:r>
                  <w:r>
                    <w:rPr>
                      <w:rFonts w:eastAsia="Times New Roman" w:cs="Arial"/>
                      <w:color w:val="000000"/>
                    </w:rPr>
                    <w:t>. Such data are needed to persuade policy-makers to adopt legislation and regulations to decriminalize abortion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>,</w:t>
                  </w:r>
                  <w:r w:rsidR="00AD0B7C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</w:rPr>
                    <w:t>to ensure that the safest technologies are available and accessible in all health facilities to treat complications of unsafe abortions and to provide safe abortion care</w:t>
                  </w:r>
                  <w:r w:rsidR="00AD0B7C">
                    <w:rPr>
                      <w:rFonts w:eastAsia="Times New Roman" w:cs="Arial"/>
                      <w:color w:val="000000"/>
                    </w:rPr>
                    <w:t>, and to improve counseling and the provision of care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</w:t>
                  </w:r>
                  <w:r w:rsidR="00DB2CD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DB2CD6" w:rsidRPr="00DB2CD6">
                    <w:rPr>
                      <w:rFonts w:eastAsia="Times New Roman" w:cs="Arial"/>
                      <w:b/>
                      <w:i/>
                      <w:color w:val="000000"/>
                    </w:rPr>
                    <w:t>An international seminar in 2010 noted that research on unsafe abortion is “relatively underdeveloped area of research,” indicating that additional funding is needed to support such studies.</w:t>
                  </w:r>
                </w:p>
                <w:p w:rsidR="00696844" w:rsidRDefault="00696844" w:rsidP="00696844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DB2CD6" w:rsidRPr="00DB2CD6" w:rsidRDefault="00DB2CD6" w:rsidP="00DB2CD6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Reference: </w:t>
                  </w:r>
                  <w:r w:rsidRPr="00DB2CD6">
                    <w:rPr>
                      <w:rFonts w:eastAsia="Times New Roman" w:cs="Arial"/>
                      <w:color w:val="000000"/>
                    </w:rPr>
                    <w:t>IUSSP Scientific Panel on 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2010. </w:t>
                  </w:r>
                  <w:r w:rsidRPr="00DB2CD6">
                    <w:rPr>
                      <w:rFonts w:eastAsia="Times New Roman" w:cs="Arial"/>
                      <w:color w:val="000000"/>
                    </w:rPr>
                    <w:t>International Seminar 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DB2CD6">
                    <w:rPr>
                      <w:rFonts w:eastAsia="Times New Roman" w:cs="Arial"/>
                      <w:color w:val="000000"/>
                    </w:rPr>
                    <w:t>The Health, Social and Economic Consequences of Unsafe 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DB2CD6">
                    <w:rPr>
                      <w:rFonts w:eastAsia="Times New Roman" w:cs="Arial"/>
                      <w:color w:val="000000"/>
                    </w:rPr>
                    <w:t xml:space="preserve">San Juan del Rio, Mexico, 10-12 November 2010; </w:t>
                  </w:r>
                  <w:hyperlink r:id="rId5" w:history="1">
                    <w:r w:rsidRPr="00E269C2">
                      <w:rPr>
                        <w:rStyle w:val="Hyperlink"/>
                        <w:rFonts w:eastAsia="Times New Roman" w:cs="Arial"/>
                      </w:rPr>
                      <w:t>http://www.iussp.org/Activities/abortion/Report10.pdf</w:t>
                    </w:r>
                  </w:hyperlink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DB2CD6" w:rsidRPr="00DB2CD6" w:rsidRDefault="00DB2CD6" w:rsidP="00696844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AD0B7C" w:rsidRDefault="00AD0B7C" w:rsidP="00696844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An annotated bibliography of studies on abortion produced in 2008 includes reports that call for, </w:t>
                  </w:r>
                  <w:r w:rsidRPr="00AD0B7C">
                    <w:rPr>
                      <w:rFonts w:eastAsia="Times New Roman" w:cs="Arial"/>
                      <w:i/>
                      <w:color w:val="000000"/>
                    </w:rPr>
                    <w:t>inter alia,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determining why not all designated facilities are providing abortion services and what needs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to be made available for these facilities to provide abortion services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(South Africa);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improving qualitative research on reproductive health care delivery for women who seek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(Zambia)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; </w:t>
                  </w:r>
                  <w:r w:rsidR="00696844" w:rsidRPr="00696844">
                    <w:rPr>
                      <w:rFonts w:eastAsia="Times New Roman" w:cs="Arial"/>
                      <w:color w:val="000000"/>
                    </w:rPr>
                    <w:t xml:space="preserve">investigating gaps and proposing strategies to address 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>gaps in availability of counseli</w:t>
                  </w:r>
                  <w:r w:rsidR="00696844" w:rsidRPr="00696844">
                    <w:rPr>
                      <w:rFonts w:eastAsia="Times New Roman" w:cs="Arial"/>
                      <w:color w:val="000000"/>
                    </w:rPr>
                    <w:t>ng and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696844" w:rsidRPr="00696844">
                    <w:rPr>
                      <w:rFonts w:eastAsia="Times New Roman" w:cs="Arial"/>
                      <w:color w:val="000000"/>
                    </w:rPr>
                    <w:t>support services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 (Australia); </w:t>
                  </w:r>
                  <w:r w:rsidR="00696844" w:rsidRPr="00696844">
                    <w:rPr>
                      <w:rFonts w:eastAsia="Times New Roman" w:cs="Arial"/>
                      <w:color w:val="000000"/>
                    </w:rPr>
                    <w:t>undertaking further research to document women’s experiences and perspectives regarding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696844" w:rsidRPr="00696844">
                    <w:rPr>
                      <w:rFonts w:eastAsia="Times New Roman" w:cs="Arial"/>
                      <w:color w:val="000000"/>
                    </w:rPr>
                    <w:t>unsafe abortion, as well as clinical aspects of post-abortion care</w:t>
                  </w:r>
                  <w:r w:rsidR="00696844">
                    <w:rPr>
                      <w:rFonts w:eastAsia="Times New Roman" w:cs="Arial"/>
                      <w:color w:val="000000"/>
                    </w:rPr>
                    <w:t xml:space="preserve"> (Guatemala).</w:t>
                  </w:r>
                </w:p>
                <w:p w:rsidR="00AD0B7C" w:rsidRDefault="00AD0B7C" w:rsidP="00AD0B7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AD0B7C" w:rsidRPr="00AD0B7C" w:rsidRDefault="00AD0B7C" w:rsidP="00AD0B7C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Reference: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The International Reproductive and Sexual Health Law Programme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January 2008.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ACCESS TO ABORTION REPORTS: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AD0B7C">
                    <w:rPr>
                      <w:rFonts w:eastAsia="Times New Roman" w:cs="Arial"/>
                      <w:color w:val="000000"/>
                    </w:rPr>
                    <w:t>An Annotated Bibliography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Toronto, University of Toronto; </w:t>
                  </w:r>
                  <w:hyperlink r:id="rId6" w:history="1">
                    <w:r w:rsidR="00DB2CD6" w:rsidRPr="00E269C2">
                      <w:rPr>
                        <w:rStyle w:val="Hyperlink"/>
                        <w:rFonts w:eastAsia="Times New Roman" w:cs="Arial"/>
                      </w:rPr>
                      <w:t>http://www.law.utoronto.ca/documents/reprohealth/abortionbib.pdf</w:t>
                    </w:r>
                  </w:hyperlink>
                  <w:r w:rsidR="00DB2CD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AD0B7C" w:rsidRDefault="00AD0B7C" w:rsidP="00EF5BAA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EF5BAA" w:rsidRDefault="00EF5BAA" w:rsidP="00EF5BAA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lastRenderedPageBreak/>
                    <w:t xml:space="preserve"> In the United States, many states have laws mandating parental involvement in abortion care for adolescents. A study to be presented at a conference in 2011 states that: “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State parental involvement abortion laws have both helpful and harmful effects on researchers’</w:t>
                  </w:r>
                  <w:r w:rsidR="00DB2CD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ability to enroll adolescent subjects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 xml:space="preserve">” in research related to abortion care. The </w:t>
                  </w:r>
                  <w:proofErr w:type="gramStart"/>
                  <w:r w:rsidR="006D5605">
                    <w:rPr>
                      <w:rFonts w:eastAsia="Times New Roman" w:cs="Arial"/>
                      <w:color w:val="000000"/>
                    </w:rPr>
                    <w:t>researchers</w:t>
                  </w:r>
                  <w:proofErr w:type="gramEnd"/>
                  <w:r w:rsidR="006D5605">
                    <w:rPr>
                      <w:rFonts w:eastAsia="Times New Roman" w:cs="Arial"/>
                      <w:color w:val="000000"/>
                    </w:rPr>
                    <w:t xml:space="preserve"> further say: “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Health care providers and lawyers are often used as proxy informants for adolescents without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attention to whether the information is reliable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>” and “</w:t>
                  </w:r>
                  <w:r w:rsidR="00DB2CD6">
                    <w:rPr>
                      <w:rFonts w:eastAsia="Times New Roman" w:cs="Arial"/>
                      <w:color w:val="000000"/>
                    </w:rPr>
                    <w:t>I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nvestigators have highly varied levels of knowledge of the laws and policies that affect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EF5BAA">
                    <w:rPr>
                      <w:rFonts w:eastAsia="Times New Roman" w:cs="Arial"/>
                      <w:color w:val="000000"/>
                    </w:rPr>
                    <w:t>adolescents ability to participate in research</w:t>
                  </w:r>
                  <w:r w:rsidR="006D5605">
                    <w:rPr>
                      <w:rFonts w:eastAsia="Times New Roman" w:cs="Arial"/>
                      <w:color w:val="000000"/>
                    </w:rPr>
                    <w:t>.”</w:t>
                  </w:r>
                </w:p>
                <w:p w:rsidR="006D5605" w:rsidRDefault="006D5605" w:rsidP="00EF5BAA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6D5605" w:rsidRDefault="006D5605" w:rsidP="00EF5BAA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Reference: Tracy A.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Weitz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and</w:t>
                  </w:r>
                  <w:r w:rsidRPr="006D5605">
                    <w:rPr>
                      <w:rFonts w:eastAsia="Times New Roman" w:cs="Arial"/>
                      <w:color w:val="000000"/>
                    </w:rPr>
                    <w:t xml:space="preserve"> Erin C. Schultz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2011. </w:t>
                  </w:r>
                  <w:r w:rsidRPr="006D5605">
                    <w:rPr>
                      <w:rFonts w:eastAsia="Times New Roman" w:cs="Arial"/>
                      <w:color w:val="000000"/>
                    </w:rPr>
                    <w:t>Assessing the Barriers to Inclusion of Adolescent Minors in Abortion-Related Research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</w:t>
                  </w:r>
                  <w:hyperlink r:id="rId7" w:history="1">
                    <w:r w:rsidRPr="00E269C2">
                      <w:rPr>
                        <w:rStyle w:val="Hyperlink"/>
                        <w:rFonts w:eastAsia="Times New Roman" w:cs="Arial"/>
                      </w:rPr>
                      <w:t>http://www.primr.org/uploadedFiles/PRIMR_Site_Home/Education/Conferences/AER_2011/Weitz_T_BarriersMinorsAbortion.pdf</w:t>
                    </w:r>
                  </w:hyperlink>
                </w:p>
                <w:p w:rsidR="006D5605" w:rsidRDefault="006D5605" w:rsidP="00EF5BAA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227B6A" w:rsidRDefault="00227B6A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6693C" w:rsidRPr="00331592" w:rsidRDefault="0076693C" w:rsidP="0076693C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  <w:r w:rsidRPr="00331592">
                    <w:rPr>
                      <w:rFonts w:eastAsia="Times New Roman" w:cs="Arial"/>
                      <w:b/>
                      <w:color w:val="000000"/>
                    </w:rPr>
                    <w:t xml:space="preserve">The rights of scientists and collaborative work </w:t>
                  </w:r>
                </w:p>
                <w:p w:rsidR="0076693C" w:rsidRPr="00331592" w:rsidRDefault="0076693C" w:rsidP="0076693C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  <w:r w:rsidRPr="00331592">
                    <w:rPr>
                      <w:rFonts w:eastAsia="Times New Roman" w:cs="Arial"/>
                      <w:b/>
                      <w:color w:val="000000"/>
                    </w:rPr>
                    <w:t xml:space="preserve">4. What measures have been put in place to recognize, respect and protect the rights of scientists to: </w:t>
                  </w:r>
                </w:p>
                <w:p w:rsidR="0076693C" w:rsidRPr="00331592" w:rsidRDefault="0076693C" w:rsidP="0076693C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  <w:r w:rsidRPr="00331592">
                    <w:rPr>
                      <w:rFonts w:eastAsia="Times New Roman" w:cs="Arial"/>
                      <w:b/>
                      <w:color w:val="000000"/>
                    </w:rPr>
                    <w:t xml:space="preserve">b) collaborate with colleagues nationally and internationally, including through sharing data, samples, research findings, and other information, by travelling freely within and outside the country, and conducting joint research projects? </w:t>
                  </w:r>
                </w:p>
                <w:p w:rsidR="00331592" w:rsidRDefault="006D7C6A" w:rsidP="006D7C6A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Ipas has worked with the government of Nepal to ensure that safe legal abortion care using up-to-date technologies is available to women and girls. However, restrictions on funding imposed by the United States’ Helms amendment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has led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to decreased access to care for women, decreased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training for providers, fragmentation of basic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health services, and unnecessary censorship at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all levels.</w:t>
                  </w:r>
                </w:p>
                <w:p w:rsidR="006D7C6A" w:rsidRDefault="006D7C6A" w:rsidP="006D7C6A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     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The Helms Amendment to the Foreign Assistance Act was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passed in 1973, prohibiting the use of funds for the performance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of abortion “as a method of family planning” or to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“motivate or coerce any person to practice abortions.” The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Helms Amendment has been over-interpreted by the U.S.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government, effectively banning a range of activities related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to abortion. Although abortion should not be regarded as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a “method of family planning” where the life or health of</w:t>
                  </w:r>
                  <w:r w:rsidR="00950741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a woman is threatened or in cases of rape, USAID does not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support provision of safe services or counseling even in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these extreme cases.</w:t>
                  </w:r>
                  <w: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The Nepal Family Health Program (NFHP) is a bilateral</w:t>
                  </w:r>
                  <w:r w:rsidR="00950741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project under an agreement between USAID and the Nepal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government.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The NFHP and its recipients and partners, because they receive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funding from USAID, must be compliant with limitations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based on a restrictive interpretation of the Helms amendment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stipulating that funds provided by USAID for health, family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planning and population are prohibited from being used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to promote or provide abortion services. In addition, the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NFHP supports the National Safe Motherhood and Neonatal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Subcommittee of the Ministry of Health. As a result, abortion</w:t>
                  </w:r>
                  <w:r w:rsidR="007C2D1D">
                    <w:rPr>
                      <w:rFonts w:eastAsia="Times New Roman" w:cs="Arial"/>
                      <w:color w:val="000000"/>
                    </w:rPr>
                    <w:t>-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related</w:t>
                  </w:r>
                  <w:r w:rsidR="007C2D1D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information has been excluded from Safe Motherhood</w:t>
                  </w:r>
                  <w:r w:rsidR="007C2D1D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6D7C6A">
                    <w:rPr>
                      <w:rFonts w:eastAsia="Times New Roman" w:cs="Arial"/>
                      <w:color w:val="000000"/>
                    </w:rPr>
                    <w:t>information and national guidelines on family planning.</w:t>
                  </w:r>
                </w:p>
                <w:p w:rsidR="007664ED" w:rsidRDefault="007C2D1D" w:rsidP="007C2D1D">
                  <w:pPr>
                    <w:rPr>
                      <w:rFonts w:eastAsia="Times New Roman" w:cs="Arial"/>
                      <w:b/>
                      <w:i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        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At the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 xml:space="preserve">time of </w:t>
                  </w:r>
                  <w:r>
                    <w:rPr>
                      <w:rFonts w:eastAsia="Times New Roman" w:cs="Arial"/>
                      <w:color w:val="000000"/>
                    </w:rPr>
                    <w:t>an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 xml:space="preserve"> Ipas study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in late 2009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, USAID would not permit post</w:t>
                  </w:r>
                  <w:r>
                    <w:rPr>
                      <w:rFonts w:eastAsia="Times New Roman" w:cs="Arial"/>
                      <w:color w:val="000000"/>
                    </w:rPr>
                    <w:t>-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 xml:space="preserve">care rooms to be </w:t>
                  </w:r>
                  <w:r w:rsidR="007664ED">
                    <w:rPr>
                      <w:rFonts w:eastAsia="Times New Roman" w:cs="Arial"/>
                      <w:color w:val="000000"/>
                    </w:rPr>
                    <w:t>used for abortion services. Health-care p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roviders who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were already strapped for resources faced the added challenge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of separating physical facilities. Equipment</w:t>
                  </w:r>
                  <w:r>
                    <w:rPr>
                      <w:rFonts w:eastAsia="Times New Roman" w:cs="Arial"/>
                      <w:color w:val="000000"/>
                    </w:rPr>
                    <w:t>,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 xml:space="preserve"> too</w:t>
                  </w:r>
                  <w:r>
                    <w:rPr>
                      <w:rFonts w:eastAsia="Times New Roman" w:cs="Arial"/>
                      <w:color w:val="000000"/>
                    </w:rPr>
                    <w:t>,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 xml:space="preserve"> could not be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used for both purposes. Providers could not use the same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procedure room, manual vacuum aspirator (MVA), table, or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lamps for both PAC and induced abortion care.</w:t>
                  </w:r>
                  <w:r>
                    <w:rPr>
                      <w:rFonts w:eastAsia="Times New Roman" w:cs="Arial"/>
                      <w:b/>
                      <w:i/>
                      <w:color w:val="000000"/>
                    </w:rPr>
                    <w:t xml:space="preserve">       </w:t>
                  </w:r>
                </w:p>
                <w:p w:rsidR="007C2D1D" w:rsidRPr="007664ED" w:rsidRDefault="007664ED" w:rsidP="007C2D1D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b/>
                      <w:i/>
                      <w:color w:val="000000"/>
                    </w:rPr>
                    <w:t xml:space="preserve">       </w:t>
                  </w:r>
                  <w:r w:rsidR="007C2D1D" w:rsidRPr="007664ED">
                    <w:rPr>
                      <w:rFonts w:eastAsia="Times New Roman" w:cs="Arial"/>
                      <w:color w:val="000000"/>
                    </w:rPr>
                    <w:t>Organizations in Nepal working on abortion-related services or advocacy that don’t receive USAID funding are unofficially barred from attending USAID-sponsored meetings and events and even participating in some government initiatives.</w:t>
                  </w:r>
                </w:p>
                <w:p w:rsidR="007664ED" w:rsidRPr="007C2D1D" w:rsidRDefault="007664ED" w:rsidP="007664ED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lastRenderedPageBreak/>
                    <w:t xml:space="preserve">     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Government publications, including key training manuals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 xml:space="preserve">supported by USAID,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have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exclude</w:t>
                  </w:r>
                  <w:r>
                    <w:rPr>
                      <w:rFonts w:eastAsia="Times New Roman" w:cs="Arial"/>
                      <w:color w:val="000000"/>
                    </w:rPr>
                    <w:t>d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 xml:space="preserve"> information about abortion.</w:t>
                  </w:r>
                  <w:r>
                    <w:t xml:space="preserve"> </w:t>
                  </w:r>
                  <w:r>
                    <w:rPr>
                      <w:rFonts w:eastAsia="Times New Roman" w:cs="Arial"/>
                      <w:color w:val="000000"/>
                    </w:rPr>
                    <w:t>US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 xml:space="preserve"> abortion restrictions prevent comprehensive counseling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on a full range of reproductive health care. In USAID-</w:t>
                  </w:r>
                  <w: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funded training, including training on family planning and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post</w:t>
                  </w:r>
                  <w:r>
                    <w:rPr>
                      <w:rFonts w:eastAsia="Times New Roman" w:cs="Arial"/>
                      <w:color w:val="000000"/>
                    </w:rPr>
                    <w:t>-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 xml:space="preserve">abortion care,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health-care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providers and outreach workers receive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no information about abortion. This engenders inadequate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knowledge about the permissible circumstances for legal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abortion and the dissemination of incomplete information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related to the procedure. Providers and community health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volunteers equipped with incomplete information, in turn, fail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to ensure thoughtful discussion, to connect across reproductive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health services, cut inefficiencies, and link to broader concerns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about unwanted pregnancies due to circumstances such as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664ED">
                    <w:rPr>
                      <w:rFonts w:eastAsia="Times New Roman" w:cs="Arial"/>
                      <w:color w:val="000000"/>
                    </w:rPr>
                    <w:t>rape or domestic violence.</w:t>
                  </w:r>
                </w:p>
                <w:p w:rsidR="007C2D1D" w:rsidRDefault="007C2D1D" w:rsidP="007C2D1D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664ED" w:rsidRPr="00DB2CD6" w:rsidRDefault="007664ED" w:rsidP="007C2D1D">
                  <w:pPr>
                    <w:rPr>
                      <w:rFonts w:eastAsia="Times New Roman" w:cs="Arial"/>
                      <w:b/>
                      <w:i/>
                      <w:color w:val="000000"/>
                    </w:rPr>
                  </w:pPr>
                  <w:r w:rsidRPr="00DB2CD6">
                    <w:rPr>
                      <w:rFonts w:eastAsia="Times New Roman" w:cs="Arial"/>
                      <w:b/>
                      <w:i/>
                      <w:color w:val="000000"/>
                    </w:rPr>
                    <w:t>The overly strict interpretation of the US Helms Amendment has clearly constituted a barrier to women’s access to the benefits of scientific progress with regard to safe legal abortion care.</w:t>
                  </w:r>
                </w:p>
                <w:p w:rsidR="007664ED" w:rsidRDefault="007664ED" w:rsidP="007C2D1D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C2D1D" w:rsidRDefault="007C2D1D" w:rsidP="007C2D1D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References: </w:t>
                  </w:r>
                </w:p>
                <w:p w:rsidR="006D7C6A" w:rsidRDefault="007C2D1D" w:rsidP="007C2D1D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Jennifer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Daw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Holloway. 2010.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The impact of U.S. foreign policy on</w:t>
                  </w:r>
                  <w:r w:rsidR="00DB2CD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safe abortion in Nepal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Chapel Hill, NC; </w:t>
                  </w:r>
                  <w:hyperlink r:id="rId8" w:history="1">
                    <w:r w:rsidRPr="00E269C2">
                      <w:rPr>
                        <w:rStyle w:val="Hyperlink"/>
                        <w:rFonts w:eastAsia="Times New Roman" w:cs="Arial"/>
                      </w:rPr>
                      <w:t>http://www.ipas.org/Publications/asset_upload_file928_5644.pdf</w:t>
                    </w:r>
                  </w:hyperlink>
                </w:p>
                <w:p w:rsidR="00DB2CD6" w:rsidRDefault="00DB2CD6" w:rsidP="007C2D1D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C2D1D" w:rsidRDefault="007C2D1D" w:rsidP="007C2D1D">
                  <w:pPr>
                    <w:rPr>
                      <w:rFonts w:eastAsia="Times New Roman" w:cs="Arial"/>
                      <w:color w:val="000000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Jamila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Taylor and Patty Skuster. 2010.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U.S. foreign policy and abortion in Nepal: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Pr="007C2D1D">
                    <w:rPr>
                      <w:rFonts w:eastAsia="Times New Roman" w:cs="Arial"/>
                      <w:color w:val="000000"/>
                    </w:rPr>
                    <w:t>Barriers to saving women’s lives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Chapel Hill, NC; </w:t>
                  </w:r>
                  <w:hyperlink r:id="rId9" w:history="1">
                    <w:r w:rsidR="007664ED" w:rsidRPr="00E269C2">
                      <w:rPr>
                        <w:rStyle w:val="Hyperlink"/>
                        <w:rFonts w:eastAsia="Times New Roman" w:cs="Arial"/>
                      </w:rPr>
                      <w:t>http://www.ipas.org/Publications/asset_upload_file305_5697.pdf</w:t>
                    </w:r>
                  </w:hyperlink>
                </w:p>
                <w:p w:rsidR="007664ED" w:rsidRDefault="007664ED" w:rsidP="007C2D1D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331592" w:rsidRPr="00210C41" w:rsidRDefault="00331592" w:rsidP="0076693C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76693C" w:rsidRDefault="0076693C" w:rsidP="0076693C">
                  <w:pPr>
                    <w:rPr>
                      <w:rFonts w:eastAsia="Times New Roman" w:cs="Arial"/>
                      <w:b/>
                      <w:color w:val="000000"/>
                    </w:rPr>
                  </w:pPr>
                  <w:r w:rsidRPr="006D7C6A">
                    <w:rPr>
                      <w:rFonts w:eastAsia="Times New Roman" w:cs="Arial"/>
                      <w:b/>
                      <w:color w:val="000000"/>
                    </w:rPr>
                    <w:t xml:space="preserve">11. What are the achievements in the field of scientific progress and its applications? Please provide details. </w:t>
                  </w:r>
                </w:p>
                <w:p w:rsidR="00EF5BAA" w:rsidRDefault="00DB2CD6" w:rsidP="00DB2CD6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The development of </w:t>
                  </w:r>
                  <w:r w:rsidR="00EF5BAA" w:rsidRPr="00DB2CD6">
                    <w:rPr>
                      <w:rFonts w:eastAsia="Times New Roman" w:cs="Arial"/>
                      <w:color w:val="000000"/>
                    </w:rPr>
                    <w:t>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care using medications is the outcome of</w:t>
                  </w:r>
                  <w:r w:rsidR="00EF5BAA" w:rsidRPr="00DB2CD6">
                    <w:rPr>
                      <w:rFonts w:eastAsia="Times New Roman" w:cs="Arial"/>
                      <w:color w:val="000000"/>
                    </w:rPr>
                    <w:t xml:space="preserve"> decades of medical research to </w:t>
                  </w:r>
                  <w:r>
                    <w:rPr>
                      <w:rFonts w:eastAsia="Times New Roman" w:cs="Arial"/>
                      <w:color w:val="000000"/>
                    </w:rPr>
                    <w:t>make av</w:t>
                  </w:r>
                  <w:r w:rsidR="00EF5BAA" w:rsidRPr="00DB2CD6">
                    <w:rPr>
                      <w:rFonts w:eastAsia="Times New Roman" w:cs="Arial"/>
                      <w:color w:val="000000"/>
                    </w:rPr>
                    <w:t xml:space="preserve">ailable a safe alternative to surgical abortion.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This research has shown that misoprostol is also useful </w:t>
                  </w:r>
                  <w:r w:rsidR="00EF5BAA" w:rsidRPr="00DB2CD6">
                    <w:rPr>
                      <w:rFonts w:eastAsia="Times New Roman" w:cs="Arial"/>
                      <w:color w:val="000000"/>
                    </w:rPr>
                    <w:t xml:space="preserve">for other obstetric uses. </w:t>
                  </w:r>
                  <w:r>
                    <w:rPr>
                      <w:rFonts w:eastAsia="Times New Roman" w:cs="Arial"/>
                      <w:color w:val="000000"/>
                    </w:rPr>
                    <w:t>To make the benefits of this medical research more widely available, governments must include misoprostol and mifepristone on their national e</w:t>
                  </w:r>
                  <w:r w:rsidR="00EF5BAA" w:rsidRPr="00DB2CD6">
                    <w:rPr>
                      <w:rFonts w:eastAsia="Times New Roman" w:cs="Arial"/>
                      <w:color w:val="000000"/>
                    </w:rPr>
                    <w:t>ssential medicines list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s, following the example of the World Health Organization, which did so in 2005 for its Model List of Essential Medicines. </w:t>
                  </w:r>
                </w:p>
                <w:p w:rsidR="00DB2CD6" w:rsidRDefault="00DB2CD6" w:rsidP="00DB2CD6">
                  <w:pPr>
                    <w:rPr>
                      <w:rFonts w:eastAsia="Times New Roman" w:cs="Arial"/>
                      <w:color w:val="000000"/>
                    </w:rPr>
                  </w:pPr>
                </w:p>
                <w:p w:rsidR="00DB2CD6" w:rsidRPr="00DB2CD6" w:rsidRDefault="00DB2CD6" w:rsidP="00DB2CD6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Reference: </w:t>
                  </w:r>
                  <w:r w:rsidRPr="00DB2CD6">
                    <w:rPr>
                      <w:rFonts w:eastAsia="Times New Roman" w:cs="Arial"/>
                      <w:color w:val="000000"/>
                    </w:rPr>
                    <w:t>International Consortium for Medical Abortion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. No date. </w:t>
                  </w:r>
                  <w:r w:rsidR="009146DA">
                    <w:rPr>
                      <w:rFonts w:eastAsia="Times New Roman" w:cs="Arial"/>
                      <w:color w:val="000000"/>
                    </w:rPr>
                    <w:t xml:space="preserve">Information for policy-makers; </w:t>
                  </w:r>
                  <w:hyperlink r:id="rId10" w:history="1">
                    <w:r w:rsidR="009146DA" w:rsidRPr="00E269C2">
                      <w:rPr>
                        <w:rStyle w:val="Hyperlink"/>
                        <w:rFonts w:eastAsia="Times New Roman" w:cs="Arial"/>
                      </w:rPr>
                      <w:t>http://www.medicalabortionconsortium.org/articles/for-policy-makers/default/?bl=en</w:t>
                    </w:r>
                  </w:hyperlink>
                  <w:r w:rsidR="009146DA"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</w:tc>
            </w:tr>
            <w:tr w:rsidR="006D7C6A" w:rsidRPr="00210C41">
              <w:trPr>
                <w:tblCellSpacing w:w="0" w:type="dxa"/>
              </w:trPr>
              <w:tc>
                <w:tcPr>
                  <w:tcW w:w="0" w:type="auto"/>
                </w:tcPr>
                <w:p w:rsidR="006D7C6A" w:rsidRPr="00210C41" w:rsidRDefault="006D7C6A" w:rsidP="0076693C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76693C" w:rsidRPr="00210C41" w:rsidRDefault="0076693C" w:rsidP="0076693C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693C" w:rsidRPr="00210C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693C" w:rsidRPr="00210C41" w:rsidRDefault="0076693C" w:rsidP="0076693C">
                  <w:pPr>
                    <w:spacing w:before="90" w:after="90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76693C" w:rsidRPr="00210C41" w:rsidRDefault="0076693C" w:rsidP="0076693C">
            <w:pPr>
              <w:rPr>
                <w:rFonts w:eastAsia="Times New Roman" w:cs="Times New Roman"/>
              </w:rPr>
            </w:pPr>
          </w:p>
        </w:tc>
      </w:tr>
      <w:tr w:rsidR="0076693C" w:rsidRPr="00210C41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693C" w:rsidRPr="00210C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693C" w:rsidRPr="00210C41" w:rsidRDefault="0076693C" w:rsidP="0076693C">
                  <w:pPr>
                    <w:spacing w:after="240"/>
                    <w:rPr>
                      <w:rFonts w:eastAsia="Times New Roman" w:cs="Times New Roman"/>
                      <w:color w:val="000000"/>
                    </w:rPr>
                  </w:pPr>
                  <w:r w:rsidRPr="00210C41">
                    <w:rPr>
                      <w:rFonts w:eastAsia="Times New Roman" w:cs="Arial"/>
                      <w:color w:val="000000"/>
                    </w:rPr>
                    <w:lastRenderedPageBreak/>
                    <w:t xml:space="preserve"> </w:t>
                  </w:r>
                </w:p>
              </w:tc>
            </w:tr>
          </w:tbl>
          <w:p w:rsidR="0076693C" w:rsidRPr="00210C41" w:rsidRDefault="0076693C" w:rsidP="0076693C">
            <w:pPr>
              <w:rPr>
                <w:rFonts w:eastAsia="Times New Roman" w:cs="Times New Roman"/>
              </w:rPr>
            </w:pPr>
          </w:p>
        </w:tc>
      </w:tr>
    </w:tbl>
    <w:p w:rsidR="006F733F" w:rsidRPr="00210C41" w:rsidRDefault="006F733F"/>
    <w:sectPr w:rsidR="006F733F" w:rsidRPr="0021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C"/>
    <w:rsid w:val="00210C41"/>
    <w:rsid w:val="00227B6A"/>
    <w:rsid w:val="00331592"/>
    <w:rsid w:val="00696844"/>
    <w:rsid w:val="006D5605"/>
    <w:rsid w:val="006D7C6A"/>
    <w:rsid w:val="006F733F"/>
    <w:rsid w:val="007664ED"/>
    <w:rsid w:val="0076693C"/>
    <w:rsid w:val="007C2D1D"/>
    <w:rsid w:val="008177DA"/>
    <w:rsid w:val="00866E62"/>
    <w:rsid w:val="009146DA"/>
    <w:rsid w:val="00950741"/>
    <w:rsid w:val="00AD0B7C"/>
    <w:rsid w:val="00DB2CD6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s.org/Publications/asset_upload_file928_5644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primr.org/uploadedFiles/PRIMR_Site_Home/Education/Conferences/AER_2011/Weitz_T_BarriersMinorsAbortio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utoronto.ca/documents/reprohealth/abortionbi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ussp.org/Activities/abortion/Report10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medicalabortionconsortium.org/articles/for-policy-makers/default/?b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as.org/Publications/asset_upload_file305_5697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866EB-A0B8-414A-8521-EE1B644D928A}"/>
</file>

<file path=customXml/itemProps2.xml><?xml version="1.0" encoding="utf-8"?>
<ds:datastoreItem xmlns:ds="http://schemas.openxmlformats.org/officeDocument/2006/customXml" ds:itemID="{09794CA4-C335-4B80-A1AD-12D5472C3F09}"/>
</file>

<file path=customXml/itemProps3.xml><?xml version="1.0" encoding="utf-8"?>
<ds:datastoreItem xmlns:ds="http://schemas.openxmlformats.org/officeDocument/2006/customXml" ds:itemID="{0ACFF154-A87C-4484-BCC7-881DF6551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Oyuna Umuralieva</cp:lastModifiedBy>
  <cp:revision>2</cp:revision>
  <dcterms:created xsi:type="dcterms:W3CDTF">2011-11-25T17:05:00Z</dcterms:created>
  <dcterms:modified xsi:type="dcterms:W3CDTF">2011-11-25T17:05:00Z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831600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