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0F15C5" w:rsidRPr="00444300" w:rsidTr="00560864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5C5" w:rsidRPr="00BD6768" w:rsidRDefault="000F15C5" w:rsidP="00561E75">
            <w:pPr>
              <w:pStyle w:val="H23G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5C5" w:rsidRPr="00BD6768" w:rsidRDefault="000F15C5" w:rsidP="00560864">
            <w:pPr>
              <w:spacing w:after="80"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5C5" w:rsidRPr="0028397A" w:rsidRDefault="00507504" w:rsidP="0028397A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042A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A</w:t>
            </w:r>
            <w:r w:rsidRPr="00B042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/HRC/FD/2016/1</w:t>
            </w:r>
          </w:p>
        </w:tc>
      </w:tr>
      <w:tr w:rsidR="000F15C5" w:rsidRPr="00BD6768" w:rsidTr="00560864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F15C5" w:rsidRPr="00BD6768" w:rsidRDefault="000F15C5" w:rsidP="0056086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F15C5" w:rsidRPr="00444300" w:rsidRDefault="00204C92" w:rsidP="00560864">
            <w:pPr>
              <w:spacing w:before="120" w:line="420" w:lineRule="exact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Advance Edited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042AC" w:rsidRPr="00444300" w:rsidRDefault="00B042AC" w:rsidP="00B042AC">
            <w:pPr>
              <w:suppressAutoHyphens/>
              <w:spacing w:before="240"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4300">
              <w:rPr>
                <w:rFonts w:ascii="Times New Roman" w:eastAsia="Times New Roman" w:hAnsi="Times New Roman"/>
                <w:sz w:val="20"/>
                <w:szCs w:val="20"/>
              </w:rPr>
              <w:t>Distr.: General</w:t>
            </w:r>
          </w:p>
          <w:p w:rsidR="00B042AC" w:rsidRPr="00BD6768" w:rsidRDefault="00264E29" w:rsidP="00B042A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B042AC" w:rsidRPr="00BD6768">
              <w:rPr>
                <w:rFonts w:ascii="Times New Roman" w:eastAsia="Times New Roman" w:hAnsi="Times New Roman"/>
                <w:sz w:val="20"/>
                <w:szCs w:val="20"/>
              </w:rPr>
              <w:t xml:space="preserve"> September 201</w:t>
            </w:r>
            <w:r w:rsidR="00B042A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  <w:p w:rsidR="00B042AC" w:rsidRPr="00BD6768" w:rsidRDefault="00B042AC" w:rsidP="00B042A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F4310" w:rsidRPr="00BD6768" w:rsidRDefault="00B042AC" w:rsidP="00B042AC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D6768">
              <w:rPr>
                <w:rFonts w:ascii="Times New Roman" w:hAnsi="Times New Roman"/>
                <w:sz w:val="20"/>
                <w:szCs w:val="20"/>
              </w:rPr>
              <w:t>Original: English</w:t>
            </w:r>
          </w:p>
        </w:tc>
      </w:tr>
    </w:tbl>
    <w:p w:rsidR="006F6C33" w:rsidRDefault="0088642F" w:rsidP="0088642F">
      <w:pPr>
        <w:suppressAutoHyphens/>
        <w:spacing w:before="120" w:after="0" w:line="240" w:lineRule="atLeast"/>
        <w:rPr>
          <w:rFonts w:ascii="Times New Roman" w:eastAsia="Times New Roman" w:hAnsi="Times New Roman"/>
          <w:sz w:val="20"/>
          <w:szCs w:val="20"/>
        </w:rPr>
      </w:pPr>
      <w:r w:rsidRPr="00C07D53">
        <w:rPr>
          <w:rFonts w:ascii="Times New Roman" w:eastAsia="Times New Roman" w:hAnsi="Times New Roman"/>
          <w:b/>
          <w:bCs/>
          <w:sz w:val="24"/>
          <w:szCs w:val="24"/>
        </w:rPr>
        <w:t>Human Rights Council</w:t>
      </w:r>
      <w:r w:rsidRPr="00C07D53">
        <w:rPr>
          <w:rFonts w:ascii="Times New Roman" w:eastAsia="Times New Roman" w:hAnsi="Times New Roman"/>
          <w:sz w:val="20"/>
          <w:szCs w:val="20"/>
        </w:rPr>
        <w:br/>
      </w:r>
      <w:r w:rsidR="0056448D">
        <w:rPr>
          <w:rFonts w:ascii="Times New Roman" w:eastAsia="Times New Roman" w:hAnsi="Times New Roman"/>
          <w:b/>
          <w:bCs/>
          <w:sz w:val="20"/>
          <w:szCs w:val="20"/>
        </w:rPr>
        <w:t>Forum on Human Rights, Democracy and the Rule of Law</w:t>
      </w:r>
      <w:r w:rsidRPr="00BD6768">
        <w:rPr>
          <w:rFonts w:ascii="Times New Roman" w:eastAsia="Times New Roman" w:hAnsi="Times New Roman"/>
          <w:b/>
          <w:bCs/>
          <w:sz w:val="20"/>
          <w:szCs w:val="20"/>
        </w:rPr>
        <w:br/>
      </w:r>
      <w:r w:rsidR="0056448D" w:rsidRPr="00084594">
        <w:rPr>
          <w:rFonts w:ascii="Times New Roman" w:eastAsia="Times New Roman" w:hAnsi="Times New Roman"/>
          <w:b/>
          <w:sz w:val="20"/>
          <w:szCs w:val="20"/>
        </w:rPr>
        <w:t xml:space="preserve">First </w:t>
      </w:r>
      <w:r w:rsidRPr="00084594">
        <w:rPr>
          <w:rFonts w:ascii="Times New Roman" w:eastAsia="Times New Roman" w:hAnsi="Times New Roman"/>
          <w:b/>
          <w:sz w:val="20"/>
          <w:szCs w:val="20"/>
        </w:rPr>
        <w:t>session</w:t>
      </w:r>
      <w:r w:rsidRPr="00C07D53">
        <w:rPr>
          <w:rFonts w:ascii="Times New Roman" w:eastAsia="Times New Roman" w:hAnsi="Times New Roman"/>
          <w:sz w:val="20"/>
          <w:szCs w:val="20"/>
        </w:rPr>
        <w:br/>
        <w:t>2</w:t>
      </w:r>
      <w:r w:rsidR="0056448D">
        <w:rPr>
          <w:rFonts w:ascii="Times New Roman" w:eastAsia="Times New Roman" w:hAnsi="Times New Roman"/>
          <w:sz w:val="20"/>
          <w:szCs w:val="20"/>
        </w:rPr>
        <w:t>1</w:t>
      </w:r>
      <w:r w:rsidR="00527647" w:rsidRPr="00C07D53">
        <w:rPr>
          <w:rFonts w:ascii="Times New Roman" w:eastAsia="Times New Roman" w:hAnsi="Times New Roman"/>
          <w:sz w:val="20"/>
          <w:szCs w:val="20"/>
        </w:rPr>
        <w:t>–</w:t>
      </w:r>
      <w:r w:rsidRPr="00C07D53">
        <w:rPr>
          <w:rFonts w:ascii="Times New Roman" w:eastAsia="Times New Roman" w:hAnsi="Times New Roman"/>
          <w:sz w:val="20"/>
          <w:szCs w:val="20"/>
        </w:rPr>
        <w:t>2</w:t>
      </w:r>
      <w:r w:rsidR="0056448D">
        <w:rPr>
          <w:rFonts w:ascii="Times New Roman" w:eastAsia="Times New Roman" w:hAnsi="Times New Roman"/>
          <w:sz w:val="20"/>
          <w:szCs w:val="20"/>
        </w:rPr>
        <w:t>2</w:t>
      </w:r>
      <w:r w:rsidRPr="00C07D53">
        <w:rPr>
          <w:rFonts w:ascii="Times New Roman" w:eastAsia="Times New Roman" w:hAnsi="Times New Roman"/>
          <w:sz w:val="20"/>
          <w:szCs w:val="20"/>
        </w:rPr>
        <w:t xml:space="preserve"> November 201</w:t>
      </w:r>
      <w:r w:rsidR="0056448D">
        <w:rPr>
          <w:rFonts w:ascii="Times New Roman" w:eastAsia="Times New Roman" w:hAnsi="Times New Roman"/>
          <w:sz w:val="20"/>
          <w:szCs w:val="20"/>
        </w:rPr>
        <w:t>6</w:t>
      </w:r>
      <w:r w:rsidR="006F6C33" w:rsidRPr="00C07D53">
        <w:rPr>
          <w:rFonts w:ascii="Times New Roman" w:eastAsia="Times New Roman" w:hAnsi="Times New Roman"/>
          <w:sz w:val="20"/>
          <w:szCs w:val="20"/>
        </w:rPr>
        <w:br/>
      </w:r>
      <w:r w:rsidR="006F6C33">
        <w:rPr>
          <w:rFonts w:ascii="Times New Roman" w:eastAsia="Times New Roman" w:hAnsi="Times New Roman"/>
          <w:sz w:val="20"/>
          <w:szCs w:val="20"/>
        </w:rPr>
        <w:t>Item 1 of the provisional agenda</w:t>
      </w:r>
      <w:r w:rsidR="006F6C33" w:rsidRPr="00C07D53">
        <w:rPr>
          <w:rFonts w:ascii="Times New Roman" w:eastAsia="Times New Roman" w:hAnsi="Times New Roman"/>
          <w:sz w:val="20"/>
          <w:szCs w:val="20"/>
        </w:rPr>
        <w:br/>
      </w:r>
      <w:r w:rsidR="006F6C33" w:rsidRPr="00084594">
        <w:rPr>
          <w:rFonts w:ascii="Times New Roman" w:hAnsi="Times New Roman"/>
          <w:b/>
          <w:sz w:val="20"/>
          <w:szCs w:val="20"/>
        </w:rPr>
        <w:t>Adoption of the agenda and organization of work</w:t>
      </w:r>
    </w:p>
    <w:p w:rsidR="006F6C33" w:rsidRPr="00C07D53" w:rsidRDefault="006F6C33" w:rsidP="0088642F">
      <w:pPr>
        <w:suppressAutoHyphens/>
        <w:spacing w:before="120" w:after="0" w:line="240" w:lineRule="atLeast"/>
        <w:rPr>
          <w:rFonts w:ascii="Times New Roman" w:eastAsia="Times New Roman" w:hAnsi="Times New Roman"/>
          <w:sz w:val="20"/>
          <w:szCs w:val="20"/>
        </w:rPr>
      </w:pPr>
    </w:p>
    <w:p w:rsidR="003C4884" w:rsidRDefault="000F15C5" w:rsidP="00084594">
      <w:pPr>
        <w:pStyle w:val="HChG"/>
        <w:rPr>
          <w:szCs w:val="28"/>
          <w:lang w:val="en-GB"/>
        </w:rPr>
      </w:pPr>
      <w:r w:rsidRPr="00C07D53">
        <w:rPr>
          <w:lang w:val="en-GB"/>
        </w:rPr>
        <w:tab/>
      </w:r>
      <w:r w:rsidRPr="00C07D53">
        <w:rPr>
          <w:lang w:val="en-GB"/>
        </w:rPr>
        <w:tab/>
      </w:r>
      <w:r w:rsidR="00F00B3E" w:rsidRPr="00F30E31">
        <w:rPr>
          <w:szCs w:val="28"/>
          <w:lang w:val="en-GB"/>
        </w:rPr>
        <w:t>Annotated p</w:t>
      </w:r>
      <w:r w:rsidR="003C4884" w:rsidRPr="00190488">
        <w:rPr>
          <w:szCs w:val="28"/>
          <w:lang w:val="en-GB"/>
        </w:rPr>
        <w:t>rovisional agenda</w:t>
      </w:r>
    </w:p>
    <w:p w:rsidR="00F00B3E" w:rsidRPr="00BF7550" w:rsidRDefault="00F00B3E" w:rsidP="00084594">
      <w:pPr>
        <w:rPr>
          <w:szCs w:val="24"/>
        </w:rPr>
      </w:pPr>
      <w:r>
        <w:tab/>
      </w:r>
      <w:r>
        <w:tab/>
      </w:r>
      <w:r w:rsidRPr="00084594">
        <w:rPr>
          <w:rFonts w:ascii="Times New Roman" w:hAnsi="Times New Roman"/>
          <w:b/>
          <w:sz w:val="24"/>
          <w:szCs w:val="24"/>
        </w:rPr>
        <w:t>Provisional agenda</w:t>
      </w:r>
    </w:p>
    <w:p w:rsidR="00694719" w:rsidRPr="00BD6768" w:rsidRDefault="00694719" w:rsidP="00694719">
      <w:pPr>
        <w:pStyle w:val="SingleTxtG"/>
        <w:ind w:left="1701" w:hanging="567"/>
      </w:pPr>
      <w:r w:rsidRPr="00BD6768">
        <w:t>1.</w:t>
      </w:r>
      <w:r w:rsidRPr="00BD6768">
        <w:tab/>
        <w:t xml:space="preserve">Adoption of the </w:t>
      </w:r>
      <w:r w:rsidR="00F1701F" w:rsidRPr="00BD6768">
        <w:t>agenda and organization of work</w:t>
      </w:r>
      <w:r w:rsidR="00C76235">
        <w:t>.</w:t>
      </w:r>
    </w:p>
    <w:p w:rsidR="00694719" w:rsidRPr="00BD6768" w:rsidRDefault="00694719" w:rsidP="00694719">
      <w:pPr>
        <w:pStyle w:val="SingleTxtG"/>
        <w:ind w:left="1701" w:hanging="567"/>
      </w:pPr>
      <w:r w:rsidRPr="00BD6768">
        <w:t>2.</w:t>
      </w:r>
      <w:r w:rsidRPr="00BD6768">
        <w:tab/>
      </w:r>
      <w:r w:rsidR="007C0FFE">
        <w:t xml:space="preserve">Creating an enabling environment for </w:t>
      </w:r>
      <w:r w:rsidR="00264E29">
        <w:t xml:space="preserve">the </w:t>
      </w:r>
      <w:r w:rsidR="007C0FFE">
        <w:t xml:space="preserve">effective participation </w:t>
      </w:r>
      <w:r w:rsidR="00264E29">
        <w:t xml:space="preserve">of youth </w:t>
      </w:r>
      <w:r w:rsidR="007C0FFE">
        <w:t>in public decision</w:t>
      </w:r>
      <w:r w:rsidR="00C246EC">
        <w:t>-</w:t>
      </w:r>
      <w:r w:rsidR="007C0FFE">
        <w:t>making</w:t>
      </w:r>
      <w:r w:rsidR="00C76235">
        <w:t>.</w:t>
      </w:r>
    </w:p>
    <w:p w:rsidR="00694719" w:rsidRPr="00BD6768" w:rsidRDefault="00694719" w:rsidP="00694719">
      <w:pPr>
        <w:pStyle w:val="SingleTxtG"/>
        <w:ind w:left="1701" w:hanging="567"/>
      </w:pPr>
      <w:r w:rsidRPr="00BD6768">
        <w:t>3.</w:t>
      </w:r>
      <w:r w:rsidRPr="00BD6768">
        <w:tab/>
      </w:r>
      <w:r w:rsidR="007C0FFE" w:rsidRPr="001E7835">
        <w:t>From formal to transformative participation</w:t>
      </w:r>
      <w:r w:rsidR="0028397A" w:rsidRPr="0028397A">
        <w:t xml:space="preserve"> </w:t>
      </w:r>
      <w:r w:rsidR="0028397A" w:rsidRPr="001E7835">
        <w:t>of youth</w:t>
      </w:r>
      <w:r w:rsidR="00C76235">
        <w:t>.</w:t>
      </w:r>
    </w:p>
    <w:p w:rsidR="001241F1" w:rsidRDefault="00694719" w:rsidP="00694719">
      <w:pPr>
        <w:pStyle w:val="SingleTxtG"/>
        <w:ind w:left="1701" w:hanging="567"/>
      </w:pPr>
      <w:r w:rsidRPr="00BD6768">
        <w:t>4.</w:t>
      </w:r>
      <w:r w:rsidRPr="00BD6768">
        <w:tab/>
      </w:r>
      <w:r w:rsidR="00C76235">
        <w:t>Participation</w:t>
      </w:r>
      <w:r w:rsidR="00C76235" w:rsidRPr="001E7835">
        <w:t xml:space="preserve"> </w:t>
      </w:r>
      <w:r w:rsidR="00C76235">
        <w:t>of y</w:t>
      </w:r>
      <w:r w:rsidR="00A67E9D">
        <w:t xml:space="preserve">outh </w:t>
      </w:r>
      <w:r w:rsidR="00A67E9D" w:rsidRPr="001E7835">
        <w:t xml:space="preserve">in </w:t>
      </w:r>
      <w:r w:rsidR="00A67E9D">
        <w:t>sustainable development and human rights protection in specific contexts</w:t>
      </w:r>
      <w:r w:rsidR="00C76235">
        <w:t>.</w:t>
      </w:r>
      <w:r w:rsidR="00A67E9D">
        <w:t xml:space="preserve"> </w:t>
      </w:r>
    </w:p>
    <w:p w:rsidR="00694719" w:rsidRPr="00BD6768" w:rsidRDefault="00694719" w:rsidP="00694719">
      <w:pPr>
        <w:pStyle w:val="SingleTxtG"/>
        <w:ind w:left="1701" w:hanging="567"/>
      </w:pPr>
      <w:r w:rsidRPr="00BD6768">
        <w:t>5.</w:t>
      </w:r>
      <w:r w:rsidRPr="00BD6768">
        <w:tab/>
      </w:r>
      <w:r w:rsidR="007C0FFE" w:rsidRPr="001E7835">
        <w:t>Moving the global youth agenda</w:t>
      </w:r>
      <w:r w:rsidR="00C76235" w:rsidRPr="00C76235">
        <w:t xml:space="preserve"> </w:t>
      </w:r>
      <w:r w:rsidR="00C76235" w:rsidRPr="001E7835">
        <w:t>forward</w:t>
      </w:r>
      <w:r w:rsidR="007C0FFE" w:rsidRPr="001E7835">
        <w:t xml:space="preserve">: the role of </w:t>
      </w:r>
      <w:r w:rsidR="008D3E7C">
        <w:t xml:space="preserve">youth </w:t>
      </w:r>
      <w:r w:rsidR="00D61950">
        <w:t xml:space="preserve">in </w:t>
      </w:r>
      <w:r w:rsidR="008D3E7C">
        <w:t>shaping the</w:t>
      </w:r>
      <w:r w:rsidR="007C0FFE" w:rsidRPr="001E7835">
        <w:t xml:space="preserve"> </w:t>
      </w:r>
      <w:r w:rsidR="00BF7550" w:rsidRPr="001E7835">
        <w:t xml:space="preserve">agenda </w:t>
      </w:r>
      <w:r w:rsidR="00BF7550">
        <w:t xml:space="preserve">of the </w:t>
      </w:r>
      <w:r w:rsidR="007C0FFE" w:rsidRPr="001E7835">
        <w:t>U</w:t>
      </w:r>
      <w:r w:rsidR="00C76235">
        <w:t xml:space="preserve">nited </w:t>
      </w:r>
      <w:r w:rsidR="007C0FFE" w:rsidRPr="001E7835">
        <w:t>N</w:t>
      </w:r>
      <w:r w:rsidR="00C76235">
        <w:t>ations</w:t>
      </w:r>
      <w:r w:rsidR="007C0FFE" w:rsidRPr="001E7835">
        <w:t xml:space="preserve"> and regional organi</w:t>
      </w:r>
      <w:r w:rsidR="00C76235">
        <w:t>z</w:t>
      </w:r>
      <w:r w:rsidR="007C0FFE" w:rsidRPr="001E7835">
        <w:t>ations</w:t>
      </w:r>
      <w:r w:rsidR="00C76235">
        <w:t>.</w:t>
      </w:r>
      <w:r w:rsidR="007C0FFE" w:rsidRPr="001E7835">
        <w:t xml:space="preserve"> </w:t>
      </w:r>
    </w:p>
    <w:p w:rsidR="000F15C5" w:rsidRPr="00BD6768" w:rsidRDefault="00694719" w:rsidP="00694719">
      <w:pPr>
        <w:pStyle w:val="SingleTxtG"/>
        <w:ind w:left="1701" w:hanging="567"/>
      </w:pPr>
      <w:r w:rsidRPr="00BD6768">
        <w:t xml:space="preserve">6. </w:t>
      </w:r>
      <w:r w:rsidRPr="00BD6768">
        <w:tab/>
        <w:t>Concluding remarks</w:t>
      </w:r>
      <w:r w:rsidR="00C76235">
        <w:t>.</w:t>
      </w:r>
    </w:p>
    <w:p w:rsidR="00F00B3E" w:rsidRDefault="00F00B3E" w:rsidP="00C73640">
      <w:pPr>
        <w:pStyle w:val="H23G"/>
      </w:pPr>
    </w:p>
    <w:p w:rsidR="003C4884" w:rsidRPr="00084594" w:rsidRDefault="00F00B3E" w:rsidP="00C73640">
      <w:pPr>
        <w:pStyle w:val="H23G"/>
        <w:rPr>
          <w:sz w:val="24"/>
          <w:szCs w:val="24"/>
        </w:rPr>
      </w:pPr>
      <w:r>
        <w:tab/>
      </w:r>
      <w:r>
        <w:tab/>
      </w:r>
      <w:r w:rsidR="003C4884" w:rsidRPr="00084594">
        <w:rPr>
          <w:sz w:val="24"/>
          <w:szCs w:val="24"/>
        </w:rPr>
        <w:t>Annotations</w:t>
      </w:r>
    </w:p>
    <w:p w:rsidR="000F15C5" w:rsidRPr="00BD6768" w:rsidRDefault="003C4884" w:rsidP="00C73640">
      <w:pPr>
        <w:pStyle w:val="H23G"/>
      </w:pPr>
      <w:r w:rsidRPr="00BD6768">
        <w:tab/>
      </w:r>
      <w:r w:rsidR="000F15C5" w:rsidRPr="00BD6768">
        <w:t>1.</w:t>
      </w:r>
      <w:r w:rsidR="000F15C5" w:rsidRPr="00BD6768">
        <w:tab/>
        <w:t>Adoption of the agenda and organization of work</w:t>
      </w:r>
    </w:p>
    <w:p w:rsidR="000F15C5" w:rsidRPr="00BD6768" w:rsidRDefault="000F15C5" w:rsidP="00C73640">
      <w:pPr>
        <w:pStyle w:val="H4G"/>
      </w:pPr>
      <w:r w:rsidRPr="00BD6768">
        <w:tab/>
      </w:r>
      <w:r w:rsidRPr="00BD6768">
        <w:tab/>
      </w:r>
      <w:r w:rsidRPr="00BD6768">
        <w:rPr>
          <w:b/>
          <w:i w:val="0"/>
        </w:rPr>
        <w:t>Venue</w:t>
      </w:r>
    </w:p>
    <w:p w:rsidR="0056448D" w:rsidRPr="00BD6768" w:rsidRDefault="0056448D" w:rsidP="00084594">
      <w:pPr>
        <w:pStyle w:val="SingleTxtG"/>
        <w:tabs>
          <w:tab w:val="left" w:pos="1701"/>
        </w:tabs>
      </w:pPr>
      <w:r>
        <w:t xml:space="preserve">Pursuant to Human Rights Council resolution 28/14, the Forum on Human Rights, Democracy and the Rule of Law will </w:t>
      </w:r>
      <w:r w:rsidR="00B566C5">
        <w:t xml:space="preserve">hold its first session </w:t>
      </w:r>
      <w:r>
        <w:t>in Geneva in room XVII of the Palais des Nations</w:t>
      </w:r>
      <w:r w:rsidR="00B566C5">
        <w:t>,</w:t>
      </w:r>
      <w:r>
        <w:t xml:space="preserve"> on 21 and 22 November 2016.</w:t>
      </w:r>
    </w:p>
    <w:p w:rsidR="00694719" w:rsidRPr="00BD6768" w:rsidRDefault="00354AFC" w:rsidP="00084594">
      <w:pPr>
        <w:pStyle w:val="SingleTxtG"/>
        <w:tabs>
          <w:tab w:val="left" w:pos="1701"/>
        </w:tabs>
      </w:pPr>
      <w:r>
        <w:t>Participants in t</w:t>
      </w:r>
      <w:r w:rsidR="00694719" w:rsidRPr="00BD6768">
        <w:t xml:space="preserve">he Forum will have before </w:t>
      </w:r>
      <w:r>
        <w:t>them</w:t>
      </w:r>
      <w:r w:rsidRPr="00BD6768">
        <w:t xml:space="preserve"> </w:t>
      </w:r>
      <w:r w:rsidR="00694719" w:rsidRPr="00BD6768">
        <w:t xml:space="preserve">the provisional agenda contained in the present document to consider for adoption. A tentative schedule of work for the session is contained in </w:t>
      </w:r>
      <w:r>
        <w:t xml:space="preserve">the </w:t>
      </w:r>
      <w:r w:rsidR="00694719" w:rsidRPr="00BD6768">
        <w:t>annex.</w:t>
      </w:r>
    </w:p>
    <w:p w:rsidR="00694719" w:rsidRPr="00BD6768" w:rsidRDefault="00694719" w:rsidP="00A51484">
      <w:pPr>
        <w:pStyle w:val="H4G"/>
        <w:rPr>
          <w:b/>
          <w:i w:val="0"/>
        </w:rPr>
      </w:pPr>
      <w:r w:rsidRPr="00BD6768">
        <w:lastRenderedPageBreak/>
        <w:tab/>
      </w:r>
      <w:r w:rsidRPr="00BD6768">
        <w:tab/>
      </w:r>
      <w:r w:rsidRPr="00BD6768">
        <w:rPr>
          <w:b/>
          <w:i w:val="0"/>
        </w:rPr>
        <w:t>Opening meeting</w:t>
      </w:r>
    </w:p>
    <w:p w:rsidR="00694719" w:rsidRPr="00BD6768" w:rsidRDefault="00694719" w:rsidP="00084594">
      <w:pPr>
        <w:pStyle w:val="SingleTxtG"/>
        <w:tabs>
          <w:tab w:val="left" w:pos="1701"/>
        </w:tabs>
      </w:pPr>
      <w:r w:rsidRPr="00BD6768">
        <w:t>The President of the Human Rights Council wil</w:t>
      </w:r>
      <w:r w:rsidR="00F57883" w:rsidRPr="00BD6768">
        <w:t>l deliver an opening statement</w:t>
      </w:r>
      <w:r w:rsidR="00354AFC">
        <w:t>, to be</w:t>
      </w:r>
      <w:r w:rsidR="00F57883" w:rsidRPr="00BD6768">
        <w:t xml:space="preserve"> followed by s</w:t>
      </w:r>
      <w:r w:rsidRPr="00BD6768">
        <w:t xml:space="preserve">tatements </w:t>
      </w:r>
      <w:r w:rsidR="00354AFC">
        <w:t>by</w:t>
      </w:r>
      <w:r w:rsidR="00354AFC" w:rsidRPr="00BD6768">
        <w:t xml:space="preserve"> </w:t>
      </w:r>
      <w:r w:rsidR="0028397A">
        <w:t xml:space="preserve">the Deputy Secretary-General, </w:t>
      </w:r>
      <w:r w:rsidRPr="00BD6768">
        <w:t>the United Nations Hig</w:t>
      </w:r>
      <w:r w:rsidR="000521B7">
        <w:t>h Commissioner for Human Rights and</w:t>
      </w:r>
      <w:r w:rsidRPr="00BD6768">
        <w:t xml:space="preserve"> the </w:t>
      </w:r>
      <w:r w:rsidR="005F7F23">
        <w:t>co-</w:t>
      </w:r>
      <w:r w:rsidRPr="00BD6768">
        <w:t>Chair</w:t>
      </w:r>
      <w:r w:rsidR="00D61950">
        <w:t>s</w:t>
      </w:r>
      <w:r w:rsidRPr="00BD6768">
        <w:t xml:space="preserve"> of the Forum on </w:t>
      </w:r>
      <w:r w:rsidR="000521B7">
        <w:t>Human Rights, Democracy and the Rule of Law</w:t>
      </w:r>
      <w:r w:rsidRPr="00BD6768">
        <w:t xml:space="preserve">. </w:t>
      </w:r>
    </w:p>
    <w:p w:rsidR="00694719" w:rsidRPr="00BD6768" w:rsidRDefault="00694719" w:rsidP="00A51484">
      <w:pPr>
        <w:pStyle w:val="H4G"/>
        <w:rPr>
          <w:b/>
          <w:i w:val="0"/>
        </w:rPr>
      </w:pPr>
      <w:r w:rsidRPr="00BD6768">
        <w:rPr>
          <w:b/>
          <w:i w:val="0"/>
        </w:rPr>
        <w:tab/>
      </w:r>
      <w:r w:rsidRPr="00BD6768">
        <w:rPr>
          <w:b/>
          <w:i w:val="0"/>
        </w:rPr>
        <w:tab/>
        <w:t>Documentation</w:t>
      </w:r>
    </w:p>
    <w:p w:rsidR="00694719" w:rsidRPr="00BD6768" w:rsidRDefault="00B72E86" w:rsidP="00084594">
      <w:pPr>
        <w:pStyle w:val="SingleTxtG"/>
        <w:tabs>
          <w:tab w:val="left" w:pos="1701"/>
        </w:tabs>
      </w:pPr>
      <w:r>
        <w:t xml:space="preserve">All </w:t>
      </w:r>
      <w:r w:rsidR="000521B7">
        <w:t>document</w:t>
      </w:r>
      <w:r>
        <w:t>s</w:t>
      </w:r>
      <w:r w:rsidR="00694719" w:rsidRPr="00BD6768">
        <w:t xml:space="preserve"> for the session will be made available on the </w:t>
      </w:r>
      <w:r w:rsidR="00F3597D" w:rsidRPr="00BD6768">
        <w:t>web</w:t>
      </w:r>
      <w:r w:rsidR="00354AFC">
        <w:t>page of the Forum (</w:t>
      </w:r>
      <w:hyperlink r:id="rId9" w:history="1">
        <w:r w:rsidR="000B3016" w:rsidRPr="00FE56D6">
          <w:rPr>
            <w:rStyle w:val="Hyperlink"/>
          </w:rPr>
          <w:t>www.ohchr.org/democracyforum</w:t>
        </w:r>
      </w:hyperlink>
      <w:r w:rsidR="00354AFC">
        <w:rPr>
          <w:rStyle w:val="Hyperlink"/>
        </w:rPr>
        <w:t>)</w:t>
      </w:r>
      <w:r w:rsidR="00694719" w:rsidRPr="00BD6768">
        <w:t>.</w:t>
      </w:r>
      <w:r w:rsidR="000B3016">
        <w:t xml:space="preserve"> </w:t>
      </w:r>
    </w:p>
    <w:p w:rsidR="00694719" w:rsidRPr="00BD6768" w:rsidRDefault="00B72E86" w:rsidP="00B72E86">
      <w:pPr>
        <w:pStyle w:val="H4G"/>
        <w:ind w:firstLine="0"/>
        <w:rPr>
          <w:b/>
          <w:i w:val="0"/>
        </w:rPr>
      </w:pPr>
      <w:r>
        <w:rPr>
          <w:b/>
          <w:i w:val="0"/>
        </w:rPr>
        <w:t>Panel d</w:t>
      </w:r>
      <w:r w:rsidR="00694719" w:rsidRPr="00BD6768">
        <w:rPr>
          <w:b/>
          <w:i w:val="0"/>
        </w:rPr>
        <w:t>iscussions</w:t>
      </w:r>
    </w:p>
    <w:p w:rsidR="00694719" w:rsidRDefault="00694719" w:rsidP="00084594">
      <w:pPr>
        <w:pStyle w:val="SingleTxtG"/>
        <w:tabs>
          <w:tab w:val="left" w:pos="1701"/>
        </w:tabs>
      </w:pPr>
      <w:r w:rsidRPr="00BD6768">
        <w:t xml:space="preserve">After the presentations introducing the </w:t>
      </w:r>
      <w:r w:rsidR="00131209">
        <w:t xml:space="preserve">four </w:t>
      </w:r>
      <w:r w:rsidRPr="00BD6768">
        <w:t>topics</w:t>
      </w:r>
      <w:r w:rsidR="00131209">
        <w:t xml:space="preserve"> on the agenda</w:t>
      </w:r>
      <w:r w:rsidR="00982735">
        <w:t>,</w:t>
      </w:r>
      <w:r w:rsidRPr="00BD6768">
        <w:t xml:space="preserve"> an open discussion </w:t>
      </w:r>
      <w:r w:rsidR="00487A1F" w:rsidRPr="00BD6768">
        <w:t xml:space="preserve">will be </w:t>
      </w:r>
      <w:r w:rsidR="00487A1F">
        <w:t xml:space="preserve">held, </w:t>
      </w:r>
      <w:r w:rsidR="00982735">
        <w:t>to</w:t>
      </w:r>
      <w:r w:rsidR="00327A78">
        <w:t xml:space="preserve"> </w:t>
      </w:r>
      <w:r w:rsidRPr="00BD6768">
        <w:t xml:space="preserve">which all participants will be invited to contribute. </w:t>
      </w:r>
    </w:p>
    <w:p w:rsidR="000B3016" w:rsidRPr="00C41411" w:rsidRDefault="00487A1F" w:rsidP="00084594">
      <w:pPr>
        <w:pStyle w:val="SingleTxtG"/>
        <w:tabs>
          <w:tab w:val="left" w:pos="1701"/>
        </w:tabs>
      </w:pPr>
      <w:r>
        <w:t xml:space="preserve">During </w:t>
      </w:r>
      <w:r w:rsidR="00F1095F" w:rsidRPr="00C41411">
        <w:t>each panel</w:t>
      </w:r>
      <w:r>
        <w:t xml:space="preserve"> discussion</w:t>
      </w:r>
      <w:r w:rsidR="00F1095F" w:rsidRPr="00C41411">
        <w:t xml:space="preserve">, specific consideration will be given to </w:t>
      </w:r>
      <w:r w:rsidR="000B3016" w:rsidRPr="00C41411">
        <w:t xml:space="preserve">discrimination and </w:t>
      </w:r>
      <w:r>
        <w:t xml:space="preserve">the </w:t>
      </w:r>
      <w:r w:rsidR="000B3016" w:rsidRPr="00C41411">
        <w:t>inequalities impeding the meaningful and effective participation of young women and girls in public decision</w:t>
      </w:r>
      <w:r w:rsidR="00C246EC">
        <w:t>-</w:t>
      </w:r>
      <w:r w:rsidR="000B3016" w:rsidRPr="00C41411">
        <w:t xml:space="preserve">making, </w:t>
      </w:r>
      <w:r>
        <w:t xml:space="preserve">and </w:t>
      </w:r>
      <w:r w:rsidR="00982735">
        <w:t>of</w:t>
      </w:r>
      <w:r w:rsidR="00327A78">
        <w:t xml:space="preserve"> </w:t>
      </w:r>
      <w:r w:rsidR="000B3016" w:rsidRPr="00C41411">
        <w:t xml:space="preserve">youth belonging </w:t>
      </w:r>
      <w:r w:rsidR="00982735">
        <w:t xml:space="preserve">to </w:t>
      </w:r>
      <w:r w:rsidR="000B3016" w:rsidRPr="00C41411">
        <w:t xml:space="preserve">indigenous people and minorities, </w:t>
      </w:r>
      <w:r w:rsidR="00982735">
        <w:t xml:space="preserve">living </w:t>
      </w:r>
      <w:r w:rsidR="000B3016" w:rsidRPr="00C41411">
        <w:t xml:space="preserve">in rural areas </w:t>
      </w:r>
      <w:r w:rsidR="00982735">
        <w:t xml:space="preserve">or </w:t>
      </w:r>
      <w:r w:rsidR="000B3016" w:rsidRPr="00C41411">
        <w:t>with disabilities</w:t>
      </w:r>
      <w:r w:rsidR="00982735">
        <w:t>,</w:t>
      </w:r>
      <w:r w:rsidR="000B3016" w:rsidRPr="00C41411">
        <w:t xml:space="preserve"> </w:t>
      </w:r>
      <w:r w:rsidR="00982735">
        <w:t xml:space="preserve">or </w:t>
      </w:r>
      <w:r>
        <w:t xml:space="preserve">of </w:t>
      </w:r>
      <w:r w:rsidR="00982735">
        <w:t>youth who are</w:t>
      </w:r>
      <w:r w:rsidR="000B3016" w:rsidRPr="00C41411">
        <w:t xml:space="preserve"> migrant</w:t>
      </w:r>
      <w:r w:rsidR="004443A0">
        <w:t>s,</w:t>
      </w:r>
      <w:r w:rsidR="00327A78">
        <w:t xml:space="preserve"> </w:t>
      </w:r>
      <w:r w:rsidR="004443A0">
        <w:t>stateless, internally displaced, asylum</w:t>
      </w:r>
      <w:r>
        <w:t xml:space="preserve"> </w:t>
      </w:r>
      <w:r w:rsidR="004443A0">
        <w:t>seekers or refugees.</w:t>
      </w:r>
    </w:p>
    <w:p w:rsidR="00694719" w:rsidRDefault="00694719" w:rsidP="00D147A4">
      <w:pPr>
        <w:pStyle w:val="H23G"/>
      </w:pPr>
      <w:r w:rsidRPr="00BD6768">
        <w:tab/>
        <w:t>2.</w:t>
      </w:r>
      <w:r w:rsidRPr="00BD6768">
        <w:tab/>
      </w:r>
      <w:r w:rsidR="00020134">
        <w:t xml:space="preserve">Creating an enabling environment for </w:t>
      </w:r>
      <w:r w:rsidR="00264E29">
        <w:t xml:space="preserve">the </w:t>
      </w:r>
      <w:r w:rsidR="00020134">
        <w:t xml:space="preserve">effective participation </w:t>
      </w:r>
      <w:r w:rsidR="00487A1F">
        <w:t xml:space="preserve">of youth </w:t>
      </w:r>
      <w:r w:rsidR="00020134">
        <w:t xml:space="preserve">in public </w:t>
      </w:r>
      <w:r w:rsidR="008C6577">
        <w:t>decision-</w:t>
      </w:r>
      <w:r w:rsidR="00020134">
        <w:t>making</w:t>
      </w:r>
    </w:p>
    <w:p w:rsidR="00607A36" w:rsidRDefault="00B72E86" w:rsidP="00084594">
      <w:pPr>
        <w:pStyle w:val="SingleTxtG"/>
        <w:tabs>
          <w:tab w:val="left" w:pos="1134"/>
        </w:tabs>
      </w:pPr>
      <w:r>
        <w:t xml:space="preserve">The </w:t>
      </w:r>
      <w:r w:rsidR="00457155" w:rsidRPr="00336FE4">
        <w:t>effective participation of youth</w:t>
      </w:r>
      <w:r w:rsidR="00352CCE" w:rsidRPr="00336FE4">
        <w:t xml:space="preserve"> in public </w:t>
      </w:r>
      <w:r w:rsidR="008C6577" w:rsidRPr="00336FE4">
        <w:t>decision</w:t>
      </w:r>
      <w:r w:rsidR="008C6577">
        <w:t>-</w:t>
      </w:r>
      <w:r w:rsidR="00352CCE" w:rsidRPr="00336FE4">
        <w:t>making is</w:t>
      </w:r>
      <w:r w:rsidR="00457155" w:rsidRPr="00336FE4">
        <w:t xml:space="preserve"> an </w:t>
      </w:r>
      <w:r w:rsidR="00352CCE" w:rsidRPr="00336FE4">
        <w:t>essential element of representative</w:t>
      </w:r>
      <w:r w:rsidR="00A2248B">
        <w:t xml:space="preserve">, </w:t>
      </w:r>
      <w:r w:rsidR="00A2248B" w:rsidRPr="00E2378E">
        <w:t>accountable</w:t>
      </w:r>
      <w:r w:rsidR="00131209">
        <w:t xml:space="preserve"> and</w:t>
      </w:r>
      <w:r w:rsidR="00352CCE" w:rsidRPr="00336FE4">
        <w:t xml:space="preserve"> </w:t>
      </w:r>
      <w:r w:rsidR="00352CCE" w:rsidRPr="00A2248B">
        <w:t>tra</w:t>
      </w:r>
      <w:r w:rsidRPr="00A2248B">
        <w:t>nsparent</w:t>
      </w:r>
      <w:r>
        <w:t xml:space="preserve"> State</w:t>
      </w:r>
      <w:r w:rsidR="00352CCE" w:rsidRPr="00336FE4">
        <w:t xml:space="preserve"> </w:t>
      </w:r>
      <w:r w:rsidR="00E37310" w:rsidRPr="00336FE4">
        <w:t>institutions</w:t>
      </w:r>
      <w:r w:rsidR="00352CCE" w:rsidRPr="00336FE4">
        <w:t>.</w:t>
      </w:r>
      <w:r w:rsidR="00352CCE">
        <w:t xml:space="preserve"> </w:t>
      </w:r>
      <w:r>
        <w:t xml:space="preserve">Discussions </w:t>
      </w:r>
      <w:r w:rsidR="00942134" w:rsidRPr="00336FE4">
        <w:t xml:space="preserve">will </w:t>
      </w:r>
      <w:r>
        <w:t xml:space="preserve">focus on </w:t>
      </w:r>
      <w:r w:rsidR="00487A1F">
        <w:t xml:space="preserve">the </w:t>
      </w:r>
      <w:r w:rsidR="00537BE6">
        <w:t xml:space="preserve">legal and </w:t>
      </w:r>
      <w:r w:rsidR="00B07028">
        <w:t>institutional frameworks required to enable</w:t>
      </w:r>
      <w:r w:rsidR="00C8758C">
        <w:t xml:space="preserve"> youth </w:t>
      </w:r>
      <w:r w:rsidR="00607A36" w:rsidRPr="00336FE4">
        <w:t xml:space="preserve">to </w:t>
      </w:r>
      <w:r w:rsidR="00131209">
        <w:t xml:space="preserve">contribute to the </w:t>
      </w:r>
      <w:r w:rsidR="00607A36" w:rsidRPr="00336FE4">
        <w:t>formulat</w:t>
      </w:r>
      <w:r w:rsidR="00131209">
        <w:t xml:space="preserve">ion of or </w:t>
      </w:r>
      <w:r w:rsidR="00487A1F">
        <w:t xml:space="preserve">to </w:t>
      </w:r>
      <w:r w:rsidR="00131209">
        <w:t xml:space="preserve">influence </w:t>
      </w:r>
      <w:r w:rsidR="00607A36" w:rsidRPr="00336FE4">
        <w:t>public policies</w:t>
      </w:r>
      <w:r w:rsidR="00C246EC">
        <w:t>,</w:t>
      </w:r>
      <w:r w:rsidR="00607A36" w:rsidRPr="00336FE4">
        <w:t xml:space="preserve"> and to hold policymakers accountable.</w:t>
      </w:r>
    </w:p>
    <w:p w:rsidR="009729D0" w:rsidRPr="00336FE4" w:rsidRDefault="00131209" w:rsidP="00084594">
      <w:pPr>
        <w:pStyle w:val="SingleTxtG"/>
        <w:tabs>
          <w:tab w:val="left" w:pos="1134"/>
        </w:tabs>
      </w:pPr>
      <w:r>
        <w:t xml:space="preserve">Discussions will </w:t>
      </w:r>
      <w:r w:rsidR="00487A1F">
        <w:t xml:space="preserve">also </w:t>
      </w:r>
      <w:r>
        <w:t xml:space="preserve">focus on </w:t>
      </w:r>
      <w:r w:rsidR="009729D0" w:rsidRPr="00336FE4">
        <w:t xml:space="preserve">the realization of all human rights without discrimination as a prerequisite to an enabling environment for </w:t>
      </w:r>
      <w:r w:rsidR="00487A1F">
        <w:t xml:space="preserve">the </w:t>
      </w:r>
      <w:r w:rsidR="009729D0" w:rsidRPr="00336FE4">
        <w:t xml:space="preserve">participation </w:t>
      </w:r>
      <w:r w:rsidR="00487A1F">
        <w:t xml:space="preserve">of </w:t>
      </w:r>
      <w:r w:rsidR="00487A1F" w:rsidRPr="00336FE4">
        <w:t xml:space="preserve">youth </w:t>
      </w:r>
      <w:r w:rsidR="009729D0" w:rsidRPr="00336FE4">
        <w:t xml:space="preserve">in </w:t>
      </w:r>
      <w:r w:rsidR="008C6577" w:rsidRPr="00336FE4">
        <w:t>decision</w:t>
      </w:r>
      <w:r w:rsidR="008C6577">
        <w:t>-</w:t>
      </w:r>
      <w:r w:rsidR="009729D0" w:rsidRPr="00336FE4">
        <w:t>making</w:t>
      </w:r>
      <w:r w:rsidR="00487A1F">
        <w:t xml:space="preserve"> with regard to</w:t>
      </w:r>
      <w:r w:rsidR="009729D0" w:rsidRPr="00336FE4">
        <w:t xml:space="preserve">, </w:t>
      </w:r>
      <w:r>
        <w:t>inter alia,</w:t>
      </w:r>
      <w:r w:rsidR="009729D0" w:rsidRPr="00336FE4">
        <w:t xml:space="preserve"> economic, social and cultural rights and </w:t>
      </w:r>
      <w:r w:rsidR="00487A1F">
        <w:t xml:space="preserve">the </w:t>
      </w:r>
      <w:r w:rsidR="009729D0" w:rsidRPr="00336FE4">
        <w:t>rights to freedom of opinion and expression, association</w:t>
      </w:r>
      <w:r>
        <w:t>,</w:t>
      </w:r>
      <w:r w:rsidR="009729D0" w:rsidRPr="00336FE4">
        <w:t xml:space="preserve"> and peaceful assembly.</w:t>
      </w:r>
      <w:r w:rsidR="009729D0">
        <w:t xml:space="preserve"> The importance of creating a safe and conducive environment for </w:t>
      </w:r>
      <w:r w:rsidR="001C1A45" w:rsidRPr="001C1A45">
        <w:t xml:space="preserve">civil society organizations and human rights defenders engaged in </w:t>
      </w:r>
      <w:r w:rsidR="001C1A45">
        <w:t xml:space="preserve">the </w:t>
      </w:r>
      <w:r w:rsidR="001C1A45" w:rsidRPr="001C1A45">
        <w:t>promotion and protection of youth human rights</w:t>
      </w:r>
      <w:r w:rsidR="001C1A45" w:rsidDel="001C1A45">
        <w:t xml:space="preserve"> </w:t>
      </w:r>
      <w:r w:rsidR="009729D0">
        <w:t>will also be discussed.</w:t>
      </w:r>
      <w:r w:rsidR="002B4BF4">
        <w:t xml:space="preserve"> </w:t>
      </w:r>
    </w:p>
    <w:p w:rsidR="001F5DAE" w:rsidRPr="00336FE4" w:rsidRDefault="00487A1F" w:rsidP="00084594">
      <w:pPr>
        <w:pStyle w:val="SingleTxtG"/>
        <w:tabs>
          <w:tab w:val="left" w:pos="1134"/>
        </w:tabs>
      </w:pPr>
      <w:r>
        <w:t>The d</w:t>
      </w:r>
      <w:r w:rsidR="008A516E">
        <w:t>iscussions</w:t>
      </w:r>
      <w:r w:rsidR="008A516E" w:rsidRPr="00336FE4">
        <w:t xml:space="preserve"> </w:t>
      </w:r>
      <w:r w:rsidR="001F5DAE" w:rsidRPr="00336FE4">
        <w:t xml:space="preserve">will </w:t>
      </w:r>
      <w:r>
        <w:t xml:space="preserve">be aimed at helping participants to gain an insight into the </w:t>
      </w:r>
      <w:r w:rsidR="001F5DAE" w:rsidRPr="00336FE4">
        <w:t xml:space="preserve">challenges </w:t>
      </w:r>
      <w:r w:rsidR="00131209">
        <w:t xml:space="preserve">faced by </w:t>
      </w:r>
      <w:r w:rsidR="001F5DAE" w:rsidRPr="00336FE4">
        <w:t>youth in achieving meaningful participation in policymaking and</w:t>
      </w:r>
      <w:r w:rsidR="00327A78">
        <w:t xml:space="preserve"> </w:t>
      </w:r>
      <w:r w:rsidR="00131209">
        <w:t>political life</w:t>
      </w:r>
      <w:r w:rsidR="001F5DAE" w:rsidRPr="00336FE4">
        <w:t xml:space="preserve">, such as </w:t>
      </w:r>
      <w:r>
        <w:t xml:space="preserve">those posed by </w:t>
      </w:r>
      <w:r w:rsidR="001F5DAE" w:rsidRPr="00336FE4">
        <w:t xml:space="preserve">limited access to relevant information concerning matters </w:t>
      </w:r>
      <w:r w:rsidR="001F5DAE">
        <w:t xml:space="preserve">affecting them, </w:t>
      </w:r>
      <w:r w:rsidR="00EA705A">
        <w:t xml:space="preserve">limited funding, </w:t>
      </w:r>
      <w:r w:rsidR="001F5DAE" w:rsidRPr="00336FE4">
        <w:t xml:space="preserve">social attitudes and </w:t>
      </w:r>
      <w:r>
        <w:t>incorrect</w:t>
      </w:r>
      <w:r w:rsidR="001F5DAE" w:rsidRPr="00336FE4">
        <w:t xml:space="preserve"> perceptions o</w:t>
      </w:r>
      <w:r>
        <w:t>f</w:t>
      </w:r>
      <w:r w:rsidR="001F5DAE" w:rsidRPr="00336FE4">
        <w:t xml:space="preserve"> the role and capacities of young people to contribute to the public life of the State, </w:t>
      </w:r>
      <w:r>
        <w:t xml:space="preserve">and </w:t>
      </w:r>
      <w:r w:rsidR="001F5DAE" w:rsidRPr="00336FE4">
        <w:t>fear of reprisals.</w:t>
      </w:r>
    </w:p>
    <w:p w:rsidR="009A16BF" w:rsidRPr="00336FE4" w:rsidRDefault="0024666F" w:rsidP="00084594">
      <w:pPr>
        <w:pStyle w:val="SingleTxtG"/>
        <w:tabs>
          <w:tab w:val="left" w:pos="1134"/>
        </w:tabs>
      </w:pPr>
      <w:r w:rsidRPr="00336FE4">
        <w:t xml:space="preserve">A precondition for </w:t>
      </w:r>
      <w:r w:rsidR="00CE72AC">
        <w:t xml:space="preserve">the </w:t>
      </w:r>
      <w:r w:rsidRPr="00336FE4">
        <w:t xml:space="preserve">effective participation </w:t>
      </w:r>
      <w:r w:rsidR="009534E6">
        <w:t xml:space="preserve">of youth </w:t>
      </w:r>
      <w:r w:rsidRPr="00336FE4">
        <w:t>is the</w:t>
      </w:r>
      <w:r w:rsidR="009534E6">
        <w:t>ir</w:t>
      </w:r>
      <w:r w:rsidRPr="00336FE4">
        <w:t xml:space="preserve"> capacity and resources to exercise it. </w:t>
      </w:r>
      <w:r w:rsidR="00487A1F">
        <w:t>In the d</w:t>
      </w:r>
      <w:r w:rsidR="008A516E">
        <w:t>iscussions</w:t>
      </w:r>
      <w:r w:rsidR="00487A1F">
        <w:t>, participants</w:t>
      </w:r>
      <w:r w:rsidR="008A516E" w:rsidRPr="00336FE4">
        <w:t xml:space="preserve"> </w:t>
      </w:r>
      <w:r w:rsidR="009A16BF" w:rsidRPr="00336FE4">
        <w:t xml:space="preserve">will consider the importance of </w:t>
      </w:r>
      <w:r w:rsidRPr="00336FE4">
        <w:t>e</w:t>
      </w:r>
      <w:r w:rsidR="009A16BF" w:rsidRPr="00336FE4">
        <w:t>ducation, training, capacity</w:t>
      </w:r>
      <w:r w:rsidR="00487A1F">
        <w:t>-</w:t>
      </w:r>
      <w:r w:rsidR="009A16BF" w:rsidRPr="00336FE4">
        <w:t>building and empowerment programmes for youth on human rights, democratic principles and the rule of law as a precondition for the</w:t>
      </w:r>
      <w:r w:rsidR="009534E6">
        <w:t>ir</w:t>
      </w:r>
      <w:r w:rsidR="009A16BF" w:rsidRPr="00336FE4">
        <w:t xml:space="preserve"> effective engagement</w:t>
      </w:r>
      <w:r w:rsidR="005C5B26">
        <w:t>.</w:t>
      </w:r>
    </w:p>
    <w:p w:rsidR="001E7835" w:rsidRPr="001E7835" w:rsidRDefault="007C0FFE" w:rsidP="00F876D1">
      <w:pPr>
        <w:pStyle w:val="H23G"/>
        <w:tabs>
          <w:tab w:val="left" w:pos="1276"/>
        </w:tabs>
        <w:jc w:val="both"/>
      </w:pPr>
      <w:r>
        <w:tab/>
      </w:r>
      <w:r w:rsidR="00694719" w:rsidRPr="00BD6768">
        <w:t>3.</w:t>
      </w:r>
      <w:r w:rsidR="00694719" w:rsidRPr="00BD6768">
        <w:tab/>
      </w:r>
      <w:r w:rsidR="001E7835" w:rsidRPr="001E7835">
        <w:t>From formal to transformative participation</w:t>
      </w:r>
      <w:r w:rsidR="0028397A" w:rsidRPr="0028397A">
        <w:t xml:space="preserve"> </w:t>
      </w:r>
      <w:r w:rsidR="0028397A" w:rsidRPr="001E7835">
        <w:t>of youth</w:t>
      </w:r>
    </w:p>
    <w:p w:rsidR="00336FE4" w:rsidRDefault="008A5124" w:rsidP="00084594">
      <w:pPr>
        <w:pStyle w:val="ListParagraph"/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Participants </w:t>
      </w:r>
      <w:r w:rsidR="0029320C" w:rsidRPr="0029320C">
        <w:rPr>
          <w:rFonts w:ascii="Times New Roman" w:hAnsi="Times New Roman"/>
          <w:sz w:val="20"/>
          <w:szCs w:val="20"/>
        </w:rPr>
        <w:t xml:space="preserve">will review </w:t>
      </w:r>
      <w:r w:rsidR="005C5B26">
        <w:rPr>
          <w:rFonts w:ascii="Times New Roman" w:hAnsi="Times New Roman"/>
          <w:sz w:val="20"/>
          <w:szCs w:val="20"/>
        </w:rPr>
        <w:t>existing</w:t>
      </w:r>
      <w:r w:rsidR="0029320C" w:rsidRPr="0029320C">
        <w:rPr>
          <w:rFonts w:ascii="Times New Roman" w:hAnsi="Times New Roman"/>
          <w:sz w:val="20"/>
          <w:szCs w:val="20"/>
        </w:rPr>
        <w:t xml:space="preserve"> mechanisms</w:t>
      </w:r>
      <w:r>
        <w:rPr>
          <w:rFonts w:ascii="Times New Roman" w:hAnsi="Times New Roman"/>
          <w:sz w:val="20"/>
          <w:szCs w:val="20"/>
        </w:rPr>
        <w:t xml:space="preserve"> designed</w:t>
      </w:r>
      <w:r w:rsidR="0029320C" w:rsidRPr="0029320C">
        <w:rPr>
          <w:rFonts w:ascii="Times New Roman" w:hAnsi="Times New Roman"/>
          <w:sz w:val="20"/>
          <w:szCs w:val="20"/>
        </w:rPr>
        <w:t xml:space="preserve"> to increase </w:t>
      </w:r>
      <w:r>
        <w:rPr>
          <w:rFonts w:ascii="Times New Roman" w:hAnsi="Times New Roman"/>
          <w:sz w:val="20"/>
          <w:szCs w:val="20"/>
        </w:rPr>
        <w:t xml:space="preserve">the </w:t>
      </w:r>
      <w:r w:rsidR="0029320C" w:rsidRPr="0029320C">
        <w:rPr>
          <w:rFonts w:ascii="Times New Roman" w:hAnsi="Times New Roman"/>
          <w:sz w:val="20"/>
          <w:szCs w:val="20"/>
        </w:rPr>
        <w:t xml:space="preserve">political participation </w:t>
      </w:r>
      <w:r>
        <w:rPr>
          <w:rFonts w:ascii="Times New Roman" w:hAnsi="Times New Roman"/>
          <w:sz w:val="20"/>
          <w:szCs w:val="20"/>
        </w:rPr>
        <w:t xml:space="preserve">of </w:t>
      </w:r>
      <w:r w:rsidRPr="0029320C">
        <w:rPr>
          <w:rFonts w:ascii="Times New Roman" w:hAnsi="Times New Roman"/>
          <w:sz w:val="20"/>
          <w:szCs w:val="20"/>
        </w:rPr>
        <w:t xml:space="preserve">youth </w:t>
      </w:r>
      <w:r w:rsidR="0029320C" w:rsidRPr="0029320C">
        <w:rPr>
          <w:rFonts w:ascii="Times New Roman" w:hAnsi="Times New Roman"/>
          <w:sz w:val="20"/>
          <w:szCs w:val="20"/>
        </w:rPr>
        <w:t xml:space="preserve">in </w:t>
      </w:r>
      <w:r w:rsidR="008C6577">
        <w:rPr>
          <w:rFonts w:ascii="Times New Roman" w:hAnsi="Times New Roman"/>
          <w:sz w:val="20"/>
          <w:szCs w:val="20"/>
        </w:rPr>
        <w:t>public</w:t>
      </w:r>
      <w:r w:rsidR="008C6577" w:rsidRPr="0029320C">
        <w:rPr>
          <w:rFonts w:ascii="Times New Roman" w:hAnsi="Times New Roman"/>
          <w:sz w:val="20"/>
          <w:szCs w:val="20"/>
        </w:rPr>
        <w:t xml:space="preserve"> decision</w:t>
      </w:r>
      <w:r w:rsidR="008C6577">
        <w:rPr>
          <w:rFonts w:ascii="Times New Roman" w:hAnsi="Times New Roman"/>
          <w:sz w:val="20"/>
          <w:szCs w:val="20"/>
        </w:rPr>
        <w:t>-</w:t>
      </w:r>
      <w:r w:rsidR="0029320C" w:rsidRPr="0029320C">
        <w:rPr>
          <w:rFonts w:ascii="Times New Roman" w:hAnsi="Times New Roman"/>
          <w:sz w:val="20"/>
          <w:szCs w:val="20"/>
        </w:rPr>
        <w:t xml:space="preserve">making processes and institutions at </w:t>
      </w:r>
      <w:r w:rsidR="009534E6">
        <w:rPr>
          <w:rFonts w:ascii="Times New Roman" w:hAnsi="Times New Roman"/>
          <w:sz w:val="20"/>
          <w:szCs w:val="20"/>
        </w:rPr>
        <w:t xml:space="preserve">the </w:t>
      </w:r>
      <w:r w:rsidR="0029320C" w:rsidRPr="0029320C">
        <w:rPr>
          <w:rFonts w:ascii="Times New Roman" w:hAnsi="Times New Roman"/>
          <w:sz w:val="20"/>
          <w:szCs w:val="20"/>
        </w:rPr>
        <w:t xml:space="preserve">local level. </w:t>
      </w:r>
      <w:r>
        <w:rPr>
          <w:rFonts w:ascii="Times New Roman" w:hAnsi="Times New Roman"/>
          <w:sz w:val="20"/>
          <w:szCs w:val="20"/>
        </w:rPr>
        <w:t xml:space="preserve">Discussions </w:t>
      </w:r>
      <w:r w:rsidR="0029320C" w:rsidRPr="0029320C">
        <w:rPr>
          <w:rFonts w:ascii="Times New Roman" w:hAnsi="Times New Roman"/>
          <w:sz w:val="20"/>
          <w:szCs w:val="20"/>
        </w:rPr>
        <w:t xml:space="preserve">will include the identification of mechanisms to secure </w:t>
      </w:r>
      <w:r>
        <w:rPr>
          <w:rFonts w:ascii="Times New Roman" w:hAnsi="Times New Roman"/>
          <w:sz w:val="20"/>
          <w:szCs w:val="20"/>
        </w:rPr>
        <w:t xml:space="preserve">the </w:t>
      </w:r>
      <w:r w:rsidR="0029320C" w:rsidRPr="0029320C">
        <w:rPr>
          <w:rFonts w:ascii="Times New Roman" w:hAnsi="Times New Roman"/>
          <w:sz w:val="20"/>
          <w:szCs w:val="20"/>
        </w:rPr>
        <w:t xml:space="preserve">access </w:t>
      </w:r>
      <w:r>
        <w:rPr>
          <w:rFonts w:ascii="Times New Roman" w:hAnsi="Times New Roman"/>
          <w:sz w:val="20"/>
          <w:szCs w:val="20"/>
        </w:rPr>
        <w:t xml:space="preserve">of young people </w:t>
      </w:r>
      <w:r w:rsidR="0029320C" w:rsidRPr="0029320C">
        <w:rPr>
          <w:rFonts w:ascii="Times New Roman" w:hAnsi="Times New Roman"/>
          <w:sz w:val="20"/>
          <w:szCs w:val="20"/>
        </w:rPr>
        <w:t xml:space="preserve">to parliaments, </w:t>
      </w:r>
      <w:r>
        <w:rPr>
          <w:rFonts w:ascii="Times New Roman" w:hAnsi="Times New Roman"/>
          <w:sz w:val="20"/>
          <w:szCs w:val="20"/>
        </w:rPr>
        <w:t xml:space="preserve">and </w:t>
      </w:r>
      <w:r w:rsidR="0029320C" w:rsidRPr="0029320C">
        <w:rPr>
          <w:rFonts w:ascii="Times New Roman" w:hAnsi="Times New Roman"/>
          <w:sz w:val="20"/>
          <w:szCs w:val="20"/>
        </w:rPr>
        <w:t xml:space="preserve">regional and local assemblies, </w:t>
      </w:r>
      <w:r>
        <w:rPr>
          <w:rFonts w:ascii="Times New Roman" w:hAnsi="Times New Roman"/>
          <w:sz w:val="20"/>
          <w:szCs w:val="20"/>
        </w:rPr>
        <w:t xml:space="preserve">and their participation </w:t>
      </w:r>
      <w:r w:rsidR="0029320C" w:rsidRPr="0029320C">
        <w:rPr>
          <w:rFonts w:ascii="Times New Roman" w:hAnsi="Times New Roman"/>
          <w:sz w:val="20"/>
          <w:szCs w:val="20"/>
        </w:rPr>
        <w:t xml:space="preserve">in electoral system reforms, constitution-making processes and political parties. Strategies to engage youth throughout the electoral cycle and beyond will be assessed as </w:t>
      </w:r>
      <w:r w:rsidR="0029320C">
        <w:rPr>
          <w:rFonts w:ascii="Times New Roman" w:hAnsi="Times New Roman"/>
          <w:sz w:val="20"/>
          <w:szCs w:val="20"/>
        </w:rPr>
        <w:t xml:space="preserve">a </w:t>
      </w:r>
      <w:r w:rsidR="0029320C" w:rsidRPr="0029320C">
        <w:rPr>
          <w:rFonts w:ascii="Times New Roman" w:hAnsi="Times New Roman"/>
          <w:sz w:val="20"/>
          <w:szCs w:val="20"/>
        </w:rPr>
        <w:t xml:space="preserve">means to develop </w:t>
      </w:r>
      <w:r w:rsidR="0028397A">
        <w:rPr>
          <w:rFonts w:ascii="Times New Roman" w:hAnsi="Times New Roman"/>
          <w:sz w:val="20"/>
          <w:szCs w:val="20"/>
        </w:rPr>
        <w:t xml:space="preserve">their </w:t>
      </w:r>
      <w:r w:rsidR="0029320C" w:rsidRPr="0029320C">
        <w:rPr>
          <w:rFonts w:ascii="Times New Roman" w:hAnsi="Times New Roman"/>
          <w:sz w:val="20"/>
          <w:szCs w:val="20"/>
        </w:rPr>
        <w:t>long-lasting engagement as voters</w:t>
      </w:r>
      <w:r w:rsidR="00017FF4">
        <w:rPr>
          <w:rFonts w:ascii="Times New Roman" w:hAnsi="Times New Roman"/>
          <w:sz w:val="20"/>
          <w:szCs w:val="20"/>
        </w:rPr>
        <w:t xml:space="preserve"> and citizens</w:t>
      </w:r>
      <w:r w:rsidR="0029320C" w:rsidRPr="0029320C">
        <w:rPr>
          <w:rFonts w:ascii="Times New Roman" w:hAnsi="Times New Roman"/>
          <w:sz w:val="20"/>
          <w:szCs w:val="20"/>
        </w:rPr>
        <w:t>.</w:t>
      </w:r>
    </w:p>
    <w:p w:rsidR="00B54232" w:rsidRPr="00336FE4" w:rsidRDefault="008A5124" w:rsidP="00084594">
      <w:pPr>
        <w:pStyle w:val="SingleTxtG"/>
        <w:tabs>
          <w:tab w:val="left" w:pos="1134"/>
        </w:tabs>
        <w:spacing w:before="120"/>
      </w:pPr>
      <w:r>
        <w:lastRenderedPageBreak/>
        <w:t>In d</w:t>
      </w:r>
      <w:r w:rsidR="008A516E">
        <w:t>iscussions</w:t>
      </w:r>
      <w:r>
        <w:t>, participants</w:t>
      </w:r>
      <w:r w:rsidR="008A516E" w:rsidRPr="00336FE4">
        <w:t xml:space="preserve"> </w:t>
      </w:r>
      <w:r w:rsidR="00874147" w:rsidRPr="00336FE4">
        <w:t xml:space="preserve">will </w:t>
      </w:r>
      <w:r w:rsidR="008A516E">
        <w:t>review</w:t>
      </w:r>
      <w:r w:rsidR="008A516E" w:rsidRPr="00336FE4">
        <w:t xml:space="preserve"> </w:t>
      </w:r>
      <w:r w:rsidR="00874147" w:rsidRPr="00336FE4">
        <w:t xml:space="preserve">initiatives </w:t>
      </w:r>
      <w:r w:rsidR="009534E6">
        <w:t>to</w:t>
      </w:r>
      <w:r w:rsidR="00327A78">
        <w:t xml:space="preserve"> </w:t>
      </w:r>
      <w:r w:rsidR="00B54232" w:rsidRPr="00336FE4">
        <w:t>foster</w:t>
      </w:r>
      <w:r w:rsidR="00874147" w:rsidRPr="00336FE4">
        <w:t xml:space="preserve"> and support inter-generational dialogue</w:t>
      </w:r>
      <w:r w:rsidR="00327A78">
        <w:t xml:space="preserve"> </w:t>
      </w:r>
      <w:r w:rsidR="00874147" w:rsidRPr="00336FE4">
        <w:t xml:space="preserve">and collaboration between youth and </w:t>
      </w:r>
      <w:r w:rsidR="009534E6">
        <w:t>various stakeholders</w:t>
      </w:r>
      <w:r w:rsidR="006C7EBA" w:rsidRPr="00336FE4">
        <w:t xml:space="preserve">, including </w:t>
      </w:r>
      <w:r w:rsidR="007C0FFE">
        <w:t xml:space="preserve">political leaders, </w:t>
      </w:r>
      <w:r w:rsidR="00C228B6" w:rsidRPr="00336FE4">
        <w:t>national human rights institutions</w:t>
      </w:r>
      <w:r w:rsidR="00874147" w:rsidRPr="00336FE4">
        <w:t xml:space="preserve">, policymakers and </w:t>
      </w:r>
      <w:r w:rsidR="009534E6">
        <w:t xml:space="preserve">the </w:t>
      </w:r>
      <w:r w:rsidR="00874147" w:rsidRPr="00336FE4">
        <w:t>media.</w:t>
      </w:r>
      <w:r w:rsidR="00C228B6" w:rsidRPr="00336FE4">
        <w:t xml:space="preserve"> </w:t>
      </w:r>
    </w:p>
    <w:p w:rsidR="00BE02D0" w:rsidRPr="00336FE4" w:rsidRDefault="00F3026C" w:rsidP="00084594">
      <w:pPr>
        <w:pStyle w:val="SingleTxtG"/>
        <w:tabs>
          <w:tab w:val="left" w:pos="1134"/>
        </w:tabs>
      </w:pPr>
      <w:r w:rsidRPr="00336FE4">
        <w:t xml:space="preserve">The role of social media and </w:t>
      </w:r>
      <w:r w:rsidR="00B54232" w:rsidRPr="00336FE4">
        <w:t xml:space="preserve">the use of information and communications technology (ICT) </w:t>
      </w:r>
      <w:r w:rsidR="00D50310">
        <w:t>are</w:t>
      </w:r>
      <w:r w:rsidR="00D50310" w:rsidRPr="00336FE4">
        <w:t xml:space="preserve"> </w:t>
      </w:r>
      <w:r w:rsidR="00C8758C" w:rsidRPr="00336FE4">
        <w:t>widely recogni</w:t>
      </w:r>
      <w:r w:rsidR="008A5124">
        <w:t>z</w:t>
      </w:r>
      <w:r w:rsidR="00C8758C" w:rsidRPr="00336FE4">
        <w:t xml:space="preserve">ed </w:t>
      </w:r>
      <w:r w:rsidRPr="00336FE4">
        <w:t>as a means to widen the democratic space</w:t>
      </w:r>
      <w:r w:rsidR="0094763A">
        <w:t xml:space="preserve"> and </w:t>
      </w:r>
      <w:r w:rsidR="00C228B6" w:rsidRPr="00336FE4">
        <w:t xml:space="preserve">to </w:t>
      </w:r>
      <w:r w:rsidR="00D50310">
        <w:t xml:space="preserve">improve </w:t>
      </w:r>
      <w:r w:rsidRPr="00336FE4">
        <w:t xml:space="preserve">participation. </w:t>
      </w:r>
      <w:r w:rsidR="00D50310">
        <w:t>Participants</w:t>
      </w:r>
      <w:r w:rsidR="00D50310" w:rsidRPr="00336FE4">
        <w:t xml:space="preserve"> </w:t>
      </w:r>
      <w:r w:rsidR="00B54232" w:rsidRPr="00336FE4">
        <w:t>will identify w</w:t>
      </w:r>
      <w:r w:rsidRPr="00336FE4">
        <w:t xml:space="preserve">ays of translating online </w:t>
      </w:r>
      <w:r w:rsidR="00352CCE" w:rsidRPr="00336FE4">
        <w:t xml:space="preserve">activism into long-term, sustainable </w:t>
      </w:r>
      <w:r w:rsidRPr="00336FE4">
        <w:t xml:space="preserve">participation </w:t>
      </w:r>
      <w:r w:rsidR="00D50310">
        <w:t>of young people</w:t>
      </w:r>
      <w:r w:rsidR="00D50310" w:rsidRPr="00336FE4">
        <w:t xml:space="preserve"> </w:t>
      </w:r>
      <w:r w:rsidRPr="00336FE4">
        <w:t>in decision</w:t>
      </w:r>
      <w:r w:rsidR="00C246EC">
        <w:t>-</w:t>
      </w:r>
      <w:r w:rsidRPr="00336FE4">
        <w:t>making pr</w:t>
      </w:r>
      <w:r w:rsidR="0094763A">
        <w:t>ocesses.</w:t>
      </w:r>
      <w:r w:rsidR="009729D0">
        <w:t xml:space="preserve"> </w:t>
      </w:r>
      <w:r w:rsidR="00D50310">
        <w:t xml:space="preserve">Discussions </w:t>
      </w:r>
      <w:r w:rsidR="009534E6">
        <w:t xml:space="preserve">will </w:t>
      </w:r>
      <w:r w:rsidR="00D50310">
        <w:t xml:space="preserve">focus on the </w:t>
      </w:r>
      <w:r w:rsidR="009729D0">
        <w:t xml:space="preserve">current challenges </w:t>
      </w:r>
      <w:r w:rsidR="00D50310">
        <w:t xml:space="preserve">with </w:t>
      </w:r>
      <w:r w:rsidR="00017FF4">
        <w:t>regard</w:t>
      </w:r>
      <w:r w:rsidR="00327A78">
        <w:t xml:space="preserve"> </w:t>
      </w:r>
      <w:r w:rsidR="00D50310">
        <w:t xml:space="preserve">to </w:t>
      </w:r>
      <w:r w:rsidR="009729D0">
        <w:t xml:space="preserve">e-participation, such as </w:t>
      </w:r>
      <w:r w:rsidR="00017FF4">
        <w:t>issues relat</w:t>
      </w:r>
      <w:r w:rsidR="00D50310">
        <w:t>ing</w:t>
      </w:r>
      <w:r w:rsidR="00017FF4">
        <w:t xml:space="preserve"> to inclusivity</w:t>
      </w:r>
      <w:r w:rsidR="00327A78">
        <w:t xml:space="preserve"> </w:t>
      </w:r>
      <w:r w:rsidR="009729D0">
        <w:t xml:space="preserve">and </w:t>
      </w:r>
      <w:r w:rsidR="00D50310">
        <w:t xml:space="preserve">the </w:t>
      </w:r>
      <w:r w:rsidR="009729D0">
        <w:t xml:space="preserve">accessibility of ICT. </w:t>
      </w:r>
    </w:p>
    <w:p w:rsidR="00BE02D0" w:rsidRPr="00336FE4" w:rsidRDefault="00D50310" w:rsidP="00084594">
      <w:pPr>
        <w:pStyle w:val="SingleTxtG"/>
        <w:tabs>
          <w:tab w:val="left" w:pos="1134"/>
        </w:tabs>
      </w:pPr>
      <w:r>
        <w:t>Participants will attempt to identify i</w:t>
      </w:r>
      <w:r w:rsidR="00E37310" w:rsidRPr="00336FE4">
        <w:t>nnovative</w:t>
      </w:r>
      <w:r w:rsidR="00D62993" w:rsidRPr="00336FE4">
        <w:t xml:space="preserve"> </w:t>
      </w:r>
      <w:r w:rsidR="00E37310" w:rsidRPr="00336FE4">
        <w:t>examples</w:t>
      </w:r>
      <w:r w:rsidR="00D62993" w:rsidRPr="00336FE4">
        <w:t xml:space="preserve"> of </w:t>
      </w:r>
      <w:r w:rsidR="0028397A" w:rsidRPr="00336FE4">
        <w:t>knowledge</w:t>
      </w:r>
      <w:r w:rsidR="0028397A">
        <w:t>-</w:t>
      </w:r>
      <w:r w:rsidR="00D62993" w:rsidRPr="00336FE4">
        <w:t>sharing, information dissemination</w:t>
      </w:r>
      <w:r w:rsidR="00BE02D0" w:rsidRPr="00336FE4">
        <w:t xml:space="preserve"> and debate, including online, </w:t>
      </w:r>
      <w:r w:rsidR="00E37310" w:rsidRPr="00336FE4">
        <w:t xml:space="preserve">aimed at </w:t>
      </w:r>
      <w:r w:rsidR="00D62993" w:rsidRPr="00336FE4">
        <w:t>strengthen</w:t>
      </w:r>
      <w:r w:rsidR="00E37310" w:rsidRPr="00336FE4">
        <w:t>ing</w:t>
      </w:r>
      <w:r w:rsidR="00D62993" w:rsidRPr="00336FE4">
        <w:t xml:space="preserve"> </w:t>
      </w:r>
      <w:r w:rsidR="0094763A">
        <w:t xml:space="preserve">the capacity of </w:t>
      </w:r>
      <w:r w:rsidR="00D62993" w:rsidRPr="00336FE4">
        <w:t>youth organi</w:t>
      </w:r>
      <w:r>
        <w:t>z</w:t>
      </w:r>
      <w:r w:rsidR="00D62993" w:rsidRPr="00336FE4">
        <w:t>at</w:t>
      </w:r>
      <w:r w:rsidR="0094763A">
        <w:t>i</w:t>
      </w:r>
      <w:r w:rsidR="00866BF9">
        <w:t>ons to participate</w:t>
      </w:r>
      <w:r w:rsidR="0094763A">
        <w:t xml:space="preserve"> </w:t>
      </w:r>
      <w:r>
        <w:t xml:space="preserve">effectively </w:t>
      </w:r>
      <w:r w:rsidR="0094763A">
        <w:t xml:space="preserve">in </w:t>
      </w:r>
      <w:r w:rsidR="00BE02D0" w:rsidRPr="00336FE4">
        <w:t>public decision-making.</w:t>
      </w:r>
    </w:p>
    <w:p w:rsidR="00E15482" w:rsidRPr="00E15482" w:rsidRDefault="009C07D6" w:rsidP="00E15482">
      <w:pPr>
        <w:pStyle w:val="H23G"/>
        <w:tabs>
          <w:tab w:val="left" w:pos="1276"/>
        </w:tabs>
        <w:jc w:val="both"/>
      </w:pPr>
      <w:r>
        <w:tab/>
      </w:r>
      <w:r w:rsidR="00694719" w:rsidRPr="001E7835">
        <w:t>4.</w:t>
      </w:r>
      <w:r w:rsidR="00694719" w:rsidRPr="001E7835">
        <w:tab/>
      </w:r>
      <w:r w:rsidR="009E7869">
        <w:t>Participation</w:t>
      </w:r>
      <w:r w:rsidR="009E7869" w:rsidRPr="001E7835">
        <w:t xml:space="preserve"> </w:t>
      </w:r>
      <w:r w:rsidR="009E7869">
        <w:t>of y</w:t>
      </w:r>
      <w:r w:rsidR="001E7835">
        <w:t xml:space="preserve">outh </w:t>
      </w:r>
      <w:r w:rsidR="001E7835" w:rsidRPr="001E7835">
        <w:t xml:space="preserve">in </w:t>
      </w:r>
      <w:r w:rsidR="00A67E9D">
        <w:t xml:space="preserve">sustainable development and </w:t>
      </w:r>
      <w:r w:rsidR="004134C1">
        <w:t xml:space="preserve">human rights protection in specific contexts </w:t>
      </w:r>
    </w:p>
    <w:p w:rsidR="00F3026C" w:rsidRPr="00336FE4" w:rsidRDefault="008A516E" w:rsidP="00084594">
      <w:pPr>
        <w:pStyle w:val="SingleTxtG"/>
        <w:tabs>
          <w:tab w:val="left" w:pos="1134"/>
        </w:tabs>
      </w:pPr>
      <w:r>
        <w:t>Discussions</w:t>
      </w:r>
      <w:r w:rsidRPr="00336FE4">
        <w:t xml:space="preserve"> </w:t>
      </w:r>
      <w:r w:rsidR="00F0174B" w:rsidRPr="00336FE4">
        <w:t xml:space="preserve">will </w:t>
      </w:r>
      <w:r>
        <w:t>focus on</w:t>
      </w:r>
      <w:r w:rsidRPr="00336FE4">
        <w:t xml:space="preserve"> </w:t>
      </w:r>
      <w:r w:rsidR="00F0174B" w:rsidRPr="00336FE4">
        <w:t>the role o</w:t>
      </w:r>
      <w:r w:rsidR="00F3026C" w:rsidRPr="00336FE4">
        <w:t xml:space="preserve">f youth in the implementation of the </w:t>
      </w:r>
      <w:r w:rsidR="00FE22E9" w:rsidRPr="00336FE4">
        <w:t>Sustainable Development Goals</w:t>
      </w:r>
      <w:r w:rsidR="00D50310">
        <w:t xml:space="preserve">. Participants </w:t>
      </w:r>
      <w:r w:rsidR="00FE22E9" w:rsidRPr="00336FE4">
        <w:t>will identify</w:t>
      </w:r>
      <w:r w:rsidR="00F3026C" w:rsidRPr="00336FE4">
        <w:t xml:space="preserve"> </w:t>
      </w:r>
      <w:r w:rsidR="002210F9" w:rsidRPr="00336FE4">
        <w:t xml:space="preserve">effective </w:t>
      </w:r>
      <w:r w:rsidR="00FE22E9" w:rsidRPr="00336FE4">
        <w:t>measures</w:t>
      </w:r>
      <w:r w:rsidR="002210F9" w:rsidRPr="00336FE4">
        <w:t xml:space="preserve"> to create the space for youth to participate </w:t>
      </w:r>
      <w:r w:rsidR="00F3026C" w:rsidRPr="00336FE4">
        <w:t>in the translation of the global agenda into national</w:t>
      </w:r>
      <w:r w:rsidR="009534E6">
        <w:t>,</w:t>
      </w:r>
      <w:r w:rsidR="00F3026C" w:rsidRPr="00336FE4">
        <w:t xml:space="preserve"> </w:t>
      </w:r>
      <w:r w:rsidR="00FE22E9" w:rsidRPr="00336FE4">
        <w:t xml:space="preserve">regional </w:t>
      </w:r>
      <w:r w:rsidR="009534E6">
        <w:t xml:space="preserve">and local </w:t>
      </w:r>
      <w:r w:rsidR="00FE22E9" w:rsidRPr="00336FE4">
        <w:t>polic</w:t>
      </w:r>
      <w:r w:rsidR="007964A8">
        <w:t>ies</w:t>
      </w:r>
      <w:r w:rsidR="00FE22E9" w:rsidRPr="00336FE4">
        <w:t xml:space="preserve">, </w:t>
      </w:r>
      <w:r w:rsidR="007964A8">
        <w:t>and</w:t>
      </w:r>
      <w:r w:rsidR="00FE22E9" w:rsidRPr="00336FE4">
        <w:t xml:space="preserve"> to establish</w:t>
      </w:r>
      <w:r w:rsidR="00F0174B" w:rsidRPr="00336FE4">
        <w:t xml:space="preserve"> effective mechanisms to hold </w:t>
      </w:r>
      <w:r w:rsidR="007964A8">
        <w:t>G</w:t>
      </w:r>
      <w:r w:rsidR="00F3026C" w:rsidRPr="00336FE4">
        <w:t xml:space="preserve">overnments accountable. </w:t>
      </w:r>
    </w:p>
    <w:p w:rsidR="00F80288" w:rsidRDefault="009E7869" w:rsidP="00084594">
      <w:pPr>
        <w:pStyle w:val="SingleTxtG"/>
        <w:tabs>
          <w:tab w:val="left" w:pos="1134"/>
        </w:tabs>
      </w:pPr>
      <w:r>
        <w:t xml:space="preserve">Participants </w:t>
      </w:r>
      <w:r w:rsidR="0094763A">
        <w:t>will consider</w:t>
      </w:r>
      <w:r w:rsidR="005A20A0">
        <w:t xml:space="preserve"> </w:t>
      </w:r>
      <w:r w:rsidR="00E71B56">
        <w:t xml:space="preserve">how a </w:t>
      </w:r>
      <w:r w:rsidR="005A20A0">
        <w:t>human rights</w:t>
      </w:r>
      <w:r>
        <w:t>-</w:t>
      </w:r>
      <w:r w:rsidR="005A20A0">
        <w:t xml:space="preserve">based approach contributes </w:t>
      </w:r>
      <w:r w:rsidR="00C967C6">
        <w:t xml:space="preserve">to greater recognition </w:t>
      </w:r>
      <w:r w:rsidR="007964A8">
        <w:t xml:space="preserve">of </w:t>
      </w:r>
      <w:r w:rsidR="00C967C6">
        <w:t xml:space="preserve">and support </w:t>
      </w:r>
      <w:r w:rsidR="007964A8">
        <w:t>for</w:t>
      </w:r>
      <w:r w:rsidR="00C967C6">
        <w:t xml:space="preserve"> </w:t>
      </w:r>
      <w:r w:rsidR="00C246EC">
        <w:t xml:space="preserve">the role of </w:t>
      </w:r>
      <w:r w:rsidR="00C967C6" w:rsidRPr="00E2378E">
        <w:t>youth</w:t>
      </w:r>
      <w:r w:rsidR="00D30351" w:rsidRPr="00E2378E">
        <w:t xml:space="preserve"> in</w:t>
      </w:r>
      <w:r w:rsidR="00E71B56" w:rsidRPr="00336FE4">
        <w:t xml:space="preserve"> </w:t>
      </w:r>
      <w:r w:rsidR="00F3026C" w:rsidRPr="00336FE4">
        <w:t>the prevention and resolution of conflicts</w:t>
      </w:r>
      <w:r w:rsidR="005A20A0">
        <w:t>.</w:t>
      </w:r>
    </w:p>
    <w:p w:rsidR="002B4BF4" w:rsidRDefault="00723FA0" w:rsidP="00084594">
      <w:pPr>
        <w:pStyle w:val="SingleTxtG"/>
        <w:tabs>
          <w:tab w:val="left" w:pos="1134"/>
        </w:tabs>
      </w:pPr>
      <w:r>
        <w:t>S</w:t>
      </w:r>
      <w:r w:rsidR="00F80288" w:rsidRPr="00F80288">
        <w:t xml:space="preserve">trategies and policies that have had </w:t>
      </w:r>
      <w:r w:rsidR="007964A8">
        <w:t xml:space="preserve">a </w:t>
      </w:r>
      <w:r w:rsidR="00F80288" w:rsidRPr="00F80288">
        <w:t>positive</w:t>
      </w:r>
      <w:r w:rsidR="00EA7068">
        <w:t xml:space="preserve"> </w:t>
      </w:r>
      <w:r w:rsidR="00EA7068" w:rsidRPr="00A2248B">
        <w:t>impact in scaling up</w:t>
      </w:r>
      <w:r w:rsidR="00EA7068">
        <w:t xml:space="preserve"> the </w:t>
      </w:r>
      <w:r w:rsidR="00F80288" w:rsidRPr="00F80288">
        <w:t>participation of youth</w:t>
      </w:r>
      <w:r w:rsidR="00F80288" w:rsidRPr="00336FE4" w:rsidDel="00F80288">
        <w:t xml:space="preserve"> </w:t>
      </w:r>
      <w:r w:rsidR="00BA28FE" w:rsidRPr="00336FE4">
        <w:t>in</w:t>
      </w:r>
      <w:r w:rsidR="00F3026C" w:rsidRPr="00336FE4">
        <w:t xml:space="preserve"> post-confl</w:t>
      </w:r>
      <w:r w:rsidR="00A940D9" w:rsidRPr="00336FE4">
        <w:t xml:space="preserve">ict and </w:t>
      </w:r>
      <w:r w:rsidR="0028397A" w:rsidRPr="00336FE4">
        <w:t>peace</w:t>
      </w:r>
      <w:r w:rsidR="0028397A">
        <w:t>-</w:t>
      </w:r>
      <w:r w:rsidR="00A940D9" w:rsidRPr="00336FE4">
        <w:t>building efforts (</w:t>
      </w:r>
      <w:r w:rsidR="007964A8">
        <w:t>for example,</w:t>
      </w:r>
      <w:r w:rsidR="007964A8" w:rsidRPr="00336FE4" w:rsidDel="007964A8">
        <w:t xml:space="preserve"> </w:t>
      </w:r>
      <w:r w:rsidR="00BA28FE" w:rsidRPr="00336FE4">
        <w:t>in</w:t>
      </w:r>
      <w:r w:rsidR="00A940D9" w:rsidRPr="00336FE4">
        <w:t xml:space="preserve"> </w:t>
      </w:r>
      <w:r w:rsidR="00F3026C" w:rsidRPr="00336FE4">
        <w:t xml:space="preserve">mediation and </w:t>
      </w:r>
      <w:r w:rsidR="00FE22E9" w:rsidRPr="00336FE4">
        <w:t>negotiation</w:t>
      </w:r>
      <w:r w:rsidR="007964A8">
        <w:t>s</w:t>
      </w:r>
      <w:r w:rsidR="00F3026C" w:rsidRPr="00336FE4">
        <w:t>, rebuilding communities</w:t>
      </w:r>
      <w:r w:rsidR="00A940D9" w:rsidRPr="00336FE4">
        <w:t>,</w:t>
      </w:r>
      <w:r w:rsidR="00F3026C" w:rsidRPr="00336FE4">
        <w:t xml:space="preserve"> </w:t>
      </w:r>
      <w:r>
        <w:t xml:space="preserve">justice and </w:t>
      </w:r>
      <w:r w:rsidR="00F3026C" w:rsidRPr="00336FE4">
        <w:t>reconciliation processes</w:t>
      </w:r>
      <w:r w:rsidR="00BA28FE" w:rsidRPr="00336FE4">
        <w:t>,</w:t>
      </w:r>
      <w:r w:rsidR="00F3026C" w:rsidRPr="00336FE4">
        <w:t xml:space="preserve"> including transitional justice initiatives</w:t>
      </w:r>
      <w:r w:rsidR="00BA28FE" w:rsidRPr="00336FE4">
        <w:t>)</w:t>
      </w:r>
      <w:r>
        <w:t xml:space="preserve"> will be disc</w:t>
      </w:r>
      <w:r w:rsidRPr="00E15482">
        <w:t>u</w:t>
      </w:r>
      <w:r>
        <w:t>ssed</w:t>
      </w:r>
      <w:r w:rsidR="00F3026C" w:rsidRPr="00336FE4">
        <w:t>.</w:t>
      </w:r>
    </w:p>
    <w:p w:rsidR="001241F1" w:rsidRDefault="00BA28FE" w:rsidP="00084594">
      <w:pPr>
        <w:pStyle w:val="SingleTxtG"/>
        <w:tabs>
          <w:tab w:val="left" w:pos="1134"/>
        </w:tabs>
      </w:pPr>
      <w:r w:rsidRPr="00336FE4">
        <w:t xml:space="preserve">Participants will </w:t>
      </w:r>
      <w:r w:rsidR="00723FA0">
        <w:t xml:space="preserve">also </w:t>
      </w:r>
      <w:r w:rsidRPr="00336FE4">
        <w:t>identify concrete measures to ensure the pa</w:t>
      </w:r>
      <w:r w:rsidR="00F3026C" w:rsidRPr="00336FE4">
        <w:t xml:space="preserve">rticipation of youth in designing and implementing strategies for preventing violent extremism </w:t>
      </w:r>
      <w:r w:rsidR="00B226A0">
        <w:t xml:space="preserve">and </w:t>
      </w:r>
      <w:r w:rsidR="002F6D42">
        <w:t>promoting social inclusion.</w:t>
      </w:r>
    </w:p>
    <w:p w:rsidR="00922DE0" w:rsidRPr="00E15482" w:rsidRDefault="00E15482" w:rsidP="00E15482">
      <w:pPr>
        <w:pStyle w:val="H23G"/>
        <w:tabs>
          <w:tab w:val="left" w:pos="1276"/>
        </w:tabs>
        <w:jc w:val="both"/>
      </w:pPr>
      <w:r>
        <w:tab/>
      </w:r>
      <w:r w:rsidR="00694719" w:rsidRPr="001241F1">
        <w:t>5.</w:t>
      </w:r>
      <w:r>
        <w:tab/>
      </w:r>
      <w:r w:rsidR="001E7835" w:rsidRPr="001241F1">
        <w:t>Moving the global youth agenda</w:t>
      </w:r>
      <w:r w:rsidR="009E7869" w:rsidRPr="009E7869">
        <w:t xml:space="preserve"> </w:t>
      </w:r>
      <w:r w:rsidR="009E7869" w:rsidRPr="001241F1">
        <w:t>forward</w:t>
      </w:r>
      <w:r w:rsidR="001E7835" w:rsidRPr="001241F1">
        <w:t xml:space="preserve">: the role of </w:t>
      </w:r>
      <w:r w:rsidR="001C1A45" w:rsidRPr="001241F1">
        <w:t xml:space="preserve">youth in shaping the </w:t>
      </w:r>
      <w:r w:rsidR="00BF7550">
        <w:t xml:space="preserve">agenda of the </w:t>
      </w:r>
      <w:r w:rsidR="001C1A45" w:rsidRPr="001241F1">
        <w:t>U</w:t>
      </w:r>
      <w:r w:rsidR="009E7869">
        <w:t xml:space="preserve">nited </w:t>
      </w:r>
      <w:r w:rsidR="001C1A45" w:rsidRPr="001241F1">
        <w:t>N</w:t>
      </w:r>
      <w:r w:rsidR="009E7869">
        <w:t>ations</w:t>
      </w:r>
      <w:r w:rsidR="001C1A45" w:rsidRPr="001241F1">
        <w:t xml:space="preserve"> and regional organi</w:t>
      </w:r>
      <w:r w:rsidR="009E7869">
        <w:t>z</w:t>
      </w:r>
      <w:r w:rsidR="001C1A45" w:rsidRPr="001241F1">
        <w:t>ations</w:t>
      </w:r>
      <w:r w:rsidR="001C1A45" w:rsidRPr="001241F1">
        <w:tab/>
      </w:r>
      <w:r w:rsidR="001C1A45" w:rsidRPr="001241F1">
        <w:tab/>
      </w:r>
    </w:p>
    <w:p w:rsidR="002B4BF4" w:rsidRPr="00922DE0" w:rsidRDefault="008A516E" w:rsidP="00922DE0">
      <w:pPr>
        <w:pStyle w:val="SingleTxtG"/>
        <w:tabs>
          <w:tab w:val="left" w:pos="1134"/>
        </w:tabs>
      </w:pPr>
      <w:r w:rsidRPr="001C1A45">
        <w:t xml:space="preserve">Discussions </w:t>
      </w:r>
      <w:r w:rsidR="00336FE4" w:rsidRPr="001C1A45">
        <w:t xml:space="preserve">will </w:t>
      </w:r>
      <w:r w:rsidR="00723FA0">
        <w:t xml:space="preserve">focus on </w:t>
      </w:r>
      <w:r w:rsidR="00F3026C" w:rsidRPr="001C1A45">
        <w:t>mechanisms and ini</w:t>
      </w:r>
      <w:r w:rsidR="001C1A45" w:rsidRPr="001C1A45">
        <w:t xml:space="preserve">tiatives at </w:t>
      </w:r>
      <w:r w:rsidR="00723FA0">
        <w:t xml:space="preserve">the </w:t>
      </w:r>
      <w:r w:rsidR="001C1A45" w:rsidRPr="001C1A45">
        <w:t xml:space="preserve">international </w:t>
      </w:r>
      <w:r w:rsidR="003027C8">
        <w:t xml:space="preserve">and regional </w:t>
      </w:r>
      <w:r w:rsidR="001C1A45" w:rsidRPr="001C1A45">
        <w:t>level</w:t>
      </w:r>
      <w:r w:rsidR="007964A8">
        <w:t>s that</w:t>
      </w:r>
      <w:r w:rsidR="001C1A45">
        <w:t xml:space="preserve"> </w:t>
      </w:r>
      <w:r w:rsidR="00F3026C" w:rsidRPr="001C1A45">
        <w:t>contribute to moving the global youth human rights agenda forward</w:t>
      </w:r>
      <w:r w:rsidR="00723FA0">
        <w:t xml:space="preserve">. </w:t>
      </w:r>
    </w:p>
    <w:p w:rsidR="000521B7" w:rsidRPr="000521B7" w:rsidRDefault="007964A8" w:rsidP="002B4BF4">
      <w:pPr>
        <w:pStyle w:val="SingleTxtG"/>
        <w:tabs>
          <w:tab w:val="left" w:pos="1134"/>
        </w:tabs>
      </w:pPr>
      <w:r>
        <w:t>Participants</w:t>
      </w:r>
      <w:r w:rsidR="008A516E" w:rsidRPr="00DD6334">
        <w:t xml:space="preserve"> </w:t>
      </w:r>
      <w:r w:rsidR="00336FE4" w:rsidRPr="00DD6334">
        <w:t xml:space="preserve">will consider measures to ensure </w:t>
      </w:r>
      <w:r>
        <w:t xml:space="preserve">the </w:t>
      </w:r>
      <w:r w:rsidR="00F3026C" w:rsidRPr="00DD6334">
        <w:t xml:space="preserve">participation </w:t>
      </w:r>
      <w:r>
        <w:t xml:space="preserve">of young people </w:t>
      </w:r>
      <w:r w:rsidR="00F3026C" w:rsidRPr="00DD6334">
        <w:t xml:space="preserve">in the work of </w:t>
      </w:r>
      <w:r>
        <w:t>the United Nations</w:t>
      </w:r>
      <w:r w:rsidR="00F3026C" w:rsidRPr="00DD6334">
        <w:t xml:space="preserve"> </w:t>
      </w:r>
      <w:r>
        <w:t xml:space="preserve">and </w:t>
      </w:r>
      <w:r w:rsidR="003027C8">
        <w:t xml:space="preserve">regional </w:t>
      </w:r>
      <w:r w:rsidR="00F3026C" w:rsidRPr="00DD6334">
        <w:t>human rights mechanisms</w:t>
      </w:r>
      <w:r w:rsidR="009F1CDD">
        <w:t>, including</w:t>
      </w:r>
      <w:r w:rsidR="00F3026C" w:rsidRPr="00DD6334">
        <w:t xml:space="preserve"> possible avenues to </w:t>
      </w:r>
      <w:r w:rsidR="00723FA0">
        <w:t>ensure</w:t>
      </w:r>
      <w:r w:rsidR="009F1CDD">
        <w:t xml:space="preserve"> that</w:t>
      </w:r>
      <w:r w:rsidR="00723FA0">
        <w:t xml:space="preserve"> </w:t>
      </w:r>
      <w:r w:rsidR="009F1CDD">
        <w:t>they</w:t>
      </w:r>
      <w:r w:rsidR="00F3026C" w:rsidRPr="00DD6334">
        <w:t xml:space="preserve"> </w:t>
      </w:r>
      <w:r w:rsidR="009F1CDD">
        <w:t xml:space="preserve">are able to </w:t>
      </w:r>
      <w:r w:rsidR="00F3026C" w:rsidRPr="00DD6334">
        <w:t xml:space="preserve">bring allegations of </w:t>
      </w:r>
      <w:r w:rsidR="003027C8">
        <w:t xml:space="preserve">human rights </w:t>
      </w:r>
      <w:r w:rsidR="00F3026C" w:rsidRPr="00DD6334">
        <w:t xml:space="preserve">violations before </w:t>
      </w:r>
      <w:r w:rsidR="003027C8">
        <w:t>relevant</w:t>
      </w:r>
      <w:r w:rsidR="00F3026C" w:rsidRPr="00DD6334">
        <w:t xml:space="preserve"> mechanisms</w:t>
      </w:r>
      <w:r w:rsidR="009F1CDD">
        <w:t>,</w:t>
      </w:r>
      <w:r w:rsidR="001241F1">
        <w:t xml:space="preserve"> </w:t>
      </w:r>
      <w:r w:rsidR="003027C8">
        <w:t xml:space="preserve">and ways to ensure that </w:t>
      </w:r>
      <w:r w:rsidR="002E3FF4">
        <w:t xml:space="preserve">issues relevant to youth </w:t>
      </w:r>
      <w:r w:rsidR="003027C8">
        <w:t xml:space="preserve">are considered by the </w:t>
      </w:r>
      <w:r w:rsidR="009F1CDD">
        <w:t xml:space="preserve">said </w:t>
      </w:r>
      <w:r w:rsidR="003027C8">
        <w:t>mechanisms.</w:t>
      </w:r>
    </w:p>
    <w:p w:rsidR="00694719" w:rsidRDefault="00E15482" w:rsidP="00E15482">
      <w:pPr>
        <w:pStyle w:val="H23G"/>
        <w:tabs>
          <w:tab w:val="left" w:pos="1276"/>
        </w:tabs>
        <w:jc w:val="both"/>
      </w:pPr>
      <w:r>
        <w:tab/>
      </w:r>
      <w:r w:rsidR="00694719" w:rsidRPr="00BD6768">
        <w:t>6.</w:t>
      </w:r>
      <w:r w:rsidR="00694719" w:rsidRPr="00BD6768">
        <w:tab/>
        <w:t>Concluding remarks</w:t>
      </w:r>
      <w:r w:rsidR="00BF421E">
        <w:t xml:space="preserve"> </w:t>
      </w:r>
    </w:p>
    <w:p w:rsidR="00BF421E" w:rsidRPr="00BD6768" w:rsidRDefault="00BF421E" w:rsidP="00E15482">
      <w:pPr>
        <w:pStyle w:val="SingleTxtG"/>
        <w:tabs>
          <w:tab w:val="left" w:pos="1134"/>
          <w:tab w:val="left" w:pos="1276"/>
        </w:tabs>
      </w:pPr>
      <w:r w:rsidRPr="00DD6334">
        <w:t xml:space="preserve">The </w:t>
      </w:r>
      <w:r w:rsidR="004443A0">
        <w:t>co-</w:t>
      </w:r>
      <w:r w:rsidRPr="00DD6334">
        <w:t>Chair</w:t>
      </w:r>
      <w:r w:rsidR="00507504">
        <w:t>s</w:t>
      </w:r>
      <w:r w:rsidRPr="00DD6334">
        <w:t xml:space="preserve"> of the Forum will </w:t>
      </w:r>
      <w:r w:rsidR="000A12D9">
        <w:t xml:space="preserve">present </w:t>
      </w:r>
      <w:r w:rsidRPr="00DD6334">
        <w:t>concluding remarks</w:t>
      </w:r>
      <w:r w:rsidR="001241F1">
        <w:t xml:space="preserve"> and recommendations for follow-up. </w:t>
      </w:r>
    </w:p>
    <w:p w:rsidR="00E56AC8" w:rsidRPr="00C07D53" w:rsidRDefault="00E56AC8" w:rsidP="009C07D6">
      <w:pPr>
        <w:pStyle w:val="HChG"/>
        <w:tabs>
          <w:tab w:val="left" w:pos="1134"/>
          <w:tab w:val="left" w:pos="1276"/>
        </w:tabs>
        <w:ind w:left="1276" w:firstLine="0"/>
        <w:rPr>
          <w:lang w:val="en-GB"/>
        </w:rPr>
      </w:pPr>
      <w:r w:rsidRPr="00C07D53">
        <w:rPr>
          <w:sz w:val="24"/>
          <w:szCs w:val="24"/>
          <w:u w:val="single"/>
          <w:lang w:val="en-GB"/>
        </w:rPr>
        <w:br w:type="page"/>
      </w:r>
    </w:p>
    <w:p w:rsidR="00E56AC8" w:rsidRPr="00C07D53" w:rsidRDefault="00E56AC8" w:rsidP="00E56AC8">
      <w:pPr>
        <w:pStyle w:val="HChG"/>
        <w:rPr>
          <w:lang w:val="en-GB"/>
        </w:rPr>
      </w:pPr>
      <w:r w:rsidRPr="00C07D53">
        <w:rPr>
          <w:lang w:val="en-GB"/>
        </w:rPr>
        <w:t>Annex</w:t>
      </w:r>
    </w:p>
    <w:p w:rsidR="00E56AC8" w:rsidRPr="00C07D53" w:rsidRDefault="00E56AC8" w:rsidP="00E56AC8">
      <w:pPr>
        <w:pStyle w:val="HChG"/>
        <w:rPr>
          <w:lang w:val="en-GB"/>
        </w:rPr>
      </w:pPr>
      <w:r w:rsidRPr="00C07D53">
        <w:rPr>
          <w:lang w:val="en-GB"/>
        </w:rPr>
        <w:tab/>
      </w:r>
      <w:r w:rsidRPr="00C07D53">
        <w:rPr>
          <w:lang w:val="en-GB"/>
        </w:rPr>
        <w:tab/>
        <w:t>Schedule of work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3392"/>
      </w:tblGrid>
      <w:tr w:rsidR="00E56AC8" w:rsidRPr="00BD6768" w:rsidTr="002E3FF4">
        <w:trPr>
          <w:trHeight w:val="363"/>
        </w:trPr>
        <w:tc>
          <w:tcPr>
            <w:tcW w:w="7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56AC8" w:rsidRPr="003A57E7" w:rsidRDefault="00545148" w:rsidP="00E56AC8">
            <w:pPr>
              <w:spacing w:before="80" w:after="80" w:line="200" w:lineRule="exact"/>
              <w:ind w:right="113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Monday, 21 November 2016</w:t>
            </w:r>
          </w:p>
        </w:tc>
      </w:tr>
      <w:tr w:rsidR="00E56AC8" w:rsidRPr="00BD6768" w:rsidTr="002E3FF4">
        <w:trPr>
          <w:trHeight w:val="363"/>
        </w:trPr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56AC8" w:rsidRPr="00BD6768" w:rsidRDefault="00E56AC8">
            <w:pPr>
              <w:spacing w:before="80" w:after="80" w:line="200" w:lineRule="exact"/>
              <w:ind w:right="113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BD6768">
              <w:rPr>
                <w:rFonts w:ascii="Times New Roman" w:hAnsi="Times New Roman"/>
                <w:bCs/>
                <w:i/>
                <w:sz w:val="16"/>
                <w:szCs w:val="16"/>
              </w:rPr>
              <w:t>10 a.m. – 1 p.m.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56AC8" w:rsidRPr="00BD6768" w:rsidRDefault="00E56AC8" w:rsidP="003A57E7">
            <w:pPr>
              <w:spacing w:before="80" w:after="80" w:line="200" w:lineRule="exact"/>
              <w:ind w:right="113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BD6768">
              <w:rPr>
                <w:rFonts w:ascii="Times New Roman" w:hAnsi="Times New Roman"/>
                <w:bCs/>
                <w:i/>
                <w:sz w:val="16"/>
                <w:szCs w:val="16"/>
              </w:rPr>
              <w:t>3– 6 p.m.</w:t>
            </w:r>
          </w:p>
        </w:tc>
      </w:tr>
      <w:tr w:rsidR="00E56AC8" w:rsidRPr="002E3FF4" w:rsidTr="002E3FF4">
        <w:trPr>
          <w:trHeight w:val="4149"/>
        </w:trPr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E56AC8" w:rsidRPr="002E3FF4" w:rsidRDefault="00E56AC8">
            <w:pPr>
              <w:spacing w:before="40" w:after="120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E3FF4">
              <w:rPr>
                <w:rFonts w:ascii="Times New Roman" w:hAnsi="Times New Roman"/>
                <w:b/>
                <w:sz w:val="20"/>
                <w:szCs w:val="20"/>
              </w:rPr>
              <w:t xml:space="preserve">Opening of the Forum on </w:t>
            </w:r>
            <w:r w:rsidR="007A17FC">
              <w:rPr>
                <w:rFonts w:ascii="Times New Roman" w:hAnsi="Times New Roman"/>
                <w:b/>
                <w:sz w:val="20"/>
                <w:szCs w:val="20"/>
              </w:rPr>
              <w:t>Human Rights, Democracy and the Rule of Law</w:t>
            </w:r>
          </w:p>
          <w:p w:rsidR="00E56AC8" w:rsidRPr="00BD6768" w:rsidRDefault="00E56AC8" w:rsidP="00E56AC8">
            <w:pPr>
              <w:numPr>
                <w:ilvl w:val="0"/>
                <w:numId w:val="8"/>
              </w:numPr>
              <w:tabs>
                <w:tab w:val="clear" w:pos="170"/>
                <w:tab w:val="num" w:pos="284"/>
              </w:tabs>
              <w:suppressAutoHyphens/>
              <w:spacing w:before="40" w:after="120" w:line="240" w:lineRule="atLeast"/>
              <w:ind w:left="284" w:right="113" w:hanging="284"/>
              <w:rPr>
                <w:rFonts w:ascii="Times New Roman" w:hAnsi="Times New Roman"/>
                <w:sz w:val="20"/>
                <w:szCs w:val="20"/>
              </w:rPr>
            </w:pPr>
            <w:r w:rsidRPr="00BD6768">
              <w:rPr>
                <w:rFonts w:ascii="Times New Roman" w:hAnsi="Times New Roman"/>
                <w:sz w:val="20"/>
                <w:szCs w:val="20"/>
              </w:rPr>
              <w:t>Welcome and opening remarks by the President of the Human Rights Council</w:t>
            </w:r>
          </w:p>
          <w:p w:rsidR="0028397A" w:rsidRDefault="0028397A" w:rsidP="00E56AC8">
            <w:pPr>
              <w:numPr>
                <w:ilvl w:val="0"/>
                <w:numId w:val="8"/>
              </w:numPr>
              <w:tabs>
                <w:tab w:val="clear" w:pos="170"/>
                <w:tab w:val="num" w:pos="284"/>
              </w:tabs>
              <w:suppressAutoHyphens/>
              <w:spacing w:before="40" w:after="120" w:line="240" w:lineRule="atLeast"/>
              <w:ind w:left="284" w:right="113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Message by the Deputy Secretary-General</w:t>
            </w:r>
          </w:p>
          <w:p w:rsidR="00E56AC8" w:rsidRPr="00BD6768" w:rsidRDefault="00E56AC8" w:rsidP="00E56AC8">
            <w:pPr>
              <w:numPr>
                <w:ilvl w:val="0"/>
                <w:numId w:val="8"/>
              </w:numPr>
              <w:tabs>
                <w:tab w:val="clear" w:pos="170"/>
                <w:tab w:val="num" w:pos="284"/>
              </w:tabs>
              <w:suppressAutoHyphens/>
              <w:spacing w:before="40" w:after="120" w:line="240" w:lineRule="atLeast"/>
              <w:ind w:left="284" w:right="113" w:hanging="284"/>
              <w:rPr>
                <w:rFonts w:ascii="Times New Roman" w:hAnsi="Times New Roman"/>
                <w:sz w:val="20"/>
                <w:szCs w:val="20"/>
              </w:rPr>
            </w:pPr>
            <w:r w:rsidRPr="00BD6768">
              <w:rPr>
                <w:rFonts w:ascii="Times New Roman" w:hAnsi="Times New Roman"/>
                <w:sz w:val="20"/>
                <w:szCs w:val="20"/>
              </w:rPr>
              <w:t>Remarks by the United Nations High Commissioner for Human Rights</w:t>
            </w:r>
          </w:p>
          <w:p w:rsidR="002E3FF4" w:rsidRDefault="00E56AC8" w:rsidP="002E3FF4">
            <w:pPr>
              <w:numPr>
                <w:ilvl w:val="0"/>
                <w:numId w:val="8"/>
              </w:numPr>
              <w:tabs>
                <w:tab w:val="clear" w:pos="170"/>
                <w:tab w:val="num" w:pos="284"/>
              </w:tabs>
              <w:suppressAutoHyphens/>
              <w:spacing w:before="40" w:after="120" w:line="240" w:lineRule="atLeast"/>
              <w:ind w:left="284" w:right="113" w:hanging="284"/>
              <w:rPr>
                <w:rFonts w:ascii="Times New Roman" w:hAnsi="Times New Roman"/>
                <w:sz w:val="20"/>
                <w:szCs w:val="20"/>
              </w:rPr>
            </w:pPr>
            <w:r w:rsidRPr="00BD6768">
              <w:rPr>
                <w:rFonts w:ascii="Times New Roman" w:hAnsi="Times New Roman"/>
                <w:sz w:val="20"/>
                <w:szCs w:val="20"/>
              </w:rPr>
              <w:t xml:space="preserve">Remarks by the </w:t>
            </w:r>
            <w:r w:rsidR="001241F1">
              <w:rPr>
                <w:rFonts w:ascii="Times New Roman" w:hAnsi="Times New Roman"/>
                <w:sz w:val="20"/>
                <w:szCs w:val="20"/>
              </w:rPr>
              <w:t>co-</w:t>
            </w:r>
            <w:r w:rsidRPr="00BD6768">
              <w:rPr>
                <w:rFonts w:ascii="Times New Roman" w:hAnsi="Times New Roman"/>
                <w:sz w:val="20"/>
                <w:szCs w:val="20"/>
              </w:rPr>
              <w:t>Chair</w:t>
            </w:r>
            <w:r w:rsidR="00D61950">
              <w:rPr>
                <w:rFonts w:ascii="Times New Roman" w:hAnsi="Times New Roman"/>
                <w:sz w:val="20"/>
                <w:szCs w:val="20"/>
              </w:rPr>
              <w:t>s</w:t>
            </w:r>
            <w:r w:rsidRPr="00BD6768">
              <w:rPr>
                <w:rFonts w:ascii="Times New Roman" w:hAnsi="Times New Roman"/>
                <w:sz w:val="20"/>
                <w:szCs w:val="20"/>
              </w:rPr>
              <w:t xml:space="preserve"> of the Forum on </w:t>
            </w:r>
            <w:r w:rsidR="000B3016">
              <w:rPr>
                <w:rFonts w:ascii="Times New Roman" w:hAnsi="Times New Roman"/>
                <w:sz w:val="20"/>
                <w:szCs w:val="20"/>
              </w:rPr>
              <w:t>Human Rights</w:t>
            </w:r>
            <w:r w:rsidR="008B61D7">
              <w:rPr>
                <w:rFonts w:ascii="Times New Roman" w:hAnsi="Times New Roman"/>
                <w:sz w:val="20"/>
                <w:szCs w:val="20"/>
              </w:rPr>
              <w:t>,</w:t>
            </w:r>
            <w:r w:rsidR="000B3016">
              <w:rPr>
                <w:rFonts w:ascii="Times New Roman" w:hAnsi="Times New Roman"/>
                <w:sz w:val="20"/>
                <w:szCs w:val="20"/>
              </w:rPr>
              <w:t xml:space="preserve"> Democracy and the Rule of Law</w:t>
            </w:r>
            <w:r w:rsidR="002E3F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3FF4" w:rsidRPr="00545148" w:rsidRDefault="00545148" w:rsidP="009A32FD">
            <w:pPr>
              <w:suppressAutoHyphens/>
              <w:spacing w:before="40" w:after="120" w:line="240" w:lineRule="atLeast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="002E3FF4" w:rsidRPr="002E3FF4">
              <w:rPr>
                <w:rFonts w:ascii="Times New Roman" w:hAnsi="Times New Roman"/>
                <w:b/>
                <w:sz w:val="20"/>
                <w:szCs w:val="20"/>
              </w:rPr>
              <w:t xml:space="preserve">reating an enabling environment for </w:t>
            </w:r>
            <w:r w:rsidR="00D00CFB">
              <w:rPr>
                <w:rFonts w:ascii="Times New Roman" w:hAnsi="Times New Roman"/>
                <w:b/>
                <w:sz w:val="20"/>
                <w:szCs w:val="20"/>
              </w:rPr>
              <w:t xml:space="preserve">the </w:t>
            </w:r>
            <w:r w:rsidR="002E3FF4" w:rsidRPr="002E3FF4">
              <w:rPr>
                <w:rFonts w:ascii="Times New Roman" w:hAnsi="Times New Roman"/>
                <w:b/>
                <w:sz w:val="20"/>
                <w:szCs w:val="20"/>
              </w:rPr>
              <w:t xml:space="preserve">effective participation </w:t>
            </w:r>
            <w:r w:rsidR="00D00CFB">
              <w:rPr>
                <w:rFonts w:ascii="Times New Roman" w:hAnsi="Times New Roman"/>
                <w:b/>
                <w:sz w:val="20"/>
                <w:szCs w:val="20"/>
              </w:rPr>
              <w:t xml:space="preserve">of </w:t>
            </w:r>
            <w:r w:rsidR="00D00CFB" w:rsidRPr="002E3FF4">
              <w:rPr>
                <w:rFonts w:ascii="Times New Roman" w:hAnsi="Times New Roman"/>
                <w:b/>
                <w:sz w:val="20"/>
                <w:szCs w:val="20"/>
              </w:rPr>
              <w:t xml:space="preserve">youth </w:t>
            </w:r>
            <w:r w:rsidR="002E3FF4" w:rsidRPr="002E3FF4">
              <w:rPr>
                <w:rFonts w:ascii="Times New Roman" w:hAnsi="Times New Roman"/>
                <w:b/>
                <w:sz w:val="20"/>
                <w:szCs w:val="20"/>
              </w:rPr>
              <w:t>in public decision</w:t>
            </w:r>
            <w:r w:rsidR="00C246E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2E3FF4" w:rsidRPr="002E3FF4">
              <w:rPr>
                <w:rFonts w:ascii="Times New Roman" w:hAnsi="Times New Roman"/>
                <w:b/>
                <w:sz w:val="20"/>
                <w:szCs w:val="20"/>
              </w:rPr>
              <w:t xml:space="preserve">making </w:t>
            </w:r>
          </w:p>
        </w:tc>
        <w:tc>
          <w:tcPr>
            <w:tcW w:w="33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56AC8" w:rsidRPr="002E3FF4" w:rsidRDefault="00C246EC" w:rsidP="00545148">
            <w:pPr>
              <w:spacing w:before="40" w:after="120"/>
              <w:ind w:right="11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From formal to </w:t>
            </w:r>
            <w:r w:rsidR="002E3FF4" w:rsidRPr="002E3FF4">
              <w:rPr>
                <w:rFonts w:ascii="Times New Roman" w:eastAsia="Times New Roman" w:hAnsi="Times New Roman"/>
                <w:b/>
                <w:sz w:val="20"/>
                <w:szCs w:val="20"/>
              </w:rPr>
              <w:t>transformative participation</w:t>
            </w:r>
            <w:r w:rsidR="0028397A" w:rsidRPr="002E3FF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of youth</w:t>
            </w:r>
          </w:p>
          <w:p w:rsidR="00E56AC8" w:rsidRPr="002E3FF4" w:rsidRDefault="00E56AC8">
            <w:pPr>
              <w:spacing w:before="40" w:after="120"/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56AC8" w:rsidRPr="002E3FF4" w:rsidRDefault="00E56AC8">
            <w:pPr>
              <w:spacing w:before="40" w:after="120"/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56AC8" w:rsidRPr="002E3FF4" w:rsidRDefault="00E56AC8">
            <w:pPr>
              <w:spacing w:before="40" w:after="120"/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E3FF4" w:rsidRPr="002E3FF4" w:rsidRDefault="002E3FF4">
            <w:pPr>
              <w:spacing w:before="40" w:after="120"/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E3FF4" w:rsidRPr="002E3FF4" w:rsidRDefault="002E3FF4" w:rsidP="002E3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3FF4" w:rsidRPr="002E3FF4" w:rsidRDefault="002E3FF4" w:rsidP="002E3FF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3FF4" w:rsidRPr="002E3FF4" w:rsidRDefault="002E3FF4">
            <w:pPr>
              <w:spacing w:before="40" w:after="120"/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E3FF4" w:rsidRPr="002E3FF4" w:rsidRDefault="002E3FF4">
            <w:pPr>
              <w:spacing w:before="40" w:after="120"/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56AC8" w:rsidRPr="00BD6768" w:rsidTr="00B042AC">
        <w:trPr>
          <w:trHeight w:val="70"/>
        </w:trPr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56AC8" w:rsidRPr="00BD6768" w:rsidRDefault="00E56AC8">
            <w:pPr>
              <w:spacing w:before="40" w:after="120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56AC8" w:rsidRPr="00BD6768" w:rsidRDefault="00E56AC8">
            <w:pPr>
              <w:spacing w:before="40" w:after="120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6AC8" w:rsidRPr="00BD6768" w:rsidRDefault="00E56AC8" w:rsidP="00E56AC8">
      <w:pPr>
        <w:rPr>
          <w:rFonts w:ascii="Times New Roman" w:hAnsi="Times New Roman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3261"/>
      </w:tblGrid>
      <w:tr w:rsidR="00E56AC8" w:rsidRPr="00BD6768" w:rsidTr="00E56AC8">
        <w:tc>
          <w:tcPr>
            <w:tcW w:w="7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56AC8" w:rsidRPr="00BD6768" w:rsidRDefault="00545148" w:rsidP="00E56AC8">
            <w:pPr>
              <w:spacing w:before="80" w:after="80" w:line="200" w:lineRule="exact"/>
              <w:ind w:right="113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Tuesday, 22 November 2016</w:t>
            </w:r>
          </w:p>
        </w:tc>
      </w:tr>
      <w:tr w:rsidR="00E56AC8" w:rsidRPr="00BD6768" w:rsidTr="002E3FF4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56AC8" w:rsidRPr="00BD6768" w:rsidRDefault="00E56AC8">
            <w:pPr>
              <w:spacing w:before="80" w:after="80" w:line="200" w:lineRule="exact"/>
              <w:ind w:right="113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BD6768">
              <w:rPr>
                <w:rFonts w:ascii="Times New Roman" w:hAnsi="Times New Roman"/>
                <w:bCs/>
                <w:i/>
                <w:sz w:val="16"/>
                <w:szCs w:val="16"/>
              </w:rPr>
              <w:t>10 a.m. – 1 p.m.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56AC8" w:rsidRPr="00BD6768" w:rsidRDefault="00E56AC8" w:rsidP="003A57E7">
            <w:pPr>
              <w:spacing w:before="80" w:after="80" w:line="200" w:lineRule="exact"/>
              <w:ind w:right="113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BD6768">
              <w:rPr>
                <w:rFonts w:ascii="Times New Roman" w:hAnsi="Times New Roman"/>
                <w:bCs/>
                <w:i/>
                <w:sz w:val="16"/>
                <w:szCs w:val="16"/>
              </w:rPr>
              <w:t>3– 6 p.m.</w:t>
            </w:r>
          </w:p>
        </w:tc>
      </w:tr>
      <w:tr w:rsidR="00E56AC8" w:rsidRPr="00BD6768" w:rsidTr="002E3FF4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25933" w:rsidRPr="0066086C" w:rsidRDefault="00D00CFB" w:rsidP="009A32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="00825933" w:rsidRPr="002E3FF4">
              <w:rPr>
                <w:rFonts w:ascii="Times New Roman" w:hAnsi="Times New Roman"/>
                <w:b/>
                <w:sz w:val="20"/>
                <w:szCs w:val="20"/>
              </w:rPr>
              <w:t xml:space="preserve">articipation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of y</w:t>
            </w:r>
            <w:r w:rsidRPr="002E3FF4">
              <w:rPr>
                <w:rFonts w:ascii="Times New Roman" w:hAnsi="Times New Roman"/>
                <w:b/>
                <w:sz w:val="20"/>
                <w:szCs w:val="20"/>
              </w:rPr>
              <w:t xml:space="preserve">outh </w:t>
            </w:r>
            <w:r w:rsidR="00825933" w:rsidRPr="002E3FF4">
              <w:rPr>
                <w:rFonts w:ascii="Times New Roman" w:hAnsi="Times New Roman"/>
                <w:b/>
                <w:sz w:val="20"/>
                <w:szCs w:val="20"/>
              </w:rPr>
              <w:t xml:space="preserve">in </w:t>
            </w:r>
            <w:r w:rsidR="0066086C">
              <w:rPr>
                <w:rFonts w:ascii="Times New Roman" w:hAnsi="Times New Roman"/>
                <w:b/>
                <w:sz w:val="20"/>
                <w:szCs w:val="20"/>
              </w:rPr>
              <w:t>sustainable</w:t>
            </w:r>
            <w:r w:rsidR="00E1548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66086C">
              <w:rPr>
                <w:rFonts w:ascii="Times New Roman" w:hAnsi="Times New Roman"/>
                <w:b/>
                <w:sz w:val="20"/>
                <w:szCs w:val="20"/>
              </w:rPr>
              <w:t>development</w:t>
            </w:r>
            <w:r w:rsidR="00730042">
              <w:rPr>
                <w:rFonts w:ascii="Times New Roman" w:hAnsi="Times New Roman"/>
                <w:b/>
                <w:sz w:val="20"/>
                <w:szCs w:val="20"/>
              </w:rPr>
              <w:t xml:space="preserve"> and human rights protection in specific contexts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56AC8" w:rsidRPr="00BD6768" w:rsidRDefault="00825933">
            <w:pPr>
              <w:spacing w:before="40" w:after="120"/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3FF4">
              <w:rPr>
                <w:rFonts w:ascii="Times New Roman" w:hAnsi="Times New Roman"/>
                <w:b/>
                <w:sz w:val="20"/>
                <w:szCs w:val="20"/>
              </w:rPr>
              <w:t>Moving the global youth agenda</w:t>
            </w:r>
            <w:r w:rsidR="00D00CFB" w:rsidRPr="002E3FF4">
              <w:rPr>
                <w:rFonts w:ascii="Times New Roman" w:hAnsi="Times New Roman"/>
                <w:b/>
                <w:sz w:val="20"/>
                <w:szCs w:val="20"/>
              </w:rPr>
              <w:t xml:space="preserve"> forward</w:t>
            </w:r>
            <w:r w:rsidRPr="002E3FF4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Pr="002E3FF4">
              <w:rPr>
                <w:rFonts w:ascii="Times New Roman" w:hAnsi="Times New Roman"/>
                <w:b/>
                <w:sz w:val="20"/>
                <w:szCs w:val="20"/>
              </w:rPr>
              <w:t xml:space="preserve">he role of </w:t>
            </w:r>
            <w:r w:rsidR="00D61950" w:rsidRPr="0028397A">
              <w:rPr>
                <w:rFonts w:ascii="Times New Roman" w:hAnsi="Times New Roman"/>
                <w:b/>
                <w:sz w:val="20"/>
                <w:szCs w:val="20"/>
              </w:rPr>
              <w:t xml:space="preserve">youth </w:t>
            </w:r>
            <w:r w:rsidR="00D61950">
              <w:rPr>
                <w:rFonts w:ascii="Times New Roman" w:hAnsi="Times New Roman"/>
                <w:b/>
                <w:sz w:val="20"/>
                <w:szCs w:val="20"/>
              </w:rPr>
              <w:t xml:space="preserve">in </w:t>
            </w:r>
            <w:r w:rsidR="00D61950" w:rsidRPr="0028397A">
              <w:rPr>
                <w:rFonts w:ascii="Times New Roman" w:hAnsi="Times New Roman"/>
                <w:b/>
                <w:sz w:val="20"/>
                <w:szCs w:val="20"/>
              </w:rPr>
              <w:t xml:space="preserve">shaping the </w:t>
            </w:r>
            <w:r w:rsidR="00F30E31" w:rsidRPr="0028397A">
              <w:rPr>
                <w:rFonts w:ascii="Times New Roman" w:hAnsi="Times New Roman"/>
                <w:b/>
                <w:sz w:val="20"/>
                <w:szCs w:val="20"/>
              </w:rPr>
              <w:t>agenda</w:t>
            </w:r>
            <w:r w:rsidR="00F30E31">
              <w:rPr>
                <w:rFonts w:ascii="Times New Roman" w:hAnsi="Times New Roman"/>
                <w:b/>
                <w:sz w:val="20"/>
                <w:szCs w:val="20"/>
              </w:rPr>
              <w:t xml:space="preserve"> of</w:t>
            </w:r>
            <w:r w:rsidR="00F30E31" w:rsidRPr="002839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30E31">
              <w:rPr>
                <w:rFonts w:ascii="Times New Roman" w:hAnsi="Times New Roman"/>
                <w:b/>
                <w:sz w:val="20"/>
                <w:szCs w:val="20"/>
              </w:rPr>
              <w:t xml:space="preserve">the </w:t>
            </w:r>
            <w:r w:rsidR="00D61950" w:rsidRPr="0028397A"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 w:rsidR="00D00CFB">
              <w:rPr>
                <w:rFonts w:ascii="Times New Roman" w:hAnsi="Times New Roman"/>
                <w:b/>
                <w:sz w:val="20"/>
                <w:szCs w:val="20"/>
              </w:rPr>
              <w:t xml:space="preserve">nited </w:t>
            </w:r>
            <w:r w:rsidR="00D61950" w:rsidRPr="0028397A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="00D00CFB">
              <w:rPr>
                <w:rFonts w:ascii="Times New Roman" w:hAnsi="Times New Roman"/>
                <w:b/>
                <w:sz w:val="20"/>
                <w:szCs w:val="20"/>
              </w:rPr>
              <w:t>ations</w:t>
            </w:r>
            <w:r w:rsidR="00D61950" w:rsidRPr="0028397A">
              <w:rPr>
                <w:rFonts w:ascii="Times New Roman" w:hAnsi="Times New Roman"/>
                <w:b/>
                <w:sz w:val="20"/>
                <w:szCs w:val="20"/>
              </w:rPr>
              <w:t xml:space="preserve"> and regional organi</w:t>
            </w:r>
            <w:r w:rsidR="00D00CFB">
              <w:rPr>
                <w:rFonts w:ascii="Times New Roman" w:hAnsi="Times New Roman"/>
                <w:b/>
                <w:sz w:val="20"/>
                <w:szCs w:val="20"/>
              </w:rPr>
              <w:t>z</w:t>
            </w:r>
            <w:r w:rsidR="00D61950" w:rsidRPr="0028397A">
              <w:rPr>
                <w:rFonts w:ascii="Times New Roman" w:hAnsi="Times New Roman"/>
                <w:b/>
                <w:sz w:val="20"/>
                <w:szCs w:val="20"/>
              </w:rPr>
              <w:t xml:space="preserve">ations </w:t>
            </w:r>
          </w:p>
          <w:p w:rsidR="00E56AC8" w:rsidRPr="00825933" w:rsidRDefault="00E56AC8">
            <w:pPr>
              <w:spacing w:before="40" w:after="120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25933">
              <w:rPr>
                <w:rFonts w:ascii="Times New Roman" w:hAnsi="Times New Roman"/>
                <w:b/>
                <w:sz w:val="20"/>
                <w:szCs w:val="20"/>
              </w:rPr>
              <w:t>Concluding remarks</w:t>
            </w:r>
          </w:p>
        </w:tc>
      </w:tr>
    </w:tbl>
    <w:p w:rsidR="00E56AC8" w:rsidRPr="00B042AC" w:rsidRDefault="00B042AC" w:rsidP="00B042A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56AC8" w:rsidRPr="00B042AC" w:rsidSect="009C07D6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68E" w:rsidRDefault="00DD268E">
      <w:pPr>
        <w:spacing w:after="0" w:line="240" w:lineRule="auto"/>
      </w:pPr>
      <w:r>
        <w:separator/>
      </w:r>
    </w:p>
    <w:p w:rsidR="00DD268E" w:rsidRDefault="00DD268E"/>
  </w:endnote>
  <w:endnote w:type="continuationSeparator" w:id="0">
    <w:p w:rsidR="00DD268E" w:rsidRDefault="00DD268E">
      <w:pPr>
        <w:spacing w:after="0" w:line="240" w:lineRule="auto"/>
      </w:pPr>
      <w:r>
        <w:continuationSeparator/>
      </w:r>
    </w:p>
    <w:p w:rsidR="00DD268E" w:rsidRDefault="00DD26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656" w:rsidRPr="00FC0550" w:rsidRDefault="00B14656" w:rsidP="00560864">
    <w:pPr>
      <w:pStyle w:val="Footer"/>
      <w:tabs>
        <w:tab w:val="right" w:pos="9638"/>
      </w:tabs>
    </w:pPr>
    <w:r w:rsidRPr="00FC0550">
      <w:rPr>
        <w:b/>
        <w:sz w:val="18"/>
      </w:rPr>
      <w:fldChar w:fldCharType="begin"/>
    </w:r>
    <w:r w:rsidRPr="00FC0550">
      <w:rPr>
        <w:b/>
        <w:sz w:val="18"/>
      </w:rPr>
      <w:instrText xml:space="preserve"> PAGE  \* MERGEFORMAT </w:instrText>
    </w:r>
    <w:r w:rsidRPr="00FC0550">
      <w:rPr>
        <w:b/>
        <w:sz w:val="18"/>
      </w:rPr>
      <w:fldChar w:fldCharType="separate"/>
    </w:r>
    <w:r w:rsidR="00437D3C">
      <w:rPr>
        <w:b/>
        <w:noProof/>
        <w:sz w:val="18"/>
      </w:rPr>
      <w:t>4</w:t>
    </w:r>
    <w:r w:rsidRPr="00FC0550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656" w:rsidRPr="00FC0550" w:rsidRDefault="00B14656" w:rsidP="004D6FE8">
    <w:pPr>
      <w:pStyle w:val="Footer"/>
      <w:tabs>
        <w:tab w:val="right" w:pos="9638"/>
      </w:tabs>
      <w:jc w:val="right"/>
      <w:rPr>
        <w:b/>
        <w:sz w:val="18"/>
      </w:rPr>
    </w:pPr>
    <w:r w:rsidRPr="00FC0550">
      <w:rPr>
        <w:b/>
        <w:sz w:val="18"/>
      </w:rPr>
      <w:fldChar w:fldCharType="begin"/>
    </w:r>
    <w:r w:rsidRPr="00FC0550">
      <w:rPr>
        <w:b/>
        <w:sz w:val="18"/>
      </w:rPr>
      <w:instrText xml:space="preserve"> PAGE  \* MERGEFORMAT </w:instrText>
    </w:r>
    <w:r w:rsidRPr="00FC0550">
      <w:rPr>
        <w:b/>
        <w:sz w:val="18"/>
      </w:rPr>
      <w:fldChar w:fldCharType="separate"/>
    </w:r>
    <w:r w:rsidR="00437D3C">
      <w:rPr>
        <w:b/>
        <w:noProof/>
        <w:sz w:val="18"/>
      </w:rPr>
      <w:t>3</w:t>
    </w:r>
    <w:r w:rsidRPr="00FC0550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68E" w:rsidRDefault="00DD268E">
      <w:pPr>
        <w:spacing w:after="0" w:line="240" w:lineRule="auto"/>
      </w:pPr>
      <w:r>
        <w:separator/>
      </w:r>
    </w:p>
    <w:p w:rsidR="00DD268E" w:rsidRDefault="00DD268E"/>
  </w:footnote>
  <w:footnote w:type="continuationSeparator" w:id="0">
    <w:p w:rsidR="00DD268E" w:rsidRDefault="00DD268E">
      <w:pPr>
        <w:spacing w:after="0" w:line="240" w:lineRule="auto"/>
      </w:pPr>
      <w:r>
        <w:continuationSeparator/>
      </w:r>
    </w:p>
    <w:p w:rsidR="00DD268E" w:rsidRDefault="00DD26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656" w:rsidRPr="00B042AC" w:rsidRDefault="00507504">
    <w:pPr>
      <w:pStyle w:val="Header"/>
    </w:pPr>
    <w:r w:rsidRPr="00B042AC">
      <w:rPr>
        <w:bCs/>
        <w:color w:val="000000"/>
      </w:rPr>
      <w:t>A/HRC/FD/2016/1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656" w:rsidRPr="00FC0550" w:rsidRDefault="00B14656" w:rsidP="00A932DF">
    <w:pPr>
      <w:pStyle w:val="Header"/>
      <w:jc w:val="right"/>
    </w:pPr>
    <w:r w:rsidRPr="00922DE0">
      <w:t>A/H</w:t>
    </w:r>
    <w:r w:rsidR="00D147A4" w:rsidRPr="00922DE0">
      <w:t>RC/</w:t>
    </w:r>
    <w:r w:rsidR="008C6577">
      <w:t>FD/2016/1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D34"/>
    <w:multiLevelType w:val="hybridMultilevel"/>
    <w:tmpl w:val="E8464F08"/>
    <w:lvl w:ilvl="0" w:tplc="46EE884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550F57"/>
    <w:multiLevelType w:val="hybridMultilevel"/>
    <w:tmpl w:val="43080A3E"/>
    <w:lvl w:ilvl="0" w:tplc="D8DE34A0">
      <w:start w:val="2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D85500D"/>
    <w:multiLevelType w:val="hybridMultilevel"/>
    <w:tmpl w:val="4866CBA6"/>
    <w:lvl w:ilvl="0" w:tplc="4AE2219A">
      <w:start w:val="1"/>
      <w:numFmt w:val="decimal"/>
      <w:lvlText w:val="%1."/>
      <w:lvlJc w:val="left"/>
      <w:pPr>
        <w:ind w:left="1636" w:hanging="36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0DD2AD6"/>
    <w:multiLevelType w:val="hybridMultilevel"/>
    <w:tmpl w:val="873EF97C"/>
    <w:lvl w:ilvl="0" w:tplc="0809000F">
      <w:start w:val="1"/>
      <w:numFmt w:val="decimal"/>
      <w:lvlText w:val="%1."/>
      <w:lvlJc w:val="left"/>
      <w:pPr>
        <w:ind w:left="3195" w:hanging="360"/>
      </w:p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68E6C6F"/>
    <w:multiLevelType w:val="hybridMultilevel"/>
    <w:tmpl w:val="77821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04D27"/>
    <w:multiLevelType w:val="hybridMultilevel"/>
    <w:tmpl w:val="581ED926"/>
    <w:lvl w:ilvl="0" w:tplc="105CE5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B43D7"/>
    <w:multiLevelType w:val="hybridMultilevel"/>
    <w:tmpl w:val="BE80D108"/>
    <w:lvl w:ilvl="0" w:tplc="62689B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3107A"/>
    <w:multiLevelType w:val="hybridMultilevel"/>
    <w:tmpl w:val="6EB2FC2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CC439F"/>
    <w:multiLevelType w:val="hybridMultilevel"/>
    <w:tmpl w:val="F05A5B02"/>
    <w:lvl w:ilvl="0" w:tplc="040C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-658"/>
        </w:tabs>
        <w:ind w:left="-658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2"/>
        </w:tabs>
        <w:ind w:left="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</w:abstractNum>
  <w:abstractNum w:abstractNumId="9">
    <w:nsid w:val="37184B45"/>
    <w:multiLevelType w:val="hybridMultilevel"/>
    <w:tmpl w:val="B2248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440F8"/>
    <w:multiLevelType w:val="hybridMultilevel"/>
    <w:tmpl w:val="326CE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0053A"/>
    <w:multiLevelType w:val="hybridMultilevel"/>
    <w:tmpl w:val="4F20FBD0"/>
    <w:lvl w:ilvl="0" w:tplc="231C2D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E2014"/>
    <w:multiLevelType w:val="hybridMultilevel"/>
    <w:tmpl w:val="1742A848"/>
    <w:lvl w:ilvl="0" w:tplc="4AE2219A">
      <w:start w:val="1"/>
      <w:numFmt w:val="decimal"/>
      <w:lvlText w:val="%1."/>
      <w:lvlJc w:val="left"/>
      <w:pPr>
        <w:ind w:left="1636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492E2CE6"/>
    <w:multiLevelType w:val="hybridMultilevel"/>
    <w:tmpl w:val="5AE2EAA4"/>
    <w:lvl w:ilvl="0" w:tplc="6E508AB2">
      <w:start w:val="1"/>
      <w:numFmt w:val="upperLetter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C6470"/>
    <w:multiLevelType w:val="hybridMultilevel"/>
    <w:tmpl w:val="A0267442"/>
    <w:lvl w:ilvl="0" w:tplc="19B48A36">
      <w:start w:val="18"/>
      <w:numFmt w:val="decimal"/>
      <w:lvlText w:val="%1."/>
      <w:lvlJc w:val="left"/>
      <w:pPr>
        <w:ind w:left="2574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2F3FA4"/>
    <w:multiLevelType w:val="hybridMultilevel"/>
    <w:tmpl w:val="9AFC4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FD1023"/>
    <w:multiLevelType w:val="hybridMultilevel"/>
    <w:tmpl w:val="D9483140"/>
    <w:lvl w:ilvl="0" w:tplc="4AE2219A">
      <w:start w:val="1"/>
      <w:numFmt w:val="decimal"/>
      <w:lvlText w:val="%1."/>
      <w:lvlJc w:val="left"/>
      <w:pPr>
        <w:ind w:left="1494" w:hanging="36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7CF93BA4"/>
    <w:multiLevelType w:val="hybridMultilevel"/>
    <w:tmpl w:val="EE969C6A"/>
    <w:lvl w:ilvl="0" w:tplc="73EA46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9"/>
  </w:num>
  <w:num w:numId="6">
    <w:abstractNumId w:val="18"/>
  </w:num>
  <w:num w:numId="7">
    <w:abstractNumId w:val="8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  <w:num w:numId="12">
    <w:abstractNumId w:val="11"/>
  </w:num>
  <w:num w:numId="13">
    <w:abstractNumId w:val="3"/>
  </w:num>
  <w:num w:numId="14">
    <w:abstractNumId w:val="0"/>
  </w:num>
  <w:num w:numId="15">
    <w:abstractNumId w:val="10"/>
  </w:num>
  <w:num w:numId="16">
    <w:abstractNumId w:val="16"/>
  </w:num>
  <w:num w:numId="17">
    <w:abstractNumId w:val="12"/>
  </w:num>
  <w:num w:numId="18">
    <w:abstractNumId w:val="5"/>
  </w:num>
  <w:num w:numId="19">
    <w:abstractNumId w:val="17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evenAndOddHeaders/>
  <w:characterSpacingControl w:val="doNotCompress"/>
  <w:hdrShapeDefaults>
    <o:shapedefaults v:ext="edit" spidmax="604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C5"/>
    <w:rsid w:val="0000291F"/>
    <w:rsid w:val="00002C4E"/>
    <w:rsid w:val="00006D1F"/>
    <w:rsid w:val="0001141F"/>
    <w:rsid w:val="00017329"/>
    <w:rsid w:val="00017FF4"/>
    <w:rsid w:val="00020134"/>
    <w:rsid w:val="0002149A"/>
    <w:rsid w:val="00023D6C"/>
    <w:rsid w:val="00027FD5"/>
    <w:rsid w:val="00030C73"/>
    <w:rsid w:val="00046EE9"/>
    <w:rsid w:val="00047289"/>
    <w:rsid w:val="0004747C"/>
    <w:rsid w:val="0005134B"/>
    <w:rsid w:val="000521B7"/>
    <w:rsid w:val="000562F3"/>
    <w:rsid w:val="00056FDA"/>
    <w:rsid w:val="00077337"/>
    <w:rsid w:val="00084594"/>
    <w:rsid w:val="00085B8F"/>
    <w:rsid w:val="000918B1"/>
    <w:rsid w:val="000A07C7"/>
    <w:rsid w:val="000A12D9"/>
    <w:rsid w:val="000A4D03"/>
    <w:rsid w:val="000B0ABC"/>
    <w:rsid w:val="000B3016"/>
    <w:rsid w:val="000B3152"/>
    <w:rsid w:val="000B6BF3"/>
    <w:rsid w:val="000C2F30"/>
    <w:rsid w:val="000C62BA"/>
    <w:rsid w:val="000C62CA"/>
    <w:rsid w:val="000D3123"/>
    <w:rsid w:val="000E4D4F"/>
    <w:rsid w:val="000F15C5"/>
    <w:rsid w:val="000F2C6F"/>
    <w:rsid w:val="000F7EEE"/>
    <w:rsid w:val="00103684"/>
    <w:rsid w:val="00106786"/>
    <w:rsid w:val="00123FF5"/>
    <w:rsid w:val="001241F1"/>
    <w:rsid w:val="00131209"/>
    <w:rsid w:val="001402E6"/>
    <w:rsid w:val="001422D3"/>
    <w:rsid w:val="00157910"/>
    <w:rsid w:val="00183A0E"/>
    <w:rsid w:val="00190488"/>
    <w:rsid w:val="0019312D"/>
    <w:rsid w:val="001A2389"/>
    <w:rsid w:val="001A4DDD"/>
    <w:rsid w:val="001A7E00"/>
    <w:rsid w:val="001A7FBD"/>
    <w:rsid w:val="001C1A45"/>
    <w:rsid w:val="001D6746"/>
    <w:rsid w:val="001E258C"/>
    <w:rsid w:val="001E7835"/>
    <w:rsid w:val="001F11D6"/>
    <w:rsid w:val="001F5DAE"/>
    <w:rsid w:val="00204C92"/>
    <w:rsid w:val="00216221"/>
    <w:rsid w:val="00220512"/>
    <w:rsid w:val="002210F9"/>
    <w:rsid w:val="00225C85"/>
    <w:rsid w:val="0023406E"/>
    <w:rsid w:val="00237E1C"/>
    <w:rsid w:val="00240E50"/>
    <w:rsid w:val="00241AA6"/>
    <w:rsid w:val="00243D9B"/>
    <w:rsid w:val="00245D57"/>
    <w:rsid w:val="0024666F"/>
    <w:rsid w:val="002513EA"/>
    <w:rsid w:val="002516FA"/>
    <w:rsid w:val="00260A0D"/>
    <w:rsid w:val="00264580"/>
    <w:rsid w:val="00264E29"/>
    <w:rsid w:val="00274597"/>
    <w:rsid w:val="00276175"/>
    <w:rsid w:val="002823A9"/>
    <w:rsid w:val="00283103"/>
    <w:rsid w:val="0028397A"/>
    <w:rsid w:val="00284FE1"/>
    <w:rsid w:val="00285102"/>
    <w:rsid w:val="0029320C"/>
    <w:rsid w:val="002B4BF4"/>
    <w:rsid w:val="002B6975"/>
    <w:rsid w:val="002C7DBD"/>
    <w:rsid w:val="002D1A29"/>
    <w:rsid w:val="002E3C24"/>
    <w:rsid w:val="002E3FF4"/>
    <w:rsid w:val="002E4E74"/>
    <w:rsid w:val="002F6D42"/>
    <w:rsid w:val="003027C8"/>
    <w:rsid w:val="00305DB5"/>
    <w:rsid w:val="00306A1F"/>
    <w:rsid w:val="003070C5"/>
    <w:rsid w:val="00316460"/>
    <w:rsid w:val="00316F7D"/>
    <w:rsid w:val="00327A78"/>
    <w:rsid w:val="00336FE4"/>
    <w:rsid w:val="00343DDB"/>
    <w:rsid w:val="003464D1"/>
    <w:rsid w:val="0035109E"/>
    <w:rsid w:val="00352CCE"/>
    <w:rsid w:val="00354AFC"/>
    <w:rsid w:val="00355A41"/>
    <w:rsid w:val="00356170"/>
    <w:rsid w:val="00380791"/>
    <w:rsid w:val="00381152"/>
    <w:rsid w:val="00381B31"/>
    <w:rsid w:val="00385F60"/>
    <w:rsid w:val="003915FB"/>
    <w:rsid w:val="003917D7"/>
    <w:rsid w:val="00392E95"/>
    <w:rsid w:val="003A57E7"/>
    <w:rsid w:val="003B1616"/>
    <w:rsid w:val="003C165E"/>
    <w:rsid w:val="003C37CD"/>
    <w:rsid w:val="003C4421"/>
    <w:rsid w:val="003C4884"/>
    <w:rsid w:val="003D074C"/>
    <w:rsid w:val="003D4164"/>
    <w:rsid w:val="003F6E1E"/>
    <w:rsid w:val="003F746B"/>
    <w:rsid w:val="00400D4A"/>
    <w:rsid w:val="00403EC6"/>
    <w:rsid w:val="004134C1"/>
    <w:rsid w:val="004301F8"/>
    <w:rsid w:val="00430944"/>
    <w:rsid w:val="0043277C"/>
    <w:rsid w:val="00437D3C"/>
    <w:rsid w:val="00444300"/>
    <w:rsid w:val="004443A0"/>
    <w:rsid w:val="00444FB8"/>
    <w:rsid w:val="00457155"/>
    <w:rsid w:val="004737F9"/>
    <w:rsid w:val="00473A73"/>
    <w:rsid w:val="00476CA6"/>
    <w:rsid w:val="004778F2"/>
    <w:rsid w:val="00482FC2"/>
    <w:rsid w:val="00486138"/>
    <w:rsid w:val="00487A1F"/>
    <w:rsid w:val="004C0FDB"/>
    <w:rsid w:val="004D0887"/>
    <w:rsid w:val="004D1609"/>
    <w:rsid w:val="004D6FE8"/>
    <w:rsid w:val="004E5DA9"/>
    <w:rsid w:val="004F13A9"/>
    <w:rsid w:val="004F4310"/>
    <w:rsid w:val="004F4AE9"/>
    <w:rsid w:val="00501082"/>
    <w:rsid w:val="00505227"/>
    <w:rsid w:val="00505899"/>
    <w:rsid w:val="00507504"/>
    <w:rsid w:val="00511271"/>
    <w:rsid w:val="005141F4"/>
    <w:rsid w:val="0051772E"/>
    <w:rsid w:val="0052043D"/>
    <w:rsid w:val="005235A1"/>
    <w:rsid w:val="00527647"/>
    <w:rsid w:val="00527EFC"/>
    <w:rsid w:val="00532B3F"/>
    <w:rsid w:val="00536045"/>
    <w:rsid w:val="005373F6"/>
    <w:rsid w:val="00537BE6"/>
    <w:rsid w:val="00543E64"/>
    <w:rsid w:val="00545148"/>
    <w:rsid w:val="00560864"/>
    <w:rsid w:val="00561E75"/>
    <w:rsid w:val="0056448D"/>
    <w:rsid w:val="00565394"/>
    <w:rsid w:val="0059615F"/>
    <w:rsid w:val="005A20A0"/>
    <w:rsid w:val="005A465D"/>
    <w:rsid w:val="005A67B1"/>
    <w:rsid w:val="005B3C5E"/>
    <w:rsid w:val="005C5B26"/>
    <w:rsid w:val="005D2ED4"/>
    <w:rsid w:val="005D6FF1"/>
    <w:rsid w:val="005E0A5B"/>
    <w:rsid w:val="005E676D"/>
    <w:rsid w:val="005F24E8"/>
    <w:rsid w:val="005F6BDA"/>
    <w:rsid w:val="005F7F23"/>
    <w:rsid w:val="00607A36"/>
    <w:rsid w:val="006103B3"/>
    <w:rsid w:val="00610E56"/>
    <w:rsid w:val="00626538"/>
    <w:rsid w:val="0063270E"/>
    <w:rsid w:val="00635A11"/>
    <w:rsid w:val="006411C7"/>
    <w:rsid w:val="0066086C"/>
    <w:rsid w:val="00671755"/>
    <w:rsid w:val="00672862"/>
    <w:rsid w:val="00677A80"/>
    <w:rsid w:val="00685B05"/>
    <w:rsid w:val="00694719"/>
    <w:rsid w:val="006A0569"/>
    <w:rsid w:val="006C0B08"/>
    <w:rsid w:val="006C0F84"/>
    <w:rsid w:val="006C4166"/>
    <w:rsid w:val="006C49CA"/>
    <w:rsid w:val="006C75AF"/>
    <w:rsid w:val="006C7EBA"/>
    <w:rsid w:val="006D148B"/>
    <w:rsid w:val="006D276E"/>
    <w:rsid w:val="006D4D97"/>
    <w:rsid w:val="006E6740"/>
    <w:rsid w:val="006F6C33"/>
    <w:rsid w:val="00705748"/>
    <w:rsid w:val="00712DB1"/>
    <w:rsid w:val="00713865"/>
    <w:rsid w:val="00723FA0"/>
    <w:rsid w:val="00725C1A"/>
    <w:rsid w:val="00730042"/>
    <w:rsid w:val="00744AAF"/>
    <w:rsid w:val="00750189"/>
    <w:rsid w:val="00750812"/>
    <w:rsid w:val="0075681F"/>
    <w:rsid w:val="00763477"/>
    <w:rsid w:val="0076533E"/>
    <w:rsid w:val="007727EB"/>
    <w:rsid w:val="0077286A"/>
    <w:rsid w:val="0077595D"/>
    <w:rsid w:val="00786919"/>
    <w:rsid w:val="007964A8"/>
    <w:rsid w:val="007A17FC"/>
    <w:rsid w:val="007B021C"/>
    <w:rsid w:val="007B4285"/>
    <w:rsid w:val="007C0FFE"/>
    <w:rsid w:val="007D30BE"/>
    <w:rsid w:val="007D3E59"/>
    <w:rsid w:val="007D3FBB"/>
    <w:rsid w:val="007D59C1"/>
    <w:rsid w:val="007D5DEF"/>
    <w:rsid w:val="007E190B"/>
    <w:rsid w:val="007E334B"/>
    <w:rsid w:val="007E46CC"/>
    <w:rsid w:val="007E4F99"/>
    <w:rsid w:val="007F2445"/>
    <w:rsid w:val="00807DCF"/>
    <w:rsid w:val="0081375E"/>
    <w:rsid w:val="008228B4"/>
    <w:rsid w:val="00825933"/>
    <w:rsid w:val="008405C0"/>
    <w:rsid w:val="008559B8"/>
    <w:rsid w:val="00866BF9"/>
    <w:rsid w:val="00874147"/>
    <w:rsid w:val="00875D74"/>
    <w:rsid w:val="00884E7D"/>
    <w:rsid w:val="0088642F"/>
    <w:rsid w:val="008A5124"/>
    <w:rsid w:val="008A516E"/>
    <w:rsid w:val="008B0329"/>
    <w:rsid w:val="008B4150"/>
    <w:rsid w:val="008B5BE1"/>
    <w:rsid w:val="008B61D7"/>
    <w:rsid w:val="008C6577"/>
    <w:rsid w:val="008D3E7C"/>
    <w:rsid w:val="008F7105"/>
    <w:rsid w:val="008F74C5"/>
    <w:rsid w:val="00907676"/>
    <w:rsid w:val="009151FA"/>
    <w:rsid w:val="00917B71"/>
    <w:rsid w:val="00922DE0"/>
    <w:rsid w:val="00927ECC"/>
    <w:rsid w:val="00942134"/>
    <w:rsid w:val="0094763A"/>
    <w:rsid w:val="009534E6"/>
    <w:rsid w:val="00962233"/>
    <w:rsid w:val="00963C3B"/>
    <w:rsid w:val="0096780B"/>
    <w:rsid w:val="00972887"/>
    <w:rsid w:val="009729D0"/>
    <w:rsid w:val="00982735"/>
    <w:rsid w:val="00982EED"/>
    <w:rsid w:val="009844B9"/>
    <w:rsid w:val="0098473E"/>
    <w:rsid w:val="00985DBC"/>
    <w:rsid w:val="009924FF"/>
    <w:rsid w:val="009A16BF"/>
    <w:rsid w:val="009A32FD"/>
    <w:rsid w:val="009A7AAC"/>
    <w:rsid w:val="009B3D08"/>
    <w:rsid w:val="009C07D6"/>
    <w:rsid w:val="009D282C"/>
    <w:rsid w:val="009E7869"/>
    <w:rsid w:val="009F1B0A"/>
    <w:rsid w:val="009F1CDD"/>
    <w:rsid w:val="009F4692"/>
    <w:rsid w:val="00A067C9"/>
    <w:rsid w:val="00A11483"/>
    <w:rsid w:val="00A166B7"/>
    <w:rsid w:val="00A2248B"/>
    <w:rsid w:val="00A26153"/>
    <w:rsid w:val="00A42179"/>
    <w:rsid w:val="00A434C3"/>
    <w:rsid w:val="00A47309"/>
    <w:rsid w:val="00A51484"/>
    <w:rsid w:val="00A60537"/>
    <w:rsid w:val="00A6529F"/>
    <w:rsid w:val="00A67E9D"/>
    <w:rsid w:val="00A84D9D"/>
    <w:rsid w:val="00A8737B"/>
    <w:rsid w:val="00A932DF"/>
    <w:rsid w:val="00A940D9"/>
    <w:rsid w:val="00A941C2"/>
    <w:rsid w:val="00A94C05"/>
    <w:rsid w:val="00AA3E3A"/>
    <w:rsid w:val="00AC28BF"/>
    <w:rsid w:val="00AC4D7F"/>
    <w:rsid w:val="00AD1172"/>
    <w:rsid w:val="00AD458A"/>
    <w:rsid w:val="00AE5B72"/>
    <w:rsid w:val="00AE6ECB"/>
    <w:rsid w:val="00AF18CA"/>
    <w:rsid w:val="00AF5B7F"/>
    <w:rsid w:val="00B0141A"/>
    <w:rsid w:val="00B042AC"/>
    <w:rsid w:val="00B07028"/>
    <w:rsid w:val="00B0757F"/>
    <w:rsid w:val="00B14656"/>
    <w:rsid w:val="00B166E6"/>
    <w:rsid w:val="00B226A0"/>
    <w:rsid w:val="00B22C38"/>
    <w:rsid w:val="00B23BF4"/>
    <w:rsid w:val="00B25ECC"/>
    <w:rsid w:val="00B2741E"/>
    <w:rsid w:val="00B27F07"/>
    <w:rsid w:val="00B3354E"/>
    <w:rsid w:val="00B3653D"/>
    <w:rsid w:val="00B37092"/>
    <w:rsid w:val="00B4086D"/>
    <w:rsid w:val="00B42FF9"/>
    <w:rsid w:val="00B43DAA"/>
    <w:rsid w:val="00B46A62"/>
    <w:rsid w:val="00B54232"/>
    <w:rsid w:val="00B566C5"/>
    <w:rsid w:val="00B603D1"/>
    <w:rsid w:val="00B638D9"/>
    <w:rsid w:val="00B72E86"/>
    <w:rsid w:val="00B74DC3"/>
    <w:rsid w:val="00B83BB1"/>
    <w:rsid w:val="00B94B03"/>
    <w:rsid w:val="00B94E0E"/>
    <w:rsid w:val="00B94F97"/>
    <w:rsid w:val="00BA2802"/>
    <w:rsid w:val="00BA28FE"/>
    <w:rsid w:val="00BB76D4"/>
    <w:rsid w:val="00BC5395"/>
    <w:rsid w:val="00BC741F"/>
    <w:rsid w:val="00BD3D98"/>
    <w:rsid w:val="00BD6768"/>
    <w:rsid w:val="00BD79BC"/>
    <w:rsid w:val="00BE02D0"/>
    <w:rsid w:val="00BE2128"/>
    <w:rsid w:val="00BE3775"/>
    <w:rsid w:val="00BF421E"/>
    <w:rsid w:val="00BF7550"/>
    <w:rsid w:val="00C02318"/>
    <w:rsid w:val="00C07D53"/>
    <w:rsid w:val="00C228B6"/>
    <w:rsid w:val="00C246EC"/>
    <w:rsid w:val="00C25034"/>
    <w:rsid w:val="00C25F51"/>
    <w:rsid w:val="00C34BDE"/>
    <w:rsid w:val="00C41411"/>
    <w:rsid w:val="00C44FB2"/>
    <w:rsid w:val="00C54A47"/>
    <w:rsid w:val="00C70983"/>
    <w:rsid w:val="00C73640"/>
    <w:rsid w:val="00C756A8"/>
    <w:rsid w:val="00C76235"/>
    <w:rsid w:val="00C81307"/>
    <w:rsid w:val="00C8758C"/>
    <w:rsid w:val="00C967C6"/>
    <w:rsid w:val="00CA42E8"/>
    <w:rsid w:val="00CB0112"/>
    <w:rsid w:val="00CB4281"/>
    <w:rsid w:val="00CB4A20"/>
    <w:rsid w:val="00CB6A7E"/>
    <w:rsid w:val="00CD3D71"/>
    <w:rsid w:val="00CD7A78"/>
    <w:rsid w:val="00CE0B94"/>
    <w:rsid w:val="00CE10B2"/>
    <w:rsid w:val="00CE7153"/>
    <w:rsid w:val="00CE72AC"/>
    <w:rsid w:val="00CF2C6C"/>
    <w:rsid w:val="00CF4BAA"/>
    <w:rsid w:val="00D00CFB"/>
    <w:rsid w:val="00D115F5"/>
    <w:rsid w:val="00D147A4"/>
    <w:rsid w:val="00D17D5F"/>
    <w:rsid w:val="00D17D75"/>
    <w:rsid w:val="00D206F2"/>
    <w:rsid w:val="00D222A8"/>
    <w:rsid w:val="00D30351"/>
    <w:rsid w:val="00D34F7F"/>
    <w:rsid w:val="00D417D2"/>
    <w:rsid w:val="00D41DD0"/>
    <w:rsid w:val="00D44EA2"/>
    <w:rsid w:val="00D50310"/>
    <w:rsid w:val="00D5355A"/>
    <w:rsid w:val="00D56AC2"/>
    <w:rsid w:val="00D5772B"/>
    <w:rsid w:val="00D61950"/>
    <w:rsid w:val="00D62993"/>
    <w:rsid w:val="00D679FE"/>
    <w:rsid w:val="00D80824"/>
    <w:rsid w:val="00D8388E"/>
    <w:rsid w:val="00D8714F"/>
    <w:rsid w:val="00DA5F00"/>
    <w:rsid w:val="00DB17E0"/>
    <w:rsid w:val="00DD268E"/>
    <w:rsid w:val="00DD6334"/>
    <w:rsid w:val="00DF0024"/>
    <w:rsid w:val="00DF05F3"/>
    <w:rsid w:val="00E15482"/>
    <w:rsid w:val="00E21E26"/>
    <w:rsid w:val="00E2378E"/>
    <w:rsid w:val="00E3069F"/>
    <w:rsid w:val="00E37310"/>
    <w:rsid w:val="00E4329F"/>
    <w:rsid w:val="00E4605E"/>
    <w:rsid w:val="00E56AC8"/>
    <w:rsid w:val="00E71B56"/>
    <w:rsid w:val="00E746AF"/>
    <w:rsid w:val="00E852D6"/>
    <w:rsid w:val="00EA6A7A"/>
    <w:rsid w:val="00EA705A"/>
    <w:rsid w:val="00EA7068"/>
    <w:rsid w:val="00EC1624"/>
    <w:rsid w:val="00EC75F5"/>
    <w:rsid w:val="00EE06C4"/>
    <w:rsid w:val="00EE620D"/>
    <w:rsid w:val="00EF29D6"/>
    <w:rsid w:val="00F00B3E"/>
    <w:rsid w:val="00F0174B"/>
    <w:rsid w:val="00F0558B"/>
    <w:rsid w:val="00F072B4"/>
    <w:rsid w:val="00F1095F"/>
    <w:rsid w:val="00F1701F"/>
    <w:rsid w:val="00F1720C"/>
    <w:rsid w:val="00F27C84"/>
    <w:rsid w:val="00F3026C"/>
    <w:rsid w:val="00F30E31"/>
    <w:rsid w:val="00F344E1"/>
    <w:rsid w:val="00F3597D"/>
    <w:rsid w:val="00F37F61"/>
    <w:rsid w:val="00F43EAA"/>
    <w:rsid w:val="00F47BAF"/>
    <w:rsid w:val="00F51589"/>
    <w:rsid w:val="00F57883"/>
    <w:rsid w:val="00F57CF7"/>
    <w:rsid w:val="00F669B2"/>
    <w:rsid w:val="00F7469F"/>
    <w:rsid w:val="00F765B4"/>
    <w:rsid w:val="00F80288"/>
    <w:rsid w:val="00F86E96"/>
    <w:rsid w:val="00F876D1"/>
    <w:rsid w:val="00F876D9"/>
    <w:rsid w:val="00FB6B9E"/>
    <w:rsid w:val="00FB72AD"/>
    <w:rsid w:val="00FB75FB"/>
    <w:rsid w:val="00FD25E8"/>
    <w:rsid w:val="00FD2D03"/>
    <w:rsid w:val="00FD367E"/>
    <w:rsid w:val="00FD4AA2"/>
    <w:rsid w:val="00FD6C8F"/>
    <w:rsid w:val="00FD6CF2"/>
    <w:rsid w:val="00FE0789"/>
    <w:rsid w:val="00FE22E9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0F15C5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HChG">
    <w:name w:val="_ H _Ch_G"/>
    <w:basedOn w:val="Normal"/>
    <w:next w:val="Normal"/>
    <w:link w:val="HChGChar"/>
    <w:rsid w:val="000F15C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/>
      <w:b/>
      <w:sz w:val="28"/>
      <w:szCs w:val="20"/>
      <w:lang w:val="x-none"/>
    </w:rPr>
  </w:style>
  <w:style w:type="paragraph" w:styleId="Header">
    <w:name w:val="header"/>
    <w:aliases w:val="6_G"/>
    <w:basedOn w:val="Normal"/>
    <w:link w:val="HeaderChar"/>
    <w:rsid w:val="000F15C5"/>
    <w:pPr>
      <w:pBdr>
        <w:bottom w:val="single" w:sz="4" w:space="4" w:color="auto"/>
      </w:pBdr>
      <w:suppressAutoHyphens/>
      <w:spacing w:after="0" w:line="240" w:lineRule="auto"/>
    </w:pPr>
    <w:rPr>
      <w:rFonts w:ascii="Times New Roman" w:eastAsia="Times New Roman" w:hAnsi="Times New Roman"/>
      <w:b/>
      <w:sz w:val="18"/>
      <w:szCs w:val="20"/>
    </w:rPr>
  </w:style>
  <w:style w:type="character" w:customStyle="1" w:styleId="HeaderChar">
    <w:name w:val="Header Char"/>
    <w:aliases w:val="6_G Char"/>
    <w:link w:val="Header"/>
    <w:rsid w:val="000F15C5"/>
    <w:rPr>
      <w:rFonts w:ascii="Times New Roman" w:eastAsia="Times New Roman" w:hAnsi="Times New Roman"/>
      <w:b/>
      <w:sz w:val="18"/>
      <w:lang w:eastAsia="en-US"/>
    </w:rPr>
  </w:style>
  <w:style w:type="character" w:styleId="Hyperlink">
    <w:name w:val="Hyperlink"/>
    <w:semiHidden/>
    <w:rsid w:val="000F15C5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0F15C5"/>
    <w:pPr>
      <w:suppressAutoHyphens/>
      <w:spacing w:after="0" w:line="240" w:lineRule="auto"/>
    </w:pPr>
    <w:rPr>
      <w:rFonts w:ascii="Times New Roman" w:eastAsia="Times New Roman" w:hAnsi="Times New Roman"/>
      <w:sz w:val="16"/>
      <w:szCs w:val="20"/>
    </w:rPr>
  </w:style>
  <w:style w:type="character" w:customStyle="1" w:styleId="FooterChar">
    <w:name w:val="Footer Char"/>
    <w:aliases w:val="3_G Char"/>
    <w:link w:val="Footer"/>
    <w:rsid w:val="000F15C5"/>
    <w:rPr>
      <w:rFonts w:ascii="Times New Roman" w:eastAsia="Times New Roman" w:hAnsi="Times New Roman"/>
      <w:sz w:val="16"/>
      <w:lang w:eastAsia="en-US"/>
    </w:rPr>
  </w:style>
  <w:style w:type="paragraph" w:customStyle="1" w:styleId="Bullet2G">
    <w:name w:val="_Bullet 2_G"/>
    <w:basedOn w:val="Normal"/>
    <w:rsid w:val="000F15C5"/>
    <w:pPr>
      <w:numPr>
        <w:numId w:val="1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H1G">
    <w:name w:val="_ H_1_G"/>
    <w:basedOn w:val="Normal"/>
    <w:next w:val="Normal"/>
    <w:link w:val="H1GChar"/>
    <w:rsid w:val="000F15C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/>
      <w:b/>
      <w:sz w:val="24"/>
      <w:szCs w:val="20"/>
      <w:lang w:val="x-none"/>
    </w:rPr>
  </w:style>
  <w:style w:type="character" w:customStyle="1" w:styleId="SingleTxtGChar">
    <w:name w:val="_ Single Txt_G Char"/>
    <w:link w:val="SingleTxtG"/>
    <w:rsid w:val="000F15C5"/>
    <w:rPr>
      <w:rFonts w:ascii="Times New Roman" w:eastAsia="Times New Roman" w:hAnsi="Times New Roman"/>
      <w:lang w:eastAsia="en-US"/>
    </w:rPr>
  </w:style>
  <w:style w:type="character" w:customStyle="1" w:styleId="H1GChar">
    <w:name w:val="_ H_1_G Char"/>
    <w:link w:val="H1G"/>
    <w:rsid w:val="000F15C5"/>
    <w:rPr>
      <w:rFonts w:ascii="Times New Roman" w:eastAsia="Times New Roman" w:hAnsi="Times New Roman"/>
      <w:b/>
      <w:sz w:val="24"/>
      <w:lang w:val="x-none" w:eastAsia="en-US"/>
    </w:rPr>
  </w:style>
  <w:style w:type="character" w:customStyle="1" w:styleId="HChGChar">
    <w:name w:val="_ H _Ch_G Char"/>
    <w:link w:val="HChG"/>
    <w:rsid w:val="000F15C5"/>
    <w:rPr>
      <w:rFonts w:ascii="Times New Roman" w:eastAsia="Times New Roman" w:hAnsi="Times New Roman"/>
      <w:b/>
      <w:sz w:val="28"/>
      <w:lang w:val="x-none" w:eastAsia="en-US"/>
    </w:rPr>
  </w:style>
  <w:style w:type="paragraph" w:styleId="NormalWeb">
    <w:name w:val="Normal (Web)"/>
    <w:basedOn w:val="Normal"/>
    <w:uiPriority w:val="99"/>
    <w:semiHidden/>
    <w:unhideWhenUsed/>
    <w:rsid w:val="00EF2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ighlight">
    <w:name w:val="highlight"/>
    <w:rsid w:val="001A4DDD"/>
  </w:style>
  <w:style w:type="character" w:styleId="CommentReference">
    <w:name w:val="annotation reference"/>
    <w:uiPriority w:val="99"/>
    <w:semiHidden/>
    <w:unhideWhenUsed/>
    <w:rsid w:val="00403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EC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3E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EC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3EC6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EC6"/>
    <w:rPr>
      <w:rFonts w:ascii="Tahoma" w:hAnsi="Tahoma" w:cs="Tahoma"/>
      <w:sz w:val="16"/>
      <w:szCs w:val="16"/>
      <w:lang w:eastAsia="en-US"/>
    </w:rPr>
  </w:style>
  <w:style w:type="paragraph" w:customStyle="1" w:styleId="H23G">
    <w:name w:val="_ H_2/3_G"/>
    <w:basedOn w:val="Normal"/>
    <w:next w:val="Normal"/>
    <w:qFormat/>
    <w:rsid w:val="00C73640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ascii="Times New Roman" w:eastAsia="SimSun" w:hAnsi="Times New Roman"/>
      <w:b/>
      <w:sz w:val="20"/>
      <w:szCs w:val="20"/>
      <w:lang w:eastAsia="zh-CN"/>
    </w:rPr>
  </w:style>
  <w:style w:type="paragraph" w:customStyle="1" w:styleId="H4G">
    <w:name w:val="_ H_4_G"/>
    <w:basedOn w:val="Normal"/>
    <w:next w:val="Normal"/>
    <w:qFormat/>
    <w:rsid w:val="00C73640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ascii="Times New Roman" w:eastAsia="SimSun" w:hAnsi="Times New Roman"/>
      <w:i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6448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6C7EBA"/>
  </w:style>
  <w:style w:type="paragraph" w:styleId="FootnoteText">
    <w:name w:val="footnote text"/>
    <w:basedOn w:val="Normal"/>
    <w:link w:val="FootnoteTextChar"/>
    <w:uiPriority w:val="99"/>
    <w:semiHidden/>
    <w:unhideWhenUsed/>
    <w:rsid w:val="00BA28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28FE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A28FE"/>
    <w:rPr>
      <w:vertAlign w:val="superscript"/>
    </w:rPr>
  </w:style>
  <w:style w:type="paragraph" w:styleId="Revision">
    <w:name w:val="Revision"/>
    <w:hidden/>
    <w:uiPriority w:val="99"/>
    <w:semiHidden/>
    <w:rsid w:val="0051127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0F15C5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HChG">
    <w:name w:val="_ H _Ch_G"/>
    <w:basedOn w:val="Normal"/>
    <w:next w:val="Normal"/>
    <w:link w:val="HChGChar"/>
    <w:rsid w:val="000F15C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/>
      <w:b/>
      <w:sz w:val="28"/>
      <w:szCs w:val="20"/>
      <w:lang w:val="x-none"/>
    </w:rPr>
  </w:style>
  <w:style w:type="paragraph" w:styleId="Header">
    <w:name w:val="header"/>
    <w:aliases w:val="6_G"/>
    <w:basedOn w:val="Normal"/>
    <w:link w:val="HeaderChar"/>
    <w:rsid w:val="000F15C5"/>
    <w:pPr>
      <w:pBdr>
        <w:bottom w:val="single" w:sz="4" w:space="4" w:color="auto"/>
      </w:pBdr>
      <w:suppressAutoHyphens/>
      <w:spacing w:after="0" w:line="240" w:lineRule="auto"/>
    </w:pPr>
    <w:rPr>
      <w:rFonts w:ascii="Times New Roman" w:eastAsia="Times New Roman" w:hAnsi="Times New Roman"/>
      <w:b/>
      <w:sz w:val="18"/>
      <w:szCs w:val="20"/>
    </w:rPr>
  </w:style>
  <w:style w:type="character" w:customStyle="1" w:styleId="HeaderChar">
    <w:name w:val="Header Char"/>
    <w:aliases w:val="6_G Char"/>
    <w:link w:val="Header"/>
    <w:rsid w:val="000F15C5"/>
    <w:rPr>
      <w:rFonts w:ascii="Times New Roman" w:eastAsia="Times New Roman" w:hAnsi="Times New Roman"/>
      <w:b/>
      <w:sz w:val="18"/>
      <w:lang w:eastAsia="en-US"/>
    </w:rPr>
  </w:style>
  <w:style w:type="character" w:styleId="Hyperlink">
    <w:name w:val="Hyperlink"/>
    <w:semiHidden/>
    <w:rsid w:val="000F15C5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0F15C5"/>
    <w:pPr>
      <w:suppressAutoHyphens/>
      <w:spacing w:after="0" w:line="240" w:lineRule="auto"/>
    </w:pPr>
    <w:rPr>
      <w:rFonts w:ascii="Times New Roman" w:eastAsia="Times New Roman" w:hAnsi="Times New Roman"/>
      <w:sz w:val="16"/>
      <w:szCs w:val="20"/>
    </w:rPr>
  </w:style>
  <w:style w:type="character" w:customStyle="1" w:styleId="FooterChar">
    <w:name w:val="Footer Char"/>
    <w:aliases w:val="3_G Char"/>
    <w:link w:val="Footer"/>
    <w:rsid w:val="000F15C5"/>
    <w:rPr>
      <w:rFonts w:ascii="Times New Roman" w:eastAsia="Times New Roman" w:hAnsi="Times New Roman"/>
      <w:sz w:val="16"/>
      <w:lang w:eastAsia="en-US"/>
    </w:rPr>
  </w:style>
  <w:style w:type="paragraph" w:customStyle="1" w:styleId="Bullet2G">
    <w:name w:val="_Bullet 2_G"/>
    <w:basedOn w:val="Normal"/>
    <w:rsid w:val="000F15C5"/>
    <w:pPr>
      <w:numPr>
        <w:numId w:val="1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H1G">
    <w:name w:val="_ H_1_G"/>
    <w:basedOn w:val="Normal"/>
    <w:next w:val="Normal"/>
    <w:link w:val="H1GChar"/>
    <w:rsid w:val="000F15C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/>
      <w:b/>
      <w:sz w:val="24"/>
      <w:szCs w:val="20"/>
      <w:lang w:val="x-none"/>
    </w:rPr>
  </w:style>
  <w:style w:type="character" w:customStyle="1" w:styleId="SingleTxtGChar">
    <w:name w:val="_ Single Txt_G Char"/>
    <w:link w:val="SingleTxtG"/>
    <w:rsid w:val="000F15C5"/>
    <w:rPr>
      <w:rFonts w:ascii="Times New Roman" w:eastAsia="Times New Roman" w:hAnsi="Times New Roman"/>
      <w:lang w:eastAsia="en-US"/>
    </w:rPr>
  </w:style>
  <w:style w:type="character" w:customStyle="1" w:styleId="H1GChar">
    <w:name w:val="_ H_1_G Char"/>
    <w:link w:val="H1G"/>
    <w:rsid w:val="000F15C5"/>
    <w:rPr>
      <w:rFonts w:ascii="Times New Roman" w:eastAsia="Times New Roman" w:hAnsi="Times New Roman"/>
      <w:b/>
      <w:sz w:val="24"/>
      <w:lang w:val="x-none" w:eastAsia="en-US"/>
    </w:rPr>
  </w:style>
  <w:style w:type="character" w:customStyle="1" w:styleId="HChGChar">
    <w:name w:val="_ H _Ch_G Char"/>
    <w:link w:val="HChG"/>
    <w:rsid w:val="000F15C5"/>
    <w:rPr>
      <w:rFonts w:ascii="Times New Roman" w:eastAsia="Times New Roman" w:hAnsi="Times New Roman"/>
      <w:b/>
      <w:sz w:val="28"/>
      <w:lang w:val="x-none" w:eastAsia="en-US"/>
    </w:rPr>
  </w:style>
  <w:style w:type="paragraph" w:styleId="NormalWeb">
    <w:name w:val="Normal (Web)"/>
    <w:basedOn w:val="Normal"/>
    <w:uiPriority w:val="99"/>
    <w:semiHidden/>
    <w:unhideWhenUsed/>
    <w:rsid w:val="00EF2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ighlight">
    <w:name w:val="highlight"/>
    <w:rsid w:val="001A4DDD"/>
  </w:style>
  <w:style w:type="character" w:styleId="CommentReference">
    <w:name w:val="annotation reference"/>
    <w:uiPriority w:val="99"/>
    <w:semiHidden/>
    <w:unhideWhenUsed/>
    <w:rsid w:val="00403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EC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3E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EC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3EC6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EC6"/>
    <w:rPr>
      <w:rFonts w:ascii="Tahoma" w:hAnsi="Tahoma" w:cs="Tahoma"/>
      <w:sz w:val="16"/>
      <w:szCs w:val="16"/>
      <w:lang w:eastAsia="en-US"/>
    </w:rPr>
  </w:style>
  <w:style w:type="paragraph" w:customStyle="1" w:styleId="H23G">
    <w:name w:val="_ H_2/3_G"/>
    <w:basedOn w:val="Normal"/>
    <w:next w:val="Normal"/>
    <w:qFormat/>
    <w:rsid w:val="00C73640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ascii="Times New Roman" w:eastAsia="SimSun" w:hAnsi="Times New Roman"/>
      <w:b/>
      <w:sz w:val="20"/>
      <w:szCs w:val="20"/>
      <w:lang w:eastAsia="zh-CN"/>
    </w:rPr>
  </w:style>
  <w:style w:type="paragraph" w:customStyle="1" w:styleId="H4G">
    <w:name w:val="_ H_4_G"/>
    <w:basedOn w:val="Normal"/>
    <w:next w:val="Normal"/>
    <w:qFormat/>
    <w:rsid w:val="00C73640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ascii="Times New Roman" w:eastAsia="SimSun" w:hAnsi="Times New Roman"/>
      <w:i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6448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6C7EBA"/>
  </w:style>
  <w:style w:type="paragraph" w:styleId="FootnoteText">
    <w:name w:val="footnote text"/>
    <w:basedOn w:val="Normal"/>
    <w:link w:val="FootnoteTextChar"/>
    <w:uiPriority w:val="99"/>
    <w:semiHidden/>
    <w:unhideWhenUsed/>
    <w:rsid w:val="00BA28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28FE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A28FE"/>
    <w:rPr>
      <w:vertAlign w:val="superscript"/>
    </w:rPr>
  </w:style>
  <w:style w:type="paragraph" w:styleId="Revision">
    <w:name w:val="Revision"/>
    <w:hidden/>
    <w:uiPriority w:val="99"/>
    <w:semiHidden/>
    <w:rsid w:val="005112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3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1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2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2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180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09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31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767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92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00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hchr.org/democracyforu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8F8704-2EB4-49B1-995D-2F86834B2BCA}"/>
</file>

<file path=customXml/itemProps2.xml><?xml version="1.0" encoding="utf-8"?>
<ds:datastoreItem xmlns:ds="http://schemas.openxmlformats.org/officeDocument/2006/customXml" ds:itemID="{0BA8C3CF-15EB-4547-AF69-8DB3A22BABA4}"/>
</file>

<file path=customXml/itemProps3.xml><?xml version="1.0" encoding="utf-8"?>
<ds:datastoreItem xmlns:ds="http://schemas.openxmlformats.org/officeDocument/2006/customXml" ds:itemID="{B545B4A7-F1F0-4C1A-B8DA-9ABD461E5077}"/>
</file>

<file path=customXml/itemProps4.xml><?xml version="1.0" encoding="utf-8"?>
<ds:datastoreItem xmlns:ds="http://schemas.openxmlformats.org/officeDocument/2006/customXml" ds:itemID="{F5168C06-66C1-4FCE-BE95-BCEB5F7B19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OHCHR</Company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Agenda</dc:title>
  <dc:creator>SS</dc:creator>
  <cp:lastModifiedBy>Federica Morvay</cp:lastModifiedBy>
  <cp:revision>2</cp:revision>
  <cp:lastPrinted>2016-08-11T15:22:00Z</cp:lastPrinted>
  <dcterms:created xsi:type="dcterms:W3CDTF">2016-09-23T07:25:00Z</dcterms:created>
  <dcterms:modified xsi:type="dcterms:W3CDTF">2016-09-23T07:25:00Z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3748200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