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8" w:rsidRDefault="00342FA0" w:rsidP="00DB7C9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79337B">
        <w:rPr>
          <w:rFonts w:ascii="Calibri,Bold" w:hAnsi="Calibri,Bold" w:cs="Calibri,Bold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align>top</wp:align>
            </wp:positionV>
            <wp:extent cx="3519805" cy="3383280"/>
            <wp:effectExtent l="0" t="0" r="10795" b="0"/>
            <wp:wrapSquare wrapText="bothSides"/>
            <wp:docPr id="4" name="Picture 1" descr="KNCHR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CHR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cstheme="minorHAnsi"/>
          <w:color w:val="000000"/>
          <w:sz w:val="28"/>
          <w:szCs w:val="28"/>
        </w:rPr>
        <w:br w:type="textWrapping" w:clear="all"/>
      </w:r>
    </w:p>
    <w:p w:rsidR="00342FA0" w:rsidRPr="007035E0" w:rsidRDefault="00342FA0" w:rsidP="00DB7C91">
      <w:pPr>
        <w:spacing w:after="0" w:line="36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035E0">
        <w:rPr>
          <w:rFonts w:cstheme="minorHAnsi"/>
          <w:b/>
          <w:sz w:val="28"/>
          <w:szCs w:val="28"/>
        </w:rPr>
        <w:t>THE KENYA NATIONAL COMMISION ON HUMAN RIGHTS</w:t>
      </w:r>
    </w:p>
    <w:p w:rsidR="00342FA0" w:rsidRPr="007035E0" w:rsidRDefault="00342FA0" w:rsidP="00DB7C9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42FA0" w:rsidRPr="007035E0" w:rsidRDefault="00342FA0" w:rsidP="00DB7C9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42FA0" w:rsidRPr="007035E0" w:rsidRDefault="00342FA0" w:rsidP="00DB7C9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B25E44" w:rsidRDefault="00342FA0" w:rsidP="00DB7C91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035E0">
        <w:rPr>
          <w:rFonts w:cstheme="minorHAnsi"/>
          <w:b/>
          <w:sz w:val="28"/>
          <w:szCs w:val="28"/>
        </w:rPr>
        <w:t xml:space="preserve">ADVISORY ON </w:t>
      </w:r>
    </w:p>
    <w:p w:rsidR="007035E0" w:rsidRPr="007035E0" w:rsidRDefault="00342FA0" w:rsidP="00DB7C91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035E0">
        <w:rPr>
          <w:rFonts w:cstheme="minorHAnsi"/>
          <w:b/>
          <w:sz w:val="28"/>
          <w:szCs w:val="28"/>
        </w:rPr>
        <w:t xml:space="preserve">THE </w:t>
      </w:r>
      <w:r w:rsidR="007035E0" w:rsidRPr="007035E0">
        <w:rPr>
          <w:rFonts w:cstheme="minorHAnsi"/>
          <w:b/>
          <w:sz w:val="28"/>
          <w:szCs w:val="28"/>
        </w:rPr>
        <w:t>DRAFT PRINCIPLES AND GUIDELINES ON THE RIGHT TO CHALLENGE THE LAWFULNESS OF DETENTION BEFORE COURT</w:t>
      </w:r>
    </w:p>
    <w:p w:rsidR="007035E0" w:rsidRPr="007035E0" w:rsidRDefault="007035E0" w:rsidP="00DB7C91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360325" w:rsidRDefault="00360325" w:rsidP="007035E0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7035E0" w:rsidRPr="00360325" w:rsidRDefault="00250848" w:rsidP="007035E0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360325">
        <w:rPr>
          <w:rFonts w:cstheme="minorHAnsi"/>
          <w:b/>
          <w:i/>
          <w:sz w:val="24"/>
          <w:szCs w:val="24"/>
        </w:rPr>
        <w:t xml:space="preserve">PRESENTED </w:t>
      </w:r>
      <w:r w:rsidR="007035E0" w:rsidRPr="00360325">
        <w:rPr>
          <w:rFonts w:cstheme="minorHAnsi"/>
          <w:b/>
          <w:i/>
          <w:sz w:val="24"/>
          <w:szCs w:val="24"/>
        </w:rPr>
        <w:t xml:space="preserve">TO </w:t>
      </w:r>
    </w:p>
    <w:p w:rsidR="007035E0" w:rsidRDefault="007035E0" w:rsidP="007035E0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7035E0" w:rsidRDefault="007035E0" w:rsidP="007035E0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360325" w:rsidRDefault="00360325" w:rsidP="007035E0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7035E0" w:rsidRDefault="007035E0" w:rsidP="007035E0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42FA0">
        <w:rPr>
          <w:rFonts w:cstheme="minorHAnsi"/>
          <w:b/>
          <w:sz w:val="28"/>
          <w:szCs w:val="28"/>
        </w:rPr>
        <w:t xml:space="preserve">THE WORKING GROUP </w:t>
      </w:r>
      <w:r>
        <w:rPr>
          <w:rFonts w:cstheme="minorHAnsi"/>
          <w:b/>
          <w:sz w:val="28"/>
          <w:szCs w:val="28"/>
        </w:rPr>
        <w:t>ON</w:t>
      </w:r>
      <w:r w:rsidRPr="00342FA0">
        <w:rPr>
          <w:rFonts w:cstheme="minorHAnsi"/>
          <w:b/>
          <w:sz w:val="28"/>
          <w:szCs w:val="28"/>
        </w:rPr>
        <w:t xml:space="preserve"> ARBITRARY DETENTION</w:t>
      </w:r>
    </w:p>
    <w:p w:rsidR="00342FA0" w:rsidRDefault="00342FA0" w:rsidP="00DB7C91">
      <w:pPr>
        <w:tabs>
          <w:tab w:val="left" w:pos="39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342FA0" w:rsidRPr="007035E0" w:rsidRDefault="004976BF" w:rsidP="007035E0">
      <w:pPr>
        <w:tabs>
          <w:tab w:val="left" w:pos="39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035E0">
        <w:rPr>
          <w:rFonts w:cstheme="minorHAnsi"/>
          <w:b/>
          <w:sz w:val="24"/>
          <w:szCs w:val="24"/>
        </w:rPr>
        <w:t>A. Introduction</w:t>
      </w:r>
    </w:p>
    <w:p w:rsidR="003D4E0C" w:rsidRPr="007035E0" w:rsidRDefault="004976BF" w:rsidP="007035E0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035E0">
        <w:rPr>
          <w:rFonts w:cstheme="minorHAnsi"/>
          <w:b/>
          <w:sz w:val="24"/>
          <w:szCs w:val="24"/>
        </w:rPr>
        <w:tab/>
      </w:r>
      <w:r w:rsidRPr="007035E0">
        <w:rPr>
          <w:rFonts w:cstheme="minorHAnsi"/>
          <w:sz w:val="24"/>
          <w:szCs w:val="24"/>
        </w:rPr>
        <w:t xml:space="preserve">The Kenya National Commission on Human Rights (KNCHR) welcomes the development of </w:t>
      </w:r>
      <w:r w:rsidR="00250848" w:rsidRPr="007035E0">
        <w:rPr>
          <w:rFonts w:cstheme="minorHAnsi"/>
          <w:sz w:val="24"/>
          <w:szCs w:val="24"/>
        </w:rPr>
        <w:t>the</w:t>
      </w:r>
      <w:r w:rsidR="00531E91" w:rsidRPr="007035E0">
        <w:rPr>
          <w:rFonts w:cstheme="minorHAnsi"/>
          <w:sz w:val="24"/>
          <w:szCs w:val="24"/>
        </w:rPr>
        <w:t xml:space="preserve"> Dr</w:t>
      </w:r>
      <w:r w:rsidR="00531E91" w:rsidRPr="007035E0">
        <w:rPr>
          <w:rFonts w:eastAsia="Times New Roman"/>
          <w:sz w:val="24"/>
          <w:szCs w:val="24"/>
        </w:rPr>
        <w:t xml:space="preserve">aft Principles and Guidelines on the Right to Challenge the Lawfulness of Detention before Court </w:t>
      </w:r>
      <w:r w:rsidR="007035E0" w:rsidRPr="007035E0">
        <w:rPr>
          <w:rFonts w:cstheme="minorHAnsi"/>
          <w:sz w:val="24"/>
          <w:szCs w:val="24"/>
        </w:rPr>
        <w:t>by the</w:t>
      </w:r>
      <w:r w:rsidR="00531E91" w:rsidRPr="007035E0">
        <w:rPr>
          <w:rFonts w:cstheme="minorHAnsi"/>
          <w:sz w:val="24"/>
          <w:szCs w:val="24"/>
        </w:rPr>
        <w:t xml:space="preserve"> Working Group on Arbitrary Detention (WGAD). </w:t>
      </w:r>
      <w:r w:rsidR="00531E91" w:rsidRPr="007035E0">
        <w:rPr>
          <w:rFonts w:eastAsia="Times New Roman"/>
          <w:sz w:val="24"/>
          <w:szCs w:val="24"/>
        </w:rPr>
        <w:t> </w:t>
      </w:r>
      <w:r w:rsidRPr="007035E0">
        <w:rPr>
          <w:rFonts w:cstheme="minorHAnsi"/>
          <w:bCs/>
          <w:sz w:val="24"/>
          <w:szCs w:val="24"/>
        </w:rPr>
        <w:t xml:space="preserve">The commission </w:t>
      </w:r>
      <w:r w:rsidRPr="007035E0">
        <w:rPr>
          <w:rFonts w:cstheme="minorHAnsi"/>
          <w:sz w:val="24"/>
          <w:szCs w:val="24"/>
        </w:rPr>
        <w:t>lauds th</w:t>
      </w:r>
      <w:r w:rsidR="00531E91" w:rsidRPr="007035E0">
        <w:rPr>
          <w:rFonts w:cstheme="minorHAnsi"/>
          <w:sz w:val="24"/>
          <w:szCs w:val="24"/>
        </w:rPr>
        <w:t xml:space="preserve">e States, </w:t>
      </w:r>
      <w:r w:rsidRPr="007035E0">
        <w:rPr>
          <w:rFonts w:cstheme="minorHAnsi"/>
          <w:sz w:val="24"/>
          <w:szCs w:val="24"/>
        </w:rPr>
        <w:t>organizations</w:t>
      </w:r>
      <w:r w:rsidR="00D41705" w:rsidRPr="007035E0">
        <w:rPr>
          <w:rFonts w:cstheme="minorHAnsi"/>
          <w:sz w:val="24"/>
          <w:szCs w:val="24"/>
        </w:rPr>
        <w:t xml:space="preserve"> and individuals</w:t>
      </w:r>
      <w:r w:rsidRPr="007035E0">
        <w:rPr>
          <w:rFonts w:cstheme="minorHAnsi"/>
          <w:sz w:val="24"/>
          <w:szCs w:val="24"/>
        </w:rPr>
        <w:t xml:space="preserve"> that </w:t>
      </w:r>
      <w:r w:rsidR="00531E91" w:rsidRPr="007035E0">
        <w:rPr>
          <w:rFonts w:cstheme="minorHAnsi"/>
          <w:sz w:val="24"/>
          <w:szCs w:val="24"/>
        </w:rPr>
        <w:t xml:space="preserve">contributed </w:t>
      </w:r>
      <w:r w:rsidR="007035E0" w:rsidRPr="007035E0">
        <w:rPr>
          <w:rFonts w:cstheme="minorHAnsi"/>
          <w:sz w:val="24"/>
          <w:szCs w:val="24"/>
        </w:rPr>
        <w:t>to the</w:t>
      </w:r>
      <w:r w:rsidR="00D41705" w:rsidRPr="007035E0">
        <w:rPr>
          <w:rFonts w:cstheme="minorHAnsi"/>
          <w:sz w:val="24"/>
          <w:szCs w:val="24"/>
        </w:rPr>
        <w:t xml:space="preserve"> successful</w:t>
      </w:r>
      <w:r w:rsidRPr="007035E0">
        <w:rPr>
          <w:rFonts w:cstheme="minorHAnsi"/>
          <w:sz w:val="24"/>
          <w:szCs w:val="24"/>
        </w:rPr>
        <w:t xml:space="preserve"> preparation of the </w:t>
      </w:r>
      <w:r w:rsidR="009C1DA9">
        <w:rPr>
          <w:rFonts w:cstheme="minorHAnsi"/>
          <w:sz w:val="24"/>
          <w:szCs w:val="24"/>
        </w:rPr>
        <w:t xml:space="preserve">preliminary </w:t>
      </w:r>
      <w:r w:rsidR="00531E91" w:rsidRPr="007035E0">
        <w:rPr>
          <w:rFonts w:cstheme="minorHAnsi"/>
          <w:sz w:val="24"/>
          <w:szCs w:val="24"/>
        </w:rPr>
        <w:t xml:space="preserve">draft </w:t>
      </w:r>
      <w:r w:rsidRPr="007035E0">
        <w:rPr>
          <w:rFonts w:cstheme="minorHAnsi"/>
          <w:sz w:val="24"/>
          <w:szCs w:val="24"/>
        </w:rPr>
        <w:t xml:space="preserve">and </w:t>
      </w:r>
      <w:r w:rsidRPr="007035E0">
        <w:rPr>
          <w:rFonts w:cstheme="minorHAnsi"/>
          <w:bCs/>
          <w:sz w:val="24"/>
          <w:szCs w:val="24"/>
        </w:rPr>
        <w:t>welcomes th</w:t>
      </w:r>
      <w:r w:rsidR="009C1DA9">
        <w:rPr>
          <w:rFonts w:cstheme="minorHAnsi"/>
          <w:bCs/>
          <w:sz w:val="24"/>
          <w:szCs w:val="24"/>
        </w:rPr>
        <w:t xml:space="preserve">e </w:t>
      </w:r>
      <w:r w:rsidRPr="007035E0">
        <w:rPr>
          <w:rFonts w:cstheme="minorHAnsi"/>
          <w:bCs/>
          <w:sz w:val="24"/>
          <w:szCs w:val="24"/>
        </w:rPr>
        <w:t xml:space="preserve">opportunity to </w:t>
      </w:r>
      <w:r w:rsidR="00250848" w:rsidRPr="007035E0">
        <w:rPr>
          <w:rFonts w:cstheme="minorHAnsi"/>
          <w:bCs/>
          <w:sz w:val="24"/>
          <w:szCs w:val="24"/>
        </w:rPr>
        <w:t xml:space="preserve">provide its </w:t>
      </w:r>
      <w:r w:rsidRPr="007035E0">
        <w:rPr>
          <w:rFonts w:cstheme="minorHAnsi"/>
          <w:bCs/>
          <w:sz w:val="24"/>
          <w:szCs w:val="24"/>
        </w:rPr>
        <w:t>comment</w:t>
      </w:r>
      <w:r w:rsidR="00350BB6" w:rsidRPr="007035E0">
        <w:rPr>
          <w:rFonts w:cstheme="minorHAnsi"/>
          <w:bCs/>
          <w:sz w:val="24"/>
          <w:szCs w:val="24"/>
        </w:rPr>
        <w:t xml:space="preserve">s. </w:t>
      </w:r>
    </w:p>
    <w:p w:rsidR="004976BF" w:rsidRPr="007035E0" w:rsidRDefault="004976BF" w:rsidP="007035E0">
      <w:pPr>
        <w:tabs>
          <w:tab w:val="left" w:pos="2680"/>
          <w:tab w:val="left" w:pos="39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035E0">
        <w:rPr>
          <w:rFonts w:cstheme="minorHAnsi"/>
          <w:b/>
          <w:sz w:val="24"/>
          <w:szCs w:val="24"/>
        </w:rPr>
        <w:t>B. General Comments</w:t>
      </w:r>
    </w:p>
    <w:p w:rsidR="00D41705" w:rsidRPr="007035E0" w:rsidRDefault="00D41705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5E0">
        <w:rPr>
          <w:rFonts w:asciiTheme="minorHAnsi" w:hAnsiTheme="minorHAnsi" w:cstheme="minorHAnsi"/>
          <w:sz w:val="24"/>
          <w:szCs w:val="24"/>
        </w:rPr>
        <w:t xml:space="preserve">KNCHR commends the </w:t>
      </w:r>
      <w:r w:rsidR="007035E0" w:rsidRPr="007035E0">
        <w:rPr>
          <w:rFonts w:asciiTheme="minorHAnsi" w:hAnsiTheme="minorHAnsi" w:cstheme="minorHAnsi"/>
          <w:sz w:val="24"/>
          <w:szCs w:val="24"/>
        </w:rPr>
        <w:t>WGAD for</w:t>
      </w:r>
      <w:r w:rsidRPr="007035E0">
        <w:rPr>
          <w:rFonts w:asciiTheme="minorHAnsi" w:hAnsiTheme="minorHAnsi" w:cstheme="minorHAnsi"/>
          <w:sz w:val="24"/>
          <w:szCs w:val="24"/>
        </w:rPr>
        <w:t xml:space="preserve"> being the first charter-based mechanism that takes into account individual complaints from all over the world.  The right of an individual to petition is in itself a core aspect of </w:t>
      </w:r>
      <w:r w:rsidR="009C1DA9">
        <w:rPr>
          <w:rFonts w:asciiTheme="minorHAnsi" w:hAnsiTheme="minorHAnsi" w:cstheme="minorHAnsi"/>
          <w:sz w:val="24"/>
          <w:szCs w:val="24"/>
        </w:rPr>
        <w:t xml:space="preserve">the right to fair trial. </w:t>
      </w:r>
    </w:p>
    <w:p w:rsidR="00A35995" w:rsidRDefault="00D41705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5995">
        <w:rPr>
          <w:rFonts w:asciiTheme="minorHAnsi" w:hAnsiTheme="minorHAnsi" w:cstheme="minorHAnsi"/>
          <w:sz w:val="24"/>
          <w:szCs w:val="24"/>
        </w:rPr>
        <w:t xml:space="preserve">The </w:t>
      </w:r>
      <w:r w:rsidR="00DB7C91" w:rsidRPr="00A35995">
        <w:rPr>
          <w:rFonts w:asciiTheme="minorHAnsi" w:hAnsiTheme="minorHAnsi" w:cstheme="minorHAnsi"/>
          <w:sz w:val="24"/>
          <w:szCs w:val="24"/>
        </w:rPr>
        <w:t>international and</w:t>
      </w:r>
      <w:r w:rsidRPr="00A35995">
        <w:rPr>
          <w:rFonts w:asciiTheme="minorHAnsi" w:hAnsiTheme="minorHAnsi" w:cstheme="minorHAnsi"/>
          <w:sz w:val="24"/>
          <w:szCs w:val="24"/>
        </w:rPr>
        <w:t xml:space="preserve"> regional legal framework is well provided for as the standards are set in jurisprudence</w:t>
      </w:r>
      <w:r w:rsidR="00250848" w:rsidRPr="00A35995">
        <w:rPr>
          <w:rFonts w:asciiTheme="minorHAnsi" w:hAnsiTheme="minorHAnsi" w:cstheme="minorHAnsi"/>
          <w:sz w:val="24"/>
          <w:szCs w:val="24"/>
        </w:rPr>
        <w:t xml:space="preserve">; KNCHR </w:t>
      </w:r>
      <w:r w:rsidR="00350BB6" w:rsidRPr="00A35995">
        <w:rPr>
          <w:rFonts w:asciiTheme="minorHAnsi" w:hAnsiTheme="minorHAnsi" w:cstheme="minorHAnsi"/>
          <w:sz w:val="24"/>
          <w:szCs w:val="24"/>
        </w:rPr>
        <w:t xml:space="preserve">therefore </w:t>
      </w:r>
      <w:r w:rsidR="00250848" w:rsidRPr="00A35995">
        <w:rPr>
          <w:rFonts w:asciiTheme="minorHAnsi" w:hAnsiTheme="minorHAnsi" w:cstheme="minorHAnsi"/>
          <w:sz w:val="24"/>
          <w:szCs w:val="24"/>
        </w:rPr>
        <w:t>appreciate</w:t>
      </w:r>
      <w:r w:rsidR="00350BB6" w:rsidRPr="00A35995">
        <w:rPr>
          <w:rFonts w:asciiTheme="minorHAnsi" w:hAnsiTheme="minorHAnsi" w:cstheme="minorHAnsi"/>
          <w:sz w:val="24"/>
          <w:szCs w:val="24"/>
        </w:rPr>
        <w:t>s</w:t>
      </w:r>
      <w:r w:rsidR="00250848" w:rsidRPr="00A35995">
        <w:rPr>
          <w:rFonts w:asciiTheme="minorHAnsi" w:hAnsiTheme="minorHAnsi" w:cstheme="minorHAnsi"/>
          <w:sz w:val="24"/>
          <w:szCs w:val="24"/>
        </w:rPr>
        <w:t xml:space="preserve"> the recognition</w:t>
      </w:r>
      <w:r w:rsidR="00350BB6" w:rsidRPr="00A35995">
        <w:rPr>
          <w:rFonts w:asciiTheme="minorHAnsi" w:hAnsiTheme="minorHAnsi" w:cstheme="minorHAnsi"/>
          <w:sz w:val="24"/>
          <w:szCs w:val="24"/>
        </w:rPr>
        <w:t xml:space="preserve"> and </w:t>
      </w:r>
      <w:r w:rsidR="007035E0" w:rsidRPr="00A35995">
        <w:rPr>
          <w:rFonts w:asciiTheme="minorHAnsi" w:hAnsiTheme="minorHAnsi" w:cstheme="minorHAnsi"/>
          <w:sz w:val="24"/>
          <w:szCs w:val="24"/>
        </w:rPr>
        <w:t xml:space="preserve">inclusion </w:t>
      </w:r>
      <w:r w:rsidR="00A35995" w:rsidRPr="00A35995">
        <w:rPr>
          <w:rFonts w:asciiTheme="minorHAnsi" w:hAnsiTheme="minorHAnsi" w:cstheme="minorHAnsi"/>
          <w:sz w:val="24"/>
          <w:szCs w:val="24"/>
        </w:rPr>
        <w:t>of the Guidelines on Conditions of Police Custody and Pretrial Detention in Africa (the Luanda Protocol)</w:t>
      </w:r>
      <w:r w:rsidR="007035E0" w:rsidRPr="00A35995">
        <w:rPr>
          <w:rFonts w:asciiTheme="minorHAnsi" w:hAnsiTheme="minorHAnsi" w:cstheme="minorHAnsi"/>
          <w:sz w:val="24"/>
          <w:szCs w:val="24"/>
        </w:rPr>
        <w:t xml:space="preserve"> by</w:t>
      </w:r>
      <w:r w:rsidR="00350BB6" w:rsidRPr="00A35995">
        <w:rPr>
          <w:rFonts w:asciiTheme="minorHAnsi" w:hAnsiTheme="minorHAnsi" w:cstheme="minorHAnsi"/>
          <w:sz w:val="24"/>
          <w:szCs w:val="24"/>
        </w:rPr>
        <w:t xml:space="preserve"> the WGAD </w:t>
      </w:r>
      <w:r w:rsidR="00531E91" w:rsidRPr="00A35995">
        <w:rPr>
          <w:rFonts w:asciiTheme="minorHAnsi" w:hAnsiTheme="minorHAnsi" w:cstheme="minorHAnsi"/>
          <w:sz w:val="24"/>
          <w:szCs w:val="24"/>
        </w:rPr>
        <w:t xml:space="preserve">in the development of the </w:t>
      </w:r>
      <w:r w:rsidR="00A35995" w:rsidRPr="00A35995">
        <w:rPr>
          <w:rFonts w:asciiTheme="minorHAnsi" w:hAnsiTheme="minorHAnsi" w:cstheme="minorHAnsi"/>
          <w:sz w:val="24"/>
          <w:szCs w:val="24"/>
        </w:rPr>
        <w:t xml:space="preserve">preliminary </w:t>
      </w:r>
      <w:r w:rsidR="00350BB6" w:rsidRPr="00A35995">
        <w:rPr>
          <w:rFonts w:asciiTheme="minorHAnsi" w:hAnsiTheme="minorHAnsi" w:cstheme="minorHAnsi"/>
          <w:sz w:val="24"/>
          <w:szCs w:val="24"/>
        </w:rPr>
        <w:t>draft</w:t>
      </w:r>
      <w:r w:rsidR="00A35995" w:rsidRPr="00A35995">
        <w:rPr>
          <w:rFonts w:asciiTheme="minorHAnsi" w:hAnsiTheme="minorHAnsi" w:cstheme="minorHAnsi"/>
          <w:sz w:val="24"/>
          <w:szCs w:val="24"/>
        </w:rPr>
        <w:t>.</w:t>
      </w:r>
      <w:r w:rsidR="00350BB6" w:rsidRPr="00A359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2FA0" w:rsidRPr="00A35995" w:rsidRDefault="00D41705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5995">
        <w:rPr>
          <w:rFonts w:asciiTheme="minorHAnsi" w:hAnsiTheme="minorHAnsi" w:cstheme="minorHAnsi"/>
          <w:sz w:val="24"/>
          <w:szCs w:val="24"/>
        </w:rPr>
        <w:t xml:space="preserve">KNCHR </w:t>
      </w:r>
      <w:r w:rsidR="007035E0" w:rsidRPr="00A35995">
        <w:rPr>
          <w:rFonts w:asciiTheme="minorHAnsi" w:hAnsiTheme="minorHAnsi" w:cstheme="minorHAnsi"/>
          <w:sz w:val="24"/>
          <w:szCs w:val="24"/>
        </w:rPr>
        <w:t xml:space="preserve">notes that the draft Principles and Guidelines </w:t>
      </w:r>
      <w:r w:rsidR="007048C1" w:rsidRPr="00A35995">
        <w:rPr>
          <w:rFonts w:asciiTheme="minorHAnsi" w:hAnsiTheme="minorHAnsi" w:cstheme="minorHAnsi"/>
          <w:sz w:val="24"/>
          <w:szCs w:val="24"/>
        </w:rPr>
        <w:t xml:space="preserve">create </w:t>
      </w:r>
      <w:r w:rsidR="00DB7C91" w:rsidRPr="00A35995">
        <w:rPr>
          <w:rFonts w:asciiTheme="minorHAnsi" w:hAnsiTheme="minorHAnsi" w:cstheme="minorHAnsi"/>
          <w:sz w:val="24"/>
          <w:szCs w:val="24"/>
        </w:rPr>
        <w:t xml:space="preserve">various State obligations </w:t>
      </w:r>
      <w:r w:rsidR="007048C1" w:rsidRPr="00A35995">
        <w:rPr>
          <w:rFonts w:asciiTheme="minorHAnsi" w:hAnsiTheme="minorHAnsi" w:cstheme="minorHAnsi"/>
          <w:sz w:val="24"/>
          <w:szCs w:val="24"/>
        </w:rPr>
        <w:t xml:space="preserve">and it therefore </w:t>
      </w:r>
      <w:r w:rsidRPr="00A35995">
        <w:rPr>
          <w:rFonts w:asciiTheme="minorHAnsi" w:hAnsiTheme="minorHAnsi" w:cstheme="minorHAnsi"/>
          <w:sz w:val="24"/>
          <w:szCs w:val="24"/>
        </w:rPr>
        <w:t>propos</w:t>
      </w:r>
      <w:r w:rsidR="00DB7C91" w:rsidRPr="00A35995">
        <w:rPr>
          <w:rFonts w:asciiTheme="minorHAnsi" w:hAnsiTheme="minorHAnsi" w:cstheme="minorHAnsi"/>
          <w:sz w:val="24"/>
          <w:szCs w:val="24"/>
        </w:rPr>
        <w:t>e</w:t>
      </w:r>
      <w:r w:rsidR="007048C1" w:rsidRPr="00A35995">
        <w:rPr>
          <w:rFonts w:asciiTheme="minorHAnsi" w:hAnsiTheme="minorHAnsi" w:cstheme="minorHAnsi"/>
          <w:sz w:val="24"/>
          <w:szCs w:val="24"/>
        </w:rPr>
        <w:t>s</w:t>
      </w:r>
      <w:r w:rsidRPr="00A35995">
        <w:rPr>
          <w:rFonts w:asciiTheme="minorHAnsi" w:hAnsiTheme="minorHAnsi" w:cstheme="minorHAnsi"/>
          <w:sz w:val="24"/>
          <w:szCs w:val="24"/>
        </w:rPr>
        <w:t xml:space="preserve"> </w:t>
      </w:r>
      <w:r w:rsidR="00A87E37">
        <w:rPr>
          <w:rFonts w:asciiTheme="minorHAnsi" w:hAnsiTheme="minorHAnsi" w:cstheme="minorHAnsi"/>
          <w:sz w:val="24"/>
          <w:szCs w:val="24"/>
        </w:rPr>
        <w:t xml:space="preserve">inclusion of </w:t>
      </w:r>
      <w:r w:rsidRPr="00A35995">
        <w:rPr>
          <w:rFonts w:asciiTheme="minorHAnsi" w:hAnsiTheme="minorHAnsi" w:cstheme="minorHAnsi"/>
          <w:sz w:val="24"/>
          <w:szCs w:val="24"/>
        </w:rPr>
        <w:t>a</w:t>
      </w:r>
      <w:r w:rsidR="007048C1" w:rsidRPr="00A35995">
        <w:rPr>
          <w:rFonts w:asciiTheme="minorHAnsi" w:hAnsiTheme="minorHAnsi" w:cstheme="minorHAnsi"/>
          <w:sz w:val="24"/>
          <w:szCs w:val="24"/>
        </w:rPr>
        <w:t xml:space="preserve">n in-built </w:t>
      </w:r>
      <w:r w:rsidR="00A87E37">
        <w:rPr>
          <w:rFonts w:asciiTheme="minorHAnsi" w:hAnsiTheme="minorHAnsi" w:cstheme="minorHAnsi"/>
          <w:sz w:val="24"/>
          <w:szCs w:val="24"/>
        </w:rPr>
        <w:t xml:space="preserve">oversight </w:t>
      </w:r>
      <w:r w:rsidR="007048C1" w:rsidRPr="00A35995">
        <w:rPr>
          <w:rFonts w:asciiTheme="minorHAnsi" w:hAnsiTheme="minorHAnsi" w:cstheme="minorHAnsi"/>
          <w:sz w:val="24"/>
          <w:szCs w:val="24"/>
        </w:rPr>
        <w:t xml:space="preserve">mechanism to </w:t>
      </w:r>
      <w:r w:rsidR="001A4D29" w:rsidRPr="00A35995">
        <w:rPr>
          <w:rFonts w:asciiTheme="minorHAnsi" w:hAnsiTheme="minorHAnsi" w:cstheme="minorHAnsi"/>
          <w:sz w:val="24"/>
          <w:szCs w:val="24"/>
        </w:rPr>
        <w:t xml:space="preserve">provide </w:t>
      </w:r>
      <w:r w:rsidR="00F9153B" w:rsidRPr="00A35995">
        <w:rPr>
          <w:rFonts w:asciiTheme="minorHAnsi" w:hAnsiTheme="minorHAnsi" w:cstheme="minorHAnsi"/>
          <w:sz w:val="24"/>
          <w:szCs w:val="24"/>
        </w:rPr>
        <w:t>for mandatory</w:t>
      </w:r>
      <w:r w:rsidR="00DB7C91" w:rsidRPr="00A35995">
        <w:rPr>
          <w:rFonts w:asciiTheme="minorHAnsi" w:hAnsiTheme="minorHAnsi" w:cstheme="minorHAnsi"/>
          <w:sz w:val="24"/>
          <w:szCs w:val="24"/>
        </w:rPr>
        <w:t xml:space="preserve"> </w:t>
      </w:r>
      <w:r w:rsidR="0062111A" w:rsidRPr="00A35995">
        <w:rPr>
          <w:rFonts w:asciiTheme="minorHAnsi" w:hAnsiTheme="minorHAnsi" w:cstheme="minorHAnsi"/>
          <w:sz w:val="24"/>
          <w:szCs w:val="24"/>
        </w:rPr>
        <w:t>state reporting</w:t>
      </w:r>
      <w:r w:rsidR="00DB7C91" w:rsidRPr="00A35995">
        <w:rPr>
          <w:rFonts w:asciiTheme="minorHAnsi" w:hAnsiTheme="minorHAnsi" w:cstheme="minorHAnsi"/>
          <w:sz w:val="24"/>
          <w:szCs w:val="24"/>
        </w:rPr>
        <w:t xml:space="preserve"> on the progress of </w:t>
      </w:r>
      <w:r w:rsidR="001A4D29" w:rsidRPr="00A35995">
        <w:rPr>
          <w:rFonts w:asciiTheme="minorHAnsi" w:hAnsiTheme="minorHAnsi" w:cstheme="minorHAnsi"/>
          <w:sz w:val="24"/>
          <w:szCs w:val="24"/>
        </w:rPr>
        <w:t xml:space="preserve">the </w:t>
      </w:r>
      <w:r w:rsidR="00DB7C91" w:rsidRPr="00A35995">
        <w:rPr>
          <w:rFonts w:asciiTheme="minorHAnsi" w:hAnsiTheme="minorHAnsi" w:cstheme="minorHAnsi"/>
          <w:sz w:val="24"/>
          <w:szCs w:val="24"/>
        </w:rPr>
        <w:t xml:space="preserve">implementation and fulfillment of </w:t>
      </w:r>
      <w:r w:rsidR="001A4D29" w:rsidRPr="00A35995">
        <w:rPr>
          <w:rFonts w:asciiTheme="minorHAnsi" w:hAnsiTheme="minorHAnsi" w:cstheme="minorHAnsi"/>
          <w:sz w:val="24"/>
          <w:szCs w:val="24"/>
        </w:rPr>
        <w:t xml:space="preserve">their </w:t>
      </w:r>
      <w:r w:rsidR="00DB7C91" w:rsidRPr="00A35995">
        <w:rPr>
          <w:rFonts w:asciiTheme="minorHAnsi" w:hAnsiTheme="minorHAnsi" w:cstheme="minorHAnsi"/>
          <w:sz w:val="24"/>
          <w:szCs w:val="24"/>
        </w:rPr>
        <w:t>obligations</w:t>
      </w:r>
      <w:r w:rsidR="001A4D29" w:rsidRPr="00A35995">
        <w:rPr>
          <w:rFonts w:asciiTheme="minorHAnsi" w:hAnsiTheme="minorHAnsi" w:cstheme="minorHAnsi"/>
          <w:sz w:val="24"/>
          <w:szCs w:val="24"/>
        </w:rPr>
        <w:t xml:space="preserve"> </w:t>
      </w:r>
      <w:r w:rsidR="00F9153B" w:rsidRPr="00A35995">
        <w:rPr>
          <w:rFonts w:asciiTheme="minorHAnsi" w:hAnsiTheme="minorHAnsi" w:cstheme="minorHAnsi"/>
          <w:sz w:val="24"/>
          <w:szCs w:val="24"/>
        </w:rPr>
        <w:t>therein</w:t>
      </w:r>
      <w:r w:rsidR="00DB7C91" w:rsidRPr="00A35995">
        <w:rPr>
          <w:rFonts w:asciiTheme="minorHAnsi" w:hAnsiTheme="minorHAnsi" w:cstheme="minorHAnsi"/>
          <w:sz w:val="24"/>
          <w:szCs w:val="24"/>
        </w:rPr>
        <w:t>.</w:t>
      </w:r>
    </w:p>
    <w:p w:rsidR="001A4D29" w:rsidRPr="0062111A" w:rsidRDefault="002B3707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111A">
        <w:rPr>
          <w:rFonts w:asciiTheme="minorHAnsi" w:hAnsiTheme="minorHAnsi" w:cstheme="minorHAnsi"/>
          <w:sz w:val="24"/>
          <w:szCs w:val="24"/>
        </w:rPr>
        <w:t xml:space="preserve">In exercise of the right to challenge unlawful detention by vulnerable groups, KNCHR proposes that </w:t>
      </w:r>
      <w:r w:rsidR="001A4D29" w:rsidRPr="0062111A">
        <w:rPr>
          <w:rFonts w:asciiTheme="minorHAnsi" w:hAnsiTheme="minorHAnsi" w:cstheme="minorHAnsi"/>
          <w:sz w:val="24"/>
          <w:szCs w:val="24"/>
        </w:rPr>
        <w:t xml:space="preserve">the </w:t>
      </w:r>
      <w:r w:rsidR="0062111A" w:rsidRPr="0062111A">
        <w:rPr>
          <w:rFonts w:asciiTheme="minorHAnsi" w:hAnsiTheme="minorHAnsi" w:cstheme="minorHAnsi"/>
          <w:sz w:val="24"/>
          <w:szCs w:val="24"/>
        </w:rPr>
        <w:t xml:space="preserve">provisions with regard to </w:t>
      </w:r>
      <w:r w:rsidRPr="0062111A">
        <w:rPr>
          <w:rFonts w:asciiTheme="minorHAnsi" w:hAnsiTheme="minorHAnsi" w:cstheme="minorHAnsi"/>
          <w:sz w:val="24"/>
          <w:szCs w:val="24"/>
        </w:rPr>
        <w:t>persons with disability</w:t>
      </w:r>
      <w:r w:rsidR="001A4D29" w:rsidRPr="0062111A">
        <w:rPr>
          <w:rFonts w:asciiTheme="minorHAnsi" w:hAnsiTheme="minorHAnsi" w:cstheme="minorHAnsi"/>
          <w:sz w:val="24"/>
          <w:szCs w:val="24"/>
        </w:rPr>
        <w:t xml:space="preserve"> (PWDs)</w:t>
      </w:r>
      <w:r w:rsidRPr="0062111A">
        <w:rPr>
          <w:rFonts w:asciiTheme="minorHAnsi" w:hAnsiTheme="minorHAnsi" w:cstheme="minorHAnsi"/>
          <w:sz w:val="24"/>
          <w:szCs w:val="24"/>
        </w:rPr>
        <w:t xml:space="preserve"> be </w:t>
      </w:r>
      <w:r w:rsidR="00F54DDB" w:rsidRPr="0062111A">
        <w:rPr>
          <w:rFonts w:asciiTheme="minorHAnsi" w:hAnsiTheme="minorHAnsi" w:cstheme="minorHAnsi"/>
          <w:sz w:val="24"/>
          <w:szCs w:val="24"/>
        </w:rPr>
        <w:t xml:space="preserve">strengthened </w:t>
      </w:r>
      <w:r w:rsidR="00A87E37">
        <w:rPr>
          <w:rFonts w:asciiTheme="minorHAnsi" w:hAnsiTheme="minorHAnsi" w:cstheme="minorHAnsi"/>
          <w:sz w:val="24"/>
          <w:szCs w:val="24"/>
        </w:rPr>
        <w:t xml:space="preserve">since </w:t>
      </w:r>
      <w:r w:rsidRPr="0062111A">
        <w:rPr>
          <w:rFonts w:asciiTheme="minorHAnsi" w:hAnsiTheme="minorHAnsi" w:cstheme="minorHAnsi"/>
          <w:sz w:val="24"/>
          <w:szCs w:val="24"/>
        </w:rPr>
        <w:t xml:space="preserve">they face unique challenges and </w:t>
      </w:r>
      <w:r w:rsidR="00F9153B" w:rsidRPr="0062111A">
        <w:rPr>
          <w:rFonts w:asciiTheme="minorHAnsi" w:hAnsiTheme="minorHAnsi" w:cstheme="minorHAnsi"/>
          <w:sz w:val="24"/>
          <w:szCs w:val="24"/>
        </w:rPr>
        <w:t>often,</w:t>
      </w:r>
      <w:r w:rsidR="001A4D29" w:rsidRPr="0062111A">
        <w:rPr>
          <w:rFonts w:asciiTheme="minorHAnsi" w:hAnsiTheme="minorHAnsi" w:cstheme="minorHAnsi"/>
          <w:sz w:val="24"/>
          <w:szCs w:val="24"/>
        </w:rPr>
        <w:t xml:space="preserve"> </w:t>
      </w:r>
      <w:r w:rsidR="0062111A" w:rsidRPr="0062111A">
        <w:rPr>
          <w:rFonts w:asciiTheme="minorHAnsi" w:hAnsiTheme="minorHAnsi" w:cstheme="minorHAnsi"/>
          <w:sz w:val="24"/>
          <w:szCs w:val="24"/>
        </w:rPr>
        <w:t>discriminatory treatment</w:t>
      </w:r>
      <w:r w:rsidRPr="0062111A">
        <w:rPr>
          <w:rFonts w:asciiTheme="minorHAnsi" w:hAnsiTheme="minorHAnsi" w:cstheme="minorHAnsi"/>
          <w:sz w:val="24"/>
          <w:szCs w:val="24"/>
        </w:rPr>
        <w:t xml:space="preserve"> </w:t>
      </w:r>
      <w:r w:rsidR="0062111A" w:rsidRPr="0062111A">
        <w:rPr>
          <w:rFonts w:asciiTheme="minorHAnsi" w:hAnsiTheme="minorHAnsi" w:cstheme="minorHAnsi"/>
          <w:sz w:val="24"/>
          <w:szCs w:val="24"/>
        </w:rPr>
        <w:t>when pursuing</w:t>
      </w:r>
      <w:r w:rsidRPr="0062111A">
        <w:rPr>
          <w:rFonts w:asciiTheme="minorHAnsi" w:hAnsiTheme="minorHAnsi" w:cstheme="minorHAnsi"/>
          <w:sz w:val="24"/>
          <w:szCs w:val="24"/>
        </w:rPr>
        <w:t xml:space="preserve"> th</w:t>
      </w:r>
      <w:r w:rsidR="00A87E37">
        <w:rPr>
          <w:rFonts w:asciiTheme="minorHAnsi" w:hAnsiTheme="minorHAnsi" w:cstheme="minorHAnsi"/>
          <w:sz w:val="24"/>
          <w:szCs w:val="24"/>
        </w:rPr>
        <w:t xml:space="preserve">eir </w:t>
      </w:r>
      <w:r w:rsidRPr="0062111A">
        <w:rPr>
          <w:rFonts w:asciiTheme="minorHAnsi" w:hAnsiTheme="minorHAnsi" w:cstheme="minorHAnsi"/>
          <w:sz w:val="24"/>
          <w:szCs w:val="24"/>
        </w:rPr>
        <w:t>right</w:t>
      </w:r>
      <w:r w:rsidR="00A87E37">
        <w:rPr>
          <w:rFonts w:asciiTheme="minorHAnsi" w:hAnsiTheme="minorHAnsi" w:cstheme="minorHAnsi"/>
          <w:sz w:val="24"/>
          <w:szCs w:val="24"/>
        </w:rPr>
        <w:t>s</w:t>
      </w:r>
      <w:r w:rsidRPr="0062111A">
        <w:rPr>
          <w:rFonts w:asciiTheme="minorHAnsi" w:hAnsiTheme="minorHAnsi" w:cstheme="minorHAnsi"/>
          <w:sz w:val="24"/>
          <w:szCs w:val="24"/>
        </w:rPr>
        <w:t xml:space="preserve">. </w:t>
      </w:r>
      <w:r w:rsidR="001A4D29" w:rsidRPr="0062111A">
        <w:rPr>
          <w:rFonts w:asciiTheme="minorHAnsi" w:hAnsiTheme="minorHAnsi" w:cstheme="minorHAnsi"/>
          <w:sz w:val="24"/>
          <w:szCs w:val="24"/>
        </w:rPr>
        <w:t xml:space="preserve">This proposal is advised by KNCHR’s work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as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Kenya’s monitoring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 agency under Art 33 (2) of the C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onvention on the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>R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ights of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>P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ersons with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>D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isabilities (CRPD)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 for the period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February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>2011-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June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>20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14.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Of particular note are provisions on access to information by detainees. The information 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ought to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be provided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in formats that are accessible to PWDs such as 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>Braille or sign language interpret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ation where required, among others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The detention 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facilities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>should also take into account the special needs of PWDs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 as most structures do not take into consideration their special 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lastRenderedPageBreak/>
        <w:t xml:space="preserve">needs. In addition,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it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 is </w:t>
      </w:r>
      <w:r w:rsidR="00A87E37">
        <w:rPr>
          <w:rFonts w:asciiTheme="minorHAnsi" w:hAnsiTheme="minorHAnsi" w:cs="Tahoma"/>
          <w:color w:val="000000"/>
          <w:sz w:val="24"/>
          <w:szCs w:val="24"/>
        </w:rPr>
        <w:t xml:space="preserve">a common occurrence to delay presentation of 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>detained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PWDs to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90493C" w:rsidRPr="0062111A">
        <w:rPr>
          <w:rFonts w:asciiTheme="minorHAnsi" w:hAnsiTheme="minorHAnsi" w:cs="Tahoma"/>
          <w:color w:val="000000"/>
          <w:sz w:val="24"/>
          <w:szCs w:val="24"/>
        </w:rPr>
        <w:t xml:space="preserve">the reviewing body before which 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to pursue </w:t>
      </w:r>
      <w:r w:rsidR="0090493C" w:rsidRPr="0062111A">
        <w:rPr>
          <w:rFonts w:asciiTheme="minorHAnsi" w:hAnsiTheme="minorHAnsi" w:cs="Tahoma"/>
          <w:color w:val="000000"/>
          <w:sz w:val="24"/>
          <w:szCs w:val="24"/>
        </w:rPr>
        <w:t>their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 rights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o</w:t>
      </w:r>
      <w:r w:rsidR="00F54DDB" w:rsidRPr="0062111A">
        <w:rPr>
          <w:rFonts w:asciiTheme="minorHAnsi" w:hAnsiTheme="minorHAnsi" w:cs="Tahoma"/>
          <w:color w:val="000000"/>
          <w:sz w:val="24"/>
          <w:szCs w:val="24"/>
        </w:rPr>
        <w:t xml:space="preserve">n 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the basis of lack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of a</w:t>
      </w:r>
      <w:r w:rsidR="00A87E37">
        <w:rPr>
          <w:rFonts w:asciiTheme="minorHAnsi" w:hAnsiTheme="minorHAnsi" w:cs="Tahoma"/>
          <w:color w:val="000000"/>
          <w:sz w:val="24"/>
          <w:szCs w:val="24"/>
        </w:rPr>
        <w:t>vailability of a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ppropriate</w:t>
      </w:r>
      <w:r w:rsidR="001A4D29" w:rsidRPr="0062111A">
        <w:rPr>
          <w:rFonts w:asciiTheme="minorHAnsi" w:hAnsiTheme="minorHAnsi" w:cs="Tahoma"/>
          <w:color w:val="000000"/>
          <w:sz w:val="24"/>
          <w:szCs w:val="24"/>
        </w:rPr>
        <w:t xml:space="preserve"> mode of transport</w:t>
      </w:r>
      <w:r w:rsidR="00A87E37">
        <w:rPr>
          <w:rFonts w:asciiTheme="minorHAnsi" w:hAnsiTheme="minorHAnsi" w:cs="Tahoma"/>
          <w:color w:val="000000"/>
          <w:sz w:val="24"/>
          <w:szCs w:val="24"/>
        </w:rPr>
        <w:t>.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 xml:space="preserve"> States should be obligated, as a matter of priority to ensure that PWDs are presented before reviewing </w:t>
      </w:r>
      <w:r w:rsidR="00A87E37">
        <w:rPr>
          <w:rFonts w:asciiTheme="minorHAnsi" w:hAnsiTheme="minorHAnsi" w:cs="Tahoma"/>
          <w:color w:val="000000"/>
          <w:sz w:val="24"/>
          <w:szCs w:val="24"/>
        </w:rPr>
        <w:t xml:space="preserve">within 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stipulated</w:t>
      </w:r>
      <w:r w:rsidR="00A87E37">
        <w:rPr>
          <w:rFonts w:asciiTheme="minorHAnsi" w:hAnsiTheme="minorHAnsi" w:cs="Tahoma"/>
          <w:color w:val="000000"/>
          <w:sz w:val="24"/>
          <w:szCs w:val="24"/>
        </w:rPr>
        <w:t xml:space="preserve"> time</w:t>
      </w:r>
      <w:r w:rsidR="0062111A" w:rsidRPr="0062111A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365F37" w:rsidRPr="007035E0" w:rsidRDefault="00393B9B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5E0">
        <w:rPr>
          <w:rFonts w:asciiTheme="minorHAnsi" w:hAnsiTheme="minorHAnsi" w:cstheme="minorHAnsi"/>
          <w:sz w:val="24"/>
          <w:szCs w:val="24"/>
        </w:rPr>
        <w:t xml:space="preserve">KNCHR proposes that </w:t>
      </w:r>
      <w:r w:rsidR="0090493C" w:rsidRPr="007035E0">
        <w:rPr>
          <w:rFonts w:asciiTheme="minorHAnsi" w:hAnsiTheme="minorHAnsi" w:cs="Tahoma"/>
          <w:color w:val="000000"/>
          <w:sz w:val="24"/>
          <w:szCs w:val="24"/>
        </w:rPr>
        <w:t xml:space="preserve">the reviewing </w:t>
      </w:r>
      <w:r w:rsidR="0062111A" w:rsidRPr="007035E0">
        <w:rPr>
          <w:rFonts w:asciiTheme="minorHAnsi" w:hAnsiTheme="minorHAnsi" w:cs="Tahoma"/>
          <w:color w:val="000000"/>
          <w:sz w:val="24"/>
          <w:szCs w:val="24"/>
        </w:rPr>
        <w:t xml:space="preserve">bodies </w:t>
      </w:r>
      <w:r w:rsidR="0062111A" w:rsidRPr="007035E0">
        <w:rPr>
          <w:rFonts w:asciiTheme="minorHAnsi" w:hAnsiTheme="minorHAnsi" w:cstheme="minorHAnsi"/>
          <w:sz w:val="24"/>
          <w:szCs w:val="24"/>
        </w:rPr>
        <w:t>should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 </w:t>
      </w:r>
      <w:r w:rsidR="0062111A">
        <w:rPr>
          <w:rFonts w:asciiTheme="minorHAnsi" w:hAnsiTheme="minorHAnsi" w:cstheme="minorHAnsi"/>
          <w:sz w:val="24"/>
          <w:szCs w:val="24"/>
        </w:rPr>
        <w:t xml:space="preserve">also 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be </w:t>
      </w:r>
      <w:r w:rsidR="0062111A">
        <w:rPr>
          <w:rFonts w:asciiTheme="minorHAnsi" w:hAnsiTheme="minorHAnsi" w:cstheme="minorHAnsi"/>
          <w:sz w:val="24"/>
          <w:szCs w:val="24"/>
        </w:rPr>
        <w:t xml:space="preserve">placed under </w:t>
      </w:r>
      <w:r w:rsidR="00FB0F57" w:rsidRPr="007035E0">
        <w:rPr>
          <w:rFonts w:asciiTheme="minorHAnsi" w:hAnsiTheme="minorHAnsi" w:cstheme="minorHAnsi"/>
          <w:sz w:val="24"/>
          <w:szCs w:val="24"/>
        </w:rPr>
        <w:t>obligat</w:t>
      </w:r>
      <w:r w:rsidR="0062111A">
        <w:rPr>
          <w:rFonts w:asciiTheme="minorHAnsi" w:hAnsiTheme="minorHAnsi" w:cstheme="minorHAnsi"/>
          <w:sz w:val="24"/>
          <w:szCs w:val="24"/>
        </w:rPr>
        <w:t xml:space="preserve">ion 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to facilitate </w:t>
      </w:r>
      <w:r w:rsidR="0062111A" w:rsidRPr="007035E0">
        <w:rPr>
          <w:rFonts w:asciiTheme="minorHAnsi" w:hAnsiTheme="minorHAnsi" w:cstheme="minorHAnsi"/>
          <w:sz w:val="24"/>
          <w:szCs w:val="24"/>
        </w:rPr>
        <w:t xml:space="preserve">access by </w:t>
      </w:r>
      <w:r w:rsidR="00A87E37">
        <w:rPr>
          <w:rFonts w:asciiTheme="minorHAnsi" w:hAnsiTheme="minorHAnsi" w:cstheme="minorHAnsi"/>
          <w:sz w:val="24"/>
          <w:szCs w:val="24"/>
        </w:rPr>
        <w:t xml:space="preserve">all </w:t>
      </w:r>
      <w:r w:rsidR="0062111A" w:rsidRPr="007035E0">
        <w:rPr>
          <w:rFonts w:asciiTheme="minorHAnsi" w:hAnsiTheme="minorHAnsi" w:cstheme="minorHAnsi"/>
          <w:sz w:val="24"/>
          <w:szCs w:val="24"/>
        </w:rPr>
        <w:t>detainees</w:t>
      </w:r>
      <w:r w:rsidR="0062111A">
        <w:rPr>
          <w:rFonts w:asciiTheme="minorHAnsi" w:hAnsiTheme="minorHAnsi" w:cstheme="minorHAnsi"/>
          <w:sz w:val="24"/>
          <w:szCs w:val="24"/>
        </w:rPr>
        <w:t xml:space="preserve">, </w:t>
      </w:r>
      <w:r w:rsidR="0062111A" w:rsidRPr="007035E0">
        <w:rPr>
          <w:rFonts w:asciiTheme="minorHAnsi" w:hAnsiTheme="minorHAnsi" w:cstheme="minorHAnsi"/>
          <w:sz w:val="24"/>
          <w:szCs w:val="24"/>
        </w:rPr>
        <w:t>to</w:t>
      </w:r>
      <w:r w:rsidR="0062111A">
        <w:rPr>
          <w:rFonts w:asciiTheme="minorHAnsi" w:hAnsiTheme="minorHAnsi" w:cstheme="minorHAnsi"/>
          <w:sz w:val="24"/>
          <w:szCs w:val="24"/>
        </w:rPr>
        <w:t xml:space="preserve"> </w:t>
      </w:r>
      <w:r w:rsidR="0062111A" w:rsidRPr="007035E0">
        <w:rPr>
          <w:rFonts w:asciiTheme="minorHAnsi" w:hAnsiTheme="minorHAnsi" w:cstheme="minorHAnsi"/>
          <w:sz w:val="24"/>
          <w:szCs w:val="24"/>
        </w:rPr>
        <w:t>legal</w:t>
      </w:r>
      <w:r w:rsidRPr="007035E0">
        <w:rPr>
          <w:rFonts w:asciiTheme="minorHAnsi" w:hAnsiTheme="minorHAnsi" w:cstheme="minorHAnsi"/>
          <w:sz w:val="24"/>
          <w:szCs w:val="24"/>
        </w:rPr>
        <w:t xml:space="preserve"> aid programs</w:t>
      </w:r>
      <w:r w:rsidR="0062111A">
        <w:rPr>
          <w:rFonts w:asciiTheme="minorHAnsi" w:hAnsiTheme="minorHAnsi" w:cstheme="minorHAnsi"/>
          <w:sz w:val="24"/>
          <w:szCs w:val="24"/>
        </w:rPr>
        <w:t xml:space="preserve"> especially where they are unrepresented by counsel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. Such programs should </w:t>
      </w:r>
      <w:r w:rsidR="00A87E37">
        <w:rPr>
          <w:rFonts w:asciiTheme="minorHAnsi" w:hAnsiTheme="minorHAnsi" w:cstheme="minorHAnsi"/>
          <w:sz w:val="24"/>
          <w:szCs w:val="24"/>
        </w:rPr>
        <w:t xml:space="preserve">also </w:t>
      </w:r>
      <w:r w:rsidR="0062111A" w:rsidRPr="007035E0">
        <w:rPr>
          <w:rFonts w:asciiTheme="minorHAnsi" w:hAnsiTheme="minorHAnsi" w:cstheme="minorHAnsi"/>
          <w:sz w:val="24"/>
          <w:szCs w:val="24"/>
        </w:rPr>
        <w:t>provide free</w:t>
      </w:r>
      <w:r w:rsidRPr="007035E0">
        <w:rPr>
          <w:rFonts w:asciiTheme="minorHAnsi" w:hAnsiTheme="minorHAnsi" w:cstheme="minorHAnsi"/>
          <w:sz w:val="24"/>
          <w:szCs w:val="24"/>
        </w:rPr>
        <w:t xml:space="preserve"> legal representation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 and /or </w:t>
      </w:r>
      <w:r w:rsidR="0062111A" w:rsidRPr="007035E0">
        <w:rPr>
          <w:rFonts w:asciiTheme="minorHAnsi" w:hAnsiTheme="minorHAnsi" w:cstheme="minorHAnsi"/>
          <w:sz w:val="24"/>
          <w:szCs w:val="24"/>
        </w:rPr>
        <w:t>advice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 among others</w:t>
      </w:r>
      <w:r w:rsidRPr="007035E0">
        <w:rPr>
          <w:rFonts w:asciiTheme="minorHAnsi" w:hAnsiTheme="minorHAnsi" w:cstheme="minorHAnsi"/>
          <w:sz w:val="24"/>
          <w:szCs w:val="24"/>
        </w:rPr>
        <w:t>.</w:t>
      </w:r>
    </w:p>
    <w:p w:rsidR="00DB7C91" w:rsidRPr="007035E0" w:rsidRDefault="0058762D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5E0">
        <w:rPr>
          <w:rFonts w:asciiTheme="minorHAnsi" w:hAnsiTheme="minorHAnsi" w:cstheme="minorHAnsi"/>
          <w:sz w:val="24"/>
          <w:szCs w:val="24"/>
        </w:rPr>
        <w:t xml:space="preserve">KNCHR </w:t>
      </w:r>
      <w:r w:rsidR="005B1388">
        <w:rPr>
          <w:rFonts w:asciiTheme="minorHAnsi" w:hAnsiTheme="minorHAnsi" w:cstheme="minorHAnsi"/>
          <w:sz w:val="24"/>
          <w:szCs w:val="24"/>
        </w:rPr>
        <w:t>proposes that detention facilities be placed under obligation to ALWAYS keep full and proper records of all detainees therein, the reason(s) for their detention and any transfers to other facilities</w:t>
      </w:r>
      <w:r w:rsidR="00A87E37">
        <w:rPr>
          <w:rFonts w:asciiTheme="minorHAnsi" w:hAnsiTheme="minorHAnsi" w:cstheme="minorHAnsi"/>
          <w:sz w:val="24"/>
          <w:szCs w:val="24"/>
        </w:rPr>
        <w:t>,</w:t>
      </w:r>
      <w:r w:rsidR="005B1388">
        <w:rPr>
          <w:rFonts w:asciiTheme="minorHAnsi" w:hAnsiTheme="minorHAnsi" w:cstheme="minorHAnsi"/>
          <w:sz w:val="24"/>
          <w:szCs w:val="24"/>
        </w:rPr>
        <w:t xml:space="preserve"> among other</w:t>
      </w:r>
      <w:r w:rsidR="00A87E37">
        <w:rPr>
          <w:rFonts w:asciiTheme="minorHAnsi" w:hAnsiTheme="minorHAnsi" w:cstheme="minorHAnsi"/>
          <w:sz w:val="24"/>
          <w:szCs w:val="24"/>
        </w:rPr>
        <w:t xml:space="preserve"> factor</w:t>
      </w:r>
      <w:r w:rsidR="005B1388">
        <w:rPr>
          <w:rFonts w:asciiTheme="minorHAnsi" w:hAnsiTheme="minorHAnsi" w:cstheme="minorHAnsi"/>
          <w:sz w:val="24"/>
          <w:szCs w:val="24"/>
        </w:rPr>
        <w:t xml:space="preserve">s; such records </w:t>
      </w:r>
      <w:r w:rsidR="00A87E37">
        <w:rPr>
          <w:rFonts w:asciiTheme="minorHAnsi" w:hAnsiTheme="minorHAnsi" w:cstheme="minorHAnsi"/>
          <w:sz w:val="24"/>
          <w:szCs w:val="24"/>
        </w:rPr>
        <w:t xml:space="preserve">should </w:t>
      </w:r>
      <w:r w:rsidR="005B1388">
        <w:rPr>
          <w:rFonts w:asciiTheme="minorHAnsi" w:hAnsiTheme="minorHAnsi" w:cstheme="minorHAnsi"/>
          <w:sz w:val="24"/>
          <w:szCs w:val="24"/>
        </w:rPr>
        <w:t>be accessible to the public as a matter of right</w:t>
      </w:r>
      <w:r w:rsidRPr="007035E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8762D" w:rsidRPr="007035E0" w:rsidRDefault="003D4E0C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5E0">
        <w:rPr>
          <w:rFonts w:asciiTheme="minorHAnsi" w:hAnsiTheme="minorHAnsi" w:cstheme="minorHAnsi"/>
          <w:sz w:val="24"/>
          <w:szCs w:val="24"/>
        </w:rPr>
        <w:t xml:space="preserve">Lengthy pretrial </w:t>
      </w:r>
      <w:r w:rsidR="0067437E" w:rsidRPr="007035E0">
        <w:rPr>
          <w:rFonts w:asciiTheme="minorHAnsi" w:hAnsiTheme="minorHAnsi" w:cstheme="minorHAnsi"/>
          <w:sz w:val="24"/>
          <w:szCs w:val="24"/>
        </w:rPr>
        <w:t>detention is a serious issue in m</w:t>
      </w:r>
      <w:r w:rsidR="005B1388">
        <w:rPr>
          <w:rFonts w:asciiTheme="minorHAnsi" w:hAnsiTheme="minorHAnsi" w:cstheme="minorHAnsi"/>
          <w:sz w:val="24"/>
          <w:szCs w:val="24"/>
        </w:rPr>
        <w:t xml:space="preserve">any </w:t>
      </w:r>
      <w:r w:rsidR="0067437E" w:rsidRPr="007035E0">
        <w:rPr>
          <w:rFonts w:asciiTheme="minorHAnsi" w:hAnsiTheme="minorHAnsi" w:cstheme="minorHAnsi"/>
          <w:sz w:val="24"/>
          <w:szCs w:val="24"/>
        </w:rPr>
        <w:t>countries due to poor bail procedures. KNCHR pro</w:t>
      </w:r>
      <w:r w:rsidR="00AD4EED" w:rsidRPr="007035E0">
        <w:rPr>
          <w:rFonts w:asciiTheme="minorHAnsi" w:hAnsiTheme="minorHAnsi" w:cstheme="minorHAnsi"/>
          <w:sz w:val="24"/>
          <w:szCs w:val="24"/>
        </w:rPr>
        <w:t xml:space="preserve">poses that bail be provided by </w:t>
      </w:r>
      <w:r w:rsidR="005B1388" w:rsidRPr="007035E0">
        <w:rPr>
          <w:rFonts w:asciiTheme="minorHAnsi" w:hAnsiTheme="minorHAnsi" w:cstheme="minorHAnsi"/>
          <w:sz w:val="24"/>
          <w:szCs w:val="24"/>
        </w:rPr>
        <w:t>reviewing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 bodies as matter of right and not discretion</w:t>
      </w:r>
      <w:r w:rsidR="00227370">
        <w:rPr>
          <w:rFonts w:asciiTheme="minorHAnsi" w:hAnsiTheme="minorHAnsi" w:cstheme="minorHAnsi"/>
          <w:sz w:val="24"/>
          <w:szCs w:val="24"/>
        </w:rPr>
        <w:t xml:space="preserve">; such a provision will </w:t>
      </w:r>
      <w:r w:rsidR="00C13281" w:rsidRPr="007035E0">
        <w:rPr>
          <w:rFonts w:asciiTheme="minorHAnsi" w:hAnsiTheme="minorHAnsi" w:cstheme="minorHAnsi"/>
          <w:sz w:val="24"/>
          <w:szCs w:val="24"/>
        </w:rPr>
        <w:t xml:space="preserve">enhance </w:t>
      </w:r>
      <w:r w:rsidR="00FB0F57" w:rsidRPr="007035E0">
        <w:rPr>
          <w:rFonts w:asciiTheme="minorHAnsi" w:hAnsiTheme="minorHAnsi" w:cstheme="minorHAnsi"/>
          <w:sz w:val="24"/>
          <w:szCs w:val="24"/>
        </w:rPr>
        <w:t>the detainees</w:t>
      </w:r>
      <w:r w:rsidR="005B1388">
        <w:rPr>
          <w:rFonts w:asciiTheme="minorHAnsi" w:hAnsiTheme="minorHAnsi" w:cstheme="minorHAnsi"/>
          <w:sz w:val="24"/>
          <w:szCs w:val="24"/>
        </w:rPr>
        <w:t>’</w:t>
      </w:r>
      <w:r w:rsidR="00FB0F57" w:rsidRPr="007035E0">
        <w:rPr>
          <w:rFonts w:asciiTheme="minorHAnsi" w:hAnsiTheme="minorHAnsi" w:cstheme="minorHAnsi"/>
          <w:sz w:val="24"/>
          <w:szCs w:val="24"/>
        </w:rPr>
        <w:t xml:space="preserve"> prospects of </w:t>
      </w:r>
      <w:r w:rsidR="00C13281" w:rsidRPr="007035E0">
        <w:rPr>
          <w:rFonts w:asciiTheme="minorHAnsi" w:hAnsiTheme="minorHAnsi" w:cstheme="minorHAnsi"/>
          <w:sz w:val="24"/>
          <w:szCs w:val="24"/>
        </w:rPr>
        <w:t>challenging lawful detention</w:t>
      </w:r>
      <w:r w:rsidR="00A87E37">
        <w:rPr>
          <w:rFonts w:asciiTheme="minorHAnsi" w:hAnsiTheme="minorHAnsi" w:cstheme="minorHAnsi"/>
          <w:sz w:val="24"/>
          <w:szCs w:val="24"/>
        </w:rPr>
        <w:t>.</w:t>
      </w:r>
      <w:r w:rsidR="00C13281" w:rsidRPr="007035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3281" w:rsidRDefault="00FB0F57" w:rsidP="007035E0">
      <w:pPr>
        <w:pStyle w:val="ListParagraph"/>
        <w:numPr>
          <w:ilvl w:val="0"/>
          <w:numId w:val="7"/>
        </w:numPr>
        <w:tabs>
          <w:tab w:val="left" w:pos="2680"/>
          <w:tab w:val="left" w:pos="39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1388">
        <w:rPr>
          <w:rFonts w:asciiTheme="minorHAnsi" w:hAnsiTheme="minorHAnsi" w:cstheme="minorHAnsi"/>
          <w:sz w:val="24"/>
          <w:szCs w:val="24"/>
        </w:rPr>
        <w:t xml:space="preserve">Many individuals </w:t>
      </w:r>
      <w:r w:rsidR="005B1388" w:rsidRPr="005B1388">
        <w:rPr>
          <w:rFonts w:asciiTheme="minorHAnsi" w:hAnsiTheme="minorHAnsi" w:cstheme="minorHAnsi"/>
          <w:sz w:val="24"/>
          <w:szCs w:val="24"/>
        </w:rPr>
        <w:t>are detained for</w:t>
      </w:r>
      <w:r w:rsidR="006B5564" w:rsidRPr="005B1388">
        <w:rPr>
          <w:rFonts w:asciiTheme="minorHAnsi" w:hAnsiTheme="minorHAnsi" w:cstheme="minorHAnsi"/>
          <w:sz w:val="24"/>
          <w:szCs w:val="24"/>
        </w:rPr>
        <w:t xml:space="preserve"> investigative purposes</w:t>
      </w:r>
      <w:r w:rsidRPr="005B1388">
        <w:rPr>
          <w:rFonts w:asciiTheme="minorHAnsi" w:hAnsiTheme="minorHAnsi" w:cstheme="minorHAnsi"/>
          <w:sz w:val="24"/>
          <w:szCs w:val="24"/>
        </w:rPr>
        <w:t xml:space="preserve"> in many </w:t>
      </w:r>
      <w:r w:rsidR="005B1388" w:rsidRPr="005B1388">
        <w:rPr>
          <w:rFonts w:asciiTheme="minorHAnsi" w:hAnsiTheme="minorHAnsi" w:cstheme="minorHAnsi"/>
          <w:sz w:val="24"/>
          <w:szCs w:val="24"/>
        </w:rPr>
        <w:t>jurisdictions</w:t>
      </w:r>
      <w:r w:rsidRPr="005B1388">
        <w:rPr>
          <w:rFonts w:asciiTheme="minorHAnsi" w:hAnsiTheme="minorHAnsi" w:cstheme="minorHAnsi"/>
          <w:sz w:val="24"/>
          <w:szCs w:val="24"/>
        </w:rPr>
        <w:t xml:space="preserve">. </w:t>
      </w:r>
      <w:r w:rsidR="006B5564" w:rsidRPr="005B1388">
        <w:rPr>
          <w:rFonts w:asciiTheme="minorHAnsi" w:hAnsiTheme="minorHAnsi" w:cstheme="minorHAnsi"/>
          <w:sz w:val="24"/>
          <w:szCs w:val="24"/>
        </w:rPr>
        <w:t xml:space="preserve">KNCHR </w:t>
      </w:r>
      <w:r w:rsidRPr="005B1388">
        <w:rPr>
          <w:rFonts w:asciiTheme="minorHAnsi" w:hAnsiTheme="minorHAnsi" w:cstheme="minorHAnsi"/>
          <w:sz w:val="24"/>
          <w:szCs w:val="24"/>
        </w:rPr>
        <w:t xml:space="preserve">considers such practice </w:t>
      </w:r>
      <w:r w:rsidR="005B1388" w:rsidRPr="005B1388">
        <w:rPr>
          <w:rFonts w:asciiTheme="minorHAnsi" w:hAnsiTheme="minorHAnsi" w:cstheme="minorHAnsi"/>
          <w:sz w:val="24"/>
          <w:szCs w:val="24"/>
        </w:rPr>
        <w:t xml:space="preserve">a gross </w:t>
      </w:r>
      <w:r w:rsidRPr="005B1388">
        <w:rPr>
          <w:rFonts w:asciiTheme="minorHAnsi" w:hAnsiTheme="minorHAnsi" w:cstheme="minorHAnsi"/>
          <w:sz w:val="24"/>
          <w:szCs w:val="24"/>
        </w:rPr>
        <w:t xml:space="preserve">violation of the rights of the detainees and </w:t>
      </w:r>
      <w:r w:rsidR="006B5564" w:rsidRPr="005B1388">
        <w:rPr>
          <w:rFonts w:asciiTheme="minorHAnsi" w:hAnsiTheme="minorHAnsi" w:cstheme="minorHAnsi"/>
          <w:sz w:val="24"/>
          <w:szCs w:val="24"/>
        </w:rPr>
        <w:t xml:space="preserve">proposes </w:t>
      </w:r>
      <w:r w:rsidR="005B1388" w:rsidRPr="005B1388">
        <w:rPr>
          <w:rFonts w:asciiTheme="minorHAnsi" w:hAnsiTheme="minorHAnsi" w:cstheme="minorHAnsi"/>
          <w:sz w:val="24"/>
          <w:szCs w:val="24"/>
        </w:rPr>
        <w:t>that detention</w:t>
      </w:r>
      <w:r w:rsidR="006B5564" w:rsidRPr="005B1388">
        <w:rPr>
          <w:rFonts w:asciiTheme="minorHAnsi" w:hAnsiTheme="minorHAnsi" w:cstheme="minorHAnsi"/>
          <w:sz w:val="24"/>
          <w:szCs w:val="24"/>
        </w:rPr>
        <w:t xml:space="preserve"> must be based </w:t>
      </w:r>
      <w:r w:rsidR="005B1388" w:rsidRPr="005B1388">
        <w:rPr>
          <w:rFonts w:asciiTheme="minorHAnsi" w:hAnsiTheme="minorHAnsi" w:cstheme="minorHAnsi"/>
          <w:sz w:val="24"/>
          <w:szCs w:val="24"/>
        </w:rPr>
        <w:t>on material</w:t>
      </w:r>
      <w:r w:rsidR="00E125DF" w:rsidRPr="005B1388">
        <w:rPr>
          <w:rFonts w:asciiTheme="minorHAnsi" w:hAnsiTheme="minorHAnsi" w:cstheme="minorHAnsi"/>
          <w:sz w:val="24"/>
          <w:szCs w:val="24"/>
        </w:rPr>
        <w:t xml:space="preserve"> evidence that implicates the detainee </w:t>
      </w:r>
      <w:r w:rsidR="006B5564" w:rsidRPr="005B1388">
        <w:rPr>
          <w:rFonts w:asciiTheme="minorHAnsi" w:hAnsiTheme="minorHAnsi" w:cstheme="minorHAnsi"/>
          <w:sz w:val="24"/>
          <w:szCs w:val="24"/>
        </w:rPr>
        <w:t xml:space="preserve">in the </w:t>
      </w:r>
      <w:r w:rsidR="005B1388" w:rsidRPr="005B1388">
        <w:rPr>
          <w:rFonts w:asciiTheme="minorHAnsi" w:hAnsiTheme="minorHAnsi" w:cstheme="minorHAnsi"/>
          <w:sz w:val="24"/>
          <w:szCs w:val="24"/>
        </w:rPr>
        <w:t>crime under</w:t>
      </w:r>
      <w:r w:rsidR="006B5564" w:rsidRPr="005B1388">
        <w:rPr>
          <w:rFonts w:asciiTheme="minorHAnsi" w:hAnsiTheme="minorHAnsi" w:cstheme="minorHAnsi"/>
          <w:sz w:val="24"/>
          <w:szCs w:val="24"/>
        </w:rPr>
        <w:t xml:space="preserve"> investigation</w:t>
      </w:r>
      <w:r w:rsidR="00E125DF" w:rsidRPr="005B1388">
        <w:rPr>
          <w:rFonts w:asciiTheme="minorHAnsi" w:hAnsiTheme="minorHAnsi" w:cstheme="minorHAnsi"/>
          <w:sz w:val="24"/>
          <w:szCs w:val="24"/>
        </w:rPr>
        <w:t>.</w:t>
      </w:r>
    </w:p>
    <w:p w:rsidR="005B1388" w:rsidRDefault="005B1388" w:rsidP="005B1388">
      <w:pPr>
        <w:tabs>
          <w:tab w:val="left" w:pos="2680"/>
          <w:tab w:val="left" w:pos="394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5B1388" w:rsidRDefault="005B1388" w:rsidP="005B1388">
      <w:pPr>
        <w:tabs>
          <w:tab w:val="left" w:pos="2680"/>
          <w:tab w:val="left" w:pos="394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5B1388">
        <w:rPr>
          <w:rFonts w:cstheme="minorHAnsi"/>
          <w:b/>
          <w:sz w:val="24"/>
          <w:szCs w:val="24"/>
        </w:rPr>
        <w:t>C. Conclusion</w:t>
      </w:r>
    </w:p>
    <w:p w:rsidR="005C2D4B" w:rsidRDefault="005C2D4B" w:rsidP="005B1388">
      <w:pPr>
        <w:tabs>
          <w:tab w:val="left" w:pos="2680"/>
          <w:tab w:val="left" w:pos="39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5C2D4B">
        <w:rPr>
          <w:rFonts w:cstheme="minorHAnsi"/>
          <w:sz w:val="24"/>
          <w:szCs w:val="24"/>
        </w:rPr>
        <w:t xml:space="preserve">KNCHR looks forward to the finalization of the </w:t>
      </w:r>
      <w:r w:rsidRPr="005C2D4B">
        <w:rPr>
          <w:rFonts w:eastAsia="Times New Roman"/>
          <w:sz w:val="24"/>
          <w:szCs w:val="24"/>
        </w:rPr>
        <w:t xml:space="preserve">Guidelines on the Right to Challenge the Lawfulness of Detention before Court and was </w:t>
      </w:r>
      <w:r>
        <w:rPr>
          <w:rFonts w:eastAsia="Times New Roman"/>
          <w:sz w:val="24"/>
          <w:szCs w:val="24"/>
        </w:rPr>
        <w:t xml:space="preserve">honored </w:t>
      </w:r>
      <w:r w:rsidR="00240E7A"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 xml:space="preserve">be part of the </w:t>
      </w:r>
      <w:r w:rsidR="00240E7A">
        <w:rPr>
          <w:rFonts w:eastAsia="Times New Roman"/>
          <w:sz w:val="24"/>
          <w:szCs w:val="24"/>
        </w:rPr>
        <w:t xml:space="preserve">stakeholders’ </w:t>
      </w:r>
      <w:r>
        <w:rPr>
          <w:rFonts w:eastAsia="Times New Roman"/>
          <w:sz w:val="24"/>
          <w:szCs w:val="24"/>
        </w:rPr>
        <w:t xml:space="preserve">deliberations </w:t>
      </w:r>
      <w:r w:rsidRPr="005C2D4B">
        <w:rPr>
          <w:rFonts w:eastAsia="Times New Roman"/>
          <w:sz w:val="24"/>
          <w:szCs w:val="24"/>
        </w:rPr>
        <w:t xml:space="preserve">to review </w:t>
      </w:r>
      <w:r w:rsidR="00240E7A">
        <w:rPr>
          <w:rFonts w:eastAsia="Times New Roman"/>
          <w:sz w:val="24"/>
          <w:szCs w:val="24"/>
        </w:rPr>
        <w:t xml:space="preserve">the </w:t>
      </w:r>
      <w:r w:rsidRPr="005C2D4B">
        <w:rPr>
          <w:rFonts w:eastAsia="Times New Roman"/>
          <w:sz w:val="24"/>
          <w:szCs w:val="24"/>
        </w:rPr>
        <w:t xml:space="preserve">preliminary draft </w:t>
      </w:r>
      <w:r w:rsidR="00240E7A">
        <w:rPr>
          <w:rFonts w:eastAsia="Times New Roman"/>
          <w:sz w:val="24"/>
          <w:szCs w:val="24"/>
        </w:rPr>
        <w:t xml:space="preserve">by </w:t>
      </w:r>
      <w:r>
        <w:rPr>
          <w:rFonts w:eastAsia="Times New Roman"/>
          <w:sz w:val="24"/>
          <w:szCs w:val="24"/>
        </w:rPr>
        <w:t xml:space="preserve">the WGAD, subsequent </w:t>
      </w:r>
      <w:r w:rsidR="00240E7A"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which these presentations</w:t>
      </w:r>
      <w:r w:rsidR="00240E7A">
        <w:rPr>
          <w:rFonts w:eastAsia="Times New Roman"/>
          <w:sz w:val="24"/>
          <w:szCs w:val="24"/>
        </w:rPr>
        <w:t xml:space="preserve"> are made</w:t>
      </w:r>
      <w:r>
        <w:rPr>
          <w:rFonts w:eastAsia="Times New Roman"/>
          <w:sz w:val="24"/>
          <w:szCs w:val="24"/>
        </w:rPr>
        <w:t>.</w:t>
      </w:r>
    </w:p>
    <w:p w:rsidR="005C2D4B" w:rsidRPr="005C2D4B" w:rsidRDefault="005C2D4B" w:rsidP="005B1388">
      <w:pPr>
        <w:tabs>
          <w:tab w:val="left" w:pos="2680"/>
          <w:tab w:val="left" w:pos="39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are of the opinion that the </w:t>
      </w:r>
      <w:r w:rsidR="00240E7A">
        <w:rPr>
          <w:rFonts w:eastAsia="Times New Roman"/>
          <w:sz w:val="24"/>
          <w:szCs w:val="24"/>
        </w:rPr>
        <w:t xml:space="preserve">finalized </w:t>
      </w:r>
      <w:r>
        <w:rPr>
          <w:rFonts w:eastAsia="Times New Roman"/>
          <w:sz w:val="24"/>
          <w:szCs w:val="24"/>
        </w:rPr>
        <w:t xml:space="preserve">Guidelines, once implemented will enhance the rights and liberties of </w:t>
      </w:r>
      <w:r w:rsidR="00B25E44">
        <w:rPr>
          <w:rFonts w:eastAsia="Times New Roman"/>
          <w:sz w:val="24"/>
          <w:szCs w:val="24"/>
        </w:rPr>
        <w:t xml:space="preserve">many </w:t>
      </w:r>
      <w:r>
        <w:rPr>
          <w:rFonts w:eastAsia="Times New Roman"/>
          <w:sz w:val="24"/>
          <w:szCs w:val="24"/>
        </w:rPr>
        <w:t>detainees globally.</w:t>
      </w:r>
      <w:r w:rsidRPr="005C2D4B">
        <w:rPr>
          <w:rFonts w:eastAsia="Times New Roman"/>
          <w:sz w:val="24"/>
          <w:szCs w:val="24"/>
        </w:rPr>
        <w:t xml:space="preserve">   </w:t>
      </w:r>
    </w:p>
    <w:sectPr w:rsidR="005C2D4B" w:rsidRPr="005C2D4B" w:rsidSect="005464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77" w:rsidRDefault="00750277" w:rsidP="00767FE8">
      <w:pPr>
        <w:spacing w:after="0" w:line="240" w:lineRule="auto"/>
      </w:pPr>
      <w:r>
        <w:separator/>
      </w:r>
    </w:p>
  </w:endnote>
  <w:endnote w:type="continuationSeparator" w:id="1">
    <w:p w:rsidR="00750277" w:rsidRDefault="00750277" w:rsidP="0076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4104"/>
      <w:docPartObj>
        <w:docPartGallery w:val="Page Numbers (Bottom of Page)"/>
        <w:docPartUnique/>
      </w:docPartObj>
    </w:sdtPr>
    <w:sdtContent>
      <w:p w:rsidR="002E1D1A" w:rsidRDefault="002E1D1A">
        <w:pPr>
          <w:pStyle w:val="Footer"/>
          <w:jc w:val="right"/>
        </w:pPr>
        <w:fldSimple w:instr=" PAGE   \* MERGEFORMAT ">
          <w:r w:rsidR="006A3A61">
            <w:rPr>
              <w:noProof/>
            </w:rPr>
            <w:t>1</w:t>
          </w:r>
        </w:fldSimple>
      </w:p>
    </w:sdtContent>
  </w:sdt>
  <w:p w:rsidR="002E1D1A" w:rsidRDefault="002E1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77" w:rsidRDefault="00750277" w:rsidP="00767FE8">
      <w:pPr>
        <w:spacing w:after="0" w:line="240" w:lineRule="auto"/>
      </w:pPr>
      <w:r>
        <w:separator/>
      </w:r>
    </w:p>
  </w:footnote>
  <w:footnote w:type="continuationSeparator" w:id="1">
    <w:p w:rsidR="00750277" w:rsidRDefault="00750277" w:rsidP="0076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i/>
        <w:sz w:val="20"/>
        <w:szCs w:val="20"/>
      </w:rPr>
      <w:alias w:val="Title"/>
      <w:id w:val="77738743"/>
      <w:placeholder>
        <w:docPart w:val="7E36B0D256614D1F9B9B2ACAFC28D2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1D1A" w:rsidRPr="002E1D1A" w:rsidRDefault="00A001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i/>
            <w:sz w:val="20"/>
            <w:szCs w:val="20"/>
          </w:rPr>
        </w:pPr>
        <w:r w:rsidRPr="002E1D1A">
          <w:rPr>
            <w:rFonts w:eastAsiaTheme="majorEastAsia" w:cstheme="majorBidi"/>
            <w:i/>
            <w:sz w:val="20"/>
            <w:szCs w:val="20"/>
          </w:rPr>
          <w:t>KNCHR</w:t>
        </w:r>
        <w:r>
          <w:rPr>
            <w:rFonts w:eastAsiaTheme="majorEastAsia" w:cstheme="majorBidi"/>
            <w:i/>
            <w:sz w:val="20"/>
            <w:szCs w:val="20"/>
          </w:rPr>
          <w:t xml:space="preserve">’s </w:t>
        </w:r>
        <w:r w:rsidRPr="002E1D1A">
          <w:rPr>
            <w:rFonts w:eastAsiaTheme="majorEastAsia" w:cstheme="majorBidi"/>
            <w:i/>
            <w:sz w:val="20"/>
            <w:szCs w:val="20"/>
          </w:rPr>
          <w:t>Advisory</w:t>
        </w:r>
        <w:r w:rsidR="002E1D1A" w:rsidRPr="002E1D1A">
          <w:rPr>
            <w:rFonts w:eastAsiaTheme="majorEastAsia" w:cstheme="majorBidi"/>
            <w:i/>
            <w:sz w:val="20"/>
            <w:szCs w:val="20"/>
          </w:rPr>
          <w:t xml:space="preserve"> on the Draft Principles and Guidelines on Arbitrary Detention; September 2014</w:t>
        </w:r>
      </w:p>
    </w:sdtContent>
  </w:sdt>
  <w:p w:rsidR="002E1D1A" w:rsidRDefault="002E1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8B1"/>
    <w:multiLevelType w:val="hybridMultilevel"/>
    <w:tmpl w:val="19BA7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05A"/>
    <w:multiLevelType w:val="hybridMultilevel"/>
    <w:tmpl w:val="A922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D018D"/>
    <w:multiLevelType w:val="hybridMultilevel"/>
    <w:tmpl w:val="5FF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472F"/>
    <w:multiLevelType w:val="hybridMultilevel"/>
    <w:tmpl w:val="DC4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1EF4"/>
    <w:multiLevelType w:val="hybridMultilevel"/>
    <w:tmpl w:val="B3EC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765C0"/>
    <w:multiLevelType w:val="hybridMultilevel"/>
    <w:tmpl w:val="6456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B9D"/>
    <w:multiLevelType w:val="hybridMultilevel"/>
    <w:tmpl w:val="8080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091D"/>
    <w:rsid w:val="00032E20"/>
    <w:rsid w:val="00041C4F"/>
    <w:rsid w:val="00075671"/>
    <w:rsid w:val="000B3B9A"/>
    <w:rsid w:val="0019553F"/>
    <w:rsid w:val="001A4D29"/>
    <w:rsid w:val="00215239"/>
    <w:rsid w:val="00217BF4"/>
    <w:rsid w:val="00227370"/>
    <w:rsid w:val="00240E7A"/>
    <w:rsid w:val="00241F17"/>
    <w:rsid w:val="00250848"/>
    <w:rsid w:val="002B3707"/>
    <w:rsid w:val="002E1D1A"/>
    <w:rsid w:val="00342FA0"/>
    <w:rsid w:val="00350BB6"/>
    <w:rsid w:val="00360325"/>
    <w:rsid w:val="00365F37"/>
    <w:rsid w:val="003852F7"/>
    <w:rsid w:val="00393B9B"/>
    <w:rsid w:val="003D4E0C"/>
    <w:rsid w:val="004976BF"/>
    <w:rsid w:val="00531E91"/>
    <w:rsid w:val="005464F7"/>
    <w:rsid w:val="0058762D"/>
    <w:rsid w:val="005B1388"/>
    <w:rsid w:val="005C2D4B"/>
    <w:rsid w:val="00610468"/>
    <w:rsid w:val="0062111A"/>
    <w:rsid w:val="006318E8"/>
    <w:rsid w:val="0067437E"/>
    <w:rsid w:val="00686E86"/>
    <w:rsid w:val="006A0756"/>
    <w:rsid w:val="006A3A61"/>
    <w:rsid w:val="006B5564"/>
    <w:rsid w:val="007035E0"/>
    <w:rsid w:val="007048C1"/>
    <w:rsid w:val="00750277"/>
    <w:rsid w:val="00767FE8"/>
    <w:rsid w:val="0079337B"/>
    <w:rsid w:val="007C6736"/>
    <w:rsid w:val="007D414A"/>
    <w:rsid w:val="007E39CD"/>
    <w:rsid w:val="00873DD7"/>
    <w:rsid w:val="008E64C7"/>
    <w:rsid w:val="0090493C"/>
    <w:rsid w:val="009C1DA9"/>
    <w:rsid w:val="009D4EFB"/>
    <w:rsid w:val="00A001B9"/>
    <w:rsid w:val="00A10535"/>
    <w:rsid w:val="00A16E71"/>
    <w:rsid w:val="00A35995"/>
    <w:rsid w:val="00A87E37"/>
    <w:rsid w:val="00A94AF3"/>
    <w:rsid w:val="00AB0B67"/>
    <w:rsid w:val="00AD4EED"/>
    <w:rsid w:val="00AF442C"/>
    <w:rsid w:val="00B25E44"/>
    <w:rsid w:val="00B5091D"/>
    <w:rsid w:val="00C13281"/>
    <w:rsid w:val="00CD1892"/>
    <w:rsid w:val="00D22906"/>
    <w:rsid w:val="00D41705"/>
    <w:rsid w:val="00DB7C91"/>
    <w:rsid w:val="00DD6329"/>
    <w:rsid w:val="00E125DF"/>
    <w:rsid w:val="00E903F2"/>
    <w:rsid w:val="00EB41A8"/>
    <w:rsid w:val="00EF0FFB"/>
    <w:rsid w:val="00F54DDB"/>
    <w:rsid w:val="00F9153B"/>
    <w:rsid w:val="00FB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FE8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FE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FE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FE8"/>
    <w:rPr>
      <w:vertAlign w:val="superscript"/>
    </w:rPr>
  </w:style>
  <w:style w:type="table" w:styleId="TableGrid">
    <w:name w:val="Table Grid"/>
    <w:basedOn w:val="TableNormal"/>
    <w:uiPriority w:val="59"/>
    <w:rsid w:val="00A1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17"/>
  </w:style>
  <w:style w:type="paragraph" w:styleId="Footer">
    <w:name w:val="footer"/>
    <w:basedOn w:val="Normal"/>
    <w:link w:val="FooterChar"/>
    <w:uiPriority w:val="99"/>
    <w:unhideWhenUsed/>
    <w:rsid w:val="0024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1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D29"/>
    <w:rPr>
      <w:rFonts w:ascii="Courier New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FE8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FE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FE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FE8"/>
    <w:rPr>
      <w:vertAlign w:val="superscript"/>
    </w:rPr>
  </w:style>
  <w:style w:type="table" w:styleId="TableGrid">
    <w:name w:val="Table Grid"/>
    <w:basedOn w:val="TableNormal"/>
    <w:uiPriority w:val="59"/>
    <w:rsid w:val="00A1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17"/>
  </w:style>
  <w:style w:type="paragraph" w:styleId="Footer">
    <w:name w:val="footer"/>
    <w:basedOn w:val="Normal"/>
    <w:link w:val="FooterChar"/>
    <w:uiPriority w:val="99"/>
    <w:unhideWhenUsed/>
    <w:rsid w:val="0024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36B0D256614D1F9B9B2ACAFC28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21F1-7546-49C8-A3B1-566378892BAB}"/>
      </w:docPartPr>
      <w:docPartBody>
        <w:p w:rsidR="00E06DC4" w:rsidRDefault="00275F1F" w:rsidP="00275F1F">
          <w:pPr>
            <w:pStyle w:val="7E36B0D256614D1F9B9B2ACAFC28D2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5F1F"/>
    <w:rsid w:val="00275F1F"/>
    <w:rsid w:val="007B3F5C"/>
    <w:rsid w:val="009164B1"/>
    <w:rsid w:val="009242B4"/>
    <w:rsid w:val="00AA15F6"/>
    <w:rsid w:val="00DB26BB"/>
    <w:rsid w:val="00E0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F0F89A245473B8E282B2DD8769838">
    <w:name w:val="5D2F0F89A245473B8E282B2DD8769838"/>
    <w:rsid w:val="00275F1F"/>
  </w:style>
  <w:style w:type="paragraph" w:customStyle="1" w:styleId="7E36B0D256614D1F9B9B2ACAFC28D236">
    <w:name w:val="7E36B0D256614D1F9B9B2ACAFC28D236"/>
    <w:rsid w:val="00275F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5B27-C881-4F61-A9FD-3BEE3B7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KNCHR Advisory on the Report of the Working Group on Arbitrary Detention; September 2014</vt:lpstr>
    </vt:vector>
  </TitlesOfParts>
  <Company>Hewlett-Packard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KNCHR’s Advisory on the Draft Principles and Guidelines on Arbitrary Detention; September 2014</dc:title>
  <dc:creator>schivusia</dc:creator>
  <cp:lastModifiedBy>schivusia</cp:lastModifiedBy>
  <cp:revision>2</cp:revision>
  <dcterms:created xsi:type="dcterms:W3CDTF">2014-09-26T13:17:00Z</dcterms:created>
  <dcterms:modified xsi:type="dcterms:W3CDTF">2014-09-26T13:17:00Z</dcterms:modified>
</cp:coreProperties>
</file>