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73" w:rsidRDefault="00D70C73">
      <w:pPr>
        <w:spacing w:after="200" w:line="276" w:lineRule="auto"/>
        <w:rPr>
          <w:rFonts w:asciiTheme="majorHAnsi" w:eastAsiaTheme="majorEastAsia" w:hAnsiTheme="majorHAnsi" w:cstheme="majorBidi"/>
          <w:b/>
          <w:bCs/>
          <w:color w:val="00B0F0"/>
          <w:sz w:val="132"/>
          <w:szCs w:val="132"/>
          <w:lang w:val="en-US"/>
        </w:rPr>
      </w:pPr>
      <w:bookmarkStart w:id="0" w:name="_GoBack"/>
      <w:r>
        <w:rPr>
          <w:noProof/>
          <w:lang w:eastAsia="en-GB"/>
        </w:rPr>
        <w:drawing>
          <wp:inline distT="0" distB="0" distL="0" distR="0">
            <wp:extent cx="5676900" cy="8677275"/>
            <wp:effectExtent l="19050" t="0" r="0" b="0"/>
            <wp:docPr id="13" name="860da41c-1eff-4e7d-9c27-3cd9740397b7" descr="cid:582853A3-81DB-4F2B-AEA3-35606268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da41c-1eff-4e7d-9c27-3cd9740397b7" descr="cid:582853A3-81DB-4F2B-AEA3-356062689CF0"/>
                    <pic:cNvPicPr>
                      <a:picLocks noChangeAspect="1" noChangeArrowheads="1"/>
                    </pic:cNvPicPr>
                  </pic:nvPicPr>
                  <pic:blipFill>
                    <a:blip r:embed="rId9" r:link="rId10" cstate="print"/>
                    <a:srcRect/>
                    <a:stretch>
                      <a:fillRect/>
                    </a:stretch>
                  </pic:blipFill>
                  <pic:spPr bwMode="auto">
                    <a:xfrm>
                      <a:off x="0" y="0"/>
                      <a:ext cx="5676900" cy="8677275"/>
                    </a:xfrm>
                    <a:prstGeom prst="rect">
                      <a:avLst/>
                    </a:prstGeom>
                    <a:noFill/>
                    <a:ln w="9525">
                      <a:noFill/>
                      <a:miter lim="800000"/>
                      <a:headEnd/>
                      <a:tailEnd/>
                    </a:ln>
                  </pic:spPr>
                </pic:pic>
              </a:graphicData>
            </a:graphic>
          </wp:inline>
        </w:drawing>
      </w:r>
      <w:bookmarkEnd w:id="0"/>
      <w:r>
        <w:rPr>
          <w:color w:val="00B0F0"/>
          <w:sz w:val="132"/>
          <w:szCs w:val="132"/>
        </w:rPr>
        <w:br w:type="page"/>
      </w:r>
    </w:p>
    <w:p w:rsidR="00B25D5D" w:rsidRPr="005323CF" w:rsidRDefault="003A4AC4" w:rsidP="00B25D5D">
      <w:pPr>
        <w:pStyle w:val="TOCHeading"/>
        <w:spacing w:after="240"/>
        <w:rPr>
          <w:color w:val="00B0F0"/>
          <w:sz w:val="144"/>
          <w:szCs w:val="144"/>
        </w:rPr>
      </w:pPr>
      <w:r>
        <w:rPr>
          <w:noProof/>
          <w:color w:val="00B0F0"/>
          <w:sz w:val="132"/>
          <w:szCs w:val="132"/>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1152525</wp:posOffset>
                </wp:positionV>
                <wp:extent cx="708660" cy="64135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16" w:rsidRPr="005323CF" w:rsidRDefault="00BC1116" w:rsidP="00B25D5D">
                            <w:pPr>
                              <w:rPr>
                                <w:rFonts w:asciiTheme="majorHAnsi" w:hAnsiTheme="majorHAnsi"/>
                                <w:i/>
                                <w:color w:val="00B0F0"/>
                                <w:sz w:val="72"/>
                                <w:szCs w:val="72"/>
                              </w:rPr>
                            </w:pPr>
                            <w:r w:rsidRPr="005323CF">
                              <w:rPr>
                                <w:rFonts w:asciiTheme="majorHAnsi" w:hAnsiTheme="majorHAnsi"/>
                                <w:i/>
                                <w:color w:val="00B0F0"/>
                                <w:sz w:val="72"/>
                                <w:szCs w:val="72"/>
                              </w:rPr>
                              <w:t>of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90.75pt;width:55.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zBgQ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" stroked="f">
                <v:textbox>
                  <w:txbxContent>
                    <w:p w:rsidR="00BC1116" w:rsidRPr="005323CF" w:rsidRDefault="00BC1116" w:rsidP="00B25D5D">
                      <w:pPr>
                        <w:rPr>
                          <w:rFonts w:asciiTheme="majorHAnsi" w:hAnsiTheme="majorHAnsi"/>
                          <w:i/>
                          <w:color w:val="00B0F0"/>
                          <w:sz w:val="72"/>
                          <w:szCs w:val="72"/>
                        </w:rPr>
                      </w:pPr>
                      <w:r w:rsidRPr="005323CF">
                        <w:rPr>
                          <w:rFonts w:asciiTheme="majorHAnsi" w:hAnsiTheme="majorHAnsi"/>
                          <w:i/>
                          <w:color w:val="00B0F0"/>
                          <w:sz w:val="72"/>
                          <w:szCs w:val="72"/>
                        </w:rPr>
                        <w:t>of</w:t>
                      </w:r>
                    </w:p>
                  </w:txbxContent>
                </v:textbox>
              </v:shape>
            </w:pict>
          </mc:Fallback>
        </mc:AlternateContent>
      </w:r>
      <w:r>
        <w:rPr>
          <w:noProof/>
          <w:color w:val="00B0F0"/>
          <w:sz w:val="132"/>
          <w:szCs w:val="132"/>
          <w:lang w:val="en-GB" w:eastAsia="en-GB"/>
        </w:rPr>
        <mc:AlternateContent>
          <mc:Choice Requires="wps">
            <w:drawing>
              <wp:anchor distT="0" distB="0" distL="114300" distR="114300" simplePos="0" relativeHeight="251656704" behindDoc="1" locked="0" layoutInCell="1" allowOverlap="1">
                <wp:simplePos x="0" y="0"/>
                <wp:positionH relativeFrom="column">
                  <wp:posOffset>2006600</wp:posOffset>
                </wp:positionH>
                <wp:positionV relativeFrom="paragraph">
                  <wp:posOffset>388620</wp:posOffset>
                </wp:positionV>
                <wp:extent cx="4229100" cy="189230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16" w:rsidRPr="005323CF" w:rsidRDefault="00BC1116" w:rsidP="00B25D5D">
                            <w:pPr>
                              <w:pStyle w:val="TOCHeading"/>
                              <w:rPr>
                                <w:color w:val="00B0F0"/>
                                <w:sz w:val="96"/>
                                <w:szCs w:val="96"/>
                              </w:rPr>
                            </w:pPr>
                            <w:r w:rsidRPr="005323CF">
                              <w:rPr>
                                <w:color w:val="00B0F0"/>
                                <w:sz w:val="96"/>
                                <w:szCs w:val="96"/>
                              </w:rPr>
                              <w:t>Contents</w:t>
                            </w:r>
                          </w:p>
                          <w:p w:rsidR="00BC1116" w:rsidRDefault="00BC1116" w:rsidP="00B25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8pt;margin-top:30.6pt;width:333pt;height:1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" stroked="f">
                <v:textbox>
                  <w:txbxContent>
                    <w:p w:rsidR="00BC1116" w:rsidRPr="005323CF" w:rsidRDefault="00BC1116" w:rsidP="00B25D5D">
                      <w:pPr>
                        <w:pStyle w:val="TOCHeading"/>
                        <w:rPr>
                          <w:color w:val="00B0F0"/>
                          <w:sz w:val="96"/>
                          <w:szCs w:val="96"/>
                        </w:rPr>
                      </w:pPr>
                      <w:r w:rsidRPr="005323CF">
                        <w:rPr>
                          <w:color w:val="00B0F0"/>
                          <w:sz w:val="96"/>
                          <w:szCs w:val="96"/>
                        </w:rPr>
                        <w:t>Contents</w:t>
                      </w:r>
                    </w:p>
                    <w:p w:rsidR="00BC1116" w:rsidRDefault="00BC1116" w:rsidP="00B25D5D"/>
                  </w:txbxContent>
                </v:textbox>
              </v:shape>
            </w:pict>
          </mc:Fallback>
        </mc:AlternateContent>
      </w:r>
      <w:r w:rsidR="00B25D5D" w:rsidRPr="005323CF">
        <w:rPr>
          <w:color w:val="00B0F0"/>
          <w:sz w:val="132"/>
          <w:szCs w:val="132"/>
        </w:rPr>
        <w:t>Table</w:t>
      </w:r>
      <w:r w:rsidR="00B25D5D" w:rsidRPr="005323CF">
        <w:rPr>
          <w:color w:val="00B0F0"/>
          <w:sz w:val="144"/>
          <w:szCs w:val="144"/>
        </w:rPr>
        <w:t xml:space="preserve"> </w:t>
      </w:r>
    </w:p>
    <w:p w:rsidR="00B25D5D" w:rsidRPr="00B25D5D" w:rsidRDefault="00B25D5D" w:rsidP="00B25D5D">
      <w:pPr>
        <w:rPr>
          <w:lang w:val="en-US"/>
        </w:rPr>
      </w:pPr>
    </w:p>
    <w:p w:rsidR="00FF56C1" w:rsidRDefault="00FF56C1" w:rsidP="006F17C8">
      <w:pPr>
        <w:tabs>
          <w:tab w:val="left" w:pos="720"/>
          <w:tab w:val="left" w:leader="dot" w:pos="7200"/>
        </w:tabs>
        <w:rPr>
          <w:b/>
          <w:sz w:val="23"/>
          <w:szCs w:val="23"/>
        </w:rPr>
      </w:pPr>
    </w:p>
    <w:p w:rsidR="006F17C8" w:rsidRPr="003252C6" w:rsidRDefault="004E76D5" w:rsidP="003252C6">
      <w:pPr>
        <w:tabs>
          <w:tab w:val="left" w:pos="720"/>
          <w:tab w:val="left" w:leader="dot" w:pos="7200"/>
        </w:tabs>
        <w:spacing w:line="480" w:lineRule="auto"/>
        <w:rPr>
          <w:rFonts w:cs="Arial"/>
          <w:sz w:val="36"/>
          <w:szCs w:val="36"/>
        </w:rPr>
      </w:pPr>
      <w:r w:rsidRPr="003252C6">
        <w:rPr>
          <w:rFonts w:cs="Arial"/>
          <w:sz w:val="36"/>
          <w:szCs w:val="36"/>
        </w:rPr>
        <w:t>Foreword</w:t>
      </w:r>
      <w:r w:rsidR="006F17C8" w:rsidRPr="003252C6">
        <w:rPr>
          <w:rFonts w:cs="Arial"/>
          <w:sz w:val="36"/>
          <w:szCs w:val="36"/>
        </w:rPr>
        <w:tab/>
      </w:r>
      <w:r w:rsidR="00947147" w:rsidRPr="003252C6">
        <w:rPr>
          <w:rFonts w:cs="Arial"/>
          <w:sz w:val="36"/>
          <w:szCs w:val="36"/>
        </w:rPr>
        <w:t xml:space="preserve"> </w:t>
      </w:r>
      <w:r w:rsidR="00136C7A" w:rsidRPr="003252C6">
        <w:rPr>
          <w:rFonts w:cs="Arial"/>
          <w:sz w:val="36"/>
          <w:szCs w:val="36"/>
        </w:rPr>
        <w:t xml:space="preserve"> </w:t>
      </w:r>
      <w:r w:rsidR="00947147" w:rsidRPr="003252C6">
        <w:rPr>
          <w:rFonts w:cs="Arial"/>
          <w:sz w:val="36"/>
          <w:szCs w:val="36"/>
        </w:rPr>
        <w:t>1</w:t>
      </w:r>
    </w:p>
    <w:p w:rsidR="00947147" w:rsidRPr="003252C6" w:rsidRDefault="00FF56C1" w:rsidP="00947147">
      <w:pPr>
        <w:tabs>
          <w:tab w:val="left" w:pos="720"/>
          <w:tab w:val="left" w:leader="dot" w:pos="7200"/>
        </w:tabs>
        <w:spacing w:line="480" w:lineRule="auto"/>
        <w:rPr>
          <w:rFonts w:cs="Arial"/>
          <w:sz w:val="36"/>
          <w:szCs w:val="36"/>
        </w:rPr>
      </w:pPr>
      <w:r w:rsidRPr="003252C6">
        <w:rPr>
          <w:rFonts w:cs="Arial"/>
          <w:sz w:val="36"/>
          <w:szCs w:val="36"/>
        </w:rPr>
        <w:t>Who are we</w:t>
      </w:r>
      <w:r w:rsidR="005142C6" w:rsidRPr="003252C6">
        <w:rPr>
          <w:rFonts w:cs="Arial"/>
          <w:sz w:val="36"/>
          <w:szCs w:val="36"/>
        </w:rPr>
        <w:t>?</w:t>
      </w:r>
      <w:r w:rsidRPr="003252C6">
        <w:rPr>
          <w:rFonts w:cs="Arial"/>
          <w:sz w:val="36"/>
          <w:szCs w:val="36"/>
        </w:rPr>
        <w:tab/>
      </w:r>
      <w:r w:rsidR="00947147" w:rsidRPr="003252C6">
        <w:rPr>
          <w:rFonts w:cs="Arial"/>
          <w:sz w:val="36"/>
          <w:szCs w:val="36"/>
        </w:rPr>
        <w:t xml:space="preserve">  2</w:t>
      </w:r>
    </w:p>
    <w:p w:rsidR="005A69EA" w:rsidRPr="003252C6" w:rsidRDefault="005A69EA" w:rsidP="00947147">
      <w:pPr>
        <w:tabs>
          <w:tab w:val="left" w:pos="720"/>
          <w:tab w:val="left" w:leader="dot" w:pos="7200"/>
        </w:tabs>
        <w:spacing w:line="480" w:lineRule="auto"/>
        <w:rPr>
          <w:rFonts w:cs="Arial"/>
          <w:sz w:val="36"/>
          <w:szCs w:val="36"/>
        </w:rPr>
      </w:pPr>
      <w:r w:rsidRPr="003252C6">
        <w:rPr>
          <w:rFonts w:cs="Arial"/>
          <w:sz w:val="36"/>
          <w:szCs w:val="36"/>
        </w:rPr>
        <w:t>Employment cycle</w:t>
      </w:r>
      <w:r w:rsidRPr="003252C6">
        <w:rPr>
          <w:rFonts w:cs="Arial"/>
          <w:sz w:val="36"/>
          <w:szCs w:val="36"/>
        </w:rPr>
        <w:tab/>
      </w:r>
      <w:r w:rsidR="00947147" w:rsidRPr="003252C6">
        <w:rPr>
          <w:rFonts w:cs="Arial"/>
          <w:sz w:val="36"/>
          <w:szCs w:val="36"/>
        </w:rPr>
        <w:t xml:space="preserve">  3</w:t>
      </w:r>
    </w:p>
    <w:p w:rsidR="003252C6" w:rsidRPr="003252C6" w:rsidRDefault="003252C6" w:rsidP="00947147">
      <w:pPr>
        <w:tabs>
          <w:tab w:val="left" w:pos="720"/>
          <w:tab w:val="left" w:leader="dot" w:pos="7200"/>
        </w:tabs>
        <w:spacing w:line="480" w:lineRule="auto"/>
        <w:rPr>
          <w:rFonts w:cs="Arial"/>
          <w:sz w:val="36"/>
          <w:szCs w:val="36"/>
        </w:rPr>
      </w:pPr>
      <w:r w:rsidRPr="003252C6">
        <w:rPr>
          <w:rFonts w:cs="Arial"/>
          <w:sz w:val="36"/>
          <w:szCs w:val="36"/>
        </w:rPr>
        <w:t>Article 27 of the CRPD......</w:t>
      </w:r>
      <w:r>
        <w:rPr>
          <w:rFonts w:cs="Arial"/>
          <w:sz w:val="36"/>
          <w:szCs w:val="36"/>
        </w:rPr>
        <w:t xml:space="preserve">.............................   </w:t>
      </w:r>
      <w:r w:rsidRPr="003252C6">
        <w:rPr>
          <w:rFonts w:cs="Arial"/>
          <w:sz w:val="36"/>
          <w:szCs w:val="36"/>
        </w:rPr>
        <w:t>4</w:t>
      </w:r>
    </w:p>
    <w:p w:rsidR="005A69EA" w:rsidRPr="003252C6" w:rsidRDefault="00554171" w:rsidP="00947147">
      <w:pPr>
        <w:tabs>
          <w:tab w:val="left" w:pos="720"/>
          <w:tab w:val="left" w:leader="dot" w:pos="7200"/>
        </w:tabs>
        <w:spacing w:line="480" w:lineRule="auto"/>
        <w:rPr>
          <w:rFonts w:cs="Arial"/>
          <w:sz w:val="36"/>
          <w:szCs w:val="36"/>
        </w:rPr>
      </w:pPr>
      <w:r w:rsidRPr="003252C6">
        <w:rPr>
          <w:rFonts w:cs="Arial"/>
          <w:sz w:val="36"/>
          <w:szCs w:val="36"/>
        </w:rPr>
        <w:t>Disabled people</w:t>
      </w:r>
      <w:r w:rsidR="00A377A0" w:rsidRPr="003252C6">
        <w:rPr>
          <w:rFonts w:cs="Arial"/>
          <w:sz w:val="36"/>
          <w:szCs w:val="36"/>
        </w:rPr>
        <w:tab/>
      </w:r>
      <w:r w:rsidR="00947147" w:rsidRPr="003252C6">
        <w:rPr>
          <w:rFonts w:cs="Arial"/>
          <w:sz w:val="36"/>
          <w:szCs w:val="36"/>
        </w:rPr>
        <w:t xml:space="preserve">  5</w:t>
      </w:r>
    </w:p>
    <w:p w:rsidR="003252C6" w:rsidRPr="002127F2" w:rsidRDefault="003252C6" w:rsidP="00947147">
      <w:pPr>
        <w:tabs>
          <w:tab w:val="left" w:pos="720"/>
          <w:tab w:val="left" w:leader="dot" w:pos="7200"/>
        </w:tabs>
        <w:spacing w:line="480" w:lineRule="auto"/>
        <w:rPr>
          <w:rFonts w:cs="Arial"/>
          <w:sz w:val="36"/>
          <w:szCs w:val="36"/>
        </w:rPr>
      </w:pPr>
      <w:r w:rsidRPr="002127F2">
        <w:rPr>
          <w:rFonts w:cs="Arial"/>
          <w:sz w:val="36"/>
          <w:szCs w:val="36"/>
        </w:rPr>
        <w:t xml:space="preserve">Future action.................................................. </w:t>
      </w:r>
      <w:r w:rsidR="002127F2" w:rsidRPr="002127F2">
        <w:rPr>
          <w:rFonts w:cs="Arial"/>
          <w:sz w:val="36"/>
          <w:szCs w:val="36"/>
        </w:rPr>
        <w:t>17</w:t>
      </w:r>
      <w:r w:rsidRPr="002127F2">
        <w:rPr>
          <w:rFonts w:cs="Arial"/>
          <w:sz w:val="36"/>
          <w:szCs w:val="36"/>
        </w:rPr>
        <w:t xml:space="preserve"> </w:t>
      </w:r>
    </w:p>
    <w:p w:rsidR="00A377A0" w:rsidRPr="002127F2" w:rsidRDefault="00A377A0" w:rsidP="00947147">
      <w:pPr>
        <w:tabs>
          <w:tab w:val="left" w:pos="720"/>
          <w:tab w:val="left" w:leader="dot" w:pos="7200"/>
        </w:tabs>
        <w:spacing w:line="480" w:lineRule="auto"/>
        <w:rPr>
          <w:rFonts w:cs="Arial"/>
          <w:sz w:val="36"/>
          <w:szCs w:val="36"/>
        </w:rPr>
      </w:pPr>
      <w:r w:rsidRPr="002127F2">
        <w:rPr>
          <w:rFonts w:cs="Arial"/>
          <w:sz w:val="36"/>
          <w:szCs w:val="36"/>
        </w:rPr>
        <w:t>Where are we now?</w:t>
      </w:r>
      <w:r w:rsidRPr="002127F2">
        <w:rPr>
          <w:rFonts w:cs="Arial"/>
          <w:sz w:val="36"/>
          <w:szCs w:val="36"/>
        </w:rPr>
        <w:tab/>
      </w:r>
      <w:r w:rsidR="00947147" w:rsidRPr="002127F2">
        <w:rPr>
          <w:rFonts w:cs="Arial"/>
          <w:sz w:val="36"/>
          <w:szCs w:val="36"/>
        </w:rPr>
        <w:t>18</w:t>
      </w:r>
    </w:p>
    <w:p w:rsidR="003252C6" w:rsidRPr="002127F2" w:rsidRDefault="003252C6" w:rsidP="00947147">
      <w:pPr>
        <w:tabs>
          <w:tab w:val="left" w:pos="720"/>
          <w:tab w:val="left" w:leader="dot" w:pos="7200"/>
        </w:tabs>
        <w:spacing w:line="480" w:lineRule="auto"/>
        <w:rPr>
          <w:rFonts w:cs="Arial"/>
          <w:sz w:val="36"/>
          <w:szCs w:val="36"/>
        </w:rPr>
      </w:pPr>
      <w:r w:rsidRPr="002127F2">
        <w:rPr>
          <w:rFonts w:cs="Arial"/>
          <w:sz w:val="36"/>
          <w:szCs w:val="36"/>
        </w:rPr>
        <w:t>Monitoring New Zealand’s p</w:t>
      </w:r>
      <w:r w:rsidR="002127F2" w:rsidRPr="002127F2">
        <w:rPr>
          <w:rFonts w:cs="Arial"/>
          <w:sz w:val="36"/>
          <w:szCs w:val="36"/>
        </w:rPr>
        <w:t>rogress.............. 35</w:t>
      </w:r>
    </w:p>
    <w:p w:rsidR="00A377A0" w:rsidRPr="00C82F13" w:rsidRDefault="00A377A0" w:rsidP="00947147">
      <w:pPr>
        <w:tabs>
          <w:tab w:val="left" w:pos="720"/>
          <w:tab w:val="left" w:leader="dot" w:pos="7200"/>
        </w:tabs>
        <w:spacing w:line="480" w:lineRule="auto"/>
        <w:rPr>
          <w:rFonts w:cs="Arial"/>
          <w:sz w:val="36"/>
          <w:szCs w:val="36"/>
        </w:rPr>
      </w:pPr>
      <w:r w:rsidRPr="002127F2">
        <w:rPr>
          <w:rFonts w:cs="Arial"/>
          <w:sz w:val="36"/>
          <w:szCs w:val="36"/>
        </w:rPr>
        <w:t>Equality at work indicators</w:t>
      </w:r>
      <w:r w:rsidRPr="002127F2">
        <w:rPr>
          <w:rFonts w:cs="Arial"/>
          <w:sz w:val="36"/>
          <w:szCs w:val="36"/>
        </w:rPr>
        <w:tab/>
      </w:r>
      <w:r w:rsidR="002127F2" w:rsidRPr="002127F2">
        <w:rPr>
          <w:rFonts w:cs="Arial"/>
          <w:sz w:val="36"/>
          <w:szCs w:val="36"/>
        </w:rPr>
        <w:t>36</w:t>
      </w:r>
    </w:p>
    <w:p w:rsidR="00FF56C1" w:rsidRPr="00C82F13" w:rsidRDefault="00A377A0" w:rsidP="00947147">
      <w:pPr>
        <w:tabs>
          <w:tab w:val="left" w:pos="720"/>
          <w:tab w:val="left" w:leader="dot" w:pos="7200"/>
        </w:tabs>
        <w:spacing w:line="480" w:lineRule="auto"/>
        <w:rPr>
          <w:rFonts w:cs="Arial"/>
          <w:sz w:val="36"/>
          <w:szCs w:val="36"/>
        </w:rPr>
      </w:pPr>
      <w:r w:rsidRPr="00C82F13">
        <w:rPr>
          <w:rFonts w:cs="Arial"/>
          <w:sz w:val="36"/>
          <w:szCs w:val="36"/>
        </w:rPr>
        <w:t>What next</w:t>
      </w:r>
      <w:r w:rsidR="00E907AB" w:rsidRPr="00C82F13">
        <w:rPr>
          <w:rFonts w:cs="Arial"/>
          <w:sz w:val="36"/>
          <w:szCs w:val="36"/>
        </w:rPr>
        <w:t>?</w:t>
      </w:r>
      <w:r w:rsidRPr="00C82F13">
        <w:rPr>
          <w:rFonts w:cs="Arial"/>
          <w:sz w:val="36"/>
          <w:szCs w:val="36"/>
        </w:rPr>
        <w:tab/>
      </w:r>
      <w:r w:rsidR="002127F2">
        <w:rPr>
          <w:rFonts w:cs="Arial"/>
          <w:sz w:val="36"/>
          <w:szCs w:val="36"/>
        </w:rPr>
        <w:t>41</w:t>
      </w:r>
    </w:p>
    <w:p w:rsidR="006F17C8" w:rsidRDefault="006F17C8" w:rsidP="00947147">
      <w:pPr>
        <w:rPr>
          <w:rFonts w:cs="Arial"/>
          <w:b/>
          <w:sz w:val="20"/>
          <w:szCs w:val="20"/>
        </w:rPr>
      </w:pPr>
    </w:p>
    <w:p w:rsidR="004E76D5" w:rsidRDefault="004E76D5" w:rsidP="00294200">
      <w:pPr>
        <w:rPr>
          <w:rFonts w:cs="Arial"/>
          <w:sz w:val="20"/>
          <w:szCs w:val="20"/>
        </w:rPr>
      </w:pPr>
    </w:p>
    <w:p w:rsidR="00122A7A" w:rsidRDefault="00E907AB" w:rsidP="0085039D">
      <w:pPr>
        <w:rPr>
          <w:rFonts w:cs="Arial"/>
          <w:b/>
          <w:sz w:val="22"/>
          <w:szCs w:val="22"/>
        </w:rPr>
      </w:pPr>
      <w:r>
        <w:rPr>
          <w:rFonts w:cs="Arial"/>
          <w:b/>
          <w:sz w:val="22"/>
          <w:szCs w:val="22"/>
        </w:rPr>
        <w:t>Published in July</w:t>
      </w:r>
      <w:r w:rsidR="009F1C6F" w:rsidRPr="00122A7A">
        <w:rPr>
          <w:rFonts w:cs="Arial"/>
          <w:b/>
          <w:sz w:val="22"/>
          <w:szCs w:val="22"/>
        </w:rPr>
        <w:t xml:space="preserve"> 2011 by the New Zealand Human Rights Commission</w:t>
      </w:r>
    </w:p>
    <w:p w:rsidR="0085039D" w:rsidRPr="00122A7A" w:rsidRDefault="003A4AC4" w:rsidP="0085039D">
      <w:pPr>
        <w:rPr>
          <w:rFonts w:cs="Arial"/>
          <w:sz w:val="22"/>
          <w:szCs w:val="22"/>
        </w:rPr>
      </w:pPr>
      <w:hyperlink r:id="rId11" w:history="1">
        <w:r w:rsidR="0085039D" w:rsidRPr="00122A7A">
          <w:rPr>
            <w:rStyle w:val="Hyperlink"/>
            <w:rFonts w:cs="Arial"/>
            <w:color w:val="auto"/>
            <w:sz w:val="22"/>
            <w:szCs w:val="22"/>
          </w:rPr>
          <w:t>www.hrc.co.nz</w:t>
        </w:r>
      </w:hyperlink>
    </w:p>
    <w:p w:rsidR="009F1C6F" w:rsidRPr="00122A7A" w:rsidRDefault="009F1C6F" w:rsidP="006F17C8">
      <w:pPr>
        <w:rPr>
          <w:rFonts w:cs="Arial"/>
          <w:sz w:val="22"/>
          <w:szCs w:val="22"/>
        </w:rPr>
      </w:pPr>
      <w:r w:rsidRPr="00122A7A">
        <w:rPr>
          <w:rFonts w:cs="Arial"/>
          <w:sz w:val="22"/>
          <w:szCs w:val="22"/>
        </w:rPr>
        <w:t>Wellington, New Zealand</w:t>
      </w:r>
      <w:r w:rsidR="0085039D" w:rsidRPr="00122A7A">
        <w:rPr>
          <w:rFonts w:cs="Arial"/>
          <w:sz w:val="22"/>
          <w:szCs w:val="22"/>
        </w:rPr>
        <w:t xml:space="preserve">.   </w:t>
      </w:r>
    </w:p>
    <w:p w:rsidR="00FF56C1" w:rsidRPr="00122A7A" w:rsidRDefault="00FF56C1" w:rsidP="006F17C8">
      <w:pPr>
        <w:rPr>
          <w:rFonts w:cs="Arial"/>
          <w:b/>
          <w:sz w:val="22"/>
          <w:szCs w:val="22"/>
        </w:rPr>
      </w:pPr>
    </w:p>
    <w:p w:rsidR="009F1C6F" w:rsidRPr="00122A7A" w:rsidRDefault="009F1C6F" w:rsidP="006F17C8">
      <w:pPr>
        <w:rPr>
          <w:rFonts w:cs="Arial"/>
          <w:sz w:val="22"/>
          <w:szCs w:val="22"/>
        </w:rPr>
      </w:pPr>
      <w:r w:rsidRPr="00122A7A">
        <w:rPr>
          <w:rFonts w:cs="Arial"/>
          <w:b/>
          <w:sz w:val="22"/>
          <w:szCs w:val="22"/>
        </w:rPr>
        <w:t>The Tracking Equality at Work website</w:t>
      </w:r>
      <w:r w:rsidRPr="00122A7A">
        <w:rPr>
          <w:rFonts w:cs="Arial"/>
          <w:sz w:val="22"/>
          <w:szCs w:val="22"/>
        </w:rPr>
        <w:t>:  www.neon.org.nz/</w:t>
      </w:r>
      <w:r w:rsidR="00163C51">
        <w:rPr>
          <w:rFonts w:cs="Arial"/>
          <w:sz w:val="22"/>
          <w:szCs w:val="22"/>
        </w:rPr>
        <w:t>tracking</w:t>
      </w:r>
      <w:r w:rsidRPr="00122A7A">
        <w:rPr>
          <w:rFonts w:cs="Arial"/>
          <w:sz w:val="22"/>
          <w:szCs w:val="22"/>
        </w:rPr>
        <w:t xml:space="preserve">equalityatwork/ </w:t>
      </w:r>
    </w:p>
    <w:p w:rsidR="00FF56C1" w:rsidRPr="00122A7A" w:rsidRDefault="00FF56C1" w:rsidP="006F17C8">
      <w:pPr>
        <w:rPr>
          <w:rFonts w:cs="Arial"/>
          <w:sz w:val="22"/>
          <w:szCs w:val="22"/>
        </w:rPr>
      </w:pPr>
    </w:p>
    <w:p w:rsidR="00947147" w:rsidRPr="00947147" w:rsidRDefault="00947147" w:rsidP="00947147">
      <w:pPr>
        <w:rPr>
          <w:color w:val="1F497D"/>
          <w:sz w:val="22"/>
          <w:szCs w:val="22"/>
        </w:rPr>
      </w:pPr>
      <w:r w:rsidRPr="00947147">
        <w:rPr>
          <w:color w:val="1F497D"/>
          <w:sz w:val="22"/>
          <w:szCs w:val="22"/>
        </w:rPr>
        <w:t>978-0-478-35602-1 (Print)</w:t>
      </w:r>
    </w:p>
    <w:p w:rsidR="00947147" w:rsidRPr="00947147" w:rsidRDefault="00947147" w:rsidP="00947147">
      <w:pPr>
        <w:rPr>
          <w:color w:val="1F497D"/>
          <w:sz w:val="22"/>
          <w:szCs w:val="22"/>
        </w:rPr>
      </w:pPr>
      <w:r w:rsidRPr="00947147">
        <w:rPr>
          <w:color w:val="1F497D"/>
          <w:sz w:val="22"/>
          <w:szCs w:val="22"/>
        </w:rPr>
        <w:t>978-0-478-35604-5 (PDF)</w:t>
      </w:r>
    </w:p>
    <w:p w:rsidR="009B324F" w:rsidRDefault="009B324F" w:rsidP="004E76D5">
      <w:pPr>
        <w:rPr>
          <w:lang w:val="en-US"/>
        </w:rPr>
        <w:sectPr w:rsidR="009B324F" w:rsidSect="00040D3F">
          <w:footerReference w:type="default" r:id="rId12"/>
          <w:type w:val="continuous"/>
          <w:pgSz w:w="11906" w:h="16838"/>
          <w:pgMar w:top="1440" w:right="1440" w:bottom="1440" w:left="1440" w:header="706" w:footer="706" w:gutter="0"/>
          <w:pgNumType w:start="40"/>
          <w:cols w:space="708"/>
          <w:titlePg/>
          <w:docGrid w:linePitch="360"/>
        </w:sectPr>
      </w:pPr>
    </w:p>
    <w:p w:rsidR="009B324F" w:rsidRDefault="009B324F" w:rsidP="004E76D5">
      <w:pPr>
        <w:rPr>
          <w:lang w:val="en-US"/>
        </w:rPr>
        <w:sectPr w:rsidR="009B324F" w:rsidSect="00566FA3">
          <w:type w:val="continuous"/>
          <w:pgSz w:w="11906" w:h="16838"/>
          <w:pgMar w:top="1440" w:right="1440" w:bottom="1440" w:left="1440" w:header="706" w:footer="706" w:gutter="0"/>
          <w:pgNumType w:start="1"/>
          <w:cols w:space="708"/>
          <w:titlePg/>
          <w:docGrid w:linePitch="360"/>
        </w:sectPr>
      </w:pPr>
    </w:p>
    <w:p w:rsidR="00554171" w:rsidRDefault="004E76D5" w:rsidP="00554171">
      <w:pPr>
        <w:rPr>
          <w:rFonts w:asciiTheme="majorHAnsi" w:hAnsiTheme="majorHAnsi"/>
          <w:b/>
          <w:color w:val="00B0F0"/>
          <w:sz w:val="72"/>
          <w:szCs w:val="72"/>
        </w:rPr>
      </w:pPr>
      <w:r>
        <w:rPr>
          <w:rFonts w:asciiTheme="majorHAnsi" w:hAnsiTheme="majorHAnsi"/>
          <w:b/>
          <w:color w:val="00B0F0"/>
          <w:sz w:val="72"/>
          <w:szCs w:val="72"/>
        </w:rPr>
        <w:lastRenderedPageBreak/>
        <w:t>Foreword</w:t>
      </w:r>
    </w:p>
    <w:p w:rsidR="00CD7E8A" w:rsidRPr="00CD7E8A" w:rsidRDefault="00CD7E8A" w:rsidP="00C82F13">
      <w:pPr>
        <w:jc w:val="both"/>
        <w:rPr>
          <w:sz w:val="22"/>
        </w:rPr>
      </w:pPr>
      <w:r w:rsidRPr="00CD7E8A">
        <w:rPr>
          <w:sz w:val="22"/>
        </w:rPr>
        <w:t>Disabled people in New Zealand find that getting a decent job is one of their most significant challenges. New Zealand’s leadership role in the development of the United Nations Convention on the Rights of Persons with Disabilities means there is a renewed focus on the right to work of disabled people.</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 urgent need to improve the participation of disabled people in the paid workforce and their accessibility to decent work is gaining traction. For example, the Disabled Persons Assembly (NZ) has led the way with the Employment Disability Forum in recognition of the need for progress given that at every level of qualification, disabled people are less likely than non-disabled people to be in the workforce. And the Employers Disability Network is promoting the employment of disabled people in the public and private sectors at a time of discussion and debate about the need for behavioural and attitudinal change in society and among employers.</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There is a growing public consensus of the need to address the fundamental inequalities faced by disabled people in employment that recognises the New Zealand Disability Strategy and acknowledges the Treaty of Waitangi.  The time for talking is over. It is now time for action to address the barriers and discrimination faced by disabled people in accessing decent work and in retaining paid employment.</w:t>
      </w:r>
    </w:p>
    <w:p w:rsidR="00CD7E8A" w:rsidRPr="00CD7E8A" w:rsidRDefault="00CD7E8A" w:rsidP="00C82F13">
      <w:pPr>
        <w:jc w:val="both"/>
        <w:rPr>
          <w:sz w:val="22"/>
        </w:rPr>
      </w:pPr>
    </w:p>
    <w:p w:rsidR="00CD7E8A" w:rsidRPr="00CD7E8A" w:rsidRDefault="007E2F39" w:rsidP="00C82F13">
      <w:pPr>
        <w:jc w:val="both"/>
        <w:rPr>
          <w:sz w:val="22"/>
        </w:rPr>
      </w:pPr>
      <w:r>
        <w:rPr>
          <w:sz w:val="22"/>
        </w:rPr>
        <w:t xml:space="preserve">In </w:t>
      </w:r>
      <w:r w:rsidR="00CD7E8A" w:rsidRPr="00CD7E8A">
        <w:rPr>
          <w:i/>
          <w:sz w:val="22"/>
        </w:rPr>
        <w:t xml:space="preserve">Tracking Equality </w:t>
      </w:r>
      <w:r w:rsidR="003C1995">
        <w:rPr>
          <w:i/>
          <w:sz w:val="22"/>
        </w:rPr>
        <w:t xml:space="preserve">at Work </w:t>
      </w:r>
      <w:r w:rsidR="00CD7E8A" w:rsidRPr="00CD7E8A">
        <w:rPr>
          <w:i/>
          <w:sz w:val="22"/>
        </w:rPr>
        <w:t>for Disabled People,</w:t>
      </w:r>
      <w:r w:rsidR="00CD7E8A" w:rsidRPr="00CD7E8A">
        <w:rPr>
          <w:sz w:val="22"/>
        </w:rPr>
        <w:t xml:space="preserve"> </w:t>
      </w:r>
      <w:r>
        <w:rPr>
          <w:sz w:val="22"/>
        </w:rPr>
        <w:t xml:space="preserve">the Human Rights Commission identifies </w:t>
      </w:r>
      <w:r w:rsidR="00CD7E8A" w:rsidRPr="00CD7E8A">
        <w:rPr>
          <w:sz w:val="22"/>
        </w:rPr>
        <w:t>young people entering employment</w:t>
      </w:r>
      <w:r>
        <w:rPr>
          <w:sz w:val="22"/>
        </w:rPr>
        <w:t xml:space="preserve"> as a critical issue</w:t>
      </w:r>
      <w:r w:rsidR="00CD7E8A" w:rsidRPr="00CD7E8A">
        <w:rPr>
          <w:sz w:val="22"/>
        </w:rPr>
        <w:t xml:space="preserve">. </w:t>
      </w:r>
      <w:r>
        <w:rPr>
          <w:sz w:val="22"/>
        </w:rPr>
        <w:t xml:space="preserve"> The Commission </w:t>
      </w:r>
      <w:r w:rsidR="00CD7E8A" w:rsidRPr="00CD7E8A">
        <w:rPr>
          <w:sz w:val="22"/>
        </w:rPr>
        <w:t>urgently recommends a national youth-to-work strategy that includes a plan for every young New Zealander. The strategy must address the barriers faced by disabled youth, and be responsive to M</w:t>
      </w:r>
      <w:r w:rsidR="00CD7E8A" w:rsidRPr="00CD7E8A">
        <w:rPr>
          <w:rFonts w:cs="Arial"/>
          <w:sz w:val="22"/>
        </w:rPr>
        <w:t>ā</w:t>
      </w:r>
      <w:r w:rsidR="00CD7E8A" w:rsidRPr="00CD7E8A">
        <w:rPr>
          <w:sz w:val="22"/>
        </w:rPr>
        <w:t>ori and Pacific young people who have been a casualty of the global economic recession.</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Too many young disabled graduates cannot benefit from their years of education and training and face significant under-employment, if they can find a job at all</w:t>
      </w:r>
      <w:r w:rsidR="003C1995">
        <w:rPr>
          <w:sz w:val="22"/>
        </w:rPr>
        <w:t>.  M</w:t>
      </w:r>
      <w:r w:rsidRPr="00CD7E8A">
        <w:rPr>
          <w:sz w:val="22"/>
        </w:rPr>
        <w:t xml:space="preserve">any do not have access to vocational services that improve their pathways to paid employment. </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 Commission wants a joined-up approach to youth employment that connects young people, schools, families and whanau, communities, employers, local and national government and that operates at a regional level to take account of sector opportunities. For example, there has been a constant and continuing need for the wider availability of work experience both at after school and tertiary holiday periods for disabled people that could be addressed in a youth-to-work strategy. Transition to work has been identified as a critical issue.</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 xml:space="preserve">In this new report the Commission is promoting equal employment opportunities for disabled people in accordance with Article 27 of the Convention on the Rights of Persons with Disabilities as it relates to work and employment. </w:t>
      </w:r>
    </w:p>
    <w:p w:rsidR="00554171" w:rsidRPr="00332CC0" w:rsidRDefault="00554171" w:rsidP="00C82F13">
      <w:pPr>
        <w:spacing w:before="240"/>
        <w:jc w:val="both"/>
        <w:rPr>
          <w:sz w:val="22"/>
          <w:szCs w:val="22"/>
        </w:rPr>
      </w:pPr>
      <w:r w:rsidRPr="00332CC0">
        <w:rPr>
          <w:noProof/>
          <w:sz w:val="22"/>
          <w:szCs w:val="22"/>
          <w:lang w:eastAsia="en-GB"/>
        </w:rPr>
        <w:drawing>
          <wp:inline distT="0" distB="0" distL="0" distR="0">
            <wp:extent cx="1609725" cy="54188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35010" cy="550398"/>
                    </a:xfrm>
                    <a:prstGeom prst="rect">
                      <a:avLst/>
                    </a:prstGeom>
                    <a:noFill/>
                    <a:ln w="9525">
                      <a:noFill/>
                      <a:miter lim="800000"/>
                      <a:headEnd/>
                      <a:tailEnd/>
                    </a:ln>
                  </pic:spPr>
                </pic:pic>
              </a:graphicData>
            </a:graphic>
          </wp:inline>
        </w:drawing>
      </w:r>
    </w:p>
    <w:p w:rsidR="00947147" w:rsidRDefault="00947147" w:rsidP="00C82F13">
      <w:pPr>
        <w:jc w:val="both"/>
        <w:rPr>
          <w:sz w:val="22"/>
          <w:szCs w:val="22"/>
        </w:rPr>
      </w:pPr>
    </w:p>
    <w:p w:rsidR="00554171" w:rsidRPr="00332CC0" w:rsidRDefault="00554171" w:rsidP="00C82F13">
      <w:pPr>
        <w:jc w:val="both"/>
        <w:rPr>
          <w:sz w:val="22"/>
          <w:szCs w:val="22"/>
        </w:rPr>
      </w:pPr>
      <w:r w:rsidRPr="00332CC0">
        <w:rPr>
          <w:sz w:val="22"/>
          <w:szCs w:val="22"/>
        </w:rPr>
        <w:t>Dr Judy McGregor</w:t>
      </w:r>
    </w:p>
    <w:p w:rsidR="00566FA3" w:rsidRDefault="00554171" w:rsidP="00566FA3">
      <w:pPr>
        <w:jc w:val="both"/>
        <w:rPr>
          <w:sz w:val="22"/>
          <w:szCs w:val="22"/>
        </w:rPr>
      </w:pPr>
      <w:r w:rsidRPr="00332CC0">
        <w:rPr>
          <w:sz w:val="22"/>
          <w:szCs w:val="22"/>
        </w:rPr>
        <w:t>Equal Employment Opportunities Commissioner</w:t>
      </w:r>
    </w:p>
    <w:p w:rsidR="00554171" w:rsidRPr="00332CC0" w:rsidRDefault="00554171" w:rsidP="00566FA3">
      <w:pPr>
        <w:jc w:val="both"/>
        <w:rPr>
          <w:rFonts w:asciiTheme="majorHAnsi" w:hAnsiTheme="majorHAnsi"/>
          <w:b/>
          <w:color w:val="00B0F0"/>
          <w:sz w:val="72"/>
          <w:szCs w:val="72"/>
        </w:rPr>
      </w:pPr>
      <w:r w:rsidRPr="00332CC0">
        <w:rPr>
          <w:rFonts w:asciiTheme="majorHAnsi" w:hAnsiTheme="majorHAnsi"/>
          <w:b/>
          <w:color w:val="00B0F0"/>
          <w:sz w:val="72"/>
          <w:szCs w:val="72"/>
        </w:rPr>
        <w:lastRenderedPageBreak/>
        <w:t>Who are we?</w:t>
      </w:r>
    </w:p>
    <w:p w:rsidR="006D405D" w:rsidRPr="003252C6" w:rsidRDefault="00EA63CF" w:rsidP="003252C6">
      <w:pPr>
        <w:jc w:val="both"/>
        <w:rPr>
          <w:sz w:val="22"/>
        </w:rPr>
      </w:pPr>
      <w:r w:rsidRPr="003252C6">
        <w:rPr>
          <w:sz w:val="22"/>
        </w:rPr>
        <w:t xml:space="preserve">A </w:t>
      </w:r>
      <w:r w:rsidR="00D151A1" w:rsidRPr="003252C6">
        <w:rPr>
          <w:sz w:val="22"/>
        </w:rPr>
        <w:t xml:space="preserve">key </w:t>
      </w:r>
      <w:r w:rsidRPr="003252C6">
        <w:rPr>
          <w:sz w:val="22"/>
        </w:rPr>
        <w:t>feature</w:t>
      </w:r>
      <w:r w:rsidR="0090135C" w:rsidRPr="003252C6">
        <w:rPr>
          <w:sz w:val="22"/>
        </w:rPr>
        <w:t xml:space="preserve"> and </w:t>
      </w:r>
      <w:r w:rsidR="00596ADE" w:rsidRPr="003252C6">
        <w:rPr>
          <w:sz w:val="22"/>
        </w:rPr>
        <w:t>priority</w:t>
      </w:r>
      <w:r w:rsidRPr="003252C6">
        <w:rPr>
          <w:sz w:val="22"/>
        </w:rPr>
        <w:t xml:space="preserve"> of the Commission’s equal employment opportunities</w:t>
      </w:r>
      <w:r w:rsidR="0022685E" w:rsidRPr="003252C6">
        <w:rPr>
          <w:sz w:val="22"/>
        </w:rPr>
        <w:t xml:space="preserve"> (EEO) programme </w:t>
      </w:r>
      <w:r w:rsidR="00596ADE" w:rsidRPr="003252C6">
        <w:rPr>
          <w:sz w:val="22"/>
        </w:rPr>
        <w:t xml:space="preserve">relates </w:t>
      </w:r>
      <w:r w:rsidRPr="003252C6">
        <w:rPr>
          <w:sz w:val="22"/>
        </w:rPr>
        <w:t xml:space="preserve">to disabled people and </w:t>
      </w:r>
      <w:r w:rsidR="00596ADE" w:rsidRPr="003252C6">
        <w:rPr>
          <w:sz w:val="22"/>
        </w:rPr>
        <w:t xml:space="preserve">the barriers they face in accessing and retaining paid </w:t>
      </w:r>
      <w:r w:rsidRPr="003252C6">
        <w:rPr>
          <w:sz w:val="22"/>
        </w:rPr>
        <w:t xml:space="preserve">employment.  This was a focus of the </w:t>
      </w:r>
      <w:r w:rsidRPr="003252C6">
        <w:rPr>
          <w:i/>
          <w:sz w:val="22"/>
        </w:rPr>
        <w:t>National Conversation about Work</w:t>
      </w:r>
      <w:r w:rsidRPr="003252C6">
        <w:rPr>
          <w:sz w:val="22"/>
        </w:rPr>
        <w:t xml:space="preserve"> which </w:t>
      </w:r>
      <w:r w:rsidR="0022685E" w:rsidRPr="003252C6">
        <w:rPr>
          <w:sz w:val="22"/>
        </w:rPr>
        <w:t>explored the work-related vi</w:t>
      </w:r>
      <w:r w:rsidR="00596ADE" w:rsidRPr="003252C6">
        <w:rPr>
          <w:sz w:val="22"/>
        </w:rPr>
        <w:t>ews of over 3000 New Zealanders in 16 regions and across a variety of industry sectors.</w:t>
      </w:r>
    </w:p>
    <w:p w:rsidR="006D405D" w:rsidRPr="003252C6" w:rsidRDefault="006D405D" w:rsidP="003252C6">
      <w:pPr>
        <w:jc w:val="both"/>
        <w:rPr>
          <w:sz w:val="22"/>
        </w:rPr>
      </w:pPr>
    </w:p>
    <w:p w:rsidR="00554171" w:rsidRPr="00332CC0" w:rsidRDefault="00554171" w:rsidP="00554171">
      <w:pPr>
        <w:jc w:val="both"/>
        <w:rPr>
          <w:sz w:val="22"/>
          <w:szCs w:val="22"/>
        </w:rPr>
      </w:pPr>
      <w:r w:rsidRPr="003252C6">
        <w:rPr>
          <w:sz w:val="22"/>
        </w:rPr>
        <w:t>Promoting EEO is the</w:t>
      </w:r>
      <w:r w:rsidRPr="00332CC0">
        <w:rPr>
          <w:sz w:val="22"/>
        </w:rPr>
        <w:t xml:space="preserve"> core responsibility of the EEO Commissioner. Under section 17 of the Human Rights Act (HRA), the EEO Commissioner provides leadership and advice on EEO, develops guidelines, monitors and analyses progress in EEO and works with others promoting equal employment. The HRA makes explicit that EEO includes pay equity. A Cabinet minute dated June 2004 gives the EEO Commissioner the authority to provide guidance to Crown entities to help ensure state-sector consistency and good EEO practice including how to be a good employer. </w:t>
      </w:r>
      <w:r w:rsidRPr="00332CC0">
        <w:rPr>
          <w:sz w:val="22"/>
          <w:szCs w:val="22"/>
        </w:rPr>
        <w:t xml:space="preserve">Further information on equality at work and EEO is available on the National Equal Opportunities Network website </w:t>
      </w:r>
      <w:hyperlink r:id="rId14" w:history="1">
        <w:r w:rsidRPr="00332CC0">
          <w:rPr>
            <w:rStyle w:val="Hyperlink"/>
            <w:rFonts w:eastAsiaTheme="majorEastAsia"/>
            <w:color w:val="auto"/>
            <w:sz w:val="22"/>
            <w:szCs w:val="22"/>
          </w:rPr>
          <w:t>www.neon.org.nz</w:t>
        </w:r>
      </w:hyperlink>
      <w:r w:rsidRPr="00332CC0">
        <w:rPr>
          <w:sz w:val="22"/>
          <w:szCs w:val="22"/>
        </w:rPr>
        <w:t>.</w:t>
      </w:r>
    </w:p>
    <w:p w:rsidR="00554171" w:rsidRPr="00332CC0" w:rsidRDefault="00554171" w:rsidP="00554171">
      <w:pPr>
        <w:jc w:val="both"/>
        <w:rPr>
          <w:sz w:val="22"/>
          <w:szCs w:val="22"/>
        </w:rPr>
      </w:pPr>
    </w:p>
    <w:p w:rsidR="00554171" w:rsidRPr="00332CC0" w:rsidRDefault="00554171" w:rsidP="00554171">
      <w:pPr>
        <w:rPr>
          <w:rFonts w:cs="Arial"/>
          <w:sz w:val="22"/>
          <w:szCs w:val="22"/>
        </w:rPr>
      </w:pPr>
      <w:r w:rsidRPr="00332CC0">
        <w:rPr>
          <w:sz w:val="22"/>
          <w:szCs w:val="22"/>
        </w:rPr>
        <w:t xml:space="preserve">A more comprehensive Tracking Equality at Work report is available at </w:t>
      </w:r>
      <w:hyperlink r:id="rId15" w:history="1">
        <w:r w:rsidRPr="00332CC0">
          <w:rPr>
            <w:rStyle w:val="Hyperlink"/>
            <w:rFonts w:cs="Arial"/>
            <w:color w:val="auto"/>
            <w:sz w:val="22"/>
            <w:szCs w:val="22"/>
          </w:rPr>
          <w:t>www.neon.org.nz/trackingequalityatwork/</w:t>
        </w:r>
      </w:hyperlink>
    </w:p>
    <w:p w:rsidR="00554171" w:rsidRPr="00332CC0" w:rsidRDefault="00554171" w:rsidP="00554171">
      <w:pPr>
        <w:tabs>
          <w:tab w:val="left" w:pos="0"/>
          <w:tab w:val="left" w:leader="dot" w:pos="7200"/>
        </w:tabs>
        <w:rPr>
          <w:b/>
          <w:sz w:val="22"/>
          <w:szCs w:val="22"/>
        </w:rPr>
      </w:pPr>
    </w:p>
    <w:p w:rsidR="00554171" w:rsidRPr="00332CC0" w:rsidRDefault="00554171" w:rsidP="00554171">
      <w:pPr>
        <w:pStyle w:val="ListParagraph"/>
        <w:numPr>
          <w:ilvl w:val="0"/>
          <w:numId w:val="52"/>
        </w:numPr>
        <w:tabs>
          <w:tab w:val="left" w:pos="0"/>
          <w:tab w:val="left" w:leader="dot" w:pos="7200"/>
        </w:tabs>
        <w:rPr>
          <w:sz w:val="22"/>
          <w:szCs w:val="22"/>
        </w:rPr>
      </w:pPr>
      <w:r w:rsidRPr="00332CC0">
        <w:rPr>
          <w:sz w:val="22"/>
          <w:szCs w:val="22"/>
        </w:rPr>
        <w:t>Protection from unemployment</w:t>
      </w:r>
    </w:p>
    <w:p w:rsidR="00554171" w:rsidRPr="00332CC0" w:rsidRDefault="00554171" w:rsidP="00554171">
      <w:pPr>
        <w:pStyle w:val="ListParagraph"/>
        <w:numPr>
          <w:ilvl w:val="0"/>
          <w:numId w:val="52"/>
        </w:numPr>
        <w:tabs>
          <w:tab w:val="left" w:pos="720"/>
          <w:tab w:val="left" w:pos="1350"/>
          <w:tab w:val="left" w:leader="dot" w:pos="7200"/>
        </w:tabs>
        <w:rPr>
          <w:sz w:val="22"/>
          <w:szCs w:val="22"/>
        </w:rPr>
      </w:pPr>
      <w:r w:rsidRPr="00332CC0">
        <w:rPr>
          <w:sz w:val="22"/>
          <w:szCs w:val="22"/>
        </w:rPr>
        <w:t>Migrants</w:t>
      </w:r>
    </w:p>
    <w:p w:rsidR="00554171" w:rsidRPr="00332CC0" w:rsidRDefault="00554171" w:rsidP="00554171">
      <w:pPr>
        <w:pStyle w:val="ListParagraph"/>
        <w:numPr>
          <w:ilvl w:val="0"/>
          <w:numId w:val="53"/>
        </w:numPr>
        <w:tabs>
          <w:tab w:val="left" w:pos="360"/>
          <w:tab w:val="left" w:pos="720"/>
          <w:tab w:val="left" w:pos="1350"/>
          <w:tab w:val="left" w:leader="dot" w:pos="7200"/>
        </w:tabs>
        <w:rPr>
          <w:sz w:val="22"/>
          <w:szCs w:val="22"/>
        </w:rPr>
      </w:pPr>
      <w:r w:rsidRPr="00332CC0">
        <w:rPr>
          <w:sz w:val="22"/>
          <w:szCs w:val="22"/>
        </w:rPr>
        <w:t>Occupational segregation and non-traditional roles</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Access to quality and affordable early childhood education</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 xml:space="preserve">Paid parental leave </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Low pay and the minimum wage</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 xml:space="preserve">Sexual orientation </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 xml:space="preserve">Older workers </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Literature review</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Right to work</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Review of Framework of the Future</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Employers’ and employees’ check list</w:t>
      </w:r>
      <w:r>
        <w:rPr>
          <w:sz w:val="22"/>
          <w:szCs w:val="22"/>
        </w:rPr>
        <w:t>s</w:t>
      </w:r>
    </w:p>
    <w:p w:rsidR="00554171" w:rsidRPr="00332CC0" w:rsidRDefault="00554171" w:rsidP="00554171">
      <w:pPr>
        <w:jc w:val="both"/>
        <w:rPr>
          <w:sz w:val="22"/>
          <w:szCs w:val="22"/>
        </w:rPr>
      </w:pPr>
    </w:p>
    <w:p w:rsidR="00554171" w:rsidRPr="00332CC0" w:rsidRDefault="00554171" w:rsidP="00554171">
      <w:pPr>
        <w:jc w:val="both"/>
        <w:rPr>
          <w:sz w:val="22"/>
          <w:szCs w:val="22"/>
        </w:rPr>
      </w:pP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The Human Rights Commission welcomes comment on the issues raised in </w:t>
      </w:r>
      <w:r w:rsidRPr="00332CC0">
        <w:rPr>
          <w:i/>
          <w:sz w:val="22"/>
          <w:szCs w:val="22"/>
        </w:rPr>
        <w:t xml:space="preserve">Tracking Equality at Work. </w:t>
      </w:r>
      <w:r w:rsidRPr="00332CC0">
        <w:rPr>
          <w:sz w:val="22"/>
          <w:szCs w:val="22"/>
        </w:rPr>
        <w:t xml:space="preserve">Contact us: </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Dr Judy McGregor, EEO Commissioner </w:t>
      </w:r>
      <w:hyperlink r:id="rId16" w:history="1">
        <w:r w:rsidRPr="00332CC0">
          <w:rPr>
            <w:rStyle w:val="Hyperlink"/>
            <w:rFonts w:eastAsiaTheme="majorEastAsia"/>
            <w:color w:val="auto"/>
            <w:sz w:val="22"/>
            <w:szCs w:val="22"/>
          </w:rPr>
          <w:t>judym@hrc.co.nz</w:t>
        </w:r>
      </w:hyperlink>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Emilia Don Silva, Executive Assistant to the Commissioner </w:t>
      </w:r>
      <w:hyperlink r:id="rId17" w:history="1">
        <w:r w:rsidRPr="00332CC0">
          <w:rPr>
            <w:rStyle w:val="Hyperlink"/>
            <w:rFonts w:eastAsiaTheme="majorEastAsia"/>
            <w:color w:val="auto"/>
            <w:sz w:val="22"/>
            <w:szCs w:val="22"/>
          </w:rPr>
          <w:t>emilias@hrc.co.nz</w:t>
        </w:r>
      </w:hyperlink>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Sue O’Shea, Principal Advisor EEO </w:t>
      </w:r>
      <w:hyperlink r:id="rId18" w:history="1">
        <w:r w:rsidRPr="00332CC0">
          <w:rPr>
            <w:rStyle w:val="Hyperlink"/>
            <w:rFonts w:eastAsiaTheme="majorEastAsia"/>
            <w:color w:val="auto"/>
            <w:sz w:val="22"/>
            <w:szCs w:val="22"/>
          </w:rPr>
          <w:t>sueo@hrc.co.nz</w:t>
        </w:r>
      </w:hyperlink>
      <w:r w:rsidRPr="00332CC0">
        <w:rPr>
          <w:sz w:val="22"/>
          <w:szCs w:val="22"/>
        </w:rPr>
        <w:t xml:space="preserve"> for issues related to women, pay equity, </w:t>
      </w:r>
      <w:r w:rsidR="004E76D5">
        <w:rPr>
          <w:sz w:val="22"/>
          <w:szCs w:val="22"/>
        </w:rPr>
        <w:t xml:space="preserve">disabled </w:t>
      </w:r>
      <w:r w:rsidRPr="00332CC0">
        <w:rPr>
          <w:sz w:val="22"/>
          <w:szCs w:val="22"/>
        </w:rPr>
        <w:t>people and older workers</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Moana Eruera, Senior Advisor EEO and Crown Entities </w:t>
      </w:r>
      <w:hyperlink r:id="rId19" w:history="1">
        <w:r w:rsidRPr="00332CC0">
          <w:rPr>
            <w:rStyle w:val="Hyperlink"/>
            <w:rFonts w:eastAsiaTheme="majorEastAsia"/>
            <w:color w:val="auto"/>
            <w:sz w:val="22"/>
            <w:szCs w:val="22"/>
          </w:rPr>
          <w:t>moanae@hrc.co.nz</w:t>
        </w:r>
      </w:hyperlink>
      <w:r w:rsidRPr="00332CC0">
        <w:rPr>
          <w:sz w:val="22"/>
          <w:szCs w:val="22"/>
        </w:rPr>
        <w:t xml:space="preserve"> for issues related to youth, Māori and Pacific people and “good employer advice”</w:t>
      </w:r>
      <w:r w:rsidR="00C82F13">
        <w:rPr>
          <w:sz w:val="22"/>
          <w:szCs w:val="22"/>
        </w:rPr>
        <w:t>.</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p>
    <w:p w:rsidR="003E69E7" w:rsidRDefault="003E69E7">
      <w:pPr>
        <w:spacing w:after="200" w:line="276" w:lineRule="auto"/>
        <w:rPr>
          <w:sz w:val="22"/>
          <w:szCs w:val="22"/>
        </w:rPr>
      </w:pPr>
      <w:r>
        <w:rPr>
          <w:sz w:val="22"/>
          <w:szCs w:val="22"/>
        </w:rPr>
        <w:br w:type="page"/>
      </w:r>
    </w:p>
    <w:p w:rsidR="003E69E7" w:rsidRDefault="003E69E7" w:rsidP="003E69E7">
      <w:r>
        <w:rPr>
          <w:rFonts w:asciiTheme="majorHAnsi" w:hAnsiTheme="majorHAnsi"/>
          <w:b/>
          <w:color w:val="00B0F0"/>
          <w:sz w:val="72"/>
          <w:szCs w:val="72"/>
        </w:rPr>
        <w:lastRenderedPageBreak/>
        <w:t>Employment cycle</w:t>
      </w:r>
    </w:p>
    <w:p w:rsidR="003E69E7" w:rsidRDefault="003E69E7" w:rsidP="003E69E7">
      <w:pPr>
        <w:pStyle w:val="Sectionheading"/>
        <w:tabs>
          <w:tab w:val="clear" w:pos="360"/>
        </w:tabs>
        <w:spacing w:before="0" w:after="0"/>
        <w:ind w:left="0" w:firstLine="0"/>
        <w:jc w:val="both"/>
        <w:rPr>
          <w:b w:val="0"/>
          <w:bCs w:val="0"/>
          <w:i w:val="0"/>
          <w:iCs w:val="0"/>
          <w:sz w:val="24"/>
          <w:szCs w:val="24"/>
        </w:rPr>
      </w:pPr>
    </w:p>
    <w:p w:rsidR="003E69E7" w:rsidRPr="00C82F13" w:rsidRDefault="003E69E7" w:rsidP="003E69E7">
      <w:pPr>
        <w:pStyle w:val="Sectionheading"/>
        <w:tabs>
          <w:tab w:val="clear" w:pos="360"/>
        </w:tabs>
        <w:spacing w:before="0" w:after="0"/>
        <w:ind w:left="0" w:firstLine="0"/>
        <w:jc w:val="both"/>
        <w:rPr>
          <w:b w:val="0"/>
          <w:bCs w:val="0"/>
          <w:i w:val="0"/>
          <w:iCs w:val="0"/>
          <w:sz w:val="22"/>
          <w:szCs w:val="22"/>
        </w:rPr>
      </w:pPr>
      <w:r w:rsidRPr="00C82F13">
        <w:rPr>
          <w:b w:val="0"/>
          <w:bCs w:val="0"/>
          <w:i w:val="0"/>
          <w:iCs w:val="0"/>
          <w:sz w:val="22"/>
          <w:szCs w:val="22"/>
        </w:rPr>
        <w:t xml:space="preserve">The employment cycle is used by the </w:t>
      </w:r>
      <w:r w:rsidR="00C82F13">
        <w:rPr>
          <w:b w:val="0"/>
          <w:bCs w:val="0"/>
          <w:i w:val="0"/>
          <w:iCs w:val="0"/>
          <w:sz w:val="22"/>
          <w:szCs w:val="22"/>
        </w:rPr>
        <w:t xml:space="preserve">Human Rights </w:t>
      </w:r>
      <w:r w:rsidRPr="00C82F13">
        <w:rPr>
          <w:b w:val="0"/>
          <w:bCs w:val="0"/>
          <w:i w:val="0"/>
          <w:iCs w:val="0"/>
          <w:sz w:val="22"/>
          <w:szCs w:val="22"/>
        </w:rPr>
        <w:t xml:space="preserve">Commission when advocating for equality issues and the right to work for disabled and all other people.  </w:t>
      </w:r>
      <w:r w:rsidR="00596ADE" w:rsidRPr="00C82F13">
        <w:rPr>
          <w:b w:val="0"/>
          <w:bCs w:val="0"/>
          <w:i w:val="0"/>
          <w:iCs w:val="0"/>
          <w:sz w:val="22"/>
          <w:szCs w:val="22"/>
        </w:rPr>
        <w:t>It covers the whole work experience</w:t>
      </w:r>
      <w:r w:rsidRPr="00C82F13">
        <w:rPr>
          <w:b w:val="0"/>
          <w:bCs w:val="0"/>
          <w:i w:val="0"/>
          <w:iCs w:val="0"/>
          <w:sz w:val="22"/>
          <w:szCs w:val="22"/>
        </w:rPr>
        <w:t xml:space="preserve"> </w:t>
      </w:r>
      <w:r w:rsidR="00596ADE" w:rsidRPr="00C82F13">
        <w:rPr>
          <w:b w:val="0"/>
          <w:bCs w:val="0"/>
          <w:i w:val="0"/>
          <w:iCs w:val="0"/>
          <w:sz w:val="22"/>
          <w:szCs w:val="22"/>
        </w:rPr>
        <w:t xml:space="preserve">and </w:t>
      </w:r>
      <w:r w:rsidRPr="00C82F13">
        <w:rPr>
          <w:b w:val="0"/>
          <w:bCs w:val="0"/>
          <w:i w:val="0"/>
          <w:iCs w:val="0"/>
          <w:sz w:val="22"/>
          <w:szCs w:val="22"/>
        </w:rPr>
        <w:t>spans protection from unemployment and how people access work, through to their exit from the labour market.</w:t>
      </w:r>
    </w:p>
    <w:p w:rsidR="003E69E7" w:rsidRPr="00C82F13" w:rsidRDefault="003E69E7" w:rsidP="003E69E7">
      <w:pPr>
        <w:pStyle w:val="Sectionheading"/>
        <w:tabs>
          <w:tab w:val="clear" w:pos="360"/>
        </w:tabs>
        <w:spacing w:before="0" w:after="0"/>
        <w:ind w:left="0" w:firstLine="0"/>
        <w:jc w:val="both"/>
        <w:rPr>
          <w:b w:val="0"/>
          <w:bCs w:val="0"/>
          <w:i w:val="0"/>
          <w:iCs w:val="0"/>
          <w:sz w:val="22"/>
          <w:szCs w:val="22"/>
        </w:rPr>
      </w:pPr>
    </w:p>
    <w:p w:rsidR="003E69E7" w:rsidRPr="00C82F13" w:rsidRDefault="003E69E7" w:rsidP="003E69E7">
      <w:pPr>
        <w:pStyle w:val="BodyText"/>
        <w:spacing w:after="0"/>
        <w:rPr>
          <w:rFonts w:ascii="Arial" w:hAnsi="Arial" w:cs="Arial"/>
          <w:sz w:val="22"/>
          <w:szCs w:val="22"/>
        </w:rPr>
      </w:pPr>
      <w:r w:rsidRPr="00C82F13">
        <w:rPr>
          <w:rFonts w:ascii="Arial" w:hAnsi="Arial" w:cs="Arial"/>
          <w:sz w:val="22"/>
          <w:szCs w:val="22"/>
        </w:rPr>
        <w:t xml:space="preserve">The employment cycle </w:t>
      </w:r>
      <w:r w:rsidR="00596ADE" w:rsidRPr="00C82F13">
        <w:rPr>
          <w:rFonts w:ascii="Arial" w:hAnsi="Arial" w:cs="Arial"/>
          <w:sz w:val="22"/>
          <w:szCs w:val="22"/>
        </w:rPr>
        <w:t>links to</w:t>
      </w:r>
      <w:r w:rsidRPr="00C82F13">
        <w:rPr>
          <w:rFonts w:ascii="Arial" w:hAnsi="Arial" w:cs="Arial"/>
          <w:sz w:val="22"/>
          <w:szCs w:val="22"/>
        </w:rPr>
        <w:t xml:space="preserve"> Article 27 of the Convention on the Rights of Persons with Disabilities (CRPD) which states that disabled people have “the right to the opportunity to gain a living by work freely chosen or accepted in a labour market and work environment that is open, in</w:t>
      </w:r>
      <w:r w:rsidR="000F2381">
        <w:rPr>
          <w:rFonts w:ascii="Arial" w:hAnsi="Arial" w:cs="Arial"/>
          <w:sz w:val="22"/>
          <w:szCs w:val="22"/>
        </w:rPr>
        <w:t>clusive and accessible to persons</w:t>
      </w:r>
      <w:r w:rsidRPr="00C82F13">
        <w:rPr>
          <w:rFonts w:ascii="Arial" w:hAnsi="Arial" w:cs="Arial"/>
          <w:sz w:val="22"/>
          <w:szCs w:val="22"/>
        </w:rPr>
        <w:t xml:space="preserve"> with disabilities”.  </w:t>
      </w:r>
    </w:p>
    <w:p w:rsidR="003E69E7" w:rsidRPr="00C82F13" w:rsidRDefault="003E69E7" w:rsidP="003E69E7">
      <w:pPr>
        <w:pStyle w:val="BodyText"/>
        <w:spacing w:after="0"/>
        <w:rPr>
          <w:rFonts w:ascii="Arial" w:hAnsi="Arial" w:cs="Arial"/>
          <w:sz w:val="22"/>
          <w:szCs w:val="22"/>
        </w:rPr>
      </w:pPr>
    </w:p>
    <w:p w:rsidR="003E69E7" w:rsidRPr="00A377A0" w:rsidRDefault="003E69E7" w:rsidP="003E69E7">
      <w:pPr>
        <w:pStyle w:val="BodyText"/>
        <w:spacing w:after="0"/>
        <w:rPr>
          <w:rFonts w:ascii="Arial" w:hAnsi="Arial" w:cs="Arial"/>
          <w:sz w:val="22"/>
          <w:szCs w:val="22"/>
        </w:rPr>
      </w:pPr>
      <w:r w:rsidRPr="00C82F13">
        <w:rPr>
          <w:rFonts w:ascii="Arial" w:hAnsi="Arial" w:cs="Arial"/>
          <w:sz w:val="22"/>
          <w:szCs w:val="22"/>
        </w:rPr>
        <w:t xml:space="preserve">The CRPD is the most modern application of the right to work and brings together </w:t>
      </w:r>
      <w:r w:rsidR="00A377A0" w:rsidRPr="00C82F13">
        <w:rPr>
          <w:rFonts w:ascii="Arial" w:hAnsi="Arial" w:cs="Arial"/>
          <w:sz w:val="22"/>
          <w:szCs w:val="22"/>
        </w:rPr>
        <w:t xml:space="preserve">the </w:t>
      </w:r>
      <w:r w:rsidRPr="00C82F13">
        <w:rPr>
          <w:rFonts w:ascii="Arial" w:hAnsi="Arial" w:cs="Arial"/>
          <w:sz w:val="22"/>
          <w:szCs w:val="22"/>
        </w:rPr>
        <w:t>agreed human righ</w:t>
      </w:r>
      <w:r w:rsidR="00A377A0" w:rsidRPr="00C82F13">
        <w:rPr>
          <w:rFonts w:ascii="Arial" w:hAnsi="Arial" w:cs="Arial"/>
          <w:sz w:val="22"/>
          <w:szCs w:val="22"/>
        </w:rPr>
        <w:t>ts and norms of disabled people.  Article 27 of the CRPD brings these rights and norms together in relation to employment.</w:t>
      </w:r>
    </w:p>
    <w:p w:rsidR="003E69E7" w:rsidRPr="003E69E7" w:rsidRDefault="003E69E7" w:rsidP="003E69E7">
      <w:pPr>
        <w:ind w:left="540"/>
      </w:pPr>
      <w:r>
        <w:rPr>
          <w:noProof/>
          <w:lang w:eastAsia="en-GB"/>
        </w:rPr>
        <w:drawing>
          <wp:inline distT="0" distB="0" distL="0" distR="0">
            <wp:extent cx="5181600" cy="5270500"/>
            <wp:effectExtent l="19050" t="0" r="0" b="6350"/>
            <wp:docPr id="8" name="Picture 1" descr="Employment cycle Pi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 cycle Pink-01"/>
                    <pic:cNvPicPr>
                      <a:picLocks noChangeAspect="1" noChangeArrowheads="1"/>
                    </pic:cNvPicPr>
                  </pic:nvPicPr>
                  <pic:blipFill>
                    <a:blip r:embed="rId20" cstate="print"/>
                    <a:srcRect l="3403" t="12355"/>
                    <a:stretch>
                      <a:fillRect/>
                    </a:stretch>
                  </pic:blipFill>
                  <pic:spPr bwMode="auto">
                    <a:xfrm>
                      <a:off x="0" y="0"/>
                      <a:ext cx="5181600" cy="5270500"/>
                    </a:xfrm>
                    <a:prstGeom prst="rect">
                      <a:avLst/>
                    </a:prstGeom>
                    <a:noFill/>
                    <a:ln w="9525">
                      <a:noFill/>
                      <a:miter lim="800000"/>
                      <a:headEnd/>
                      <a:tailEnd/>
                    </a:ln>
                  </pic:spPr>
                </pic:pic>
              </a:graphicData>
            </a:graphic>
          </wp:inline>
        </w:drawing>
      </w:r>
    </w:p>
    <w:p w:rsidR="003E69E7" w:rsidRDefault="003E69E7" w:rsidP="003E69E7">
      <w:pPr>
        <w:spacing w:after="200" w:line="276" w:lineRule="auto"/>
        <w:rPr>
          <w:rFonts w:cs="Arial"/>
          <w:b/>
          <w:lang w:val="en-NZ" w:eastAsia="en-NZ"/>
        </w:rPr>
      </w:pPr>
      <w:r>
        <w:rPr>
          <w:rFonts w:cs="Arial"/>
          <w:b/>
          <w:lang w:val="en-NZ" w:eastAsia="en-NZ"/>
        </w:rPr>
        <w:br w:type="page"/>
      </w:r>
    </w:p>
    <w:p w:rsidR="003C1995" w:rsidRDefault="003C1995" w:rsidP="003C1995">
      <w:r>
        <w:rPr>
          <w:rFonts w:asciiTheme="majorHAnsi" w:hAnsiTheme="majorHAnsi"/>
          <w:b/>
          <w:color w:val="00B0F0"/>
          <w:sz w:val="72"/>
          <w:szCs w:val="72"/>
        </w:rPr>
        <w:lastRenderedPageBreak/>
        <w:t>Article 27 of the CRPD</w:t>
      </w:r>
    </w:p>
    <w:p w:rsidR="003C1995" w:rsidRPr="003C1995" w:rsidRDefault="003C1995" w:rsidP="003C1995">
      <w:pPr>
        <w:rPr>
          <w:rFonts w:cs="Arial"/>
          <w:i/>
          <w:color w:val="00B0F0"/>
          <w:sz w:val="22"/>
          <w:szCs w:val="22"/>
          <w:lang w:val="en-NZ" w:eastAsia="en-NZ"/>
        </w:rPr>
      </w:pPr>
    </w:p>
    <w:p w:rsidR="00A377A0" w:rsidRPr="003C1995" w:rsidRDefault="003E69E7" w:rsidP="003C1995">
      <w:pPr>
        <w:rPr>
          <w:rFonts w:cs="Arial"/>
          <w:b/>
          <w:color w:val="00B0F0"/>
          <w:lang w:val="en-NZ" w:eastAsia="en-NZ"/>
        </w:rPr>
      </w:pPr>
      <w:r w:rsidRPr="003C1995">
        <w:rPr>
          <w:rFonts w:cs="Arial"/>
          <w:b/>
          <w:i/>
          <w:color w:val="00B0F0"/>
          <w:lang w:val="en-NZ" w:eastAsia="en-NZ"/>
        </w:rPr>
        <w:t>Work and employment</w:t>
      </w:r>
      <w:r w:rsidRPr="003C1995">
        <w:rPr>
          <w:rFonts w:cs="Arial"/>
          <w:b/>
          <w:color w:val="00B0F0"/>
          <w:lang w:val="en-NZ" w:eastAsia="en-NZ"/>
        </w:rPr>
        <w:t xml:space="preserve"> </w:t>
      </w:r>
    </w:p>
    <w:p w:rsidR="003E69E7" w:rsidRPr="00C82F13" w:rsidRDefault="003E69E7" w:rsidP="003E69E7">
      <w:pPr>
        <w:spacing w:after="100" w:afterAutospacing="1"/>
        <w:rPr>
          <w:rFonts w:cs="Arial"/>
          <w:sz w:val="22"/>
          <w:szCs w:val="22"/>
          <w:lang w:val="en-NZ" w:eastAsia="en-NZ"/>
        </w:rPr>
      </w:pPr>
      <w:r w:rsidRPr="00C82F13">
        <w:rPr>
          <w:rFonts w:cs="Arial"/>
          <w:sz w:val="22"/>
          <w:szCs w:val="22"/>
          <w:lang w:val="en-NZ" w:eastAsia="en-NZ"/>
        </w:rPr>
        <w:t xml:space="preserve">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 </w:t>
      </w:r>
    </w:p>
    <w:p w:rsidR="003E69E7" w:rsidRPr="00C82F13" w:rsidRDefault="003E69E7" w:rsidP="003C1995">
      <w:pPr>
        <w:ind w:left="180"/>
        <w:rPr>
          <w:rFonts w:cs="Arial"/>
          <w:sz w:val="22"/>
          <w:szCs w:val="22"/>
          <w:lang w:val="en-NZ" w:eastAsia="en-NZ"/>
        </w:rPr>
      </w:pPr>
      <w:r w:rsidRPr="00C82F13">
        <w:rPr>
          <w:rFonts w:cs="Arial"/>
          <w:sz w:val="22"/>
          <w:szCs w:val="22"/>
          <w:lang w:val="en-NZ" w:eastAsia="en-NZ"/>
        </w:rPr>
        <w:t xml:space="preserve">(a) Prohibit discrimination on the basis of disability with regard to all matters concerning all forms of employment, including conditions of recruitment, hiring and employment, continuance of employment, career advancement and safe and healthy working conditions; </w:t>
      </w:r>
      <w:r w:rsidRPr="00C82F13">
        <w:rPr>
          <w:rFonts w:cs="Arial"/>
          <w:sz w:val="22"/>
          <w:szCs w:val="22"/>
          <w:lang w:val="en-NZ" w:eastAsia="en-NZ"/>
        </w:rPr>
        <w:br/>
      </w:r>
      <w:r w:rsidRPr="00C82F13">
        <w:rPr>
          <w:rFonts w:cs="Arial"/>
          <w:sz w:val="22"/>
          <w:szCs w:val="22"/>
          <w:lang w:val="en-NZ" w:eastAsia="en-NZ"/>
        </w:rPr>
        <w:br/>
        <w:t xml:space="preserve">(b)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 </w:t>
      </w:r>
      <w:r w:rsidRPr="00C82F13">
        <w:rPr>
          <w:rFonts w:cs="Arial"/>
          <w:sz w:val="22"/>
          <w:szCs w:val="22"/>
          <w:lang w:val="en-NZ" w:eastAsia="en-NZ"/>
        </w:rPr>
        <w:br/>
      </w:r>
      <w:r w:rsidRPr="00C82F13">
        <w:rPr>
          <w:rFonts w:cs="Arial"/>
          <w:sz w:val="22"/>
          <w:szCs w:val="22"/>
          <w:lang w:val="en-NZ" w:eastAsia="en-NZ"/>
        </w:rPr>
        <w:br/>
        <w:t xml:space="preserve">(c) Ensure that persons with disabilities are able to exercise their labour and trade union rights on an equal basis with others; </w:t>
      </w:r>
      <w:r w:rsidRPr="00C82F13">
        <w:rPr>
          <w:rFonts w:cs="Arial"/>
          <w:sz w:val="22"/>
          <w:szCs w:val="22"/>
          <w:lang w:val="en-NZ" w:eastAsia="en-NZ"/>
        </w:rPr>
        <w:br/>
      </w:r>
      <w:r w:rsidRPr="00C82F13">
        <w:rPr>
          <w:rFonts w:cs="Arial"/>
          <w:sz w:val="22"/>
          <w:szCs w:val="22"/>
          <w:lang w:val="en-NZ" w:eastAsia="en-NZ"/>
        </w:rPr>
        <w:br/>
        <w:t xml:space="preserve">(d) Enable persons with disabilities to have effective access to general technical and vocational guidance programmes, placement services and vocational and continuing training; </w:t>
      </w:r>
      <w:r w:rsidRPr="00C82F13">
        <w:rPr>
          <w:rFonts w:cs="Arial"/>
          <w:sz w:val="22"/>
          <w:szCs w:val="22"/>
          <w:lang w:val="en-NZ" w:eastAsia="en-NZ"/>
        </w:rPr>
        <w:br/>
      </w:r>
      <w:r w:rsidRPr="00C82F13">
        <w:rPr>
          <w:rFonts w:cs="Arial"/>
          <w:sz w:val="22"/>
          <w:szCs w:val="22"/>
          <w:lang w:val="en-NZ" w:eastAsia="en-NZ"/>
        </w:rPr>
        <w:br/>
        <w:t xml:space="preserve">(e) Promote employment opportunities and career advancement for persons with disabilities in the labour market, as well as assistance in finding, obtaining, maintaining and returning to employment; </w:t>
      </w:r>
      <w:r w:rsidRPr="00C82F13">
        <w:rPr>
          <w:rFonts w:cs="Arial"/>
          <w:sz w:val="22"/>
          <w:szCs w:val="22"/>
          <w:lang w:val="en-NZ" w:eastAsia="en-NZ"/>
        </w:rPr>
        <w:br/>
      </w:r>
      <w:r w:rsidRPr="00C82F13">
        <w:rPr>
          <w:rFonts w:cs="Arial"/>
          <w:sz w:val="22"/>
          <w:szCs w:val="22"/>
          <w:lang w:val="en-NZ" w:eastAsia="en-NZ"/>
        </w:rPr>
        <w:br/>
        <w:t xml:space="preserve">(f) Promote opportunities for self-employment, entrepreneurship, the development of cooperatives and starting one's own business; </w:t>
      </w:r>
      <w:r w:rsidRPr="00C82F13">
        <w:rPr>
          <w:rFonts w:cs="Arial"/>
          <w:sz w:val="22"/>
          <w:szCs w:val="22"/>
          <w:lang w:val="en-NZ" w:eastAsia="en-NZ"/>
        </w:rPr>
        <w:br/>
      </w:r>
      <w:r w:rsidRPr="00C82F13">
        <w:rPr>
          <w:rFonts w:cs="Arial"/>
          <w:sz w:val="22"/>
          <w:szCs w:val="22"/>
          <w:lang w:val="en-NZ" w:eastAsia="en-NZ"/>
        </w:rPr>
        <w:br/>
        <w:t xml:space="preserve">(g) Employ persons with disabilities in the public sector; </w:t>
      </w:r>
      <w:r w:rsidRPr="00C82F13">
        <w:rPr>
          <w:rFonts w:cs="Arial"/>
          <w:sz w:val="22"/>
          <w:szCs w:val="22"/>
          <w:lang w:val="en-NZ" w:eastAsia="en-NZ"/>
        </w:rPr>
        <w:br/>
      </w:r>
      <w:r w:rsidRPr="00C82F13">
        <w:rPr>
          <w:rFonts w:cs="Arial"/>
          <w:sz w:val="22"/>
          <w:szCs w:val="22"/>
          <w:lang w:val="en-NZ" w:eastAsia="en-NZ"/>
        </w:rPr>
        <w:br/>
        <w:t xml:space="preserve">(h) Promote the employment of persons with disabilities in the private sector through appropriate policies and measures, which may include affirmative action programmes, incentives and other measures; </w:t>
      </w:r>
      <w:r w:rsidRPr="00C82F13">
        <w:rPr>
          <w:rFonts w:cs="Arial"/>
          <w:sz w:val="22"/>
          <w:szCs w:val="22"/>
          <w:lang w:val="en-NZ" w:eastAsia="en-NZ"/>
        </w:rPr>
        <w:br/>
      </w:r>
    </w:p>
    <w:p w:rsidR="003E69E7" w:rsidRPr="00C82F13" w:rsidRDefault="003E69E7" w:rsidP="003C1995">
      <w:pPr>
        <w:ind w:left="180"/>
        <w:rPr>
          <w:rFonts w:cs="Arial"/>
          <w:sz w:val="22"/>
          <w:szCs w:val="22"/>
          <w:lang w:val="en-NZ" w:eastAsia="en-NZ"/>
        </w:rPr>
      </w:pPr>
      <w:r w:rsidRPr="00C82F13">
        <w:rPr>
          <w:rFonts w:cs="Arial"/>
          <w:sz w:val="22"/>
          <w:szCs w:val="22"/>
          <w:lang w:val="en-NZ" w:eastAsia="en-NZ"/>
        </w:rPr>
        <w:t xml:space="preserve">(i) Ensure that reasonable accommodation is provided to persons with disabilities in the workplace; </w:t>
      </w:r>
    </w:p>
    <w:p w:rsidR="003E69E7" w:rsidRPr="00C82F13" w:rsidRDefault="003E69E7" w:rsidP="003C1995">
      <w:pPr>
        <w:ind w:left="180"/>
        <w:rPr>
          <w:rFonts w:cs="Arial"/>
          <w:sz w:val="22"/>
          <w:szCs w:val="22"/>
          <w:lang w:val="en-NZ" w:eastAsia="en-NZ"/>
        </w:rPr>
      </w:pPr>
    </w:p>
    <w:p w:rsidR="003E69E7" w:rsidRDefault="003E69E7" w:rsidP="003C1995">
      <w:pPr>
        <w:ind w:left="180"/>
        <w:rPr>
          <w:rFonts w:cs="Arial"/>
          <w:sz w:val="22"/>
          <w:szCs w:val="22"/>
          <w:lang w:val="en-NZ" w:eastAsia="en-NZ"/>
        </w:rPr>
      </w:pPr>
      <w:r w:rsidRPr="00C82F13">
        <w:rPr>
          <w:rFonts w:cs="Arial"/>
          <w:sz w:val="22"/>
          <w:szCs w:val="22"/>
          <w:lang w:val="en-NZ" w:eastAsia="en-NZ"/>
        </w:rPr>
        <w:t xml:space="preserve">(j) Promote the acquisition by persons with disabilities of work experience in the open labour market; </w:t>
      </w:r>
      <w:r w:rsidRPr="00C82F13">
        <w:rPr>
          <w:rFonts w:cs="Arial"/>
          <w:sz w:val="22"/>
          <w:szCs w:val="22"/>
          <w:lang w:val="en-NZ" w:eastAsia="en-NZ"/>
        </w:rPr>
        <w:br/>
      </w:r>
      <w:r w:rsidRPr="00C82F13">
        <w:rPr>
          <w:rFonts w:cs="Arial"/>
          <w:sz w:val="22"/>
          <w:szCs w:val="22"/>
          <w:lang w:val="en-NZ" w:eastAsia="en-NZ"/>
        </w:rPr>
        <w:br/>
        <w:t xml:space="preserve">(k) Promote vocational and professional rehabilitation, job retention and return-to-work programmes for persons with disabilities. </w:t>
      </w:r>
    </w:p>
    <w:p w:rsidR="003E69E7" w:rsidRPr="00A377A0" w:rsidRDefault="003E69E7" w:rsidP="003E69E7">
      <w:pPr>
        <w:pStyle w:val="Sectionheading"/>
        <w:tabs>
          <w:tab w:val="clear" w:pos="360"/>
        </w:tabs>
        <w:spacing w:before="0" w:after="0"/>
        <w:ind w:left="0" w:firstLine="0"/>
        <w:jc w:val="both"/>
        <w:rPr>
          <w:b w:val="0"/>
          <w:bCs w:val="0"/>
          <w:i w:val="0"/>
          <w:iCs w:val="0"/>
          <w:sz w:val="22"/>
          <w:szCs w:val="22"/>
        </w:rPr>
      </w:pPr>
      <w:r w:rsidRPr="00C82F13">
        <w:rPr>
          <w:b w:val="0"/>
          <w:bCs w:val="0"/>
          <w:i w:val="0"/>
          <w:iCs w:val="0"/>
          <w:sz w:val="22"/>
          <w:szCs w:val="22"/>
        </w:rPr>
        <w:t>2. States Parties shall ensure that persons with disabilities are not held in slavery or in servitude, and are protected, on an equal basis with others, from forced or compulsory labour.</w:t>
      </w:r>
    </w:p>
    <w:p w:rsidR="003E69E7" w:rsidRPr="0012092E" w:rsidRDefault="003E69E7" w:rsidP="003E69E7">
      <w:pPr>
        <w:spacing w:after="200" w:line="276" w:lineRule="auto"/>
        <w:rPr>
          <w:rFonts w:asciiTheme="majorHAnsi" w:hAnsiTheme="majorHAnsi"/>
          <w:b/>
          <w:color w:val="00B0F0"/>
        </w:rPr>
      </w:pPr>
    </w:p>
    <w:p w:rsidR="003E69E7" w:rsidRDefault="003E69E7" w:rsidP="003E69E7">
      <w:r>
        <w:rPr>
          <w:rFonts w:asciiTheme="majorHAnsi" w:hAnsiTheme="majorHAnsi"/>
          <w:b/>
          <w:color w:val="00B0F0"/>
          <w:sz w:val="72"/>
          <w:szCs w:val="72"/>
        </w:rPr>
        <w:lastRenderedPageBreak/>
        <w:t xml:space="preserve">Disabled people </w:t>
      </w:r>
    </w:p>
    <w:p w:rsidR="003E69E7" w:rsidRDefault="003E69E7" w:rsidP="003E69E7">
      <w:pPr>
        <w:jc w:val="both"/>
        <w:rPr>
          <w:sz w:val="22"/>
        </w:rPr>
      </w:pPr>
      <w:r>
        <w:rPr>
          <w:sz w:val="22"/>
        </w:rPr>
        <w:t xml:space="preserve">Disability is the most frequent ground of enquiry and complaint to the Commission in the area of employment. Currently disabled people are estimated as having twice the level of unemployment as their non-disabled peers. However, there are a number of factors that lead the Commission to query whether or not this is an under-estimate. </w:t>
      </w:r>
    </w:p>
    <w:p w:rsidR="003E69E7" w:rsidRDefault="003E69E7" w:rsidP="003E69E7">
      <w:pPr>
        <w:jc w:val="both"/>
        <w:rPr>
          <w:sz w:val="22"/>
        </w:rPr>
      </w:pPr>
    </w:p>
    <w:p w:rsidR="003E69E7" w:rsidRDefault="003E69E7" w:rsidP="003E69E7">
      <w:pPr>
        <w:jc w:val="both"/>
        <w:rPr>
          <w:sz w:val="22"/>
        </w:rPr>
      </w:pPr>
      <w:r>
        <w:rPr>
          <w:sz w:val="22"/>
        </w:rPr>
        <w:t xml:space="preserve">Employment data for disabled people is only collected every five years in a survey conducted after the main census. It is not collected in other more regular surveys such as the Household Labour Force Survey sampled quarterly or the Income Survey sampled annually or the State Service Commission’s annual human resources capability survey.   Reliable statistics on the employment of </w:t>
      </w:r>
      <w:r w:rsidR="003C1995">
        <w:rPr>
          <w:sz w:val="22"/>
        </w:rPr>
        <w:t xml:space="preserve">disabled </w:t>
      </w:r>
      <w:r>
        <w:rPr>
          <w:sz w:val="22"/>
        </w:rPr>
        <w:t xml:space="preserve">people are collected in the New Zealand Household Disability Survey conducted every five years after the general survey. </w:t>
      </w:r>
      <w:r w:rsidR="00596ADE" w:rsidRPr="00C82F13">
        <w:rPr>
          <w:sz w:val="22"/>
        </w:rPr>
        <w:t>The next New Zealand Household Disability Survey is planned for 2013, several months after the general census which was delayed because of Christchurch’s earthquakes.</w:t>
      </w:r>
    </w:p>
    <w:p w:rsidR="003E69E7" w:rsidRDefault="003E69E7" w:rsidP="003E69E7">
      <w:pPr>
        <w:jc w:val="both"/>
        <w:rPr>
          <w:sz w:val="22"/>
        </w:rPr>
      </w:pPr>
    </w:p>
    <w:p w:rsidR="003E69E7" w:rsidRDefault="003E69E7" w:rsidP="003E69E7">
      <w:pPr>
        <w:jc w:val="both"/>
        <w:rPr>
          <w:sz w:val="22"/>
        </w:rPr>
      </w:pPr>
      <w:r>
        <w:rPr>
          <w:sz w:val="22"/>
        </w:rPr>
        <w:t xml:space="preserve">During the course of the </w:t>
      </w:r>
      <w:r w:rsidRPr="003C1995">
        <w:rPr>
          <w:i/>
          <w:sz w:val="22"/>
        </w:rPr>
        <w:t>National Conversation about Work</w:t>
      </w:r>
      <w:r>
        <w:rPr>
          <w:sz w:val="22"/>
        </w:rPr>
        <w:t xml:space="preserve"> the Commission heard that disabled people were experiencing a particularly difficult time accessing and maintaining employment. Discriminatory assumptions about what people were capable of is a significant barrier to the employment of disabled people.</w:t>
      </w:r>
    </w:p>
    <w:p w:rsidR="003E69E7" w:rsidRDefault="003E69E7" w:rsidP="003E69E7">
      <w:pPr>
        <w:jc w:val="both"/>
        <w:rPr>
          <w:sz w:val="22"/>
        </w:rPr>
      </w:pPr>
    </w:p>
    <w:p w:rsidR="003E69E7" w:rsidRDefault="003E69E7" w:rsidP="003E69E7">
      <w:pPr>
        <w:jc w:val="both"/>
        <w:rPr>
          <w:sz w:val="22"/>
          <w:u w:val="single"/>
        </w:rPr>
      </w:pPr>
      <w:r>
        <w:rPr>
          <w:sz w:val="22"/>
        </w:rPr>
        <w:t>Without more frequent data gathering, society is unable to monitor the situation for disabled people and also means progress cannot be tracked either.  The Commission has identified the development of a full range of social statistics which measure key outcomes as an area of action to progress the rights of disabled people.</w:t>
      </w:r>
      <w:r>
        <w:rPr>
          <w:rStyle w:val="FootnoteReference"/>
          <w:sz w:val="22"/>
        </w:rPr>
        <w:footnoteReference w:id="1"/>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 xml:space="preserve">International obligations </w:t>
      </w:r>
    </w:p>
    <w:p w:rsidR="003E69E7" w:rsidRDefault="003E69E7" w:rsidP="003E69E7">
      <w:pPr>
        <w:jc w:val="both"/>
        <w:rPr>
          <w:sz w:val="22"/>
        </w:rPr>
      </w:pPr>
      <w:r>
        <w:rPr>
          <w:sz w:val="22"/>
        </w:rPr>
        <w:t>New Zealand ratified the Convention on the Rights of Persons with Disabilities (CRPD) in 2008. The CRPD did not introduce any new human rights, but clarifies the obligations and legal duties of states to respect and ensure the equal enjoyment of all human rights by disabled people.</w:t>
      </w:r>
    </w:p>
    <w:p w:rsidR="003E69E7" w:rsidRDefault="003E69E7" w:rsidP="003E69E7">
      <w:pPr>
        <w:jc w:val="both"/>
        <w:rPr>
          <w:sz w:val="22"/>
        </w:rPr>
      </w:pPr>
    </w:p>
    <w:p w:rsidR="003E69E7" w:rsidRDefault="003E69E7" w:rsidP="003E69E7">
      <w:pPr>
        <w:jc w:val="both"/>
        <w:rPr>
          <w:sz w:val="22"/>
        </w:rPr>
      </w:pPr>
      <w:r>
        <w:rPr>
          <w:sz w:val="22"/>
        </w:rPr>
        <w:t xml:space="preserve">The purpose of </w:t>
      </w:r>
      <w:r w:rsidR="003C1995">
        <w:rPr>
          <w:sz w:val="22"/>
        </w:rPr>
        <w:t xml:space="preserve">the </w:t>
      </w:r>
      <w:r>
        <w:rPr>
          <w:sz w:val="22"/>
        </w:rPr>
        <w:t xml:space="preserve">CRPD, expressed in Article 1 is to “promote, protect and ensure the full and equal enjoyment of all human rights and fundamental freedoms by persons with disabilities, and to promote respect for their inherent dignity.” Included in the principles that govern the CRPD are non-discrimination, full and effective participation and inclusion in society, and equality of opportunity. Article 27 (1) provides a comprehensive list of the rights of disabled people in relation to employment including the employment of people in the public sector (Art.27 (1) g), the private sector (Art.27 (1) h) and the open labour market (Art.27 (1) j). </w:t>
      </w:r>
    </w:p>
    <w:p w:rsidR="003E69E7" w:rsidRDefault="003E69E7" w:rsidP="003E69E7">
      <w:pPr>
        <w:jc w:val="both"/>
        <w:rPr>
          <w:b/>
          <w:color w:val="00B0F0"/>
          <w:sz w:val="22"/>
          <w:szCs w:val="22"/>
        </w:rPr>
      </w:pPr>
    </w:p>
    <w:p w:rsidR="003E69E7" w:rsidRDefault="003E69E7" w:rsidP="003E69E7">
      <w:pPr>
        <w:jc w:val="both"/>
        <w:rPr>
          <w:b/>
          <w:color w:val="00B0F0"/>
          <w:sz w:val="28"/>
          <w:szCs w:val="28"/>
        </w:rPr>
      </w:pPr>
      <w:r>
        <w:rPr>
          <w:b/>
          <w:color w:val="00B0F0"/>
          <w:sz w:val="28"/>
          <w:szCs w:val="28"/>
        </w:rPr>
        <w:t xml:space="preserve">New Zealand legislation </w:t>
      </w:r>
    </w:p>
    <w:p w:rsidR="003E69E7" w:rsidRDefault="003E69E7" w:rsidP="003E69E7">
      <w:pPr>
        <w:jc w:val="both"/>
        <w:rPr>
          <w:sz w:val="22"/>
        </w:rPr>
      </w:pPr>
      <w:r>
        <w:rPr>
          <w:sz w:val="22"/>
        </w:rPr>
        <w:t xml:space="preserve">Disabled people have the same rights and legal entitlements as other New Zealanders. The Human Rights Act 1993 (HRA) and the New Zealand Bill of Rights Act 1990 (BoRA) protect the right of disabled people to freedom from discrimination. Both rely on the HRA definition of disability: </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physical disability or impairment</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physical illness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psychiatric illness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intellectual or psychological disability or impairment</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lastRenderedPageBreak/>
        <w:t>any other loss or abnormality of psychological or anatomical structure of function</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reliance on a guide dog, wheelchair or other remedial means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the presence in the body of organisms capable of causing illness.</w:t>
      </w:r>
    </w:p>
    <w:p w:rsidR="00947147" w:rsidRDefault="00947147" w:rsidP="003E69E7">
      <w:pPr>
        <w:pStyle w:val="Heading3"/>
        <w:spacing w:before="0"/>
        <w:rPr>
          <w:rFonts w:ascii="Arial" w:eastAsia="Times New Roman" w:hAnsi="Arial" w:cs="Times New Roman"/>
          <w:bCs w:val="0"/>
          <w:color w:val="00B0F0"/>
          <w:sz w:val="28"/>
          <w:szCs w:val="28"/>
        </w:rPr>
      </w:pPr>
    </w:p>
    <w:p w:rsidR="003E69E7" w:rsidRDefault="003E69E7" w:rsidP="003E69E7">
      <w:pPr>
        <w:pStyle w:val="Heading3"/>
        <w:spacing w:before="0"/>
      </w:pPr>
      <w:r>
        <w:rPr>
          <w:rFonts w:ascii="Arial" w:eastAsia="Times New Roman" w:hAnsi="Arial" w:cs="Times New Roman"/>
          <w:bCs w:val="0"/>
          <w:color w:val="00B0F0"/>
          <w:sz w:val="28"/>
          <w:szCs w:val="28"/>
        </w:rPr>
        <w:t>Reasonable accommodation</w:t>
      </w:r>
      <w:r>
        <w:t xml:space="preserve"> </w:t>
      </w:r>
    </w:p>
    <w:p w:rsidR="003E69E7" w:rsidRDefault="003E69E7" w:rsidP="003E69E7">
      <w:pPr>
        <w:shd w:val="clear" w:color="auto" w:fill="FFFFFF"/>
        <w:jc w:val="both"/>
        <w:textAlignment w:val="top"/>
        <w:rPr>
          <w:rFonts w:cs="Arial"/>
          <w:color w:val="000000"/>
          <w:sz w:val="22"/>
          <w:szCs w:val="22"/>
          <w:lang w:eastAsia="en-NZ"/>
        </w:rPr>
      </w:pPr>
      <w:r>
        <w:rPr>
          <w:rFonts w:cs="Arial"/>
          <w:i/>
          <w:sz w:val="22"/>
          <w:szCs w:val="22"/>
        </w:rPr>
        <w:t>Reasonable accommodation</w:t>
      </w:r>
      <w:r>
        <w:rPr>
          <w:rFonts w:cs="Arial"/>
          <w:sz w:val="22"/>
          <w:szCs w:val="22"/>
        </w:rPr>
        <w:t xml:space="preserve"> is a term used to describe the creation of an environment that will ensure equality of opportunity for disabled people, family commitments or particular religious practices. </w:t>
      </w:r>
      <w:r>
        <w:rPr>
          <w:rFonts w:cs="Arial"/>
          <w:sz w:val="22"/>
          <w:szCs w:val="22"/>
          <w:lang w:val="en-US"/>
        </w:rPr>
        <w:t>It is most commonly used in the provision of goods and services and employment. The CRPD states</w:t>
      </w:r>
      <w:r w:rsidR="00596ADE">
        <w:rPr>
          <w:rFonts w:cs="Arial"/>
          <w:sz w:val="22"/>
          <w:szCs w:val="22"/>
          <w:lang w:val="en-US"/>
        </w:rPr>
        <w:t xml:space="preserve"> </w:t>
      </w:r>
      <w:r w:rsidR="00596ADE" w:rsidRPr="00C82F13">
        <w:rPr>
          <w:rFonts w:cs="Arial"/>
          <w:sz w:val="22"/>
          <w:szCs w:val="22"/>
          <w:lang w:val="en-US"/>
        </w:rPr>
        <w:t>that</w:t>
      </w:r>
      <w:r w:rsidRPr="00C82F13">
        <w:rPr>
          <w:rFonts w:cs="Arial"/>
          <w:sz w:val="22"/>
          <w:szCs w:val="22"/>
          <w:lang w:val="en-US"/>
        </w:rPr>
        <w:t xml:space="preserve"> </w:t>
      </w:r>
      <w:r w:rsidRPr="00C82F13">
        <w:rPr>
          <w:rFonts w:cs="Arial"/>
          <w:color w:val="000000"/>
          <w:sz w:val="22"/>
          <w:szCs w:val="22"/>
          <w:lang w:eastAsia="en-NZ"/>
        </w:rPr>
        <w:t>"Reasonable accommodation</w:t>
      </w:r>
      <w:r>
        <w:rPr>
          <w:rFonts w:cs="Arial"/>
          <w:color w:val="000000"/>
          <w:sz w:val="22"/>
          <w:szCs w:val="22"/>
          <w:lang w:eastAsia="en-NZ"/>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The denial of reasonable accommodation is a form of discrimination, according to the Convention.  </w:t>
      </w:r>
    </w:p>
    <w:p w:rsidR="003E69E7" w:rsidRDefault="003E69E7" w:rsidP="003E69E7">
      <w:pPr>
        <w:shd w:val="clear" w:color="auto" w:fill="FFFFFF"/>
        <w:spacing w:before="100" w:beforeAutospacing="1" w:after="100" w:afterAutospacing="1"/>
        <w:jc w:val="both"/>
        <w:textAlignment w:val="top"/>
        <w:rPr>
          <w:rFonts w:ascii="Verdana" w:hAnsi="Verdana"/>
          <w:color w:val="000000"/>
          <w:sz w:val="19"/>
          <w:szCs w:val="19"/>
          <w:lang w:eastAsia="en-NZ"/>
        </w:rPr>
      </w:pPr>
      <w:r>
        <w:rPr>
          <w:sz w:val="22"/>
        </w:rPr>
        <w:t xml:space="preserve">Employers find the legal concept of reasonable accommodation in the Human Rights Act difficult, while disability advocates believe that there are myths about the employment needs of disabled people that need to be countered. Grant Cleland, Chief Executive of Workbridge has observed that most disabled people do not require additional accommodation and the most commonly sought accommodation of those people who do require it, is flexible work hours.  Another point made by disability advocates is that every employee requires accommodation of some sort or another, whether it is a desk, chair, or lighting.  </w:t>
      </w: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In the employment context reasonable accommodation applies to changes to a workplace which are made to ensure that a person who has a disability, family commitments or religious requirements can do a job. This may be as simple as swapping shifts with another employee to accommodate religious observance or installing a ramp for a person in a wheelchair. Whether an employer must make such changes is balanced against the unreasonable cost that may result. </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In relation to the provision of services for disabled people, the Court of Appeal has said that there is a presumption that a provider will provide the necessary accommodation unless it is unreasonable. If a person requires special services or facilities (for example, relocation of an office) that it is not reasonable to provide, then the employer or service provider is not obliged to provide them. </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In addition, if there is a risk of harm to the individual or others, but measures can be taken to reduce the risk without unreasonable disruption, then the provider or employer should take those measures. If it is not reasonable to take the risk, or the measures necessary to reduce the risk to a normal level are unreasonable, then an employer or provider may be justified in discriminating.</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Disability advocates have observed that health and safety concerns based on incorrect assumptions can become a barrier to the employment of disabled people. For example, the Commission heard that a person had been dismissed from his job collecting trolleys in a supermarket carpark because a Labour Inspector said he was unsafe around moving cars because of his learning disability. The trolley attendant had been working at the supermarket without incident for many years. A similar point was made by a group of Deaf who had sought employment that included driving. They said that a significant barrier was the  assumption that because they did not hear traffic noise they were less safe than hearing drivers. This assumption ignored their heightened awareness of the visual environment.  </w:t>
      </w:r>
    </w:p>
    <w:p w:rsidR="003E69E7" w:rsidRDefault="003E69E7" w:rsidP="003E69E7">
      <w:pPr>
        <w:jc w:val="both"/>
        <w:rPr>
          <w:b/>
          <w:color w:val="00B0F0"/>
          <w:sz w:val="40"/>
          <w:szCs w:val="40"/>
        </w:rPr>
      </w:pPr>
    </w:p>
    <w:p w:rsidR="003E69E7" w:rsidRDefault="003E69E7" w:rsidP="003E69E7">
      <w:pPr>
        <w:jc w:val="both"/>
        <w:rPr>
          <w:b/>
          <w:color w:val="00B0F0"/>
          <w:sz w:val="40"/>
          <w:szCs w:val="40"/>
        </w:rPr>
      </w:pPr>
    </w:p>
    <w:p w:rsidR="003E69E7" w:rsidRDefault="003E69E7" w:rsidP="003E69E7">
      <w:pPr>
        <w:jc w:val="both"/>
        <w:rPr>
          <w:b/>
          <w:color w:val="00B0F0"/>
          <w:sz w:val="40"/>
          <w:szCs w:val="40"/>
        </w:rPr>
      </w:pPr>
      <w:r>
        <w:rPr>
          <w:b/>
          <w:color w:val="00B0F0"/>
          <w:sz w:val="40"/>
          <w:szCs w:val="40"/>
        </w:rPr>
        <w:t xml:space="preserve">State sector </w:t>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 xml:space="preserve">Legislation </w:t>
      </w:r>
    </w:p>
    <w:p w:rsidR="003E69E7" w:rsidRDefault="003E69E7" w:rsidP="003E69E7">
      <w:pPr>
        <w:jc w:val="both"/>
        <w:rPr>
          <w:rFonts w:cs="Arial"/>
          <w:color w:val="000000"/>
          <w:sz w:val="22"/>
          <w:lang w:eastAsia="en-NZ"/>
        </w:rPr>
      </w:pPr>
      <w:r>
        <w:rPr>
          <w:rFonts w:cs="Arial"/>
          <w:color w:val="000000"/>
          <w:sz w:val="22"/>
          <w:lang w:eastAsia="en-NZ"/>
        </w:rPr>
        <w:t>The State Sector Act “covers human resource management and general management practice, including requiring State services employers to be 'good employers', to promote equal employment opportunities and efficiency in the organisations that make up the service, and to ensure that employees are imbued with the spirit of service to the community. The CRPD also requires State parties to “employ persons with disabilities in the public sector.”</w:t>
      </w:r>
      <w:r>
        <w:rPr>
          <w:rStyle w:val="FootnoteReference"/>
          <w:rFonts w:cs="Arial"/>
          <w:color w:val="000000"/>
          <w:sz w:val="22"/>
          <w:lang w:eastAsia="en-NZ"/>
        </w:rPr>
        <w:footnoteReference w:id="2"/>
      </w:r>
    </w:p>
    <w:p w:rsidR="003E69E7" w:rsidRDefault="003E69E7" w:rsidP="003E69E7">
      <w:pPr>
        <w:jc w:val="both"/>
        <w:rPr>
          <w:rFonts w:cs="Arial"/>
          <w:color w:val="000000"/>
          <w:sz w:val="22"/>
          <w:lang w:eastAsia="en-NZ"/>
        </w:rPr>
      </w:pPr>
      <w:bookmarkStart w:id="1" w:name="P222_33854"/>
      <w:bookmarkEnd w:id="1"/>
    </w:p>
    <w:p w:rsidR="003E69E7" w:rsidRPr="00651381" w:rsidRDefault="003E69E7" w:rsidP="003E69E7">
      <w:pPr>
        <w:outlineLvl w:val="0"/>
        <w:rPr>
          <w:rFonts w:cs="Arial"/>
          <w:sz w:val="22"/>
          <w:szCs w:val="22"/>
        </w:rPr>
      </w:pPr>
      <w:r>
        <w:rPr>
          <w:rFonts w:cs="Arial"/>
          <w:color w:val="000000"/>
          <w:sz w:val="22"/>
          <w:lang w:eastAsia="en-NZ"/>
        </w:rPr>
        <w:t>The wider state sector such as Crown entities and local government are also required to be good employers, have equal opportunities programmes and recognise the employment requirements of disabled people.</w:t>
      </w:r>
      <w:r>
        <w:rPr>
          <w:rFonts w:cs="Arial"/>
          <w:color w:val="000000"/>
          <w:sz w:val="22"/>
          <w:lang w:eastAsia="en-NZ"/>
        </w:rPr>
        <w:br/>
      </w:r>
      <w:r>
        <w:rPr>
          <w:rFonts w:cs="Arial"/>
          <w:color w:val="000000"/>
          <w:sz w:val="22"/>
          <w:lang w:eastAsia="en-NZ"/>
        </w:rPr>
        <w:br/>
      </w:r>
      <w:r w:rsidRPr="00C82F13">
        <w:rPr>
          <w:rFonts w:cs="Arial"/>
          <w:sz w:val="22"/>
          <w:szCs w:val="22"/>
        </w:rPr>
        <w:t>The public service was seen as not fulfilling its leadership role as an employer by some disabled people</w:t>
      </w:r>
      <w:r w:rsidR="00596ADE" w:rsidRPr="00C82F13">
        <w:rPr>
          <w:rFonts w:cs="Arial"/>
          <w:sz w:val="22"/>
          <w:szCs w:val="22"/>
        </w:rPr>
        <w:t xml:space="preserve"> in the </w:t>
      </w:r>
      <w:r w:rsidR="00596ADE" w:rsidRPr="00C82F13">
        <w:rPr>
          <w:rFonts w:cs="Arial"/>
          <w:i/>
          <w:sz w:val="22"/>
          <w:szCs w:val="22"/>
        </w:rPr>
        <w:t>National Conversation about Work</w:t>
      </w:r>
      <w:r w:rsidR="00596ADE" w:rsidRPr="00C82F13">
        <w:rPr>
          <w:rFonts w:cs="Arial"/>
          <w:sz w:val="22"/>
          <w:szCs w:val="22"/>
        </w:rPr>
        <w:t xml:space="preserve"> report</w:t>
      </w:r>
      <w:r w:rsidRPr="00C82F13">
        <w:rPr>
          <w:rFonts w:cs="Arial"/>
          <w:sz w:val="22"/>
          <w:szCs w:val="22"/>
        </w:rPr>
        <w:t>. The Commission heard that the public service was “going backwards as a model employer” for disabled people and that the situation was even more difficult in the current environment of public service cuts.</w:t>
      </w:r>
      <w:r w:rsidRPr="00651381">
        <w:rPr>
          <w:rFonts w:cs="Arial"/>
          <w:sz w:val="22"/>
          <w:szCs w:val="22"/>
        </w:rPr>
        <w:t xml:space="preserve"> </w:t>
      </w:r>
    </w:p>
    <w:p w:rsidR="003E69E7" w:rsidRDefault="003E69E7" w:rsidP="003E69E7">
      <w:pPr>
        <w:rPr>
          <w:rFonts w:cs="Arial"/>
          <w:color w:val="000000"/>
          <w:sz w:val="22"/>
          <w:lang w:eastAsia="en-NZ"/>
        </w:rPr>
      </w:pPr>
    </w:p>
    <w:p w:rsidR="003E69E7" w:rsidRDefault="003E69E7" w:rsidP="003E69E7">
      <w:pPr>
        <w:jc w:val="both"/>
        <w:rPr>
          <w:b/>
          <w:color w:val="00B0F0"/>
          <w:sz w:val="28"/>
          <w:szCs w:val="28"/>
        </w:rPr>
      </w:pPr>
      <w:r>
        <w:rPr>
          <w:b/>
          <w:color w:val="00B0F0"/>
          <w:sz w:val="28"/>
          <w:szCs w:val="28"/>
        </w:rPr>
        <w:t xml:space="preserve">Data </w:t>
      </w:r>
    </w:p>
    <w:p w:rsidR="003E69E7" w:rsidRDefault="003E69E7" w:rsidP="003E69E7">
      <w:pPr>
        <w:autoSpaceDE w:val="0"/>
        <w:autoSpaceDN w:val="0"/>
        <w:adjustRightInd w:val="0"/>
        <w:jc w:val="both"/>
        <w:rPr>
          <w:rFonts w:cs="Arial"/>
          <w:color w:val="000000"/>
          <w:sz w:val="22"/>
        </w:rPr>
      </w:pPr>
      <w:r>
        <w:rPr>
          <w:sz w:val="22"/>
        </w:rPr>
        <w:t xml:space="preserve">The State Services Commission (SSC) no longer collects disability data in the annual Human Resource Capability Survey (HRCS). In the 2005 report the SSC stated, </w:t>
      </w:r>
      <w:r>
        <w:rPr>
          <w:rFonts w:cs="Arial"/>
          <w:color w:val="000000"/>
          <w:sz w:val="22"/>
        </w:rPr>
        <w:t xml:space="preserve">“The collection of disability data in the Public Service is currently under review and disability statistics collected by the survey have not been published since 2002 because of concerns about data quality.” </w:t>
      </w:r>
    </w:p>
    <w:p w:rsidR="003E69E7" w:rsidRDefault="003E69E7" w:rsidP="003E69E7">
      <w:pPr>
        <w:autoSpaceDE w:val="0"/>
        <w:autoSpaceDN w:val="0"/>
        <w:adjustRightInd w:val="0"/>
        <w:jc w:val="both"/>
        <w:rPr>
          <w:rFonts w:cs="Arial"/>
          <w:color w:val="000000"/>
          <w:sz w:val="22"/>
        </w:rPr>
      </w:pPr>
    </w:p>
    <w:p w:rsidR="003E69E7" w:rsidRDefault="003E69E7" w:rsidP="003E69E7">
      <w:pPr>
        <w:autoSpaceDE w:val="0"/>
        <w:autoSpaceDN w:val="0"/>
        <w:adjustRightInd w:val="0"/>
        <w:jc w:val="both"/>
        <w:rPr>
          <w:rFonts w:cs="Arial"/>
          <w:sz w:val="22"/>
        </w:rPr>
      </w:pPr>
      <w:r>
        <w:rPr>
          <w:sz w:val="22"/>
        </w:rPr>
        <w:t xml:space="preserve">The HRCS reports on the employment of other equal employment opportunities (EEO) target groups, such as Māori, other ethnic and minority groups and women, and includes representation at senior management levels.  Information about the employment of disabled people in the public service comes from the 2006 </w:t>
      </w:r>
      <w:r>
        <w:rPr>
          <w:rFonts w:cs="Arial"/>
          <w:sz w:val="22"/>
        </w:rPr>
        <w:t xml:space="preserve">Household Disability Survey (Statistics New Zealand) and the 2005 Career Progression and Development Survey. </w:t>
      </w:r>
      <w:r>
        <w:rPr>
          <w:rFonts w:cs="Arial"/>
          <w:i/>
          <w:sz w:val="22"/>
        </w:rPr>
        <w:t>Enabling Ability</w:t>
      </w:r>
      <w:r>
        <w:rPr>
          <w:rFonts w:cs="Arial"/>
          <w:sz w:val="22"/>
        </w:rPr>
        <w:t>,</w:t>
      </w:r>
      <w:r>
        <w:rPr>
          <w:rStyle w:val="FootnoteReference"/>
          <w:rFonts w:cs="Arial"/>
          <w:sz w:val="22"/>
        </w:rPr>
        <w:footnoteReference w:id="3"/>
      </w:r>
      <w:r>
        <w:rPr>
          <w:rFonts w:cs="Arial"/>
          <w:sz w:val="22"/>
        </w:rPr>
        <w:t xml:space="preserve"> a 2008 report from the SSC on disabled people in the public service reported:</w:t>
      </w:r>
    </w:p>
    <w:p w:rsidR="003E69E7" w:rsidRDefault="003E69E7" w:rsidP="003E69E7">
      <w:pPr>
        <w:autoSpaceDE w:val="0"/>
        <w:autoSpaceDN w:val="0"/>
        <w:adjustRightInd w:val="0"/>
        <w:ind w:left="720"/>
        <w:jc w:val="both"/>
        <w:rPr>
          <w:rFonts w:cs="Arial"/>
          <w:sz w:val="22"/>
        </w:rPr>
      </w:pPr>
      <w:r>
        <w:rPr>
          <w:rFonts w:cs="Arial"/>
          <w:sz w:val="22"/>
        </w:rPr>
        <w:br/>
        <w:t xml:space="preserve">“The Statistics NZ 2006 Disability Survey indicates that 10.4% of the Public Service proxy group workforce has a disability, compared with 11.2% of the total employed labour force.”  </w:t>
      </w:r>
    </w:p>
    <w:p w:rsidR="003E69E7" w:rsidRDefault="003E69E7" w:rsidP="003E69E7">
      <w:pPr>
        <w:jc w:val="both"/>
        <w:rPr>
          <w:sz w:val="22"/>
          <w:u w:val="single"/>
        </w:rPr>
      </w:pPr>
      <w:r>
        <w:rPr>
          <w:sz w:val="22"/>
        </w:rPr>
        <w:t xml:space="preserve"> </w:t>
      </w:r>
    </w:p>
    <w:p w:rsidR="003E69E7" w:rsidRDefault="003E69E7" w:rsidP="003E69E7">
      <w:pPr>
        <w:jc w:val="both"/>
        <w:rPr>
          <w:b/>
          <w:color w:val="00B0F0"/>
          <w:sz w:val="28"/>
          <w:szCs w:val="28"/>
        </w:rPr>
      </w:pPr>
      <w:r>
        <w:rPr>
          <w:b/>
          <w:color w:val="00B0F0"/>
          <w:sz w:val="28"/>
          <w:szCs w:val="28"/>
        </w:rPr>
        <w:t>Mainstream Programme</w:t>
      </w:r>
    </w:p>
    <w:p w:rsidR="003E69E7" w:rsidRDefault="003E69E7" w:rsidP="003E69E7">
      <w:pPr>
        <w:jc w:val="both"/>
        <w:rPr>
          <w:rFonts w:cs="Arial"/>
          <w:sz w:val="22"/>
          <w:lang w:eastAsia="en-NZ"/>
        </w:rPr>
      </w:pPr>
      <w:r>
        <w:rPr>
          <w:sz w:val="22"/>
        </w:rPr>
        <w:t xml:space="preserve">The Mainstream Programme provides a package of subsidies, training, and other support to help people with significant disabilities gain work experience in the State sector.  The programme offers </w:t>
      </w:r>
      <w:r>
        <w:rPr>
          <w:rFonts w:cs="Arial"/>
          <w:sz w:val="22"/>
        </w:rPr>
        <w:t>a</w:t>
      </w:r>
      <w:r>
        <w:rPr>
          <w:rFonts w:cs="Arial"/>
          <w:sz w:val="22"/>
          <w:lang w:eastAsia="en-NZ"/>
        </w:rPr>
        <w:t xml:space="preserve"> 100% salary subsidy for the first year of employment, and 50% of the salary for the second year as well as funding to meet participants’ adaptive technology or specialised assistance costs, training for participants and their supervisors and follow up support. </w:t>
      </w:r>
    </w:p>
    <w:p w:rsidR="003E69E7" w:rsidRDefault="003E69E7" w:rsidP="003E69E7">
      <w:pPr>
        <w:jc w:val="both"/>
        <w:rPr>
          <w:sz w:val="22"/>
        </w:rPr>
      </w:pPr>
    </w:p>
    <w:p w:rsidR="003E69E7" w:rsidRDefault="003E69E7" w:rsidP="003E69E7">
      <w:pPr>
        <w:jc w:val="both"/>
        <w:rPr>
          <w:sz w:val="22"/>
        </w:rPr>
      </w:pPr>
      <w:r>
        <w:rPr>
          <w:sz w:val="22"/>
        </w:rPr>
        <w:t xml:space="preserve">Currently 221 participants are in the programme, which places over a hundred a year. Mainstream workers are employed in schools and in the public service. The programme leads to permanent work for 41% of participants on average, although not all of the jobs are full-time. Mainstream participants placed in a school are more likely to get permanent work, </w:t>
      </w:r>
      <w:r>
        <w:rPr>
          <w:sz w:val="22"/>
        </w:rPr>
        <w:lastRenderedPageBreak/>
        <w:t>but that work is more likely to be part-time. Public sector jobs tend to be better paid and for more hours, either fullt</w:t>
      </w:r>
      <w:r w:rsidR="00DA2BBB">
        <w:rPr>
          <w:sz w:val="22"/>
        </w:rPr>
        <w:t>ime or 30 hours or more a week.</w:t>
      </w:r>
    </w:p>
    <w:p w:rsidR="003C1995" w:rsidRDefault="003C1995" w:rsidP="00C82F13">
      <w:pPr>
        <w:jc w:val="both"/>
        <w:outlineLvl w:val="0"/>
        <w:rPr>
          <w:rFonts w:cs="Arial"/>
          <w:sz w:val="22"/>
          <w:szCs w:val="22"/>
        </w:rPr>
      </w:pPr>
    </w:p>
    <w:p w:rsidR="003E69E7" w:rsidRPr="00A73396" w:rsidRDefault="003E69E7" w:rsidP="00C82F13">
      <w:pPr>
        <w:jc w:val="both"/>
        <w:outlineLvl w:val="0"/>
        <w:rPr>
          <w:rFonts w:cs="Arial"/>
          <w:sz w:val="22"/>
          <w:szCs w:val="22"/>
        </w:rPr>
      </w:pPr>
      <w:r w:rsidRPr="00C82F13">
        <w:rPr>
          <w:rFonts w:cs="Arial"/>
          <w:sz w:val="22"/>
          <w:szCs w:val="22"/>
        </w:rPr>
        <w:t>Mixed views were expressed about Mainstream.   The Commission heard about a blind person with a law degree who was employed as a judge’s clerk through the Mainstream programme. One view is that it is a good programme and “almost the only mechanism for disabled people to get employment”. Another is that Mainstream signals, incorrectly, that people are not being employed on merit.</w:t>
      </w:r>
      <w:r w:rsidRPr="00A73396">
        <w:rPr>
          <w:rFonts w:cs="Arial"/>
          <w:sz w:val="22"/>
          <w:szCs w:val="22"/>
        </w:rPr>
        <w:t xml:space="preserve"> </w:t>
      </w:r>
    </w:p>
    <w:p w:rsidR="003E69E7" w:rsidRDefault="003E69E7" w:rsidP="003E69E7">
      <w:pPr>
        <w:jc w:val="both"/>
        <w:rPr>
          <w:b/>
          <w:color w:val="00B0F0"/>
          <w:sz w:val="40"/>
          <w:szCs w:val="40"/>
        </w:rPr>
      </w:pPr>
    </w:p>
    <w:p w:rsidR="003E69E7" w:rsidRDefault="003E69E7" w:rsidP="003E69E7">
      <w:pPr>
        <w:jc w:val="both"/>
        <w:rPr>
          <w:b/>
          <w:color w:val="00B0F0"/>
          <w:sz w:val="40"/>
          <w:szCs w:val="40"/>
        </w:rPr>
      </w:pPr>
      <w:r>
        <w:rPr>
          <w:b/>
          <w:color w:val="00B0F0"/>
          <w:sz w:val="40"/>
          <w:szCs w:val="40"/>
        </w:rPr>
        <w:t xml:space="preserve">Private Sector </w:t>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Legislation</w:t>
      </w:r>
    </w:p>
    <w:p w:rsidR="003E69E7" w:rsidRDefault="003E69E7" w:rsidP="003E69E7">
      <w:pPr>
        <w:jc w:val="both"/>
        <w:rPr>
          <w:sz w:val="22"/>
        </w:rPr>
      </w:pPr>
      <w:r>
        <w:rPr>
          <w:sz w:val="22"/>
        </w:rPr>
        <w:t>The private sector is required to comply with the Human Rights Act and not discriminate on the grounds of disability. There is no positive duty toward disadvantaged groups to be ‘good employers’ including having an equal</w:t>
      </w:r>
      <w:r w:rsidR="003C1995">
        <w:rPr>
          <w:sz w:val="22"/>
        </w:rPr>
        <w:t xml:space="preserve"> </w:t>
      </w:r>
      <w:r>
        <w:rPr>
          <w:sz w:val="22"/>
        </w:rPr>
        <w:t>employment opportunities programme</w:t>
      </w:r>
      <w:r w:rsidR="00DA2BBB">
        <w:rPr>
          <w:sz w:val="22"/>
        </w:rPr>
        <w:t xml:space="preserve"> </w:t>
      </w:r>
      <w:r w:rsidR="00DA2BBB" w:rsidRPr="00C82F13">
        <w:rPr>
          <w:sz w:val="22"/>
        </w:rPr>
        <w:t>like there is in the public sector</w:t>
      </w:r>
      <w:r w:rsidRPr="00C82F13">
        <w:rPr>
          <w:sz w:val="22"/>
        </w:rPr>
        <w:t>. It is the Commission’s view that mechanisms to address systemic</w:t>
      </w:r>
      <w:r>
        <w:rPr>
          <w:sz w:val="22"/>
        </w:rPr>
        <w:t xml:space="preserve"> discrimination and disadvantage should be strengthened in both the public and private sectors. Extending the “good employer legislation” to the private sector is one such mechanism. </w:t>
      </w:r>
    </w:p>
    <w:p w:rsidR="003E69E7" w:rsidRDefault="003E69E7" w:rsidP="003E69E7">
      <w:pPr>
        <w:jc w:val="both"/>
        <w:rPr>
          <w:sz w:val="22"/>
        </w:rPr>
      </w:pPr>
    </w:p>
    <w:p w:rsidR="003E69E7" w:rsidRDefault="003E69E7" w:rsidP="003E69E7">
      <w:pPr>
        <w:jc w:val="both"/>
        <w:rPr>
          <w:sz w:val="22"/>
        </w:rPr>
      </w:pPr>
      <w:r>
        <w:rPr>
          <w:sz w:val="22"/>
        </w:rPr>
        <w:t>The CRPD also refers to the private sector specifically in Article 27 (1) (h) which states:</w:t>
      </w:r>
    </w:p>
    <w:p w:rsidR="00947147" w:rsidRDefault="003E69E7" w:rsidP="00947147">
      <w:pPr>
        <w:ind w:left="720"/>
        <w:jc w:val="both"/>
        <w:rPr>
          <w:sz w:val="22"/>
        </w:rPr>
      </w:pPr>
      <w:r>
        <w:rPr>
          <w:sz w:val="22"/>
        </w:rPr>
        <w:t xml:space="preserve"> </w:t>
      </w:r>
    </w:p>
    <w:p w:rsidR="003E69E7" w:rsidRDefault="003E69E7" w:rsidP="00947147">
      <w:pPr>
        <w:ind w:left="720"/>
        <w:jc w:val="both"/>
        <w:rPr>
          <w:rFonts w:cs="Arial"/>
          <w:sz w:val="22"/>
          <w:szCs w:val="22"/>
        </w:rPr>
      </w:pPr>
      <w:r>
        <w:rPr>
          <w:rFonts w:cs="Arial"/>
          <w:i/>
          <w:color w:val="000000"/>
          <w:sz w:val="22"/>
          <w:szCs w:val="22"/>
          <w:lang w:eastAsia="en-NZ"/>
        </w:rPr>
        <w:t xml:space="preserve">Promote the employment of persons with disabilities in the private sector through appropriate policies and measures, which may include affirmative action </w:t>
      </w:r>
      <w:r w:rsidRPr="00C82F13">
        <w:rPr>
          <w:rFonts w:cs="Arial"/>
          <w:i/>
          <w:color w:val="000000"/>
          <w:sz w:val="22"/>
          <w:szCs w:val="22"/>
          <w:lang w:eastAsia="en-NZ"/>
        </w:rPr>
        <w:t>program</w:t>
      </w:r>
      <w:r w:rsidR="005E207C" w:rsidRPr="00C82F13">
        <w:rPr>
          <w:rFonts w:cs="Arial"/>
          <w:i/>
          <w:color w:val="000000"/>
          <w:sz w:val="22"/>
          <w:szCs w:val="22"/>
          <w:lang w:eastAsia="en-NZ"/>
        </w:rPr>
        <w:t>me</w:t>
      </w:r>
      <w:r w:rsidRPr="00C82F13">
        <w:rPr>
          <w:rFonts w:cs="Arial"/>
          <w:i/>
          <w:color w:val="000000"/>
          <w:sz w:val="22"/>
          <w:szCs w:val="22"/>
          <w:lang w:eastAsia="en-NZ"/>
        </w:rPr>
        <w:t>s, ince</w:t>
      </w:r>
      <w:r>
        <w:rPr>
          <w:rFonts w:cs="Arial"/>
          <w:i/>
          <w:color w:val="000000"/>
          <w:sz w:val="22"/>
          <w:szCs w:val="22"/>
          <w:lang w:eastAsia="en-NZ"/>
        </w:rPr>
        <w:t>ntives and other measures</w:t>
      </w:r>
      <w:r>
        <w:rPr>
          <w:rFonts w:cs="Arial"/>
          <w:color w:val="000000"/>
          <w:sz w:val="22"/>
          <w:szCs w:val="22"/>
          <w:lang w:eastAsia="en-NZ"/>
        </w:rPr>
        <w:t xml:space="preserve">. </w:t>
      </w:r>
    </w:p>
    <w:p w:rsidR="003E69E7" w:rsidRDefault="003E69E7" w:rsidP="003E69E7">
      <w:pPr>
        <w:jc w:val="both"/>
        <w:rPr>
          <w:sz w:val="22"/>
        </w:rPr>
      </w:pPr>
    </w:p>
    <w:p w:rsidR="005E207C" w:rsidRDefault="00DA2BBB" w:rsidP="003E69E7">
      <w:pPr>
        <w:jc w:val="both"/>
        <w:rPr>
          <w:sz w:val="22"/>
        </w:rPr>
      </w:pPr>
      <w:r w:rsidRPr="00C82F13">
        <w:rPr>
          <w:sz w:val="22"/>
        </w:rPr>
        <w:t>There are other general sections in the Convention that apply equally to the private and public sectors including career advancement as well as assistance in finding and returning to work, self employment and starting a business, ensuring reasonable accommodation, promoting work experience in the open labour market and promoting vocational and professional rehabilitation and return-to-work programmes.</w:t>
      </w:r>
    </w:p>
    <w:p w:rsidR="005E207C" w:rsidRDefault="005E207C" w:rsidP="003E69E7">
      <w:pPr>
        <w:jc w:val="both"/>
        <w:rPr>
          <w:sz w:val="22"/>
        </w:rPr>
      </w:pPr>
    </w:p>
    <w:p w:rsidR="005E207C" w:rsidRDefault="005E207C" w:rsidP="003E69E7">
      <w:pPr>
        <w:jc w:val="both"/>
        <w:rPr>
          <w:sz w:val="22"/>
        </w:rPr>
      </w:pPr>
    </w:p>
    <w:p w:rsidR="003E69E7" w:rsidRDefault="003E69E7" w:rsidP="003E69E7">
      <w:pPr>
        <w:jc w:val="both"/>
        <w:rPr>
          <w:b/>
          <w:color w:val="00B0F0"/>
          <w:sz w:val="28"/>
          <w:szCs w:val="28"/>
        </w:rPr>
      </w:pPr>
      <w:r>
        <w:rPr>
          <w:b/>
          <w:color w:val="00B0F0"/>
          <w:sz w:val="28"/>
          <w:szCs w:val="28"/>
        </w:rPr>
        <w:t xml:space="preserve">Employers’ Networks </w:t>
      </w:r>
    </w:p>
    <w:p w:rsidR="003E69E7" w:rsidRDefault="003E69E7" w:rsidP="003E69E7">
      <w:pPr>
        <w:pStyle w:val="NormalWeb"/>
        <w:spacing w:before="0" w:beforeAutospacing="0" w:after="0" w:afterAutospacing="0"/>
        <w:jc w:val="both"/>
        <w:rPr>
          <w:rFonts w:ascii="Arial" w:hAnsi="Arial" w:cs="Arial"/>
          <w:sz w:val="22"/>
          <w:szCs w:val="22"/>
        </w:rPr>
      </w:pPr>
      <w:r>
        <w:rPr>
          <w:rFonts w:ascii="Arial" w:hAnsi="Arial" w:cs="Arial"/>
          <w:sz w:val="22"/>
          <w:szCs w:val="22"/>
        </w:rPr>
        <w:t>The EEO Trust promotes equal employment opportunities in the private sector for all target groups and the Employers Disability Network (EDN) provides leadership and specifically encourages and supports disabled people.  The network emphasises both the business case for employing disabled people and a rights-based approach. EDN is based on the UK Employers’ Forum on Disability and the Australian Network on Disability and is a not-for-profit network of organisations sharing best practice on working with disability in all areas of business. Patron Dr Roderick Deane writes:</w:t>
      </w:r>
      <w:r>
        <w:rPr>
          <w:rStyle w:val="FootnoteReference"/>
          <w:rFonts w:cs="Arial"/>
          <w:sz w:val="22"/>
          <w:szCs w:val="22"/>
        </w:rPr>
        <w:footnoteReference w:id="4"/>
      </w:r>
    </w:p>
    <w:p w:rsidR="00DA2BBB" w:rsidRDefault="00DA2BBB" w:rsidP="003E69E7">
      <w:pPr>
        <w:pStyle w:val="NormalWeb"/>
        <w:spacing w:before="0" w:beforeAutospacing="0" w:after="0" w:afterAutospacing="0"/>
        <w:jc w:val="both"/>
        <w:rPr>
          <w:rFonts w:ascii="Arial" w:hAnsi="Arial" w:cs="Arial"/>
          <w:sz w:val="22"/>
          <w:szCs w:val="22"/>
        </w:rPr>
      </w:pPr>
    </w:p>
    <w:p w:rsidR="003E69E7" w:rsidRDefault="003E69E7" w:rsidP="00DA2BBB">
      <w:pPr>
        <w:pStyle w:val="NormalWeb"/>
        <w:spacing w:before="0" w:beforeAutospacing="0" w:afterAutospacing="0"/>
        <w:jc w:val="both"/>
        <w:rPr>
          <w:rFonts w:ascii="Arial" w:hAnsi="Arial" w:cs="Arial"/>
          <w:sz w:val="22"/>
          <w:szCs w:val="22"/>
        </w:rPr>
      </w:pPr>
      <w:r>
        <w:rPr>
          <w:rFonts w:ascii="Arial" w:hAnsi="Arial" w:cs="Arial"/>
          <w:sz w:val="22"/>
          <w:szCs w:val="22"/>
        </w:rPr>
        <w:t>“The EDN is a group of employers dedicated to ensuring that disabled people get the same opportunities in life as the rest of us and, in particular, have access to jobs and work.</w:t>
      </w:r>
      <w:r w:rsidR="00DA2BBB">
        <w:rPr>
          <w:rFonts w:ascii="Arial" w:hAnsi="Arial" w:cs="Arial"/>
          <w:sz w:val="22"/>
          <w:szCs w:val="22"/>
        </w:rPr>
        <w:t xml:space="preserve">  </w:t>
      </w:r>
      <w:r>
        <w:rPr>
          <w:rFonts w:ascii="Arial" w:hAnsi="Arial" w:cs="Arial"/>
          <w:sz w:val="22"/>
          <w:szCs w:val="22"/>
        </w:rPr>
        <w:t>The EDN aims to help employers understand ways in which jobs can be created for disabled people and to encourage welcoming and accepting attit</w:t>
      </w:r>
      <w:r w:rsidR="00DA2BBB">
        <w:rPr>
          <w:rFonts w:ascii="Arial" w:hAnsi="Arial" w:cs="Arial"/>
          <w:sz w:val="22"/>
          <w:szCs w:val="22"/>
        </w:rPr>
        <w:t xml:space="preserve">udes to those with disabilities, it </w:t>
      </w:r>
      <w:r>
        <w:rPr>
          <w:rFonts w:ascii="Arial" w:hAnsi="Arial" w:cs="Arial"/>
          <w:sz w:val="22"/>
          <w:szCs w:val="22"/>
        </w:rPr>
        <w:t>believes that disability is simply part of the diversity of our society and that disabled people should not be disadvantaged in seeking work but rather be positively encouraged to do so. For this to happen, employers must have a welcoming and inclusive culture.</w:t>
      </w:r>
    </w:p>
    <w:p w:rsidR="003E69E7" w:rsidRDefault="003E69E7" w:rsidP="00DA2BBB">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The EDN aims to encourage and foster this sort of positive attitude and make it work in practice throughout New Zealand.”</w:t>
      </w:r>
    </w:p>
    <w:p w:rsidR="003E69E7" w:rsidRDefault="003E69E7" w:rsidP="003E69E7">
      <w:pPr>
        <w:pStyle w:val="NormalWeb"/>
        <w:spacing w:before="0" w:beforeAutospacing="0" w:after="0" w:afterAutospacing="0"/>
        <w:jc w:val="both"/>
        <w:rPr>
          <w:rFonts w:ascii="Arial" w:hAnsi="Arial" w:cs="Arial"/>
          <w:sz w:val="22"/>
          <w:szCs w:val="22"/>
        </w:rPr>
      </w:pPr>
    </w:p>
    <w:p w:rsidR="003E69E7" w:rsidRDefault="003E69E7" w:rsidP="003E69E7">
      <w:pPr>
        <w:pStyle w:val="NormalWeb"/>
        <w:spacing w:before="0" w:beforeAutospacing="0" w:after="0" w:afterAutospacing="0"/>
        <w:jc w:val="both"/>
        <w:rPr>
          <w:sz w:val="22"/>
          <w:szCs w:val="22"/>
          <w:u w:val="single"/>
        </w:rPr>
      </w:pPr>
      <w:r>
        <w:rPr>
          <w:rFonts w:ascii="Arial" w:hAnsi="Arial" w:cs="Arial"/>
          <w:sz w:val="22"/>
          <w:szCs w:val="22"/>
        </w:rPr>
        <w:t xml:space="preserve">The Ministry of Social Development provides secretariat support. To date EDN has set up a website, offering support and advice to employers. </w:t>
      </w:r>
    </w:p>
    <w:p w:rsidR="003E69E7" w:rsidRDefault="003E69E7" w:rsidP="003E69E7">
      <w:pPr>
        <w:jc w:val="both"/>
        <w:rPr>
          <w:b/>
          <w:color w:val="00B0F0"/>
          <w:sz w:val="28"/>
          <w:szCs w:val="28"/>
        </w:rPr>
      </w:pPr>
    </w:p>
    <w:p w:rsidR="003E69E7" w:rsidRDefault="003E69E7" w:rsidP="003E69E7">
      <w:pPr>
        <w:jc w:val="both"/>
        <w:rPr>
          <w:b/>
          <w:color w:val="00B0F0"/>
          <w:sz w:val="40"/>
          <w:szCs w:val="40"/>
        </w:rPr>
      </w:pPr>
      <w:r>
        <w:rPr>
          <w:b/>
          <w:color w:val="00B0F0"/>
          <w:sz w:val="40"/>
          <w:szCs w:val="40"/>
        </w:rPr>
        <w:t>Minimum Wage Exemptions</w:t>
      </w:r>
    </w:p>
    <w:p w:rsidR="003E69E7" w:rsidRDefault="003E69E7" w:rsidP="003E69E7">
      <w:pPr>
        <w:jc w:val="both"/>
        <w:rPr>
          <w:b/>
          <w:sz w:val="22"/>
        </w:rPr>
      </w:pPr>
    </w:p>
    <w:p w:rsidR="003E69E7" w:rsidRDefault="003E69E7" w:rsidP="003E69E7">
      <w:pPr>
        <w:jc w:val="both"/>
        <w:rPr>
          <w:b/>
          <w:color w:val="00B0F0"/>
          <w:sz w:val="28"/>
          <w:szCs w:val="28"/>
        </w:rPr>
      </w:pPr>
      <w:r>
        <w:rPr>
          <w:b/>
          <w:color w:val="00B0F0"/>
          <w:sz w:val="28"/>
          <w:szCs w:val="28"/>
        </w:rPr>
        <w:t>Legislative background</w:t>
      </w:r>
    </w:p>
    <w:p w:rsidR="003E69E7" w:rsidRDefault="003E69E7" w:rsidP="003E69E7">
      <w:pPr>
        <w:rPr>
          <w:sz w:val="22"/>
        </w:rPr>
      </w:pPr>
      <w:r>
        <w:rPr>
          <w:sz w:val="22"/>
        </w:rPr>
        <w:t xml:space="preserve">The Minimum Wage Amendment Act 2007 was enacted after the repeal of the Disabled Persons Employment Promotion Act (DPEP). The DPEP had been regarded by many disabled people as “utterly improper and an abuse of human rights”, according to a submission by the Disabled Persons Assembly (DPA). At the time, it was argued that the changes in the legislation would see disabled people’s employment brought into line with New Zealand and international human rights norms. </w:t>
      </w:r>
      <w:r>
        <w:rPr>
          <w:sz w:val="22"/>
        </w:rPr>
        <w:br/>
      </w:r>
      <w:r>
        <w:rPr>
          <w:sz w:val="22"/>
        </w:rPr>
        <w:br/>
        <w:t>The then Minister of Disability Issues, Ruth Dyson said: “The repeal will mean that all sheltered workshops will have to pay everyone they employ at least the minimum wage, unless an individual worker has an exemption.  It will also mean that all people who work in sheltered workshops will have access to holiday and sick leave entitlements. To counter concerns about the continuing financial viability of sheltered workshops, the ministry has put in place a system of individual minimum wage exemption permits for workers who are   ‘significantly and demonstrably limited’ in their work.”</w:t>
      </w:r>
      <w:r>
        <w:rPr>
          <w:sz w:val="22"/>
        </w:rPr>
        <w:br/>
      </w:r>
      <w:r>
        <w:rPr>
          <w:sz w:val="22"/>
        </w:rPr>
        <w:br/>
        <w:t xml:space="preserve">DPA said that this means disabled workers can be subject to minimum wage payment provisions on the basis of productivity. “In this context, productivity is about comparing a disabled employee’s output with another employee doing the same job and, if it is considered that the disabled employee’s productivity is lower, paying them at a lower rate. It is not a concept used elsewhere in the employment sector.” </w:t>
      </w:r>
      <w:r>
        <w:rPr>
          <w:sz w:val="22"/>
        </w:rPr>
        <w:br/>
      </w:r>
      <w:r>
        <w:rPr>
          <w:sz w:val="22"/>
        </w:rPr>
        <w:br/>
        <w:t xml:space="preserve">The DPEP Act along with the 1983 Minimum Wage Act had allowed for blanket minimum wage exemptions to be given to workplaces that employed disabled people. These workplaces were commonly known as ‘sheltered workshops.’  The law change meant that the individual employee, following an assessment, had to be issued with a permit from the Department of Labour that entitled their employer to pay them a particular amount less than the minimum wage. </w:t>
      </w:r>
    </w:p>
    <w:p w:rsidR="003E69E7" w:rsidRDefault="003E69E7" w:rsidP="003E69E7">
      <w:pPr>
        <w:jc w:val="both"/>
        <w:rPr>
          <w:sz w:val="22"/>
        </w:rPr>
      </w:pPr>
    </w:p>
    <w:p w:rsidR="003E69E7" w:rsidRDefault="003E69E7" w:rsidP="003E69E7">
      <w:pPr>
        <w:jc w:val="both"/>
        <w:rPr>
          <w:sz w:val="22"/>
        </w:rPr>
      </w:pPr>
      <w:r>
        <w:rPr>
          <w:sz w:val="22"/>
        </w:rPr>
        <w:t>The Minimum Wage Exemption Act enables a Labour Inspector to issue a minimum wage exemption permit to a worker if the Inspector is satisfied that -</w:t>
      </w:r>
    </w:p>
    <w:p w:rsidR="003E69E7" w:rsidRDefault="003E69E7" w:rsidP="003E69E7">
      <w:pPr>
        <w:pStyle w:val="ListParagraph"/>
        <w:numPr>
          <w:ilvl w:val="0"/>
          <w:numId w:val="47"/>
        </w:numPr>
        <w:jc w:val="both"/>
        <w:rPr>
          <w:sz w:val="22"/>
        </w:rPr>
      </w:pPr>
      <w:r>
        <w:rPr>
          <w:sz w:val="22"/>
        </w:rPr>
        <w:t>the worker is significantly and demonstrably limited by a disability in carrying out the requirements of his or her work; and</w:t>
      </w:r>
    </w:p>
    <w:p w:rsidR="003E69E7" w:rsidRDefault="003E69E7" w:rsidP="003E69E7">
      <w:pPr>
        <w:pStyle w:val="ListParagraph"/>
        <w:numPr>
          <w:ilvl w:val="0"/>
          <w:numId w:val="47"/>
        </w:numPr>
        <w:jc w:val="both"/>
        <w:rPr>
          <w:sz w:val="22"/>
        </w:rPr>
      </w:pPr>
      <w:r>
        <w:rPr>
          <w:sz w:val="22"/>
        </w:rPr>
        <w:t>any reasonable accommodations that could have been made to facilitate carrying out the requirements of the work have been considered by the employer and the worker; and</w:t>
      </w:r>
    </w:p>
    <w:p w:rsidR="003E69E7" w:rsidRDefault="003E69E7" w:rsidP="003E69E7">
      <w:pPr>
        <w:pStyle w:val="ListParagraph"/>
        <w:numPr>
          <w:ilvl w:val="0"/>
          <w:numId w:val="47"/>
        </w:numPr>
        <w:jc w:val="both"/>
        <w:rPr>
          <w:sz w:val="22"/>
        </w:rPr>
      </w:pPr>
      <w:r>
        <w:rPr>
          <w:sz w:val="22"/>
        </w:rPr>
        <w:t xml:space="preserve">it is reasonable and appropriate to grant the permit.  </w:t>
      </w:r>
    </w:p>
    <w:p w:rsidR="003E69E7" w:rsidRDefault="003E69E7" w:rsidP="003E69E7">
      <w:pPr>
        <w:jc w:val="both"/>
        <w:rPr>
          <w:sz w:val="22"/>
        </w:rPr>
      </w:pPr>
    </w:p>
    <w:p w:rsidR="003E69E7" w:rsidRDefault="003E69E7" w:rsidP="003E69E7">
      <w:pPr>
        <w:jc w:val="both"/>
        <w:rPr>
          <w:b/>
          <w:color w:val="00B0F0"/>
          <w:sz w:val="28"/>
          <w:szCs w:val="28"/>
        </w:rPr>
      </w:pPr>
      <w:r>
        <w:rPr>
          <w:sz w:val="22"/>
        </w:rPr>
        <w:t xml:space="preserve">Various wage assessment tools are accepted for the purpose of exemptions. Before accepting a Minimum Wage assessment tool, Labour Inspectors have to consider it against set criteria. For example a tool should be balanced and look at both productivity and individual competencies. The tool should be transparent and clearly show how the assessment is linked to wage rates and how the wage rate is calculated. Disability advocates have advised the Commission that the tools used do not appear to be consistent.   </w:t>
      </w:r>
    </w:p>
    <w:p w:rsidR="002127F2" w:rsidRDefault="002127F2" w:rsidP="003E69E7">
      <w:pPr>
        <w:jc w:val="both"/>
        <w:rPr>
          <w:b/>
          <w:color w:val="00B0F0"/>
          <w:sz w:val="28"/>
          <w:szCs w:val="28"/>
        </w:rPr>
      </w:pPr>
    </w:p>
    <w:p w:rsidR="00BC1116" w:rsidRDefault="00BC1116">
      <w:pPr>
        <w:spacing w:after="200" w:line="276" w:lineRule="auto"/>
        <w:rPr>
          <w:b/>
          <w:color w:val="00B0F0"/>
          <w:sz w:val="28"/>
          <w:szCs w:val="28"/>
        </w:rPr>
      </w:pPr>
      <w:r>
        <w:rPr>
          <w:b/>
          <w:color w:val="00B0F0"/>
          <w:sz w:val="28"/>
          <w:szCs w:val="28"/>
        </w:rPr>
        <w:br w:type="page"/>
      </w:r>
    </w:p>
    <w:p w:rsidR="003E69E7" w:rsidRDefault="003E69E7" w:rsidP="003E69E7">
      <w:pPr>
        <w:jc w:val="both"/>
        <w:rPr>
          <w:b/>
          <w:color w:val="00B0F0"/>
          <w:sz w:val="28"/>
          <w:szCs w:val="28"/>
        </w:rPr>
      </w:pPr>
      <w:r>
        <w:rPr>
          <w:b/>
          <w:color w:val="00B0F0"/>
          <w:sz w:val="28"/>
          <w:szCs w:val="28"/>
        </w:rPr>
        <w:lastRenderedPageBreak/>
        <w:t>National Conversation about Work</w:t>
      </w:r>
    </w:p>
    <w:p w:rsidR="003E69E7" w:rsidRDefault="00DA2BBB" w:rsidP="003E69E7">
      <w:pPr>
        <w:jc w:val="both"/>
        <w:rPr>
          <w:sz w:val="22"/>
        </w:rPr>
      </w:pPr>
      <w:r>
        <w:rPr>
          <w:rFonts w:cs="Arial"/>
          <w:sz w:val="22"/>
        </w:rPr>
        <w:t>In its largest workplace project, t</w:t>
      </w:r>
      <w:r w:rsidR="003E69E7">
        <w:rPr>
          <w:rFonts w:cs="Arial"/>
          <w:sz w:val="22"/>
        </w:rPr>
        <w:t xml:space="preserve">he Commission visited ‘business enterprises’ in Invercargill, Dunedin and Christchurch which provide employment for disabled people who would be unable to compete for work in the open labour market. The Commission also heard from disability advocacy groups about the very low rate of pay received by some disabled workers (as low as 15c an hour).   They believe that while business enterprises which operate like sheltered workshops remained an option, supported work opportunities in the open labour market were not being fully implemented.  </w:t>
      </w:r>
      <w:r w:rsidR="003E69E7">
        <w:rPr>
          <w:sz w:val="22"/>
        </w:rPr>
        <w:t xml:space="preserve">Forms of assistance include supported employment (such as job coaches). Supported employment is usually provided on the assumption that the person will increase their skill levels and competence and that support can be gradually phased out.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Other employment options include micro-financing small business ventures, a mixture of education/training and work and narrowing job descriptions to a range of tasks that the disabled person can manage.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Business enterprises came into being after the repeal of the DPEP Act, which resulted in the closure of sheltered workshops. In reality, people receiving a wage below the minimum have their income supplemented by a social welfare benefit.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The employment of disabled people at rates below the minimum wage is controversial. The Commission heard all sides of the argument – from employers and employees, from business enterprises, from disability advocacy groups and from family members. Opponents of the exemption system say that it is discriminatory and alternate processes that support disabled people to work in the open labour market are necessary. Proponents argue that workers in business enterprises would not otherwise be employed and that working supports social inclusion and promotes well-being. </w:t>
      </w:r>
    </w:p>
    <w:p w:rsidR="003E69E7" w:rsidRDefault="003E69E7" w:rsidP="003E69E7">
      <w:pPr>
        <w:jc w:val="both"/>
        <w:rPr>
          <w:sz w:val="22"/>
        </w:rPr>
      </w:pPr>
    </w:p>
    <w:p w:rsidR="003E69E7" w:rsidRDefault="003E69E7" w:rsidP="003E69E7">
      <w:pPr>
        <w:jc w:val="both"/>
        <w:rPr>
          <w:b/>
          <w:color w:val="00B0F0"/>
          <w:sz w:val="28"/>
          <w:szCs w:val="28"/>
        </w:rPr>
      </w:pPr>
      <w:r>
        <w:rPr>
          <w:b/>
          <w:color w:val="00B0F0"/>
          <w:sz w:val="28"/>
          <w:szCs w:val="28"/>
        </w:rPr>
        <w:t>Facts and figures</w:t>
      </w:r>
    </w:p>
    <w:p w:rsidR="003E69E7" w:rsidRDefault="003E69E7" w:rsidP="003E69E7">
      <w:pPr>
        <w:jc w:val="both"/>
        <w:rPr>
          <w:sz w:val="22"/>
          <w:u w:val="single"/>
        </w:rPr>
      </w:pPr>
      <w:r>
        <w:rPr>
          <w:sz w:val="22"/>
        </w:rPr>
        <w:t xml:space="preserve">Greater transparency around the process of determining minimum wage exemptions has been called for by the disability community. Disability advocates reported difficulty in accessing information from the Department of Labour. The Human Rights Commission wrote to the department asking for information about the number of people receiving exemption permits, rates of pay and about whether or not there was a standardised method of assessing payment rates. </w:t>
      </w:r>
      <w:r>
        <w:rPr>
          <w:sz w:val="22"/>
          <w:u w:val="single"/>
        </w:rPr>
        <w:t xml:space="preserve"> </w:t>
      </w:r>
    </w:p>
    <w:p w:rsidR="003E69E7" w:rsidRDefault="003E69E7" w:rsidP="003E69E7">
      <w:pPr>
        <w:jc w:val="both"/>
        <w:rPr>
          <w:sz w:val="22"/>
        </w:rPr>
      </w:pPr>
    </w:p>
    <w:p w:rsidR="003E69E7" w:rsidRDefault="003E69E7" w:rsidP="003E69E7">
      <w:pPr>
        <w:jc w:val="both"/>
        <w:rPr>
          <w:sz w:val="22"/>
        </w:rPr>
      </w:pPr>
      <w:r>
        <w:rPr>
          <w:sz w:val="22"/>
        </w:rPr>
        <w:t>Currently 1076 people receive a minimum wage exemption permit under s8 of the Minimum Wage Exemption Act</w:t>
      </w:r>
      <w:r>
        <w:rPr>
          <w:rStyle w:val="FootnoteReference"/>
          <w:sz w:val="22"/>
        </w:rPr>
        <w:footnoteReference w:id="5"/>
      </w:r>
      <w:r>
        <w:rPr>
          <w:sz w:val="22"/>
        </w:rPr>
        <w:t xml:space="preserve">. In 2001, under the DPEP Act, approximately 5400 people were employed in sheltered workshops. There are 136 employers across New Zealand who employ people who have a minimum wage exemption. Some but not all, are business enterprises.    </w:t>
      </w:r>
    </w:p>
    <w:p w:rsidR="003E69E7" w:rsidRDefault="003E69E7" w:rsidP="003E69E7">
      <w:pPr>
        <w:jc w:val="both"/>
        <w:rPr>
          <w:sz w:val="22"/>
        </w:rPr>
      </w:pPr>
    </w:p>
    <w:p w:rsidR="003E69E7" w:rsidRDefault="003E69E7" w:rsidP="003E69E7">
      <w:pPr>
        <w:jc w:val="both"/>
        <w:rPr>
          <w:sz w:val="22"/>
        </w:rPr>
      </w:pPr>
      <w:r>
        <w:rPr>
          <w:sz w:val="22"/>
        </w:rPr>
        <w:t>Rates of pay vary from just under the minimum wage to less than a $1.00 an hour.</w:t>
      </w:r>
      <w:r>
        <w:rPr>
          <w:rStyle w:val="FootnoteReference"/>
          <w:sz w:val="22"/>
        </w:rPr>
        <w:footnoteReference w:id="6"/>
      </w:r>
      <w:r>
        <w:rPr>
          <w:sz w:val="22"/>
        </w:rPr>
        <w:t xml:space="preserve"> </w:t>
      </w:r>
    </w:p>
    <w:p w:rsidR="003E69E7" w:rsidRDefault="003E69E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3E69E7" w:rsidRDefault="00997B54" w:rsidP="003E69E7">
      <w:pPr>
        <w:jc w:val="both"/>
        <w:rPr>
          <w:b/>
          <w:sz w:val="28"/>
          <w:szCs w:val="28"/>
        </w:rPr>
      </w:pPr>
      <w:r w:rsidRPr="00C82F13">
        <w:rPr>
          <w:b/>
          <w:sz w:val="28"/>
          <w:szCs w:val="28"/>
        </w:rPr>
        <w:lastRenderedPageBreak/>
        <w:t>Table 1</w:t>
      </w:r>
      <w:r w:rsidR="003E69E7" w:rsidRPr="00C82F13">
        <w:rPr>
          <w:b/>
          <w:sz w:val="28"/>
          <w:szCs w:val="28"/>
        </w:rPr>
        <w:t xml:space="preserve">:  </w:t>
      </w:r>
      <w:r w:rsidR="00C82F13" w:rsidRPr="00C82F13">
        <w:rPr>
          <w:b/>
          <w:sz w:val="28"/>
          <w:szCs w:val="28"/>
        </w:rPr>
        <w:t>M</w:t>
      </w:r>
      <w:r w:rsidR="003E69E7" w:rsidRPr="00C82F13">
        <w:rPr>
          <w:b/>
          <w:sz w:val="28"/>
          <w:szCs w:val="28"/>
        </w:rPr>
        <w:t>inimum wage exemptions</w:t>
      </w:r>
    </w:p>
    <w:p w:rsidR="003E69E7" w:rsidRDefault="003E69E7" w:rsidP="003E69E7">
      <w:pPr>
        <w:jc w:val="both"/>
        <w:rPr>
          <w:b/>
          <w:sz w:val="28"/>
          <w:szCs w:val="28"/>
        </w:rPr>
      </w:pPr>
    </w:p>
    <w:tbl>
      <w:tblPr>
        <w:tblStyle w:val="MediumGrid1-Accent2"/>
        <w:tblW w:w="9120" w:type="dxa"/>
        <w:tblLook w:val="04A0" w:firstRow="1" w:lastRow="0" w:firstColumn="1" w:lastColumn="0" w:noHBand="0" w:noVBand="1"/>
      </w:tblPr>
      <w:tblGrid>
        <w:gridCol w:w="4557"/>
        <w:gridCol w:w="4563"/>
      </w:tblGrid>
      <w:tr w:rsidR="003E69E7" w:rsidTr="003E69E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rPr>
                <w:b w:val="0"/>
              </w:rPr>
            </w:pPr>
            <w:r>
              <w:t>Pay range</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100000000000" w:firstRow="1" w:lastRow="0" w:firstColumn="0" w:lastColumn="0" w:oddVBand="0" w:evenVBand="0" w:oddHBand="0" w:evenHBand="0" w:firstRowFirstColumn="0" w:firstRowLastColumn="0" w:lastRowFirstColumn="0" w:lastRowLastColumn="0"/>
              <w:rPr>
                <w:b w:val="0"/>
              </w:rPr>
            </w:pPr>
            <w:r>
              <w:t xml:space="preserve">Number of permits </w:t>
            </w:r>
          </w:p>
        </w:tc>
      </w:tr>
      <w:tr w:rsidR="003E69E7" w:rsidTr="003E69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More than $10.00</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firstRow="0" w:lastRow="0" w:firstColumn="0" w:lastColumn="0" w:oddVBand="0" w:evenVBand="0" w:oddHBand="1" w:evenHBand="0" w:firstRowFirstColumn="0" w:firstRowLastColumn="0" w:lastRowFirstColumn="0" w:lastRowLastColumn="0"/>
            </w:pPr>
            <w:r>
              <w:t>37</w:t>
            </w:r>
          </w:p>
        </w:tc>
      </w:tr>
      <w:tr w:rsidR="003E69E7" w:rsidTr="003E69E7">
        <w:trPr>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$5 - $9.99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firstRow="0" w:lastRow="0" w:firstColumn="0" w:lastColumn="0" w:oddVBand="0" w:evenVBand="0" w:oddHBand="0" w:evenHBand="0" w:firstRowFirstColumn="0" w:firstRowLastColumn="0" w:lastRowFirstColumn="0" w:lastRowLastColumn="0"/>
            </w:pPr>
            <w:r>
              <w:t>260</w:t>
            </w:r>
          </w:p>
        </w:tc>
      </w:tr>
      <w:tr w:rsidR="003E69E7" w:rsidTr="003E69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$3.00 - $4.99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firstRow="0" w:lastRow="0" w:firstColumn="0" w:lastColumn="0" w:oddVBand="0" w:evenVBand="0" w:oddHBand="1" w:evenHBand="0" w:firstRowFirstColumn="0" w:firstRowLastColumn="0" w:lastRowFirstColumn="0" w:lastRowLastColumn="0"/>
            </w:pPr>
            <w:r>
              <w:t>213</w:t>
            </w:r>
          </w:p>
        </w:tc>
      </w:tr>
      <w:tr w:rsidR="003E69E7" w:rsidTr="003E69E7">
        <w:trPr>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$2.00 - $2.99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firstRow="0" w:lastRow="0" w:firstColumn="0" w:lastColumn="0" w:oddVBand="0" w:evenVBand="0" w:oddHBand="0" w:evenHBand="0" w:firstRowFirstColumn="0" w:firstRowLastColumn="0" w:lastRowFirstColumn="0" w:lastRowLastColumn="0"/>
            </w:pPr>
            <w:r>
              <w:t>179</w:t>
            </w:r>
          </w:p>
        </w:tc>
      </w:tr>
      <w:tr w:rsidR="003E69E7" w:rsidTr="003E69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$1.00 - $1.99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firstRow="0" w:lastRow="0" w:firstColumn="0" w:lastColumn="0" w:oddVBand="0" w:evenVBand="0" w:oddHBand="1" w:evenHBand="0" w:firstRowFirstColumn="0" w:firstRowLastColumn="0" w:lastRowFirstColumn="0" w:lastRowLastColumn="0"/>
            </w:pPr>
            <w:r>
              <w:t>364</w:t>
            </w:r>
          </w:p>
        </w:tc>
      </w:tr>
      <w:tr w:rsidR="003E69E7" w:rsidTr="003E69E7">
        <w:trPr>
          <w:trHeight w:val="281"/>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Less than $1.00</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firstRow="0" w:lastRow="0" w:firstColumn="0" w:lastColumn="0" w:oddVBand="0" w:evenVBand="0" w:oddHBand="0" w:evenHBand="0" w:firstRowFirstColumn="0" w:firstRowLastColumn="0" w:lastRowFirstColumn="0" w:lastRowLastColumn="0"/>
            </w:pPr>
            <w:r>
              <w:t>53</w:t>
            </w:r>
          </w:p>
        </w:tc>
      </w:tr>
      <w:tr w:rsidR="003E69E7" w:rsidTr="003E69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rPr>
                <w:b w:val="0"/>
              </w:rPr>
            </w:pPr>
            <w:r>
              <w:t xml:space="preserve">Total </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firstRow="0" w:lastRow="0" w:firstColumn="0" w:lastColumn="0" w:oddVBand="0" w:evenVBand="0" w:oddHBand="1" w:evenHBand="0" w:firstRowFirstColumn="0" w:firstRowLastColumn="0" w:lastRowFirstColumn="0" w:lastRowLastColumn="0"/>
            </w:pPr>
            <w:r>
              <w:t>1106</w:t>
            </w:r>
            <w:r>
              <w:rPr>
                <w:rStyle w:val="FootnoteReference"/>
              </w:rPr>
              <w:footnoteReference w:id="7"/>
            </w:r>
          </w:p>
        </w:tc>
      </w:tr>
    </w:tbl>
    <w:p w:rsidR="003E69E7" w:rsidRDefault="003E69E7" w:rsidP="003E69E7">
      <w:pPr>
        <w:jc w:val="both"/>
        <w:rPr>
          <w:sz w:val="22"/>
        </w:rPr>
      </w:pPr>
    </w:p>
    <w:p w:rsidR="003E69E7" w:rsidRDefault="003E69E7" w:rsidP="003E69E7">
      <w:pPr>
        <w:jc w:val="both"/>
        <w:rPr>
          <w:sz w:val="22"/>
        </w:rPr>
      </w:pPr>
      <w:r>
        <w:rPr>
          <w:sz w:val="22"/>
        </w:rPr>
        <w:t xml:space="preserve">The majority (54%) of people with minimum wage exemption permits earn less than $3.00 an hour. </w:t>
      </w:r>
    </w:p>
    <w:p w:rsidR="003E69E7" w:rsidRPr="00651381" w:rsidRDefault="003E69E7" w:rsidP="00C82F13">
      <w:pPr>
        <w:jc w:val="both"/>
        <w:rPr>
          <w:b/>
          <w:color w:val="00B0F0"/>
          <w:sz w:val="22"/>
          <w:szCs w:val="22"/>
        </w:rPr>
      </w:pPr>
    </w:p>
    <w:p w:rsidR="003E69E7" w:rsidRPr="00C82F13" w:rsidRDefault="003E69E7" w:rsidP="00C82F13">
      <w:pPr>
        <w:pStyle w:val="ListParagraph"/>
        <w:ind w:left="0"/>
        <w:jc w:val="both"/>
        <w:rPr>
          <w:sz w:val="22"/>
          <w:szCs w:val="22"/>
          <w:lang w:val="en-NZ"/>
        </w:rPr>
      </w:pPr>
      <w:r w:rsidRPr="00C82F13">
        <w:rPr>
          <w:sz w:val="22"/>
          <w:szCs w:val="22"/>
          <w:lang w:val="en-NZ"/>
        </w:rPr>
        <w:t>All disabled employees on one site the Commission visited had minimum wage exemption permits and this helped “to keep the p</w:t>
      </w:r>
      <w:r w:rsidR="003C1995">
        <w:rPr>
          <w:sz w:val="22"/>
          <w:szCs w:val="22"/>
          <w:lang w:val="en-NZ"/>
        </w:rPr>
        <w:t>lace going”, management said.  “</w:t>
      </w:r>
      <w:r w:rsidRPr="00C82F13">
        <w:rPr>
          <w:sz w:val="22"/>
          <w:szCs w:val="22"/>
          <w:lang w:val="en-NZ"/>
        </w:rPr>
        <w:t xml:space="preserve">Raising wages to the minimum wage would have a huge effect on staff numbers. We would have to let a lot of people go, we’d only end up employing about 20 or 30 if that happened”. </w:t>
      </w:r>
    </w:p>
    <w:p w:rsidR="003E69E7" w:rsidRPr="00C82F13" w:rsidRDefault="003E69E7" w:rsidP="00C82F13">
      <w:pPr>
        <w:pStyle w:val="ListParagraph"/>
        <w:ind w:left="0"/>
        <w:jc w:val="both"/>
        <w:rPr>
          <w:sz w:val="22"/>
          <w:szCs w:val="22"/>
          <w:lang w:val="en-NZ"/>
        </w:rPr>
      </w:pPr>
    </w:p>
    <w:p w:rsidR="003E69E7" w:rsidRPr="00A73396" w:rsidRDefault="003E69E7" w:rsidP="00C82F13">
      <w:pPr>
        <w:jc w:val="both"/>
        <w:outlineLvl w:val="0"/>
        <w:rPr>
          <w:rFonts w:cs="Arial"/>
          <w:sz w:val="22"/>
          <w:szCs w:val="22"/>
        </w:rPr>
      </w:pPr>
      <w:r w:rsidRPr="00C82F13">
        <w:rPr>
          <w:rFonts w:cs="Arial"/>
          <w:sz w:val="22"/>
          <w:szCs w:val="22"/>
        </w:rPr>
        <w:t>Another business the Commission met supports a small specialist work team at a large industrial plant in the area. This collaboration has been successful for eleven years and workers in this team earn above the minimum wage and are an integral part of the plant’s workforce.</w:t>
      </w:r>
      <w:r w:rsidRPr="00A73396">
        <w:rPr>
          <w:rFonts w:cs="Arial"/>
          <w:sz w:val="22"/>
          <w:szCs w:val="22"/>
        </w:rPr>
        <w:t xml:space="preserve">     </w:t>
      </w:r>
    </w:p>
    <w:p w:rsidR="003E69E7" w:rsidRPr="00651381" w:rsidRDefault="003E69E7" w:rsidP="003E69E7">
      <w:pPr>
        <w:jc w:val="both"/>
        <w:rPr>
          <w:b/>
          <w:color w:val="00B0F0"/>
          <w:sz w:val="22"/>
          <w:szCs w:val="22"/>
        </w:rPr>
      </w:pPr>
    </w:p>
    <w:p w:rsidR="003E69E7" w:rsidRDefault="003E69E7" w:rsidP="003E69E7">
      <w:pPr>
        <w:jc w:val="both"/>
        <w:rPr>
          <w:b/>
          <w:color w:val="00B0F0"/>
          <w:sz w:val="40"/>
          <w:szCs w:val="40"/>
        </w:rPr>
      </w:pPr>
      <w:r>
        <w:rPr>
          <w:b/>
          <w:color w:val="00B0F0"/>
          <w:sz w:val="40"/>
          <w:szCs w:val="40"/>
        </w:rPr>
        <w:t xml:space="preserve">Disclosure of mental health </w:t>
      </w:r>
    </w:p>
    <w:p w:rsidR="003E69E7" w:rsidRDefault="003E69E7" w:rsidP="003E69E7">
      <w:pPr>
        <w:pStyle w:val="ListParagraph"/>
        <w:ind w:left="0"/>
        <w:jc w:val="both"/>
        <w:rPr>
          <w:rFonts w:cs="Arial"/>
          <w:sz w:val="22"/>
          <w:u w:val="single"/>
        </w:rPr>
      </w:pPr>
    </w:p>
    <w:p w:rsidR="003E69E7" w:rsidRDefault="003E69E7" w:rsidP="003E69E7">
      <w:pPr>
        <w:pStyle w:val="ListParagraph"/>
        <w:ind w:left="0"/>
        <w:jc w:val="both"/>
        <w:rPr>
          <w:rFonts w:cs="Arial"/>
          <w:b/>
          <w:color w:val="00B0F0"/>
          <w:sz w:val="28"/>
          <w:szCs w:val="28"/>
        </w:rPr>
      </w:pPr>
      <w:r>
        <w:rPr>
          <w:rFonts w:cs="Arial"/>
          <w:b/>
          <w:color w:val="00B0F0"/>
          <w:sz w:val="28"/>
          <w:szCs w:val="28"/>
        </w:rPr>
        <w:t>From the National Conversation about Work</w:t>
      </w:r>
    </w:p>
    <w:p w:rsidR="003E69E7" w:rsidRPr="00A73396" w:rsidRDefault="003E69E7" w:rsidP="00C82F13">
      <w:pPr>
        <w:jc w:val="both"/>
        <w:rPr>
          <w:rFonts w:cs="Arial"/>
          <w:sz w:val="22"/>
          <w:szCs w:val="22"/>
        </w:rPr>
      </w:pPr>
      <w:r w:rsidRPr="00A73396">
        <w:rPr>
          <w:rFonts w:cs="Arial"/>
          <w:sz w:val="22"/>
          <w:szCs w:val="22"/>
        </w:rPr>
        <w:t xml:space="preserve">Staff working with people with mental disabilities told the Commission there were many perceived and significant barriers for people finding work.  These included past bad experiences with </w:t>
      </w:r>
      <w:r>
        <w:rPr>
          <w:rFonts w:cs="Arial"/>
          <w:sz w:val="22"/>
          <w:szCs w:val="22"/>
        </w:rPr>
        <w:t xml:space="preserve">disabled </w:t>
      </w:r>
      <w:r w:rsidRPr="00A73396">
        <w:rPr>
          <w:rFonts w:cs="Arial"/>
          <w:sz w:val="22"/>
          <w:szCs w:val="22"/>
        </w:rPr>
        <w:t>people</w:t>
      </w:r>
      <w:r>
        <w:rPr>
          <w:rFonts w:cs="Arial"/>
          <w:sz w:val="22"/>
          <w:szCs w:val="22"/>
        </w:rPr>
        <w:t>, l</w:t>
      </w:r>
      <w:r w:rsidRPr="00A73396">
        <w:rPr>
          <w:rFonts w:cs="Arial"/>
          <w:sz w:val="22"/>
          <w:szCs w:val="22"/>
        </w:rPr>
        <w:t>ack of knowledge and understanding, prejudice, and an unwillingness to make accommodations.</w:t>
      </w:r>
    </w:p>
    <w:p w:rsidR="003E69E7" w:rsidRPr="00A73396" w:rsidRDefault="003E69E7" w:rsidP="00C82F13">
      <w:pPr>
        <w:jc w:val="both"/>
        <w:rPr>
          <w:rFonts w:cs="Arial"/>
          <w:sz w:val="22"/>
          <w:szCs w:val="22"/>
        </w:rPr>
      </w:pPr>
    </w:p>
    <w:p w:rsidR="003E69E7" w:rsidRPr="00A73396" w:rsidRDefault="003E69E7" w:rsidP="00C82F13">
      <w:pPr>
        <w:jc w:val="both"/>
        <w:rPr>
          <w:sz w:val="22"/>
          <w:szCs w:val="22"/>
        </w:rPr>
      </w:pPr>
      <w:r w:rsidRPr="00A73396">
        <w:rPr>
          <w:rFonts w:cs="Arial"/>
          <w:sz w:val="22"/>
          <w:szCs w:val="22"/>
        </w:rPr>
        <w:t xml:space="preserve">There was support for a social marketing campaign similar to </w:t>
      </w:r>
      <w:r w:rsidRPr="00651381">
        <w:rPr>
          <w:rFonts w:cs="Arial"/>
          <w:i/>
          <w:sz w:val="22"/>
          <w:szCs w:val="22"/>
        </w:rPr>
        <w:t>Like Minds Like Mine</w:t>
      </w:r>
      <w:r w:rsidRPr="00A73396">
        <w:rPr>
          <w:rFonts w:cs="Arial"/>
          <w:sz w:val="22"/>
          <w:szCs w:val="22"/>
        </w:rPr>
        <w:t xml:space="preserve"> to promote the employment of </w:t>
      </w:r>
      <w:r>
        <w:rPr>
          <w:rFonts w:cs="Arial"/>
          <w:sz w:val="22"/>
          <w:szCs w:val="22"/>
        </w:rPr>
        <w:t xml:space="preserve">disabled </w:t>
      </w:r>
      <w:r w:rsidRPr="00A73396">
        <w:rPr>
          <w:rFonts w:cs="Arial"/>
          <w:sz w:val="22"/>
          <w:szCs w:val="22"/>
        </w:rPr>
        <w:t xml:space="preserve">people. The group said that the attitude of employers to mental illness such as depression had changed as a result of </w:t>
      </w:r>
      <w:r w:rsidRPr="00651381">
        <w:rPr>
          <w:rFonts w:cs="Arial"/>
          <w:i/>
          <w:sz w:val="22"/>
          <w:szCs w:val="22"/>
        </w:rPr>
        <w:t>Like Minds</w:t>
      </w:r>
      <w:r w:rsidRPr="00A73396">
        <w:rPr>
          <w:rFonts w:cs="Arial"/>
          <w:sz w:val="22"/>
          <w:szCs w:val="22"/>
        </w:rPr>
        <w:t xml:space="preserve"> and that a focus on the workplace and other disabilities would be helpful.</w:t>
      </w:r>
    </w:p>
    <w:p w:rsidR="003E69E7" w:rsidRDefault="003E69E7" w:rsidP="00C82F13">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A particularly vexed issue is whether or not to disclose experience of mental illness. People with experience of mental health issues told the Commission that disclosure on application forms or unexplained gaps in CVs meant they were unlikely to be offered a job interview. </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However, non-disclosure carried the risk that their needs will not be accommodated should they become unwell, and in extreme cases be dismissed for dishonesty.</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sz w:val="22"/>
        </w:rPr>
      </w:pPr>
      <w:r>
        <w:rPr>
          <w:rFonts w:cs="Arial"/>
          <w:sz w:val="22"/>
        </w:rPr>
        <w:t>Legal considerations include the appropriateness of questions in the application form and the steps taken to avoid discriminatory practices. One participant with experience of mental illness said, “</w:t>
      </w:r>
      <w:r>
        <w:rPr>
          <w:sz w:val="22"/>
        </w:rPr>
        <w:t xml:space="preserve">The crux of the argument around disclosure is that there is still a lot of stigma around employability - there’s the myth that if you’ve got a mental illness you’re actually not </w:t>
      </w:r>
      <w:r>
        <w:rPr>
          <w:sz w:val="22"/>
        </w:rPr>
        <w:lastRenderedPageBreak/>
        <w:t>employable. You can’t handle stress, you’re potentially dangerous to yourself and to others, you are a lot of extra work, you’re unreliable, you will take lots of time off.”</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There were risks either way, disclose and risk not being considered for the job, not disclose and risk being unsupported or being dismissed should you become unwell.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sidRPr="00C82F13">
        <w:rPr>
          <w:sz w:val="22"/>
        </w:rPr>
        <w:t xml:space="preserve">A further meeting </w:t>
      </w:r>
      <w:r w:rsidR="00C24221" w:rsidRPr="00C82F13">
        <w:rPr>
          <w:sz w:val="22"/>
        </w:rPr>
        <w:t xml:space="preserve">with mental health advocates </w:t>
      </w:r>
      <w:r w:rsidRPr="00C82F13">
        <w:rPr>
          <w:sz w:val="22"/>
        </w:rPr>
        <w:t>attempted to tease out what advice the</w:t>
      </w:r>
      <w:r>
        <w:rPr>
          <w:sz w:val="22"/>
        </w:rPr>
        <w:t xml:space="preserve"> Commission could usefully provide to prospective employers and employees.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The group suggested that the focus should come off disclosing experience of mental health and onto equality for any worker and their employer. Their advice was to not make it about mental health but ensuring the best person for the job by:</w:t>
      </w:r>
    </w:p>
    <w:p w:rsidR="003E69E7" w:rsidRDefault="003E69E7" w:rsidP="003E69E7">
      <w:pPr>
        <w:pStyle w:val="ListParagraph"/>
        <w:numPr>
          <w:ilvl w:val="0"/>
          <w:numId w:val="48"/>
        </w:numPr>
        <w:jc w:val="both"/>
        <w:rPr>
          <w:sz w:val="22"/>
        </w:rPr>
      </w:pPr>
      <w:r>
        <w:rPr>
          <w:sz w:val="22"/>
        </w:rPr>
        <w:t xml:space="preserve">Focussing on what an individual can do, not do but could learn, and what is outside their capability. </w:t>
      </w:r>
    </w:p>
    <w:p w:rsidR="003E69E7" w:rsidRDefault="003E69E7" w:rsidP="003E69E7">
      <w:pPr>
        <w:pStyle w:val="ListParagraph"/>
        <w:numPr>
          <w:ilvl w:val="0"/>
          <w:numId w:val="48"/>
        </w:numPr>
        <w:jc w:val="both"/>
        <w:rPr>
          <w:sz w:val="22"/>
        </w:rPr>
      </w:pPr>
      <w:r>
        <w:rPr>
          <w:sz w:val="22"/>
        </w:rPr>
        <w:t>Challenging discriminatory assumptions about ability based on diagnostic labels.</w:t>
      </w:r>
    </w:p>
    <w:p w:rsidR="003E69E7" w:rsidRDefault="003E69E7" w:rsidP="003E69E7">
      <w:pPr>
        <w:pStyle w:val="ListParagraph"/>
        <w:numPr>
          <w:ilvl w:val="0"/>
          <w:numId w:val="48"/>
        </w:numPr>
        <w:jc w:val="both"/>
        <w:rPr>
          <w:sz w:val="22"/>
        </w:rPr>
      </w:pPr>
      <w:r>
        <w:rPr>
          <w:sz w:val="22"/>
        </w:rPr>
        <w:t xml:space="preserve">Having conversations throughout any person’s employment about their needs and support required to do a job well, regardless of labels and assumptions.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Ensuring best fit requires detailed job descriptions and person specifications that are inclusionary.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The Employers’ Disability Network suggests that employers concentrate on what needs to be done rather than how the work should be done, for example it is better to ask, “this job involves working under pressure to tight deadlines. Tell us about situations where you’ve been under pressure and how you ensured you met deadlines” rather than “how will the pressure of tight deadlines affect your disability?”</w:t>
      </w:r>
      <w:r>
        <w:rPr>
          <w:rStyle w:val="FootnoteReference"/>
          <w:sz w:val="22"/>
        </w:rPr>
        <w:footnoteReference w:id="8"/>
      </w:r>
      <w:r>
        <w:rPr>
          <w:sz w:val="22"/>
        </w:rPr>
        <w:t xml:space="preserve">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Conversations about how to meet people’s needs or to support them to develop their performance at work is good practice for all employees. However, honest engagement requires a safe and supportive work environment. This conversation could include meeting out-of-work needs such as childcare and in-work needs like professional development needs as well as being responsive to individual needs related to health. The group discussed the mutual obligations inherent in acting in “good faith.” The employee should be able to say, “this is what I’ll do to keep well at work” and the employer needs to be able to say “this is what I can do if concerns arise.” This does not mean the employer takes on a social work role, rather that there is a plan such as someone to contact. The group commented that these discussions should be held after a 90 day trial period to ensure both employer and employee are confident in their ability to do the job and disclosure can be made without fear of prejudice or discrimination.   </w:t>
      </w:r>
    </w:p>
    <w:p w:rsidR="003E69E7" w:rsidRDefault="003E69E7" w:rsidP="003E69E7">
      <w:pPr>
        <w:pStyle w:val="ListParagraph"/>
        <w:ind w:left="0"/>
        <w:jc w:val="both"/>
        <w:rPr>
          <w:sz w:val="22"/>
        </w:rPr>
      </w:pPr>
      <w:r>
        <w:rPr>
          <w:sz w:val="22"/>
        </w:rPr>
        <w:t xml:space="preserve"> </w:t>
      </w:r>
    </w:p>
    <w:p w:rsidR="003E69E7" w:rsidRDefault="003E69E7" w:rsidP="003E69E7">
      <w:pPr>
        <w:pStyle w:val="ListParagraph"/>
        <w:ind w:left="0"/>
        <w:jc w:val="both"/>
        <w:rPr>
          <w:sz w:val="22"/>
        </w:rPr>
      </w:pPr>
      <w:r>
        <w:rPr>
          <w:sz w:val="22"/>
        </w:rPr>
        <w:t>There is a cost to employers if employees are afraid to disclose. For example, if medication has been identified by the individual as a useful part of their recovery planning, the employee</w:t>
      </w:r>
    </w:p>
    <w:p w:rsidR="003E69E7" w:rsidRDefault="003E69E7" w:rsidP="003E69E7">
      <w:pPr>
        <w:pStyle w:val="ListParagraph"/>
        <w:ind w:left="0"/>
        <w:jc w:val="both"/>
        <w:rPr>
          <w:sz w:val="22"/>
        </w:rPr>
      </w:pPr>
      <w:r>
        <w:rPr>
          <w:sz w:val="22"/>
        </w:rPr>
        <w:t xml:space="preserve">may stop taking this medication if drug screening might reveal a condition that they have not disclosed and which is not accepted by the organisation. Presenteeism and absenteeism may occur if a person does not feel confident to request sick leave to become well. The Commission heard that having experience of mental health issues could not be an excuse for lack of productivity “If you can’t do the job, you can’t do the job. Both parties need to be fair and reasonable”. </w:t>
      </w:r>
    </w:p>
    <w:p w:rsidR="003E69E7" w:rsidRDefault="003E69E7" w:rsidP="003E69E7">
      <w:pPr>
        <w:pStyle w:val="ListParagraph"/>
        <w:ind w:left="0"/>
        <w:jc w:val="both"/>
        <w:rPr>
          <w:sz w:val="22"/>
        </w:rPr>
      </w:pPr>
    </w:p>
    <w:p w:rsidR="003E69E7" w:rsidRDefault="003E69E7" w:rsidP="003E69E7">
      <w:pPr>
        <w:pStyle w:val="ListParagraph"/>
        <w:ind w:left="0"/>
        <w:jc w:val="both"/>
        <w:rPr>
          <w:rFonts w:cs="Arial"/>
          <w:sz w:val="22"/>
          <w:szCs w:val="22"/>
        </w:rPr>
      </w:pPr>
      <w:r>
        <w:rPr>
          <w:rFonts w:cs="Arial"/>
          <w:sz w:val="22"/>
          <w:szCs w:val="22"/>
        </w:rPr>
        <w:lastRenderedPageBreak/>
        <w:t xml:space="preserve">Experience of mental health issues is </w:t>
      </w:r>
      <w:r>
        <w:rPr>
          <w:rFonts w:cs="Arial"/>
          <w:sz w:val="22"/>
          <w:szCs w:val="22"/>
          <w:lang w:eastAsia="en-NZ"/>
        </w:rPr>
        <w:t>common in New Zealand</w:t>
      </w:r>
      <w:r w:rsidR="003C1995">
        <w:rPr>
          <w:rFonts w:cs="Arial"/>
          <w:sz w:val="22"/>
          <w:szCs w:val="22"/>
          <w:lang w:eastAsia="en-NZ"/>
        </w:rPr>
        <w:t xml:space="preserve">.  </w:t>
      </w:r>
      <w:r>
        <w:rPr>
          <w:rStyle w:val="FootnoteReference"/>
          <w:rFonts w:cs="Arial"/>
          <w:sz w:val="22"/>
          <w:szCs w:val="22"/>
          <w:lang w:eastAsia="en-NZ"/>
        </w:rPr>
        <w:footnoteReference w:id="9"/>
      </w:r>
      <w:r>
        <w:rPr>
          <w:rFonts w:cs="Arial"/>
          <w:sz w:val="22"/>
          <w:szCs w:val="22"/>
          <w:lang w:eastAsia="en-NZ"/>
        </w:rPr>
        <w:t xml:space="preserve"> Almost  half (46.6%) of the population are “predicted to meet criteria for a disorder at some time in their lives, with 39.5% having already done so and 20.7% having a disorder in the past 12 months.”</w:t>
      </w:r>
      <w:r>
        <w:rPr>
          <w:rStyle w:val="FootnoteReference"/>
          <w:rFonts w:cs="Arial"/>
          <w:sz w:val="22"/>
          <w:szCs w:val="22"/>
          <w:lang w:eastAsia="en-NZ"/>
        </w:rPr>
        <w:footnoteReference w:id="10"/>
      </w:r>
    </w:p>
    <w:p w:rsidR="003E69E7" w:rsidRDefault="003E69E7" w:rsidP="003E69E7">
      <w:pPr>
        <w:pStyle w:val="ListParagraph"/>
        <w:ind w:left="0"/>
        <w:jc w:val="both"/>
        <w:rPr>
          <w:b/>
          <w:color w:val="00B0F0"/>
          <w:sz w:val="28"/>
          <w:szCs w:val="28"/>
        </w:rPr>
      </w:pPr>
    </w:p>
    <w:p w:rsidR="003E69E7" w:rsidRDefault="003E69E7" w:rsidP="003E69E7">
      <w:pPr>
        <w:pStyle w:val="ListParagraph"/>
        <w:ind w:left="0"/>
        <w:jc w:val="both"/>
        <w:rPr>
          <w:b/>
          <w:color w:val="00B0F0"/>
          <w:sz w:val="28"/>
          <w:szCs w:val="28"/>
        </w:rPr>
      </w:pPr>
      <w:r>
        <w:rPr>
          <w:b/>
          <w:color w:val="00B0F0"/>
          <w:sz w:val="28"/>
          <w:szCs w:val="28"/>
        </w:rPr>
        <w:t>Legislation</w:t>
      </w:r>
    </w:p>
    <w:p w:rsidR="003E69E7" w:rsidRDefault="003E69E7" w:rsidP="003E69E7">
      <w:pPr>
        <w:pStyle w:val="ListParagraph"/>
        <w:ind w:left="0"/>
        <w:jc w:val="both"/>
        <w:rPr>
          <w:i/>
          <w:sz w:val="22"/>
        </w:rPr>
      </w:pPr>
    </w:p>
    <w:p w:rsidR="003E69E7" w:rsidRDefault="003E69E7" w:rsidP="003E69E7">
      <w:pPr>
        <w:pStyle w:val="ListParagraph"/>
        <w:ind w:left="0"/>
        <w:jc w:val="both"/>
        <w:rPr>
          <w:b/>
          <w:i/>
        </w:rPr>
      </w:pPr>
      <w:r>
        <w:rPr>
          <w:b/>
          <w:i/>
        </w:rPr>
        <w:t xml:space="preserve">Discrimination </w:t>
      </w:r>
    </w:p>
    <w:p w:rsidR="003E69E7" w:rsidRDefault="003E69E7" w:rsidP="003E69E7">
      <w:pPr>
        <w:pStyle w:val="ListParagraph"/>
        <w:ind w:left="0"/>
        <w:jc w:val="both"/>
        <w:rPr>
          <w:sz w:val="22"/>
        </w:rPr>
      </w:pPr>
      <w:r>
        <w:rPr>
          <w:sz w:val="22"/>
        </w:rPr>
        <w:t xml:space="preserve">Because disability, which includes “mental illness”, is a prohibited ground under the Human Rights Act 1993 an employer should not seek general information about a job applicant’s medical or ACC history. Employers can ask whether or not a job applicant has the abilities needed for the job. This includes establishing whether or not an applicant has any medical conditions or disabilities that might mean the work could not be satisfactorily carried out. A job applicant should first be made aware of the job’s requirements and then asked about any medical conditions or disabilities that might prevent them from carrying out the work satisfactorily. </w:t>
      </w:r>
    </w:p>
    <w:p w:rsidR="003E69E7" w:rsidRDefault="003E69E7" w:rsidP="003E69E7">
      <w:pPr>
        <w:pStyle w:val="ListParagraph"/>
        <w:ind w:left="0"/>
        <w:jc w:val="both"/>
        <w:rPr>
          <w:sz w:val="22"/>
        </w:rPr>
      </w:pPr>
    </w:p>
    <w:p w:rsidR="003E69E7" w:rsidRDefault="003E69E7" w:rsidP="003E69E7">
      <w:pPr>
        <w:jc w:val="both"/>
        <w:rPr>
          <w:sz w:val="22"/>
        </w:rPr>
      </w:pPr>
      <w:r>
        <w:rPr>
          <w:sz w:val="22"/>
        </w:rPr>
        <w:t>Without the context of a full job description the following question could be construed as an intention to discriminate:</w:t>
      </w:r>
    </w:p>
    <w:p w:rsidR="003E69E7" w:rsidRDefault="003E69E7" w:rsidP="003E69E7">
      <w:pPr>
        <w:jc w:val="both"/>
        <w:rPr>
          <w:sz w:val="22"/>
        </w:rPr>
      </w:pPr>
    </w:p>
    <w:p w:rsidR="003E69E7" w:rsidRDefault="003E69E7" w:rsidP="003E69E7">
      <w:pPr>
        <w:jc w:val="both"/>
        <w:rPr>
          <w:i/>
          <w:sz w:val="22"/>
        </w:rPr>
      </w:pPr>
      <w:r>
        <w:rPr>
          <w:rFonts w:ascii="Arial Mäori" w:hAnsi="Arial Mäori" w:cs="Arial"/>
          <w:i/>
          <w:sz w:val="22"/>
        </w:rPr>
        <w:t xml:space="preserve">Do you have, or have you ever had, a medical condition caused by an injury, illness, disability or gradual process that the tasks of the position may aggravate or contribute to, or that may affect your ability to carry out the work of the position applied for? </w:t>
      </w:r>
    </w:p>
    <w:p w:rsidR="003E69E7" w:rsidRDefault="003E69E7" w:rsidP="003E69E7">
      <w:pPr>
        <w:jc w:val="both"/>
        <w:rPr>
          <w:color w:val="1F497D"/>
          <w:sz w:val="22"/>
        </w:rPr>
      </w:pPr>
    </w:p>
    <w:p w:rsidR="003E69E7" w:rsidRDefault="003E69E7" w:rsidP="003E69E7">
      <w:pPr>
        <w:jc w:val="both"/>
        <w:rPr>
          <w:sz w:val="22"/>
        </w:rPr>
      </w:pPr>
      <w:r>
        <w:rPr>
          <w:sz w:val="22"/>
        </w:rPr>
        <w:t xml:space="preserve">If confronted with such a question the applicant could answer “No”, if they believe that any medical condition will not affect their work. Alternatively the applicant could say, “On the limited information available to me my answer is ‘No’”. If the answer is “Yes” the applicant could then describe what they will do to keep well at work and what the employer could do. </w:t>
      </w:r>
    </w:p>
    <w:p w:rsidR="003E69E7" w:rsidRDefault="003E69E7" w:rsidP="003E69E7">
      <w:pPr>
        <w:jc w:val="both"/>
        <w:rPr>
          <w:sz w:val="22"/>
        </w:rPr>
      </w:pPr>
    </w:p>
    <w:p w:rsidR="003E69E7" w:rsidRDefault="003E69E7" w:rsidP="003E69E7">
      <w:pPr>
        <w:pStyle w:val="ListParagraph"/>
        <w:ind w:left="0"/>
        <w:jc w:val="both"/>
        <w:rPr>
          <w:sz w:val="22"/>
        </w:rPr>
      </w:pPr>
      <w:r>
        <w:rPr>
          <w:sz w:val="22"/>
        </w:rPr>
        <w:t xml:space="preserve">However, once a full job description is given, questions about a person’s ability to meet specific job requirements are legitimate. In some instances, where a medical condition makes performance of the job unsafe (for example, a driving job when medication causes drowsiness) then the applicant has a responsibility to declare the medical condition.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A guidebook for job seekers</w:t>
      </w:r>
      <w:r>
        <w:rPr>
          <w:rStyle w:val="FootnoteReference"/>
          <w:sz w:val="22"/>
        </w:rPr>
        <w:footnoteReference w:id="11"/>
      </w:r>
      <w:r>
        <w:rPr>
          <w:sz w:val="22"/>
        </w:rPr>
        <w:t xml:space="preserve"> with experience of mental health issues advised that there are two situations in which a job seeker </w:t>
      </w:r>
      <w:r>
        <w:rPr>
          <w:sz w:val="22"/>
          <w:u w:val="single"/>
        </w:rPr>
        <w:t>must</w:t>
      </w:r>
      <w:r>
        <w:rPr>
          <w:sz w:val="22"/>
        </w:rPr>
        <w:t xml:space="preserve"> disclose:</w:t>
      </w:r>
    </w:p>
    <w:p w:rsidR="003E69E7" w:rsidRDefault="003E69E7" w:rsidP="003E69E7">
      <w:pPr>
        <w:pStyle w:val="ListParagraph"/>
        <w:numPr>
          <w:ilvl w:val="0"/>
          <w:numId w:val="49"/>
        </w:numPr>
        <w:jc w:val="both"/>
        <w:rPr>
          <w:sz w:val="22"/>
        </w:rPr>
      </w:pPr>
      <w:r>
        <w:rPr>
          <w:sz w:val="22"/>
        </w:rPr>
        <w:t>If your disability or health condition would pose a risk to yourself or others in the workplace. (e.g. if you were applying for a job as a truck driver but you were on medication that made you very drowsy making it unsafe for you to drive).</w:t>
      </w:r>
    </w:p>
    <w:p w:rsidR="003E69E7" w:rsidRDefault="003E69E7" w:rsidP="003E69E7">
      <w:pPr>
        <w:pStyle w:val="ListParagraph"/>
        <w:numPr>
          <w:ilvl w:val="0"/>
          <w:numId w:val="49"/>
        </w:numPr>
        <w:jc w:val="both"/>
        <w:rPr>
          <w:sz w:val="22"/>
          <w:u w:val="single"/>
        </w:rPr>
      </w:pPr>
      <w:r>
        <w:rPr>
          <w:sz w:val="22"/>
        </w:rPr>
        <w:t xml:space="preserve">If your disability or health condition meant you would not be able to satisfactorily perform the tasks required in the job AND would be unreasonable to accommodate (e.g. if you were applying for a job in sales with lots of customer contact, but you had a social phobia and couldn’t talk to strangers.” </w:t>
      </w:r>
    </w:p>
    <w:p w:rsidR="003E69E7" w:rsidRDefault="003E69E7" w:rsidP="003E69E7">
      <w:pPr>
        <w:jc w:val="both"/>
        <w:rPr>
          <w:sz w:val="22"/>
        </w:rPr>
      </w:pPr>
    </w:p>
    <w:p w:rsidR="003E69E7" w:rsidRDefault="003E69E7" w:rsidP="003E69E7">
      <w:pPr>
        <w:jc w:val="both"/>
        <w:rPr>
          <w:sz w:val="22"/>
        </w:rPr>
      </w:pPr>
      <w:r>
        <w:rPr>
          <w:sz w:val="22"/>
        </w:rPr>
        <w:t>The guidebook goes on to say, “if either of these applies, you need to ask yourself: “Is this the right job for me?”</w:t>
      </w:r>
    </w:p>
    <w:p w:rsidR="003E69E7" w:rsidRDefault="003E69E7" w:rsidP="003E69E7">
      <w:pPr>
        <w:pStyle w:val="ListParagraph"/>
        <w:ind w:left="0"/>
        <w:jc w:val="both"/>
        <w:rPr>
          <w:sz w:val="22"/>
        </w:rPr>
      </w:pPr>
    </w:p>
    <w:p w:rsidR="00947147" w:rsidRDefault="00947147" w:rsidP="003E69E7">
      <w:pPr>
        <w:pStyle w:val="ListParagraph"/>
        <w:ind w:left="0"/>
        <w:jc w:val="both"/>
        <w:rPr>
          <w:sz w:val="22"/>
        </w:rPr>
      </w:pPr>
    </w:p>
    <w:p w:rsidR="00947147" w:rsidRDefault="00947147" w:rsidP="003E69E7">
      <w:pPr>
        <w:pStyle w:val="ListParagraph"/>
        <w:ind w:left="0"/>
        <w:jc w:val="both"/>
        <w:rPr>
          <w:sz w:val="22"/>
        </w:rPr>
      </w:pPr>
    </w:p>
    <w:p w:rsidR="003E69E7" w:rsidRPr="004E76D5" w:rsidRDefault="003E69E7" w:rsidP="003E69E7">
      <w:pPr>
        <w:jc w:val="both"/>
        <w:rPr>
          <w:b/>
          <w:i/>
          <w:color w:val="00B0F0"/>
        </w:rPr>
      </w:pPr>
      <w:r w:rsidRPr="004E76D5">
        <w:rPr>
          <w:b/>
          <w:i/>
          <w:color w:val="00B0F0"/>
        </w:rPr>
        <w:lastRenderedPageBreak/>
        <w:t xml:space="preserve">Good faith </w:t>
      </w:r>
    </w:p>
    <w:p w:rsidR="003E69E7" w:rsidRDefault="003E69E7" w:rsidP="003E69E7">
      <w:pPr>
        <w:shd w:val="clear" w:color="auto" w:fill="FFFFFF"/>
        <w:jc w:val="both"/>
        <w:rPr>
          <w:rFonts w:ascii="Verdana" w:hAnsi="Verdana"/>
          <w:sz w:val="22"/>
          <w:lang w:eastAsia="en-NZ"/>
        </w:rPr>
      </w:pPr>
      <w:r>
        <w:rPr>
          <w:sz w:val="22"/>
        </w:rPr>
        <w:t>Under the Employment Relations Act both employee and employer are required to act in good faith. The Department of Labour explains good faith in the following way:</w:t>
      </w:r>
      <w:r>
        <w:rPr>
          <w:rFonts w:ascii="Verdana" w:hAnsi="Verdana"/>
          <w:sz w:val="22"/>
          <w:lang w:eastAsia="en-NZ"/>
        </w:rPr>
        <w:t xml:space="preserve"> </w:t>
      </w:r>
    </w:p>
    <w:p w:rsidR="003E69E7" w:rsidRDefault="003E69E7" w:rsidP="003E69E7">
      <w:pPr>
        <w:shd w:val="clear" w:color="auto" w:fill="FFFFFF"/>
        <w:spacing w:after="240" w:line="312" w:lineRule="atLeast"/>
        <w:jc w:val="both"/>
        <w:rPr>
          <w:rFonts w:cs="Arial"/>
          <w:sz w:val="22"/>
          <w:lang w:eastAsia="en-NZ"/>
        </w:rPr>
      </w:pPr>
      <w:r>
        <w:rPr>
          <w:rFonts w:cs="Arial"/>
          <w:sz w:val="22"/>
          <w:lang w:eastAsia="en-NZ"/>
        </w:rPr>
        <w:t>“Employers and employees are obliged to deal with each other at all times fairly, reasonably and in good faith.</w:t>
      </w:r>
    </w:p>
    <w:p w:rsidR="003E69E7" w:rsidRDefault="003E69E7" w:rsidP="003E69E7">
      <w:pPr>
        <w:shd w:val="clear" w:color="auto" w:fill="FFFFFF"/>
        <w:jc w:val="both"/>
        <w:rPr>
          <w:rFonts w:cs="Arial"/>
          <w:sz w:val="22"/>
          <w:lang w:eastAsia="en-NZ"/>
        </w:rPr>
      </w:pPr>
      <w:r>
        <w:rPr>
          <w:rFonts w:cs="Arial"/>
          <w:sz w:val="22"/>
          <w:lang w:eastAsia="en-NZ"/>
        </w:rPr>
        <w:t>In broad terms, this means that both employers and employees must:</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act honestly, openly, and without hidden or ulterior motives</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 xml:space="preserve">raise issues in a fair and timely way </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be constructive and cooperative</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be proactive in providing each other with relevant information and consider all information provided</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respond promptly and thoroughly to reasonable requests and concerns</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keep an open mind, listen to each other and be prepared to change opinion about a particular situation or behaviour, and</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treat each other respectfully.</w:t>
      </w:r>
    </w:p>
    <w:p w:rsidR="003E69E7" w:rsidRDefault="003E69E7" w:rsidP="003E69E7">
      <w:pPr>
        <w:shd w:val="clear" w:color="auto" w:fill="FFFFFF"/>
        <w:jc w:val="both"/>
        <w:rPr>
          <w:rFonts w:cs="Arial"/>
          <w:sz w:val="22"/>
          <w:lang w:eastAsia="en-NZ"/>
        </w:rPr>
      </w:pPr>
    </w:p>
    <w:p w:rsidR="003E69E7" w:rsidRDefault="003E69E7" w:rsidP="003E69E7">
      <w:pPr>
        <w:shd w:val="clear" w:color="auto" w:fill="FFFFFF"/>
        <w:jc w:val="both"/>
        <w:rPr>
          <w:rFonts w:cs="Arial"/>
          <w:sz w:val="22"/>
          <w:lang w:eastAsia="en-NZ"/>
        </w:rPr>
      </w:pPr>
      <w:r>
        <w:rPr>
          <w:rFonts w:cs="Arial"/>
          <w:sz w:val="22"/>
          <w:lang w:eastAsia="en-NZ"/>
        </w:rPr>
        <w:t>Good faith generally involves using practical common sense. Acting in good faith reduces the risk of conflict and problems. It is also a minimum requirement of the Employment Relations Act 2000.”</w:t>
      </w:r>
      <w:r>
        <w:rPr>
          <w:rStyle w:val="FootnoteReference"/>
          <w:rFonts w:cs="Arial"/>
          <w:sz w:val="22"/>
          <w:lang w:eastAsia="en-NZ"/>
        </w:rPr>
        <w:footnoteReference w:id="12"/>
      </w:r>
      <w:r>
        <w:rPr>
          <w:rFonts w:cs="Arial"/>
          <w:sz w:val="22"/>
          <w:lang w:eastAsia="en-NZ"/>
        </w:rPr>
        <w:t xml:space="preserve"> </w:t>
      </w:r>
    </w:p>
    <w:p w:rsidR="003E69E7" w:rsidRDefault="003E69E7" w:rsidP="003E69E7">
      <w:pPr>
        <w:jc w:val="both"/>
        <w:rPr>
          <w:sz w:val="22"/>
          <w:u w:val="single"/>
        </w:rPr>
      </w:pPr>
    </w:p>
    <w:p w:rsidR="003E69E7" w:rsidRPr="004E76D5" w:rsidRDefault="003E69E7" w:rsidP="003E69E7">
      <w:pPr>
        <w:jc w:val="both"/>
        <w:rPr>
          <w:b/>
          <w:i/>
          <w:color w:val="00B0F0"/>
        </w:rPr>
      </w:pPr>
      <w:r w:rsidRPr="004E76D5">
        <w:rPr>
          <w:b/>
          <w:i/>
          <w:color w:val="00B0F0"/>
        </w:rPr>
        <w:t>Legal cases</w:t>
      </w:r>
    </w:p>
    <w:p w:rsidR="003E69E7" w:rsidRDefault="003E69E7" w:rsidP="003E69E7">
      <w:pPr>
        <w:jc w:val="both"/>
        <w:rPr>
          <w:sz w:val="22"/>
        </w:rPr>
      </w:pPr>
      <w:r>
        <w:rPr>
          <w:sz w:val="22"/>
        </w:rPr>
        <w:t xml:space="preserve">In 2002 the Employment Court ruled that a question on a pre-employment form </w:t>
      </w:r>
      <w:r>
        <w:rPr>
          <w:rFonts w:cs="Arial"/>
          <w:sz w:val="22"/>
        </w:rPr>
        <w:t>–</w:t>
      </w:r>
      <w:r>
        <w:rPr>
          <w:sz w:val="22"/>
        </w:rPr>
        <w:t xml:space="preserve"> </w:t>
      </w:r>
      <w:r>
        <w:rPr>
          <w:i/>
          <w:sz w:val="22"/>
        </w:rPr>
        <w:t xml:space="preserve">Do you have any medical problems of any kind? </w:t>
      </w:r>
      <w:r>
        <w:rPr>
          <w:sz w:val="22"/>
        </w:rPr>
        <w:t xml:space="preserve">– was unlawful in light of s. 23 of the Human Rights Act which prohibits questions that indicate or could reasonably be understood as indicating an intention to unlawfully discriminate against an applicant for employment.  The question would enable an employer to reject an applicant on the basis of a condition which would have minimal or no impact on work performance.  </w:t>
      </w:r>
    </w:p>
    <w:p w:rsidR="003E69E7" w:rsidRDefault="003E69E7" w:rsidP="003E69E7">
      <w:pPr>
        <w:jc w:val="both"/>
        <w:rPr>
          <w:sz w:val="22"/>
        </w:rPr>
      </w:pPr>
    </w:p>
    <w:p w:rsidR="003E69E7" w:rsidRDefault="003E69E7" w:rsidP="003E69E7">
      <w:pPr>
        <w:jc w:val="both"/>
        <w:rPr>
          <w:sz w:val="22"/>
        </w:rPr>
      </w:pPr>
      <w:r>
        <w:rPr>
          <w:sz w:val="22"/>
        </w:rPr>
        <w:t>In this case the employee answered “yes” to the question and gave details of one condition; but she did not mention several other medical conditions. After time off work because of illnesses the employer ascertained that she suffered from several medical conditions which she had not disclosed. The employer dismissed her because of her failure to disclose her full medical situation. The court decided that she was not obliged to disclose all her medical conditions.</w:t>
      </w:r>
      <w:r>
        <w:rPr>
          <w:rStyle w:val="FootnoteReference"/>
          <w:sz w:val="22"/>
        </w:rPr>
        <w:footnoteReference w:id="13"/>
      </w:r>
    </w:p>
    <w:p w:rsidR="00C24221" w:rsidRDefault="00C24221" w:rsidP="003E69E7">
      <w:pPr>
        <w:jc w:val="both"/>
        <w:rPr>
          <w:sz w:val="22"/>
        </w:rPr>
      </w:pPr>
    </w:p>
    <w:p w:rsidR="003E69E7" w:rsidRDefault="003E69E7" w:rsidP="003E69E7">
      <w:pPr>
        <w:jc w:val="both"/>
        <w:rPr>
          <w:sz w:val="22"/>
        </w:rPr>
      </w:pPr>
      <w:r>
        <w:rPr>
          <w:sz w:val="22"/>
        </w:rPr>
        <w:t>In 2009 the Employment Relations Authority considered a situation where an employee had not disclosed her bi-polar condition on two separate occasions when her failure to do so provided an inaccurate answer. The employer subsequently failed to accommodate her condition.   The applicant was able to establish that her condition was one that her employer needed to reasonably accommodate but had failed to do so. The Authority deducted 25% from the damages as the employee’s failure to disclose contributed to the discrimination grievance arising.</w:t>
      </w:r>
      <w:r>
        <w:rPr>
          <w:rStyle w:val="FootnoteReference"/>
          <w:sz w:val="22"/>
        </w:rPr>
        <w:footnoteReference w:id="14"/>
      </w:r>
    </w:p>
    <w:p w:rsidR="003E69E7" w:rsidRDefault="003E69E7" w:rsidP="003E69E7">
      <w:pPr>
        <w:jc w:val="both"/>
        <w:rPr>
          <w:sz w:val="22"/>
        </w:rPr>
      </w:pPr>
    </w:p>
    <w:p w:rsidR="003E69E7" w:rsidRDefault="003E69E7" w:rsidP="003E69E7">
      <w:pPr>
        <w:jc w:val="both"/>
        <w:rPr>
          <w:rFonts w:cs="Arial"/>
          <w:sz w:val="22"/>
        </w:rPr>
      </w:pPr>
      <w:r>
        <w:rPr>
          <w:sz w:val="22"/>
        </w:rPr>
        <w:t xml:space="preserve">In 2010 </w:t>
      </w:r>
      <w:r>
        <w:rPr>
          <w:rFonts w:cs="Arial"/>
          <w:sz w:val="22"/>
        </w:rPr>
        <w:t xml:space="preserve">the Authority upheld a decision by an employer to dismiss an employee who failed to disclose on a pre-employment questionnaire that he had a pre-existing mental health condition. Of critical importance to the Authority’s decision was the employer’s practice in assessing the information about physical and mental health provided by applicants. The information is considered by a different person to that who assesses work history and standard CV-type information. The employer considers in detail an applicant’s medical </w:t>
      </w:r>
      <w:r>
        <w:rPr>
          <w:rFonts w:cs="Arial"/>
          <w:sz w:val="22"/>
        </w:rPr>
        <w:lastRenderedPageBreak/>
        <w:t>history before making a decision whether to employ or arrange a suitable programme to facilitate employment.</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The Authority concluded that the separate consideration of the detailed medical information from other aspects of the recruitment process indicated that the medical information was requested for the purposes of assessing an applicant’s physical and mental fitness to </w:t>
      </w:r>
      <w:r w:rsidRPr="00C82F13">
        <w:rPr>
          <w:rFonts w:cs="Arial"/>
          <w:sz w:val="22"/>
        </w:rPr>
        <w:t>perform the role and duties</w:t>
      </w:r>
      <w:r w:rsidR="00C24221" w:rsidRPr="00C82F13">
        <w:rPr>
          <w:rFonts w:cs="Arial"/>
          <w:sz w:val="22"/>
        </w:rPr>
        <w:t>.</w:t>
      </w:r>
      <w:r w:rsidRPr="00C82F13">
        <w:rPr>
          <w:rFonts w:cs="Arial"/>
          <w:sz w:val="22"/>
        </w:rPr>
        <w:t xml:space="preserve"> </w:t>
      </w:r>
      <w:r w:rsidR="00C24221" w:rsidRPr="00C82F13">
        <w:rPr>
          <w:rFonts w:cs="Arial"/>
          <w:sz w:val="22"/>
        </w:rPr>
        <w:t>I</w:t>
      </w:r>
      <w:r w:rsidRPr="00C82F13">
        <w:rPr>
          <w:rFonts w:cs="Arial"/>
          <w:sz w:val="22"/>
        </w:rPr>
        <w:t>t was part of assessing whether the person was qualified for the</w:t>
      </w:r>
      <w:r>
        <w:rPr>
          <w:rFonts w:cs="Arial"/>
          <w:sz w:val="22"/>
        </w:rPr>
        <w:t xml:space="preserve"> job. The Authority did not accept that the form could reasonably be taken as indicating an intention to unlawfully discriminate.</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The employee said that such questions should only be asked after the initial assessment had determined that an applicant was otherwise suitable for employment. Otherwise there is a risk that a suitable applicant, who is entitled to reasonable accommodation, might be discriminated against. </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The Authority said that employer was entitled to assess its legal obligations.  It can only do that by asking appropriate questions to elicit the necessary information from the applicant and, if necessary, seeking expert reports. The Authority noted that there was evidence of the employer continuing to employ people who suffer from mental illness and the employer does not discriminate against people with a mental illness. The evidence supported the employer’s claim that it needs to know about the nature of a person’s illness in order to assess whether it can reasonably and safely be accommodated so as to continue or permit the person’s employment.</w:t>
      </w:r>
    </w:p>
    <w:p w:rsidR="003E69E7" w:rsidRDefault="003E69E7" w:rsidP="003E69E7">
      <w:pPr>
        <w:ind w:left="284"/>
        <w:jc w:val="both"/>
        <w:rPr>
          <w:rFonts w:ascii="MS Reference Sans Serif" w:hAnsi="MS Reference Sans Serif"/>
          <w:color w:val="002060"/>
          <w:sz w:val="22"/>
        </w:rPr>
      </w:pPr>
    </w:p>
    <w:p w:rsidR="003E69E7" w:rsidRDefault="003E69E7" w:rsidP="003E69E7">
      <w:pPr>
        <w:jc w:val="both"/>
        <w:rPr>
          <w:rFonts w:cs="Arial"/>
          <w:sz w:val="22"/>
        </w:rPr>
      </w:pPr>
      <w:r>
        <w:rPr>
          <w:rFonts w:cs="Arial"/>
          <w:sz w:val="22"/>
        </w:rPr>
        <w:t>The Authority commented on the employee’s evidence that he had been advised by an advocate to say that his false answers resulted from miscalculation rather than a deliberate decision to withhold information because of his fear of discrimination:</w:t>
      </w:r>
    </w:p>
    <w:p w:rsidR="003E69E7" w:rsidRDefault="003E69E7" w:rsidP="003E69E7">
      <w:pPr>
        <w:ind w:left="284"/>
        <w:jc w:val="both"/>
        <w:rPr>
          <w:rFonts w:cs="Arial"/>
          <w:sz w:val="22"/>
        </w:rPr>
      </w:pPr>
    </w:p>
    <w:p w:rsidR="003E69E7" w:rsidRDefault="003E69E7" w:rsidP="003E69E7">
      <w:pPr>
        <w:ind w:left="284"/>
        <w:jc w:val="both"/>
        <w:rPr>
          <w:rFonts w:cs="Arial"/>
          <w:sz w:val="22"/>
        </w:rPr>
      </w:pPr>
      <w:r>
        <w:rPr>
          <w:rFonts w:cs="Arial"/>
          <w:sz w:val="22"/>
        </w:rPr>
        <w:t>“The statutory obligation is for those in an employment relationship to deal with one another in good faith which includes not misleading one another. Acting on advice, [the employee] breached that obligation … That leads on to a point made by counsel about the stigma attached to mental illness. It might be understandable that a young man such as … would think he should hide his mental health history to avoid any risk of discrimination. There will be differing views on that. In doing so, however, [the employee] exposed himself to the risk of adverse consequences should his employer later discover his falsehood. His other option was to properly answer the questions asked and rely on the anti-discrimination provisions in the Human Rights Act, and the remedies available for a proven breach of that Act if necessary.”</w:t>
      </w:r>
      <w:r>
        <w:rPr>
          <w:rStyle w:val="FootnoteReference"/>
          <w:rFonts w:cs="Arial"/>
          <w:sz w:val="22"/>
        </w:rPr>
        <w:footnoteReference w:id="15"/>
      </w:r>
    </w:p>
    <w:p w:rsidR="003E69E7" w:rsidRDefault="003E69E7" w:rsidP="003E69E7">
      <w:pPr>
        <w:jc w:val="both"/>
        <w:rPr>
          <w:rStyle w:val="Strong"/>
          <w:color w:val="00B0F0"/>
          <w:sz w:val="40"/>
          <w:szCs w:val="40"/>
        </w:rPr>
      </w:pPr>
    </w:p>
    <w:p w:rsidR="003E69E7" w:rsidRPr="00C82F13" w:rsidRDefault="003E69E7" w:rsidP="00C82F13">
      <w:pPr>
        <w:jc w:val="both"/>
        <w:rPr>
          <w:rStyle w:val="Strong"/>
          <w:color w:val="00B0F0"/>
          <w:sz w:val="40"/>
          <w:szCs w:val="40"/>
        </w:rPr>
      </w:pPr>
      <w:r w:rsidRPr="00C82F13">
        <w:rPr>
          <w:rStyle w:val="Strong"/>
          <w:color w:val="00B0F0"/>
          <w:sz w:val="40"/>
          <w:szCs w:val="40"/>
        </w:rPr>
        <w:t>Disabled people and employment</w:t>
      </w:r>
    </w:p>
    <w:p w:rsidR="003E69E7" w:rsidRPr="00C82F13" w:rsidRDefault="003E69E7" w:rsidP="003E69E7">
      <w:pPr>
        <w:jc w:val="both"/>
        <w:rPr>
          <w:rFonts w:cs="Arial"/>
          <w:sz w:val="22"/>
          <w:szCs w:val="22"/>
        </w:rPr>
      </w:pPr>
      <w:r w:rsidRPr="00C82F13">
        <w:rPr>
          <w:rFonts w:cs="Arial"/>
          <w:sz w:val="22"/>
          <w:szCs w:val="22"/>
        </w:rPr>
        <w:t xml:space="preserve">Disabled people the Commission spoke to as part of its </w:t>
      </w:r>
      <w:r w:rsidRPr="00C82F13">
        <w:rPr>
          <w:rFonts w:cs="Arial"/>
          <w:i/>
          <w:sz w:val="22"/>
          <w:szCs w:val="22"/>
        </w:rPr>
        <w:t>National Conversation about Work</w:t>
      </w:r>
      <w:r w:rsidRPr="00C82F13">
        <w:rPr>
          <w:rFonts w:cs="Arial"/>
          <w:sz w:val="22"/>
          <w:szCs w:val="22"/>
        </w:rPr>
        <w:t xml:space="preserve"> indicated that successfully gaining employment or indeed an interview is a major challenge.  </w:t>
      </w:r>
    </w:p>
    <w:p w:rsidR="003E69E7" w:rsidRPr="00C82F13" w:rsidRDefault="003E69E7" w:rsidP="003E69E7">
      <w:pPr>
        <w:jc w:val="both"/>
        <w:rPr>
          <w:rFonts w:cs="Arial"/>
          <w:sz w:val="22"/>
          <w:szCs w:val="22"/>
        </w:rPr>
      </w:pPr>
    </w:p>
    <w:p w:rsidR="003E69E7" w:rsidRPr="00651381" w:rsidRDefault="003E69E7" w:rsidP="003E69E7">
      <w:pPr>
        <w:jc w:val="both"/>
        <w:rPr>
          <w:sz w:val="22"/>
          <w:szCs w:val="22"/>
        </w:rPr>
      </w:pPr>
      <w:r w:rsidRPr="00C82F13">
        <w:rPr>
          <w:sz w:val="22"/>
          <w:szCs w:val="22"/>
        </w:rPr>
        <w:t>The Commission met with a New Plymouth disabilities group and disability support agencies.</w:t>
      </w:r>
      <w:r w:rsidRPr="00651381">
        <w:rPr>
          <w:sz w:val="22"/>
          <w:szCs w:val="22"/>
        </w:rPr>
        <w:t xml:space="preserve">  Mixed stories emerged of examples where some </w:t>
      </w:r>
      <w:r w:rsidR="00C82F13">
        <w:rPr>
          <w:sz w:val="22"/>
          <w:szCs w:val="22"/>
        </w:rPr>
        <w:t xml:space="preserve">disabled </w:t>
      </w:r>
      <w:r w:rsidRPr="00651381">
        <w:rPr>
          <w:sz w:val="22"/>
          <w:szCs w:val="22"/>
        </w:rPr>
        <w:t xml:space="preserve">people were well supported into and at work.  Conversely there were other stories where </w:t>
      </w:r>
      <w:r w:rsidR="00C82F13">
        <w:rPr>
          <w:sz w:val="22"/>
          <w:szCs w:val="22"/>
        </w:rPr>
        <w:t xml:space="preserve">disabled </w:t>
      </w:r>
      <w:r w:rsidRPr="00651381">
        <w:rPr>
          <w:sz w:val="22"/>
          <w:szCs w:val="22"/>
        </w:rPr>
        <w:t xml:space="preserve">people </w:t>
      </w:r>
      <w:r w:rsidR="00C82F13">
        <w:rPr>
          <w:sz w:val="22"/>
          <w:szCs w:val="22"/>
        </w:rPr>
        <w:t>f</w:t>
      </w:r>
      <w:r w:rsidRPr="00651381">
        <w:rPr>
          <w:sz w:val="22"/>
          <w:szCs w:val="22"/>
        </w:rPr>
        <w:t>elt let down and in some cases totally unsupported by agencies.</w:t>
      </w:r>
    </w:p>
    <w:p w:rsidR="003E69E7" w:rsidRPr="00651381" w:rsidRDefault="003E69E7" w:rsidP="003E69E7">
      <w:pPr>
        <w:jc w:val="both"/>
        <w:rPr>
          <w:sz w:val="22"/>
          <w:szCs w:val="22"/>
        </w:rPr>
      </w:pPr>
    </w:p>
    <w:p w:rsidR="003E69E7" w:rsidRPr="00651381" w:rsidRDefault="003E69E7" w:rsidP="003E69E7">
      <w:pPr>
        <w:jc w:val="both"/>
        <w:rPr>
          <w:sz w:val="22"/>
          <w:szCs w:val="22"/>
        </w:rPr>
      </w:pPr>
      <w:r w:rsidRPr="00651381">
        <w:rPr>
          <w:sz w:val="22"/>
          <w:szCs w:val="22"/>
        </w:rPr>
        <w:t xml:space="preserve">One participant was extremely “happy” with the level of support he received and viewed his work as essential to keeping a positive daily focus and being active. Another participant </w:t>
      </w:r>
      <w:r w:rsidRPr="00651381">
        <w:rPr>
          <w:sz w:val="22"/>
          <w:szCs w:val="22"/>
        </w:rPr>
        <w:lastRenderedPageBreak/>
        <w:t xml:space="preserve">spoke of her struggle to keep her job as a consequence of being unsupported and having to educate managers about her disability. She found this very hard to cope with. </w:t>
      </w:r>
    </w:p>
    <w:p w:rsidR="003E69E7" w:rsidRPr="00651381"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Employers appeared to be unwilling to give disabled people a go and were apprehensive about what employing a</w:t>
      </w:r>
      <w:r w:rsidR="00732414">
        <w:rPr>
          <w:rFonts w:cs="Arial"/>
          <w:sz w:val="22"/>
          <w:szCs w:val="22"/>
        </w:rPr>
        <w:t xml:space="preserve"> disabled</w:t>
      </w:r>
      <w:r w:rsidRPr="00651381">
        <w:rPr>
          <w:rFonts w:cs="Arial"/>
          <w:sz w:val="22"/>
          <w:szCs w:val="22"/>
        </w:rPr>
        <w:t xml:space="preserve"> person might entail. A Christchurch group told us that a critical task is to “reduce the fear about what disability might mean for employers.  Accommodating special needs doesn’t have to be a big deal, everyone has special needs.”</w:t>
      </w:r>
    </w:p>
    <w:p w:rsidR="003E69E7" w:rsidRPr="00651381" w:rsidRDefault="003E69E7" w:rsidP="003E69E7">
      <w:pPr>
        <w:jc w:val="both"/>
        <w:rPr>
          <w:rFonts w:cs="Arial"/>
          <w:sz w:val="22"/>
          <w:szCs w:val="22"/>
        </w:rPr>
      </w:pPr>
    </w:p>
    <w:p w:rsidR="003E69E7" w:rsidRPr="00C82F13" w:rsidRDefault="003E69E7" w:rsidP="003E69E7">
      <w:pPr>
        <w:jc w:val="both"/>
        <w:rPr>
          <w:rFonts w:cs="Arial"/>
          <w:sz w:val="22"/>
          <w:szCs w:val="22"/>
        </w:rPr>
      </w:pPr>
      <w:r w:rsidRPr="00C82F13">
        <w:rPr>
          <w:rFonts w:cs="Arial"/>
          <w:sz w:val="22"/>
          <w:szCs w:val="22"/>
        </w:rPr>
        <w:t>A group of Deaf in Hawke’s Bay talked about the multiple barriers inherent in the recruitment process. They talked about a</w:t>
      </w:r>
      <w:r w:rsidR="00C24221" w:rsidRPr="00C82F13">
        <w:rPr>
          <w:rFonts w:cs="Arial"/>
          <w:sz w:val="22"/>
          <w:szCs w:val="22"/>
        </w:rPr>
        <w:t>ssistance needed for preparing c</w:t>
      </w:r>
      <w:r w:rsidRPr="00C82F13">
        <w:rPr>
          <w:rFonts w:cs="Arial"/>
          <w:sz w:val="22"/>
          <w:szCs w:val="22"/>
        </w:rPr>
        <w:t xml:space="preserve">urricula </w:t>
      </w:r>
      <w:r w:rsidR="00C24221" w:rsidRPr="00C82F13">
        <w:rPr>
          <w:rFonts w:cs="Arial"/>
          <w:sz w:val="22"/>
          <w:szCs w:val="22"/>
        </w:rPr>
        <w:t>v</w:t>
      </w:r>
      <w:r w:rsidRPr="00C82F13">
        <w:rPr>
          <w:rFonts w:cs="Arial"/>
          <w:sz w:val="22"/>
          <w:szCs w:val="22"/>
        </w:rPr>
        <w:t xml:space="preserve">itae (CVs), phoning prospective employers and organising an interpreter for the rare occasions when they got a job interview. There is no resident sign interpreter in Hawke’s Bay.  Sadly the interpreter was often perceived by prospective employers as a support person rather than as an impartial interpreter. </w:t>
      </w:r>
    </w:p>
    <w:p w:rsidR="003E69E7" w:rsidRPr="00C82F13" w:rsidRDefault="003E69E7" w:rsidP="003E69E7">
      <w:pPr>
        <w:jc w:val="both"/>
        <w:rPr>
          <w:rFonts w:cs="Arial"/>
          <w:sz w:val="22"/>
          <w:szCs w:val="22"/>
        </w:rPr>
      </w:pPr>
    </w:p>
    <w:p w:rsidR="003E69E7" w:rsidRPr="00C82F13" w:rsidRDefault="003E69E7" w:rsidP="00C82F13">
      <w:pPr>
        <w:pStyle w:val="ListParagraph"/>
        <w:ind w:left="0"/>
        <w:jc w:val="both"/>
        <w:rPr>
          <w:sz w:val="22"/>
          <w:szCs w:val="22"/>
          <w:lang w:val="en-NZ"/>
        </w:rPr>
      </w:pPr>
      <w:r w:rsidRPr="00C82F13">
        <w:rPr>
          <w:sz w:val="22"/>
          <w:szCs w:val="22"/>
          <w:lang w:val="en-NZ"/>
        </w:rPr>
        <w:t>When disabled staff were asked what they like about work, they spoke about the social aspect of being with friends and also the immense satisfaction gained from applying technical skills such as those required for sign-writing and wood turning. Everyone the Commission spoke to said work “gives you something to get up for” and “I need something to do to keep me occupied”.</w:t>
      </w:r>
    </w:p>
    <w:p w:rsidR="003E69E7" w:rsidRPr="00C82F13" w:rsidRDefault="003E69E7" w:rsidP="00C82F13">
      <w:pPr>
        <w:pStyle w:val="ListParagraph"/>
        <w:ind w:left="0"/>
        <w:jc w:val="both"/>
        <w:rPr>
          <w:sz w:val="22"/>
          <w:szCs w:val="22"/>
          <w:lang w:val="en-NZ"/>
        </w:rPr>
      </w:pPr>
    </w:p>
    <w:p w:rsidR="003E69E7" w:rsidRPr="00A73396" w:rsidRDefault="003E69E7" w:rsidP="00C82F13">
      <w:pPr>
        <w:jc w:val="both"/>
        <w:outlineLvl w:val="0"/>
        <w:rPr>
          <w:rFonts w:cs="Arial"/>
          <w:sz w:val="22"/>
          <w:szCs w:val="22"/>
        </w:rPr>
      </w:pPr>
      <w:r w:rsidRPr="00C82F13">
        <w:rPr>
          <w:sz w:val="22"/>
          <w:szCs w:val="22"/>
        </w:rPr>
        <w:t>Without work</w:t>
      </w:r>
      <w:r w:rsidR="00947147" w:rsidRPr="00C82F13">
        <w:rPr>
          <w:sz w:val="22"/>
          <w:szCs w:val="22"/>
        </w:rPr>
        <w:t>,</w:t>
      </w:r>
      <w:r w:rsidRPr="00C82F13">
        <w:rPr>
          <w:sz w:val="22"/>
          <w:szCs w:val="22"/>
        </w:rPr>
        <w:t xml:space="preserve"> disabled staff overwhelming said that they would be “bored and annoyed” and would probably “just sit there” at home.  </w:t>
      </w:r>
      <w:r w:rsidRPr="00C82F13">
        <w:rPr>
          <w:rFonts w:cs="Arial"/>
          <w:sz w:val="22"/>
          <w:szCs w:val="22"/>
        </w:rPr>
        <w:t>The Commission learned that employment was a more desirable alternative to community participation programmes or unemployment. “There is dignity in labour” the Commission was told. Income from work paid below the minimum wage was supplemented by benefits.</w:t>
      </w:r>
      <w:r w:rsidRPr="00A73396">
        <w:rPr>
          <w:rFonts w:cs="Arial"/>
          <w:sz w:val="22"/>
          <w:szCs w:val="22"/>
        </w:rPr>
        <w:t xml:space="preserve"> </w:t>
      </w:r>
    </w:p>
    <w:p w:rsidR="003E69E7" w:rsidRPr="00651381" w:rsidRDefault="003E69E7" w:rsidP="00C82F13">
      <w:pPr>
        <w:jc w:val="both"/>
        <w:rPr>
          <w:rFonts w:cs="Arial"/>
          <w:sz w:val="22"/>
          <w:szCs w:val="22"/>
        </w:rPr>
      </w:pPr>
    </w:p>
    <w:p w:rsidR="003E69E7" w:rsidRPr="00651381" w:rsidRDefault="003E69E7" w:rsidP="00C82F13">
      <w:pPr>
        <w:jc w:val="both"/>
        <w:rPr>
          <w:rFonts w:cs="Arial"/>
          <w:sz w:val="22"/>
          <w:szCs w:val="22"/>
        </w:rPr>
      </w:pPr>
      <w:r w:rsidRPr="00651381">
        <w:rPr>
          <w:rFonts w:cs="Arial"/>
          <w:sz w:val="22"/>
          <w:szCs w:val="22"/>
        </w:rPr>
        <w:t xml:space="preserve">Incorrect assumptions were made about what an individual disabled person might need to make employment work. Conversations about the practical implications of employment were avoided.  For example, a group of blind people meeting in Wellington told the Commission that interviewers did not ask about how guide dogs might behave at work and instead assumed that the dog would be as boisterous and disruptive as their family pet. </w:t>
      </w:r>
    </w:p>
    <w:p w:rsidR="003E69E7" w:rsidRPr="00651381" w:rsidRDefault="003E69E7" w:rsidP="00C82F13">
      <w:pPr>
        <w:jc w:val="both"/>
        <w:rPr>
          <w:rFonts w:cs="Arial"/>
          <w:sz w:val="22"/>
          <w:szCs w:val="22"/>
        </w:rPr>
      </w:pPr>
    </w:p>
    <w:p w:rsidR="003E69E7" w:rsidRPr="00651381" w:rsidRDefault="003E69E7" w:rsidP="00C82F13">
      <w:pPr>
        <w:jc w:val="both"/>
        <w:rPr>
          <w:rFonts w:cs="Arial"/>
          <w:sz w:val="22"/>
          <w:szCs w:val="22"/>
        </w:rPr>
      </w:pPr>
      <w:r w:rsidRPr="00651381">
        <w:rPr>
          <w:rFonts w:cs="Arial"/>
          <w:sz w:val="22"/>
          <w:szCs w:val="22"/>
        </w:rPr>
        <w:t>Many have noticed a change in employer attitudes with increased societal awareness but believed the following things still needed to happen to change attitudes:</w:t>
      </w:r>
    </w:p>
    <w:p w:rsidR="003E69E7" w:rsidRPr="00651381" w:rsidRDefault="003E69E7" w:rsidP="00C82F13">
      <w:pPr>
        <w:pStyle w:val="ListParagraph"/>
        <w:numPr>
          <w:ilvl w:val="0"/>
          <w:numId w:val="60"/>
        </w:numPr>
        <w:contextualSpacing w:val="0"/>
        <w:jc w:val="both"/>
        <w:rPr>
          <w:rFonts w:cs="Arial"/>
          <w:sz w:val="22"/>
          <w:szCs w:val="22"/>
        </w:rPr>
      </w:pPr>
      <w:r w:rsidRPr="00651381">
        <w:rPr>
          <w:rFonts w:cs="Arial"/>
          <w:sz w:val="22"/>
          <w:szCs w:val="22"/>
        </w:rPr>
        <w:t>Greater recognition of employers that employ disabled people</w:t>
      </w:r>
    </w:p>
    <w:p w:rsidR="003E69E7" w:rsidRPr="00651381" w:rsidRDefault="003E69E7" w:rsidP="003E69E7">
      <w:pPr>
        <w:pStyle w:val="ListParagraph"/>
        <w:numPr>
          <w:ilvl w:val="0"/>
          <w:numId w:val="60"/>
        </w:numPr>
        <w:contextualSpacing w:val="0"/>
        <w:jc w:val="both"/>
        <w:rPr>
          <w:rFonts w:cs="Arial"/>
          <w:sz w:val="22"/>
          <w:szCs w:val="22"/>
        </w:rPr>
      </w:pPr>
      <w:r w:rsidRPr="00651381">
        <w:rPr>
          <w:rFonts w:cs="Arial"/>
          <w:sz w:val="22"/>
          <w:szCs w:val="22"/>
        </w:rPr>
        <w:t>Testimonials from employers that have found disabled people to be great workers</w:t>
      </w:r>
    </w:p>
    <w:p w:rsidR="003E69E7" w:rsidRPr="00651381" w:rsidRDefault="003E69E7" w:rsidP="003E69E7">
      <w:pPr>
        <w:pStyle w:val="ListParagraph"/>
        <w:numPr>
          <w:ilvl w:val="0"/>
          <w:numId w:val="60"/>
        </w:numPr>
        <w:contextualSpacing w:val="0"/>
        <w:jc w:val="both"/>
        <w:rPr>
          <w:rFonts w:cs="Arial"/>
          <w:sz w:val="22"/>
          <w:szCs w:val="22"/>
        </w:rPr>
      </w:pPr>
      <w:r w:rsidRPr="00651381">
        <w:rPr>
          <w:rFonts w:cs="Arial"/>
          <w:sz w:val="22"/>
          <w:szCs w:val="22"/>
        </w:rPr>
        <w:t>Encouragement of other employers to take on disabled staff</w:t>
      </w:r>
    </w:p>
    <w:p w:rsidR="003E69E7" w:rsidRPr="000F2381" w:rsidRDefault="003E69E7" w:rsidP="003E69E7">
      <w:pPr>
        <w:pStyle w:val="ListParagraph"/>
        <w:numPr>
          <w:ilvl w:val="0"/>
          <w:numId w:val="60"/>
        </w:numPr>
        <w:contextualSpacing w:val="0"/>
        <w:jc w:val="both"/>
        <w:rPr>
          <w:rFonts w:cs="Arial"/>
          <w:sz w:val="22"/>
          <w:szCs w:val="22"/>
        </w:rPr>
      </w:pPr>
      <w:r w:rsidRPr="00651381">
        <w:rPr>
          <w:rFonts w:cs="Arial"/>
          <w:sz w:val="22"/>
          <w:szCs w:val="22"/>
        </w:rPr>
        <w:t xml:space="preserve">Greater education and awareness raising around </w:t>
      </w:r>
      <w:r w:rsidRPr="000F2381">
        <w:rPr>
          <w:rFonts w:cs="Arial"/>
          <w:sz w:val="22"/>
          <w:szCs w:val="22"/>
        </w:rPr>
        <w:t>disabilities</w:t>
      </w:r>
      <w:r w:rsidR="00C24221" w:rsidRPr="000F2381">
        <w:rPr>
          <w:rFonts w:cs="Arial"/>
          <w:sz w:val="22"/>
          <w:szCs w:val="22"/>
        </w:rPr>
        <w:t>.</w:t>
      </w:r>
    </w:p>
    <w:p w:rsidR="003E69E7" w:rsidRPr="00651381"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“The focus for employers should be on education, retention of disabled staff, employment rights and the loyalty shown by people with disabilities”, we were told.</w:t>
      </w:r>
    </w:p>
    <w:p w:rsidR="003E69E7"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One participant summed up the need for attitudinal change by employers when he said, “If we were to look at [disabled] people as an investment rather than look at them as a pathology or as a disability and if we were to look at people’s abilities rather than disabilities, I think we would be in a different spot”.</w:t>
      </w:r>
    </w:p>
    <w:p w:rsidR="003E69E7" w:rsidRPr="002F1709" w:rsidRDefault="003E69E7" w:rsidP="003E69E7">
      <w:pPr>
        <w:jc w:val="both"/>
        <w:rPr>
          <w:b/>
          <w:color w:val="00B0F0"/>
          <w:sz w:val="40"/>
          <w:szCs w:val="40"/>
        </w:rPr>
      </w:pPr>
    </w:p>
    <w:p w:rsidR="003E69E7" w:rsidRPr="00651381" w:rsidRDefault="003E69E7" w:rsidP="003E69E7">
      <w:pPr>
        <w:jc w:val="both"/>
        <w:rPr>
          <w:sz w:val="40"/>
          <w:szCs w:val="40"/>
        </w:rPr>
      </w:pPr>
    </w:p>
    <w:p w:rsidR="003252C6" w:rsidRDefault="003252C6" w:rsidP="003E69E7">
      <w:pPr>
        <w:jc w:val="both"/>
        <w:rPr>
          <w:b/>
          <w:color w:val="00B0F0"/>
          <w:sz w:val="40"/>
          <w:szCs w:val="40"/>
        </w:rPr>
      </w:pPr>
    </w:p>
    <w:p w:rsidR="003252C6" w:rsidRDefault="003252C6" w:rsidP="003E69E7">
      <w:pPr>
        <w:jc w:val="both"/>
        <w:rPr>
          <w:b/>
          <w:color w:val="00B0F0"/>
          <w:sz w:val="40"/>
          <w:szCs w:val="40"/>
        </w:rPr>
      </w:pPr>
    </w:p>
    <w:p w:rsidR="003E69E7" w:rsidRDefault="003E69E7" w:rsidP="003E69E7">
      <w:pPr>
        <w:jc w:val="both"/>
        <w:rPr>
          <w:b/>
          <w:color w:val="00B0F0"/>
          <w:sz w:val="40"/>
          <w:szCs w:val="40"/>
        </w:rPr>
      </w:pPr>
      <w:r w:rsidRPr="004E76D5">
        <w:rPr>
          <w:b/>
          <w:color w:val="00B0F0"/>
          <w:sz w:val="40"/>
          <w:szCs w:val="40"/>
        </w:rPr>
        <w:lastRenderedPageBreak/>
        <w:t>Future action</w:t>
      </w:r>
    </w:p>
    <w:p w:rsidR="00C24221" w:rsidRDefault="00C24221" w:rsidP="00C24221">
      <w:pPr>
        <w:pStyle w:val="ListParagraph"/>
        <w:ind w:left="0"/>
        <w:jc w:val="both"/>
        <w:rPr>
          <w:sz w:val="22"/>
        </w:rPr>
      </w:pPr>
      <w:r w:rsidRPr="00C82F13">
        <w:rPr>
          <w:sz w:val="22"/>
        </w:rPr>
        <w:t>The Commission believes that there is a number of urgent future actions that will help improve labour force participation and the employment outcomes of disabled people.  These are:</w:t>
      </w:r>
    </w:p>
    <w:p w:rsidR="00C24221" w:rsidRDefault="00C24221" w:rsidP="00C24221">
      <w:pPr>
        <w:pStyle w:val="ListParagraph"/>
        <w:ind w:left="360"/>
        <w:jc w:val="both"/>
        <w:rPr>
          <w:sz w:val="22"/>
        </w:rPr>
      </w:pPr>
    </w:p>
    <w:p w:rsidR="003E69E7" w:rsidRPr="00CD2BD9" w:rsidRDefault="003E69E7" w:rsidP="003E69E7">
      <w:pPr>
        <w:pStyle w:val="ListParagraph"/>
        <w:numPr>
          <w:ilvl w:val="0"/>
          <w:numId w:val="56"/>
        </w:numPr>
        <w:jc w:val="both"/>
        <w:rPr>
          <w:sz w:val="22"/>
        </w:rPr>
      </w:pPr>
      <w:r>
        <w:rPr>
          <w:sz w:val="22"/>
        </w:rPr>
        <w:t xml:space="preserve">Urgent action is </w:t>
      </w:r>
      <w:r w:rsidRPr="00CD2BD9">
        <w:rPr>
          <w:sz w:val="22"/>
        </w:rPr>
        <w:t>required in t</w:t>
      </w:r>
      <w:r>
        <w:rPr>
          <w:sz w:val="22"/>
        </w:rPr>
        <w:t>he state sector</w:t>
      </w:r>
      <w:r w:rsidR="00C24221">
        <w:rPr>
          <w:sz w:val="22"/>
        </w:rPr>
        <w:t xml:space="preserve">, led by </w:t>
      </w:r>
      <w:r w:rsidR="003C1995">
        <w:rPr>
          <w:sz w:val="22"/>
        </w:rPr>
        <w:t xml:space="preserve">the </w:t>
      </w:r>
      <w:r w:rsidR="00C24221">
        <w:rPr>
          <w:sz w:val="22"/>
        </w:rPr>
        <w:t>State Services Commission</w:t>
      </w:r>
      <w:r>
        <w:rPr>
          <w:sz w:val="22"/>
        </w:rPr>
        <w:t xml:space="preserve"> which includes:</w:t>
      </w:r>
    </w:p>
    <w:p w:rsidR="003E69E7" w:rsidRDefault="003E69E7" w:rsidP="003E69E7">
      <w:pPr>
        <w:pStyle w:val="ListParagraph"/>
        <w:numPr>
          <w:ilvl w:val="1"/>
          <w:numId w:val="51"/>
        </w:numPr>
        <w:ind w:left="720"/>
        <w:jc w:val="both"/>
        <w:rPr>
          <w:sz w:val="22"/>
        </w:rPr>
      </w:pPr>
      <w:r>
        <w:rPr>
          <w:sz w:val="22"/>
        </w:rPr>
        <w:t>Adequate data capture so that progress can be monitored and is transparent</w:t>
      </w:r>
    </w:p>
    <w:p w:rsidR="003E69E7" w:rsidRDefault="003E69E7" w:rsidP="003E69E7">
      <w:pPr>
        <w:pStyle w:val="ListParagraph"/>
        <w:numPr>
          <w:ilvl w:val="1"/>
          <w:numId w:val="51"/>
        </w:numPr>
        <w:ind w:left="720"/>
        <w:jc w:val="both"/>
        <w:rPr>
          <w:sz w:val="22"/>
        </w:rPr>
      </w:pPr>
      <w:r>
        <w:rPr>
          <w:sz w:val="22"/>
        </w:rPr>
        <w:t>Special measures (affirmative action programmes) with targets to increase the numbers of disabled people into decent employment in the public service.</w:t>
      </w:r>
    </w:p>
    <w:p w:rsidR="003E69E7" w:rsidRDefault="003E69E7" w:rsidP="003E69E7">
      <w:pPr>
        <w:pStyle w:val="ListParagraph"/>
        <w:numPr>
          <w:ilvl w:val="1"/>
          <w:numId w:val="51"/>
        </w:numPr>
        <w:ind w:left="720"/>
        <w:jc w:val="both"/>
        <w:rPr>
          <w:sz w:val="22"/>
        </w:rPr>
      </w:pPr>
      <w:r>
        <w:rPr>
          <w:sz w:val="22"/>
        </w:rPr>
        <w:t xml:space="preserve">Target setting for major public service departments to improve the employment of disabled people.  This is required by Article 27 (1) (g) by the CRPD that New Zealand has ratified which reads, </w:t>
      </w:r>
      <w:r>
        <w:rPr>
          <w:i/>
          <w:sz w:val="22"/>
        </w:rPr>
        <w:t>Employ persons with disabilities in the public sector.</w:t>
      </w:r>
    </w:p>
    <w:p w:rsidR="003E69E7" w:rsidRDefault="003E69E7" w:rsidP="003E69E7">
      <w:pPr>
        <w:jc w:val="both"/>
        <w:rPr>
          <w:sz w:val="22"/>
          <w:u w:val="single"/>
        </w:rPr>
      </w:pPr>
    </w:p>
    <w:p w:rsidR="003E69E7" w:rsidRDefault="003E69E7" w:rsidP="003E69E7">
      <w:pPr>
        <w:pStyle w:val="ListParagraph"/>
        <w:numPr>
          <w:ilvl w:val="0"/>
          <w:numId w:val="51"/>
        </w:numPr>
        <w:jc w:val="both"/>
        <w:rPr>
          <w:sz w:val="22"/>
        </w:rPr>
      </w:pPr>
      <w:r>
        <w:rPr>
          <w:sz w:val="22"/>
        </w:rPr>
        <w:t xml:space="preserve">Promote inclusive employment practice in the private sector through organisations such as the newly-formed Employers’ Disability Network. </w:t>
      </w:r>
    </w:p>
    <w:p w:rsidR="003E69E7" w:rsidRDefault="003E69E7" w:rsidP="003E69E7">
      <w:pPr>
        <w:jc w:val="both"/>
        <w:rPr>
          <w:sz w:val="22"/>
        </w:rPr>
      </w:pPr>
    </w:p>
    <w:p w:rsidR="003E69E7" w:rsidRDefault="003E69E7" w:rsidP="003E69E7">
      <w:pPr>
        <w:pStyle w:val="ListParagraph"/>
        <w:numPr>
          <w:ilvl w:val="0"/>
          <w:numId w:val="51"/>
        </w:numPr>
        <w:jc w:val="both"/>
        <w:rPr>
          <w:sz w:val="22"/>
        </w:rPr>
      </w:pPr>
      <w:r>
        <w:rPr>
          <w:sz w:val="22"/>
        </w:rPr>
        <w:t xml:space="preserve">Amend the Employment Relations Act 2000 to include a positive duty to be a good employer to the private sector in addition to the public sector. </w:t>
      </w:r>
    </w:p>
    <w:p w:rsidR="003E69E7" w:rsidRDefault="003E69E7" w:rsidP="003E69E7">
      <w:pPr>
        <w:ind w:left="405"/>
        <w:jc w:val="both"/>
        <w:rPr>
          <w:sz w:val="22"/>
          <w:u w:val="single"/>
        </w:rPr>
      </w:pPr>
    </w:p>
    <w:p w:rsidR="003E69E7" w:rsidRDefault="003E69E7" w:rsidP="003E69E7">
      <w:pPr>
        <w:pStyle w:val="ListParagraph"/>
        <w:numPr>
          <w:ilvl w:val="0"/>
          <w:numId w:val="51"/>
        </w:numPr>
        <w:jc w:val="both"/>
        <w:rPr>
          <w:sz w:val="22"/>
        </w:rPr>
      </w:pPr>
      <w:r>
        <w:rPr>
          <w:sz w:val="22"/>
        </w:rPr>
        <w:t xml:space="preserve">Review the implementation of the minimum wage exemption legislation in consultation with the disability community and make transparent its current operation through annual disclosures by the Department of Labour. The review should include: assessment of eligibility and rate; numbers of exemptions; pay rates determined; Human Rights implications of the policy and its implementation; the extent to which employment in open settings is being supported and; employers issues.  </w:t>
      </w:r>
    </w:p>
    <w:p w:rsidR="003E69E7" w:rsidRDefault="003E69E7" w:rsidP="003E69E7">
      <w:pPr>
        <w:jc w:val="both"/>
        <w:rPr>
          <w:sz w:val="22"/>
          <w:u w:val="single"/>
        </w:rPr>
      </w:pPr>
    </w:p>
    <w:p w:rsidR="00C24221" w:rsidRPr="00386766" w:rsidRDefault="003E69E7" w:rsidP="00C24221">
      <w:pPr>
        <w:pStyle w:val="ListParagraph"/>
        <w:numPr>
          <w:ilvl w:val="0"/>
          <w:numId w:val="51"/>
        </w:numPr>
        <w:jc w:val="both"/>
        <w:rPr>
          <w:sz w:val="22"/>
        </w:rPr>
      </w:pPr>
      <w:r w:rsidRPr="00C24221">
        <w:rPr>
          <w:sz w:val="22"/>
        </w:rPr>
        <w:t xml:space="preserve">Provide guidance on the disclosure of mental health issues to employers, employees and job seekers through the Commission’s widely-distributed </w:t>
      </w:r>
      <w:r w:rsidRPr="00C24221">
        <w:rPr>
          <w:i/>
          <w:sz w:val="22"/>
        </w:rPr>
        <w:t>Getting a job:  An A to Z for employers and employees, Pre-employment guidelines</w:t>
      </w:r>
      <w:r w:rsidR="00386766">
        <w:rPr>
          <w:i/>
          <w:sz w:val="22"/>
        </w:rPr>
        <w:t>.</w:t>
      </w:r>
    </w:p>
    <w:p w:rsidR="00386766" w:rsidRPr="00386766" w:rsidRDefault="00386766" w:rsidP="00386766">
      <w:pPr>
        <w:pStyle w:val="ListParagraph"/>
        <w:rPr>
          <w:sz w:val="22"/>
        </w:rPr>
      </w:pPr>
    </w:p>
    <w:p w:rsidR="00386766" w:rsidRDefault="00C24221" w:rsidP="00C24221">
      <w:pPr>
        <w:jc w:val="both"/>
        <w:rPr>
          <w:sz w:val="22"/>
        </w:rPr>
      </w:pPr>
      <w:r w:rsidRPr="00C82F13">
        <w:rPr>
          <w:sz w:val="22"/>
        </w:rPr>
        <w:t xml:space="preserve">The next section of the report looks at the overall labour market in New Zealand and refers to disabled people where the data is available.  However, in important </w:t>
      </w:r>
      <w:r w:rsidR="00386766" w:rsidRPr="00C82F13">
        <w:rPr>
          <w:sz w:val="22"/>
        </w:rPr>
        <w:t>areas such as youth unemployment</w:t>
      </w:r>
      <w:r w:rsidR="00C82F13">
        <w:rPr>
          <w:sz w:val="22"/>
        </w:rPr>
        <w:t>,</w:t>
      </w:r>
      <w:r w:rsidR="00386766" w:rsidRPr="00C82F13">
        <w:rPr>
          <w:sz w:val="22"/>
        </w:rPr>
        <w:t xml:space="preserve"> ethnicity figures </w:t>
      </w:r>
      <w:r w:rsidR="00C82F13">
        <w:rPr>
          <w:sz w:val="22"/>
        </w:rPr>
        <w:t xml:space="preserve">are available but </w:t>
      </w:r>
      <w:r w:rsidR="00386766" w:rsidRPr="00C82F13">
        <w:rPr>
          <w:sz w:val="22"/>
        </w:rPr>
        <w:t xml:space="preserve">disability statistics </w:t>
      </w:r>
      <w:r w:rsidR="00C82F13">
        <w:rPr>
          <w:sz w:val="22"/>
        </w:rPr>
        <w:t xml:space="preserve">are not.   </w:t>
      </w:r>
    </w:p>
    <w:p w:rsidR="00C82F13" w:rsidRPr="00C82F13" w:rsidRDefault="00C82F13" w:rsidP="00C24221">
      <w:pPr>
        <w:jc w:val="both"/>
        <w:rPr>
          <w:sz w:val="22"/>
        </w:rPr>
      </w:pPr>
    </w:p>
    <w:p w:rsidR="00386766" w:rsidRPr="00C24221" w:rsidRDefault="00386766" w:rsidP="00C24221">
      <w:pPr>
        <w:jc w:val="both"/>
        <w:rPr>
          <w:sz w:val="22"/>
        </w:rPr>
      </w:pPr>
      <w:r w:rsidRPr="00C82F13">
        <w:rPr>
          <w:sz w:val="22"/>
        </w:rPr>
        <w:t>The collection of statistics about disabled people is very important and warrants action by government agencies.  Article 31 of the CRPD states that the government must collect statistical and research data to develop and implement policies.  It should provide for confidentiality and respect the privacy of disabled people.  The information should be disaggregated and help to identify and address the barriers to disabled people in exercising their rights.  The statistics should be made accessible to disabled people and others.</w:t>
      </w:r>
    </w:p>
    <w:p w:rsidR="003E69E7" w:rsidRDefault="003E69E7" w:rsidP="003E69E7"/>
    <w:p w:rsidR="00FD2516" w:rsidRPr="003E69E7" w:rsidRDefault="003E69E7" w:rsidP="003E69E7">
      <w:pPr>
        <w:spacing w:after="200" w:line="276" w:lineRule="auto"/>
        <w:rPr>
          <w:rFonts w:asciiTheme="majorHAnsi" w:hAnsiTheme="majorHAnsi" w:cs="Arial"/>
          <w:b/>
          <w:color w:val="00B0F0"/>
          <w:sz w:val="48"/>
          <w:szCs w:val="48"/>
        </w:rPr>
      </w:pPr>
      <w:r>
        <w:rPr>
          <w:rFonts w:asciiTheme="majorHAnsi" w:hAnsiTheme="majorHAnsi" w:cs="Arial"/>
          <w:b/>
          <w:color w:val="00B0F0"/>
          <w:sz w:val="48"/>
          <w:szCs w:val="48"/>
        </w:rPr>
        <w:br w:type="page"/>
      </w:r>
    </w:p>
    <w:p w:rsidR="00554171" w:rsidRPr="00332CC0" w:rsidRDefault="00554171" w:rsidP="00554171">
      <w:pPr>
        <w:rPr>
          <w:rFonts w:asciiTheme="majorHAnsi" w:hAnsiTheme="majorHAnsi"/>
          <w:b/>
          <w:color w:val="00B0F0"/>
          <w:sz w:val="72"/>
          <w:szCs w:val="72"/>
        </w:rPr>
      </w:pPr>
      <w:r w:rsidRPr="00332CC0">
        <w:rPr>
          <w:rFonts w:asciiTheme="majorHAnsi" w:hAnsiTheme="majorHAnsi"/>
          <w:b/>
          <w:color w:val="00B0F0"/>
          <w:sz w:val="72"/>
          <w:szCs w:val="72"/>
        </w:rPr>
        <w:lastRenderedPageBreak/>
        <w:t xml:space="preserve">Where are we now? </w:t>
      </w:r>
    </w:p>
    <w:p w:rsidR="007F0B35" w:rsidRPr="003252C6" w:rsidRDefault="0090135C" w:rsidP="00554171">
      <w:pPr>
        <w:jc w:val="both"/>
        <w:rPr>
          <w:rFonts w:cs="Arial"/>
          <w:sz w:val="22"/>
          <w:szCs w:val="22"/>
        </w:rPr>
      </w:pPr>
      <w:r w:rsidRPr="003252C6">
        <w:rPr>
          <w:rFonts w:cs="Arial"/>
          <w:sz w:val="22"/>
          <w:szCs w:val="22"/>
        </w:rPr>
        <w:t>In general it is difficult to find good employment data relat</w:t>
      </w:r>
      <w:r w:rsidR="007F0B35" w:rsidRPr="003252C6">
        <w:rPr>
          <w:rFonts w:cs="Arial"/>
          <w:sz w:val="22"/>
          <w:szCs w:val="22"/>
        </w:rPr>
        <w:t>ed</w:t>
      </w:r>
      <w:r w:rsidRPr="003252C6">
        <w:rPr>
          <w:rFonts w:cs="Arial"/>
          <w:sz w:val="22"/>
          <w:szCs w:val="22"/>
        </w:rPr>
        <w:t xml:space="preserve"> to disabled people.</w:t>
      </w:r>
      <w:r w:rsidR="007F0B35" w:rsidRPr="003252C6">
        <w:rPr>
          <w:rFonts w:cs="Arial"/>
          <w:sz w:val="22"/>
          <w:szCs w:val="22"/>
        </w:rPr>
        <w:t xml:space="preserve">  Where disabled</w:t>
      </w:r>
      <w:r w:rsidR="00C82F13" w:rsidRPr="003252C6">
        <w:rPr>
          <w:rFonts w:cs="Arial"/>
          <w:sz w:val="22"/>
          <w:szCs w:val="22"/>
        </w:rPr>
        <w:t>-</w:t>
      </w:r>
      <w:r w:rsidR="007F0B35" w:rsidRPr="003252C6">
        <w:rPr>
          <w:rFonts w:cs="Arial"/>
          <w:sz w:val="22"/>
          <w:szCs w:val="22"/>
        </w:rPr>
        <w:t>specific data is unavailable</w:t>
      </w:r>
      <w:r w:rsidR="00C82F13" w:rsidRPr="003252C6">
        <w:rPr>
          <w:rFonts w:cs="Arial"/>
          <w:sz w:val="22"/>
          <w:szCs w:val="22"/>
        </w:rPr>
        <w:t xml:space="preserve">, </w:t>
      </w:r>
      <w:r w:rsidR="007F0B35" w:rsidRPr="003252C6">
        <w:rPr>
          <w:rFonts w:cs="Arial"/>
          <w:sz w:val="22"/>
          <w:szCs w:val="22"/>
        </w:rPr>
        <w:t xml:space="preserve">general data sets for example in age, ethnicity and gender are inclusive of disabled people.  </w:t>
      </w:r>
    </w:p>
    <w:p w:rsidR="007F0B35" w:rsidRDefault="007F0B35"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 xml:space="preserve">In compiling employment information for key demographic variables: gender, ethnicity, </w:t>
      </w:r>
      <w:r w:rsidR="00C82F13" w:rsidRPr="003252C6">
        <w:rPr>
          <w:rFonts w:cs="Arial"/>
          <w:sz w:val="22"/>
          <w:szCs w:val="22"/>
        </w:rPr>
        <w:t xml:space="preserve">disabled </w:t>
      </w:r>
      <w:r w:rsidRPr="003252C6">
        <w:rPr>
          <w:rFonts w:cs="Arial"/>
          <w:sz w:val="22"/>
          <w:szCs w:val="22"/>
        </w:rPr>
        <w:t>people</w:t>
      </w:r>
      <w:r w:rsidR="00C82F13">
        <w:rPr>
          <w:rFonts w:cs="Arial"/>
          <w:sz w:val="22"/>
          <w:szCs w:val="22"/>
        </w:rPr>
        <w:t xml:space="preserve">, </w:t>
      </w:r>
      <w:r w:rsidRPr="00332CC0">
        <w:rPr>
          <w:rFonts w:cs="Arial"/>
          <w:sz w:val="22"/>
          <w:szCs w:val="22"/>
        </w:rPr>
        <w:t>young and old</w:t>
      </w:r>
      <w:r>
        <w:rPr>
          <w:rFonts w:cs="Arial"/>
          <w:sz w:val="22"/>
          <w:szCs w:val="22"/>
        </w:rPr>
        <w:t xml:space="preserve">, </w:t>
      </w:r>
      <w:r w:rsidRPr="00332CC0">
        <w:rPr>
          <w:rFonts w:cs="Arial"/>
          <w:sz w:val="22"/>
          <w:szCs w:val="22"/>
        </w:rPr>
        <w:t>the Commission was struck by a number of points.</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The number of people out of the labour force. This number includes people who are “not actively seeking work” as defined by Statistics New Zealand, as well as parents caring for dependent children and those who have retired. </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That employment data related to </w:t>
      </w:r>
      <w:r w:rsidR="00C82F13" w:rsidRPr="003252C6">
        <w:rPr>
          <w:rFonts w:cs="Arial"/>
          <w:sz w:val="22"/>
          <w:szCs w:val="22"/>
        </w:rPr>
        <w:t xml:space="preserve">disabled </w:t>
      </w:r>
      <w:r w:rsidRPr="003252C6">
        <w:rPr>
          <w:rFonts w:cs="Arial"/>
          <w:sz w:val="22"/>
          <w:szCs w:val="22"/>
        </w:rPr>
        <w:t>people</w:t>
      </w:r>
      <w:r w:rsidRPr="00332CC0">
        <w:rPr>
          <w:rFonts w:cs="Arial"/>
          <w:sz w:val="22"/>
          <w:szCs w:val="22"/>
        </w:rPr>
        <w:t xml:space="preserve"> is only sampled every five years after the census. </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That there is no national statistical database regarding gay, lesbian, bi-sexual, transgender and intersex (GLBTI) people.</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The level of unemployment of Māori and Pacific youth.</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The level of unemployment of young Pacific women.</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The higher level of unemployment and the lower rate of youth participation in Auckland than in other regions. </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Information has been obtained from two main sources; Statistics New Zealand and complaints and enquiries data from the Human Rights Commission. Employment statistics quoted are unemployment rates and participation rates.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Statistical data was purchased from Statistics New Zealand and is broken down from the Household Labour Force Survey December 2010.</w:t>
      </w:r>
      <w:r w:rsidRPr="00332CC0">
        <w:rPr>
          <w:rStyle w:val="FootnoteReference"/>
          <w:rFonts w:cs="Arial"/>
          <w:sz w:val="22"/>
          <w:szCs w:val="22"/>
        </w:rPr>
        <w:footnoteReference w:id="16"/>
      </w:r>
      <w:r w:rsidRPr="00332CC0">
        <w:rPr>
          <w:rFonts w:cs="Arial"/>
          <w:sz w:val="22"/>
          <w:szCs w:val="22"/>
        </w:rPr>
        <w:t xml:space="preserve"> Where statistics are broken down to this extent, group samples can get quite small and may not be representative of the group as a whole. Apparent differences may be due to sampling errors rather than actual differences between the groups. Another caution is that in employment there may be several factors acting and the dominant factor may not be readily apparent. The statistics however, do point to areas of concern and at the least warrant further investigation.</w:t>
      </w:r>
    </w:p>
    <w:p w:rsidR="00554171" w:rsidRPr="00332CC0" w:rsidRDefault="00554171" w:rsidP="00554171">
      <w:pPr>
        <w:autoSpaceDE w:val="0"/>
        <w:autoSpaceDN w:val="0"/>
        <w:adjustRightInd w:val="0"/>
        <w:jc w:val="both"/>
        <w:rPr>
          <w:rFonts w:cs="Arial"/>
          <w:sz w:val="22"/>
          <w:szCs w:val="22"/>
        </w:rPr>
      </w:pP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Unemployment rate</w:t>
      </w:r>
      <w:r w:rsidRPr="00332CC0">
        <w:rPr>
          <w:rStyle w:val="FootnoteReference"/>
          <w:rFonts w:cs="Arial"/>
          <w:sz w:val="22"/>
          <w:szCs w:val="22"/>
        </w:rPr>
        <w:footnoteReference w:id="17"/>
      </w: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People are counted as unemployed if they are of working-age (over 15) who during the reference week were without a paid job, available for work, and had either actively sought work in the past four weeks, or had a new job to start within the next four weeks. Those who are without a job and have not actively sought work recently are not considered to be unemployed and are not in the labour force. The unemployment rate is the number of unemployed persons expressed as a percentage of the labour force.</w:t>
      </w:r>
    </w:p>
    <w:p w:rsidR="00554171" w:rsidRPr="00332CC0" w:rsidRDefault="00554171" w:rsidP="00554171">
      <w:pPr>
        <w:autoSpaceDE w:val="0"/>
        <w:autoSpaceDN w:val="0"/>
        <w:adjustRightInd w:val="0"/>
        <w:jc w:val="both"/>
        <w:rPr>
          <w:rFonts w:cs="Arial"/>
          <w:bCs/>
          <w:sz w:val="22"/>
          <w:szCs w:val="22"/>
        </w:rPr>
      </w:pPr>
    </w:p>
    <w:p w:rsidR="00554171" w:rsidRPr="00332CC0" w:rsidRDefault="00554171" w:rsidP="00554171">
      <w:pPr>
        <w:autoSpaceDE w:val="0"/>
        <w:autoSpaceDN w:val="0"/>
        <w:adjustRightInd w:val="0"/>
        <w:jc w:val="both"/>
        <w:rPr>
          <w:rFonts w:cs="Arial"/>
          <w:sz w:val="22"/>
          <w:szCs w:val="22"/>
        </w:rPr>
      </w:pPr>
      <w:r w:rsidRPr="00332CC0">
        <w:rPr>
          <w:rFonts w:cs="Arial"/>
          <w:bCs/>
          <w:sz w:val="22"/>
          <w:szCs w:val="22"/>
        </w:rPr>
        <w:t>Labour force participation</w:t>
      </w:r>
      <w:r w:rsidRPr="00332CC0">
        <w:rPr>
          <w:rStyle w:val="FootnoteReference"/>
          <w:rFonts w:cs="Arial"/>
          <w:bCs/>
          <w:sz w:val="22"/>
          <w:szCs w:val="22"/>
        </w:rPr>
        <w:footnoteReference w:id="18"/>
      </w:r>
      <w:r w:rsidRPr="00332CC0">
        <w:rPr>
          <w:rFonts w:cs="Arial"/>
          <w:sz w:val="22"/>
          <w:szCs w:val="22"/>
        </w:rPr>
        <w:t xml:space="preserve"> </w:t>
      </w: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The total labour force is expressed as a percentage of the working-age population. Because New Zealand has no compulsory retirement age and many workers stay in the labour force beyond 65, the figures include those aged 15 years and over with no upper limit. The total labour force is those people who meet the criteria for being employed or unemployed. A paid job of one hour a week or more is considered to be employed.</w:t>
      </w:r>
    </w:p>
    <w:p w:rsidR="00554171" w:rsidRPr="00332CC0" w:rsidRDefault="00554171" w:rsidP="00554171">
      <w:pPr>
        <w:jc w:val="both"/>
        <w:rPr>
          <w:rFonts w:cs="Arial"/>
          <w:sz w:val="22"/>
          <w:szCs w:val="22"/>
          <w:u w:val="single"/>
        </w:rPr>
      </w:pPr>
    </w:p>
    <w:p w:rsidR="00554171" w:rsidRPr="003252C6" w:rsidRDefault="00554171" w:rsidP="00554171">
      <w:pPr>
        <w:pStyle w:val="Default"/>
        <w:spacing w:before="240" w:after="120"/>
        <w:jc w:val="both"/>
        <w:rPr>
          <w:rFonts w:ascii="Arial" w:hAnsi="Arial" w:cs="Arial"/>
          <w:color w:val="auto"/>
          <w:sz w:val="28"/>
          <w:szCs w:val="28"/>
        </w:rPr>
      </w:pPr>
      <w:r w:rsidRPr="003252C6">
        <w:rPr>
          <w:rFonts w:ascii="Arial" w:hAnsi="Arial" w:cs="Arial"/>
          <w:b/>
          <w:bCs/>
          <w:color w:val="auto"/>
          <w:sz w:val="28"/>
          <w:szCs w:val="28"/>
        </w:rPr>
        <w:lastRenderedPageBreak/>
        <w:t xml:space="preserve">Table </w:t>
      </w:r>
      <w:r w:rsidR="00997B54" w:rsidRPr="003252C6">
        <w:rPr>
          <w:rFonts w:ascii="Arial" w:hAnsi="Arial" w:cs="Arial"/>
          <w:b/>
          <w:bCs/>
          <w:color w:val="auto"/>
          <w:sz w:val="28"/>
          <w:szCs w:val="28"/>
        </w:rPr>
        <w:t>2</w:t>
      </w:r>
      <w:r w:rsidRPr="003252C6">
        <w:rPr>
          <w:rFonts w:ascii="Arial" w:hAnsi="Arial" w:cs="Arial"/>
          <w:b/>
          <w:bCs/>
          <w:color w:val="auto"/>
          <w:sz w:val="28"/>
          <w:szCs w:val="28"/>
        </w:rPr>
        <w:t xml:space="preserve">:   Structure of the Labour Market: March 2011 quarter </w:t>
      </w:r>
    </w:p>
    <w:p w:rsidR="00554171" w:rsidRPr="00332CC0" w:rsidRDefault="00554171" w:rsidP="00947147">
      <w:pPr>
        <w:pStyle w:val="Default"/>
        <w:rPr>
          <w:rFonts w:cs="Arial"/>
          <w:sz w:val="22"/>
          <w:szCs w:val="22"/>
        </w:rPr>
      </w:pPr>
      <w:r w:rsidRPr="003252C6">
        <w:rPr>
          <w:rFonts w:ascii="Arial" w:hAnsi="Arial" w:cs="Arial"/>
          <w:b/>
          <w:bCs/>
          <w:color w:val="auto"/>
          <w:sz w:val="28"/>
          <w:szCs w:val="28"/>
        </w:rPr>
        <w:t>(seasonally adjusted)</w:t>
      </w:r>
      <w:r w:rsidRPr="003252C6">
        <w:rPr>
          <w:rStyle w:val="FootnoteReference"/>
          <w:rFonts w:ascii="Arial" w:hAnsi="Arial" w:cs="Arial"/>
          <w:b/>
          <w:bCs/>
          <w:color w:val="auto"/>
          <w:sz w:val="28"/>
          <w:szCs w:val="28"/>
        </w:rPr>
        <w:footnoteReference w:id="19"/>
      </w:r>
      <w:r w:rsidRPr="00332CC0">
        <w:rPr>
          <w:rFonts w:ascii="Arial" w:hAnsi="Arial" w:cs="Arial"/>
          <w:b/>
          <w:bCs/>
          <w:color w:val="auto"/>
          <w:sz w:val="28"/>
          <w:szCs w:val="28"/>
        </w:rPr>
        <w:t xml:space="preserve"> </w:t>
      </w:r>
      <w:r w:rsidRPr="00332CC0">
        <w:rPr>
          <w:rFonts w:cs="Arial"/>
          <w:noProof/>
          <w:sz w:val="22"/>
          <w:szCs w:val="22"/>
          <w:lang w:val="en-GB" w:eastAsia="en-GB"/>
        </w:rPr>
        <w:drawing>
          <wp:inline distT="0" distB="0" distL="0" distR="0">
            <wp:extent cx="5943600" cy="7035800"/>
            <wp:effectExtent l="0" t="0" r="1905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54171" w:rsidRPr="00332CC0" w:rsidRDefault="00554171" w:rsidP="00554171">
      <w:pPr>
        <w:jc w:val="both"/>
        <w:rPr>
          <w:rFonts w:cs="Arial"/>
          <w:sz w:val="22"/>
          <w:szCs w:val="22"/>
        </w:rPr>
      </w:pPr>
      <w:r w:rsidRPr="00332CC0">
        <w:rPr>
          <w:rFonts w:cs="Arial"/>
          <w:sz w:val="22"/>
          <w:szCs w:val="22"/>
        </w:rPr>
        <w:t>*Not seasonally adjusted</w:t>
      </w:r>
    </w:p>
    <w:p w:rsidR="003252C6" w:rsidRDefault="003252C6" w:rsidP="00554171">
      <w:pPr>
        <w:jc w:val="both"/>
        <w:rPr>
          <w:rFonts w:cs="Arial"/>
          <w:b/>
          <w:color w:val="00B0F0"/>
          <w:sz w:val="28"/>
          <w:szCs w:val="28"/>
        </w:rPr>
      </w:pPr>
    </w:p>
    <w:p w:rsidR="003252C6" w:rsidRDefault="003252C6" w:rsidP="00554171">
      <w:pPr>
        <w:jc w:val="both"/>
        <w:rPr>
          <w:rFonts w:cs="Arial"/>
          <w:b/>
          <w:color w:val="00B0F0"/>
          <w:sz w:val="28"/>
          <w:szCs w:val="28"/>
        </w:rPr>
      </w:pPr>
    </w:p>
    <w:p w:rsidR="003252C6" w:rsidRDefault="003252C6" w:rsidP="00554171">
      <w:pPr>
        <w:jc w:val="both"/>
        <w:rPr>
          <w:rFonts w:cs="Arial"/>
          <w:b/>
          <w:color w:val="00B0F0"/>
          <w:sz w:val="28"/>
          <w:szCs w:val="28"/>
        </w:rPr>
      </w:pPr>
    </w:p>
    <w:p w:rsidR="00554171" w:rsidRPr="00332CC0" w:rsidRDefault="00554171" w:rsidP="00554171">
      <w:pPr>
        <w:jc w:val="both"/>
        <w:rPr>
          <w:rFonts w:cs="Arial"/>
          <w:b/>
          <w:color w:val="00B0F0"/>
          <w:sz w:val="28"/>
          <w:szCs w:val="28"/>
        </w:rPr>
      </w:pPr>
      <w:r w:rsidRPr="00332CC0">
        <w:rPr>
          <w:rFonts w:cs="Arial"/>
          <w:b/>
          <w:color w:val="00B0F0"/>
          <w:sz w:val="28"/>
          <w:szCs w:val="28"/>
        </w:rPr>
        <w:lastRenderedPageBreak/>
        <w:t>Discrimination Complaints to the Human Rights Commission</w:t>
      </w:r>
    </w:p>
    <w:p w:rsidR="00554171" w:rsidRPr="003252C6" w:rsidRDefault="00554171" w:rsidP="00554171">
      <w:pPr>
        <w:jc w:val="both"/>
        <w:rPr>
          <w:rFonts w:cs="Arial"/>
          <w:sz w:val="22"/>
          <w:szCs w:val="22"/>
        </w:rPr>
      </w:pPr>
      <w:r w:rsidRPr="00332CC0">
        <w:rPr>
          <w:rFonts w:cs="Arial"/>
          <w:sz w:val="22"/>
          <w:szCs w:val="22"/>
        </w:rPr>
        <w:t xml:space="preserve">The most commonly cited ground in employment or pre-employment complaints is disability, followed by sex, then race. The percentage of each of the grounds over the last five years is shown in Table </w:t>
      </w:r>
      <w:r w:rsidR="00C230D7" w:rsidRPr="003252C6">
        <w:rPr>
          <w:rFonts w:cs="Arial"/>
          <w:sz w:val="22"/>
          <w:szCs w:val="22"/>
        </w:rPr>
        <w:t>3</w:t>
      </w:r>
      <w:r w:rsidRPr="003252C6">
        <w:rPr>
          <w:rFonts w:cs="Arial"/>
          <w:sz w:val="22"/>
          <w:szCs w:val="22"/>
        </w:rPr>
        <w:t xml:space="preserve"> (totals do not add up to 100% because it is common for more than one ground to be cited).</w:t>
      </w:r>
    </w:p>
    <w:p w:rsidR="00554171" w:rsidRPr="003252C6" w:rsidRDefault="00554171" w:rsidP="00554171">
      <w:pPr>
        <w:jc w:val="both"/>
        <w:rPr>
          <w:rFonts w:cs="Arial"/>
          <w:sz w:val="22"/>
          <w:szCs w:val="22"/>
          <w:u w:val="single"/>
        </w:rPr>
      </w:pPr>
    </w:p>
    <w:p w:rsidR="00554171" w:rsidRPr="00332CC0" w:rsidRDefault="00997B54" w:rsidP="00554171">
      <w:pPr>
        <w:jc w:val="both"/>
        <w:rPr>
          <w:rFonts w:cs="Arial"/>
          <w:b/>
          <w:sz w:val="28"/>
          <w:szCs w:val="28"/>
        </w:rPr>
      </w:pPr>
      <w:r w:rsidRPr="003252C6">
        <w:rPr>
          <w:rFonts w:cs="Arial"/>
          <w:b/>
          <w:sz w:val="28"/>
          <w:szCs w:val="28"/>
        </w:rPr>
        <w:t>Table 3</w:t>
      </w:r>
      <w:r w:rsidR="00554171" w:rsidRPr="003252C6">
        <w:rPr>
          <w:rFonts w:cs="Arial"/>
          <w:b/>
          <w:sz w:val="28"/>
          <w:szCs w:val="28"/>
        </w:rPr>
        <w:t>:   Employment discrimination complaints 2005-2010</w:t>
      </w:r>
    </w:p>
    <w:p w:rsidR="00554171" w:rsidRPr="00332CC0" w:rsidRDefault="00554171" w:rsidP="00554171">
      <w:pPr>
        <w:jc w:val="both"/>
        <w:rPr>
          <w:rFonts w:cs="Arial"/>
          <w:sz w:val="22"/>
          <w:szCs w:val="22"/>
          <w:u w:val="single"/>
        </w:rPr>
      </w:pPr>
    </w:p>
    <w:tbl>
      <w:tblPr>
        <w:tblStyle w:val="MediumGrid1-Accent2"/>
        <w:tblW w:w="0" w:type="auto"/>
        <w:tblLook w:val="04A0" w:firstRow="1" w:lastRow="0" w:firstColumn="1" w:lastColumn="0" w:noHBand="0" w:noVBand="1"/>
      </w:tblPr>
      <w:tblGrid>
        <w:gridCol w:w="5997"/>
        <w:gridCol w:w="1649"/>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jc w:val="both"/>
              <w:rPr>
                <w:rFonts w:cs="Arial"/>
                <w:b w:val="0"/>
              </w:rPr>
            </w:pPr>
          </w:p>
        </w:tc>
        <w:tc>
          <w:tcPr>
            <w:tcW w:w="1649" w:type="dxa"/>
          </w:tcPr>
          <w:p w:rsidR="00554171" w:rsidRPr="00332CC0" w:rsidRDefault="00554171" w:rsidP="00040D3F">
            <w:pPr>
              <w:jc w:val="both"/>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Overall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Disability</w:t>
            </w:r>
          </w:p>
        </w:tc>
        <w:tc>
          <w:tcPr>
            <w:tcW w:w="1649" w:type="dxa"/>
          </w:tcPr>
          <w:p w:rsidR="00554171" w:rsidRPr="00332CC0" w:rsidRDefault="00554171" w:rsidP="00040D3F">
            <w:pPr>
              <w:spacing w:before="240"/>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24.9%</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Sex</w:t>
            </w:r>
          </w:p>
        </w:tc>
        <w:tc>
          <w:tcPr>
            <w:tcW w:w="1649" w:type="dxa"/>
          </w:tcPr>
          <w:p w:rsidR="00554171" w:rsidRPr="00332CC0" w:rsidRDefault="00554171" w:rsidP="00040D3F">
            <w:pPr>
              <w:spacing w:before="240"/>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15.8%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Race</w:t>
            </w:r>
          </w:p>
        </w:tc>
        <w:tc>
          <w:tcPr>
            <w:tcW w:w="1649" w:type="dxa"/>
          </w:tcPr>
          <w:p w:rsidR="00554171" w:rsidRPr="00332CC0" w:rsidRDefault="00554171" w:rsidP="00040D3F">
            <w:pPr>
              <w:spacing w:before="240"/>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14.9%</w:t>
            </w:r>
          </w:p>
        </w:tc>
      </w:tr>
      <w:tr w:rsidR="00554171" w:rsidRPr="00332CC0" w:rsidTr="00040D3F">
        <w:trPr>
          <w:trHeight w:val="47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Ethnic or national origins</w:t>
            </w:r>
          </w:p>
        </w:tc>
        <w:tc>
          <w:tcPr>
            <w:tcW w:w="1649" w:type="dxa"/>
          </w:tcPr>
          <w:p w:rsidR="00554171" w:rsidRPr="00332CC0" w:rsidRDefault="00554171" w:rsidP="00040D3F">
            <w:pPr>
              <w:spacing w:before="240"/>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12.6%</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Sexual harassment</w:t>
            </w:r>
          </w:p>
        </w:tc>
        <w:tc>
          <w:tcPr>
            <w:tcW w:w="1649" w:type="dxa"/>
          </w:tcPr>
          <w:p w:rsidR="00554171" w:rsidRPr="00332CC0" w:rsidRDefault="00554171" w:rsidP="00040D3F">
            <w:pPr>
              <w:spacing w:before="240"/>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12.4%</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Age</w:t>
            </w:r>
          </w:p>
        </w:tc>
        <w:tc>
          <w:tcPr>
            <w:tcW w:w="1649" w:type="dxa"/>
          </w:tcPr>
          <w:p w:rsidR="00554171" w:rsidRPr="00332CC0" w:rsidRDefault="00554171" w:rsidP="00040D3F">
            <w:pPr>
              <w:spacing w:before="240"/>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10.5%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Racial harassment</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7%</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Family status</w:t>
            </w:r>
          </w:p>
        </w:tc>
        <w:tc>
          <w:tcPr>
            <w:tcW w:w="1649" w:type="dxa"/>
          </w:tcPr>
          <w:p w:rsidR="00554171" w:rsidRPr="00332CC0" w:rsidRDefault="00554171" w:rsidP="00040D3F">
            <w:pPr>
              <w:spacing w:before="240"/>
              <w:ind w:left="123"/>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Religious belief</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Sexual orientation</w:t>
            </w:r>
          </w:p>
        </w:tc>
        <w:tc>
          <w:tcPr>
            <w:tcW w:w="1649" w:type="dxa"/>
          </w:tcPr>
          <w:p w:rsidR="00554171" w:rsidRPr="00332CC0" w:rsidRDefault="00554171" w:rsidP="00040D3F">
            <w:pPr>
              <w:spacing w:before="240"/>
              <w:ind w:left="123"/>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Marital status</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1.7%</w:t>
            </w:r>
          </w:p>
        </w:tc>
      </w:tr>
      <w:tr w:rsidR="00554171" w:rsidRPr="00332CC0" w:rsidTr="00040D3F">
        <w:trPr>
          <w:trHeight w:val="47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Victimisation</w:t>
            </w:r>
          </w:p>
        </w:tc>
        <w:tc>
          <w:tcPr>
            <w:tcW w:w="1649" w:type="dxa"/>
          </w:tcPr>
          <w:p w:rsidR="00554171" w:rsidRPr="00332CC0" w:rsidRDefault="00554171" w:rsidP="00040D3F">
            <w:pPr>
              <w:spacing w:before="240"/>
              <w:ind w:left="123"/>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Employment status</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1.1%</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Colour</w:t>
            </w:r>
          </w:p>
        </w:tc>
        <w:tc>
          <w:tcPr>
            <w:tcW w:w="1649" w:type="dxa"/>
          </w:tcPr>
          <w:p w:rsidR="00554171" w:rsidRPr="00332CC0" w:rsidRDefault="00554171" w:rsidP="00040D3F">
            <w:pPr>
              <w:spacing w:before="240"/>
              <w:ind w:left="123"/>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&lt;1%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Ethical belief</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&lt;1%</w:t>
            </w:r>
          </w:p>
        </w:tc>
      </w:tr>
      <w:tr w:rsidR="00554171" w:rsidRPr="00332CC0" w:rsidTr="00040D3F">
        <w:trPr>
          <w:trHeight w:val="51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Political opinion</w:t>
            </w:r>
          </w:p>
        </w:tc>
        <w:tc>
          <w:tcPr>
            <w:tcW w:w="1649" w:type="dxa"/>
          </w:tcPr>
          <w:p w:rsidR="00554171" w:rsidRPr="00332CC0" w:rsidRDefault="00554171" w:rsidP="00040D3F">
            <w:pPr>
              <w:spacing w:before="240"/>
              <w:ind w:left="123"/>
              <w:jc w:val="both"/>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&lt;1%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997" w:type="dxa"/>
          </w:tcPr>
          <w:p w:rsidR="00554171" w:rsidRPr="00332CC0" w:rsidRDefault="00554171" w:rsidP="00040D3F">
            <w:pPr>
              <w:spacing w:before="240"/>
              <w:jc w:val="both"/>
              <w:rPr>
                <w:rFonts w:cs="Arial"/>
              </w:rPr>
            </w:pPr>
            <w:r w:rsidRPr="00332CC0">
              <w:rPr>
                <w:rFonts w:cs="Arial"/>
              </w:rPr>
              <w:t>Racial disharmony</w:t>
            </w:r>
          </w:p>
        </w:tc>
        <w:tc>
          <w:tcPr>
            <w:tcW w:w="1649" w:type="dxa"/>
          </w:tcPr>
          <w:p w:rsidR="00554171" w:rsidRPr="00332CC0" w:rsidRDefault="00554171" w:rsidP="00040D3F">
            <w:pPr>
              <w:spacing w:before="240"/>
              <w:ind w:left="123"/>
              <w:jc w:val="both"/>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&lt;1%</w:t>
            </w:r>
          </w:p>
        </w:tc>
      </w:tr>
    </w:tbl>
    <w:p w:rsidR="00554171" w:rsidRPr="00332CC0" w:rsidRDefault="00554171" w:rsidP="00554171"/>
    <w:p w:rsidR="00554171" w:rsidRPr="00332CC0" w:rsidRDefault="00554171" w:rsidP="00554171"/>
    <w:p w:rsidR="00554171" w:rsidRPr="00332CC0" w:rsidRDefault="00554171" w:rsidP="00554171">
      <w:pPr>
        <w:spacing w:after="200" w:line="276" w:lineRule="auto"/>
      </w:pPr>
      <w:r w:rsidRPr="00332CC0">
        <w:br w:type="page"/>
      </w:r>
    </w:p>
    <w:p w:rsidR="004E76D5" w:rsidRPr="003252C6" w:rsidRDefault="004E76D5" w:rsidP="003252C6">
      <w:pPr>
        <w:pStyle w:val="Heading1"/>
        <w:spacing w:before="0"/>
        <w:rPr>
          <w:rFonts w:ascii="Arial" w:hAnsi="Arial" w:cs="Arial"/>
          <w:color w:val="00B0F0"/>
          <w:sz w:val="32"/>
          <w:szCs w:val="32"/>
        </w:rPr>
      </w:pPr>
      <w:r w:rsidRPr="003252C6">
        <w:rPr>
          <w:rFonts w:ascii="Arial" w:hAnsi="Arial" w:cs="Arial"/>
          <w:color w:val="00B0F0"/>
          <w:sz w:val="32"/>
          <w:szCs w:val="32"/>
        </w:rPr>
        <w:lastRenderedPageBreak/>
        <w:t>Disabled people</w:t>
      </w:r>
    </w:p>
    <w:p w:rsidR="004E76D5" w:rsidRPr="003252C6" w:rsidRDefault="004E76D5" w:rsidP="004E76D5"/>
    <w:p w:rsidR="004E76D5" w:rsidRPr="003252C6" w:rsidRDefault="004E76D5" w:rsidP="004E76D5">
      <w:pPr>
        <w:jc w:val="both"/>
        <w:rPr>
          <w:b/>
          <w:sz w:val="28"/>
          <w:szCs w:val="28"/>
        </w:rPr>
      </w:pPr>
      <w:r w:rsidRPr="003252C6">
        <w:rPr>
          <w:b/>
          <w:sz w:val="28"/>
          <w:szCs w:val="28"/>
        </w:rPr>
        <w:t>Statistics on employment</w:t>
      </w:r>
      <w:r w:rsidRPr="003252C6">
        <w:rPr>
          <w:rStyle w:val="FootnoteReference"/>
          <w:b/>
          <w:sz w:val="28"/>
          <w:szCs w:val="28"/>
        </w:rPr>
        <w:footnoteReference w:id="20"/>
      </w:r>
      <w:r w:rsidRPr="003252C6">
        <w:rPr>
          <w:b/>
          <w:sz w:val="28"/>
          <w:szCs w:val="28"/>
        </w:rPr>
        <w:t xml:space="preserve"> </w:t>
      </w:r>
    </w:p>
    <w:p w:rsidR="004E76D5" w:rsidRPr="003252C6" w:rsidRDefault="004E76D5" w:rsidP="004E76D5">
      <w:pPr>
        <w:jc w:val="both"/>
        <w:rPr>
          <w:sz w:val="22"/>
          <w:szCs w:val="22"/>
        </w:rPr>
      </w:pPr>
      <w:r w:rsidRPr="003252C6">
        <w:rPr>
          <w:sz w:val="22"/>
          <w:szCs w:val="22"/>
        </w:rPr>
        <w:t xml:space="preserve">The only reliable national survey of outcomes for disabled people is the New Zealand Household Disability Survey conducted every five years. Although the New Zealand General Social Survey is described as a biennial survey of social and economic outcomes for all New Zealanders aged 15 and over, it does not provide disaggregated data for disabled people. Other more regular surveys, such as the Household Labour Force Survey, do not provide data on disabled people. </w:t>
      </w:r>
    </w:p>
    <w:p w:rsidR="004E76D5" w:rsidRPr="003252C6" w:rsidRDefault="004E76D5" w:rsidP="004E76D5">
      <w:pPr>
        <w:jc w:val="both"/>
        <w:rPr>
          <w:b/>
          <w:i/>
          <w:color w:val="079EC9" w:themeColor="accent1" w:themeShade="BF"/>
          <w:sz w:val="22"/>
          <w:szCs w:val="22"/>
        </w:rPr>
      </w:pPr>
    </w:p>
    <w:p w:rsidR="004E76D5" w:rsidRPr="003252C6" w:rsidRDefault="00997B54" w:rsidP="003252C6">
      <w:pPr>
        <w:jc w:val="both"/>
        <w:rPr>
          <w:b/>
          <w:sz w:val="28"/>
          <w:szCs w:val="28"/>
        </w:rPr>
      </w:pPr>
      <w:r w:rsidRPr="003252C6">
        <w:rPr>
          <w:b/>
          <w:sz w:val="28"/>
          <w:szCs w:val="28"/>
        </w:rPr>
        <w:t>Table 4</w:t>
      </w:r>
      <w:r w:rsidR="004E76D5" w:rsidRPr="003252C6">
        <w:rPr>
          <w:b/>
          <w:sz w:val="28"/>
          <w:szCs w:val="28"/>
        </w:rPr>
        <w:t>:  Unemployment rate 2006, Disability Survey</w:t>
      </w:r>
    </w:p>
    <w:p w:rsidR="004E76D5" w:rsidRPr="003252C6" w:rsidRDefault="004E76D5" w:rsidP="004E76D5">
      <w:pPr>
        <w:jc w:val="both"/>
        <w:rPr>
          <w:b/>
          <w:sz w:val="28"/>
          <w:szCs w:val="28"/>
        </w:rPr>
      </w:pPr>
    </w:p>
    <w:tbl>
      <w:tblPr>
        <w:tblStyle w:val="MediumGrid1-Accent2"/>
        <w:tblW w:w="9163" w:type="dxa"/>
        <w:tblLook w:val="04A0" w:firstRow="1" w:lastRow="0" w:firstColumn="1" w:lastColumn="0" w:noHBand="0" w:noVBand="1"/>
      </w:tblPr>
      <w:tblGrid>
        <w:gridCol w:w="3048"/>
        <w:gridCol w:w="3058"/>
        <w:gridCol w:w="3057"/>
      </w:tblGrid>
      <w:tr w:rsidR="004E76D5" w:rsidRPr="003252C6" w:rsidTr="0012092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48" w:type="dxa"/>
          </w:tcPr>
          <w:p w:rsidR="004E76D5" w:rsidRPr="003252C6" w:rsidRDefault="004E76D5" w:rsidP="0012092E">
            <w:pPr>
              <w:jc w:val="both"/>
            </w:pPr>
          </w:p>
        </w:tc>
        <w:tc>
          <w:tcPr>
            <w:tcW w:w="3058" w:type="dxa"/>
          </w:tcPr>
          <w:p w:rsidR="004E76D5" w:rsidRPr="003252C6" w:rsidRDefault="004E76D5" w:rsidP="0012092E">
            <w:pPr>
              <w:jc w:val="both"/>
              <w:cnfStyle w:val="100000000000" w:firstRow="1" w:lastRow="0" w:firstColumn="0" w:lastColumn="0" w:oddVBand="0" w:evenVBand="0" w:oddHBand="0" w:evenHBand="0" w:firstRowFirstColumn="0" w:firstRowLastColumn="0" w:lastRowFirstColumn="0" w:lastRowLastColumn="0"/>
              <w:rPr>
                <w:b w:val="0"/>
              </w:rPr>
            </w:pPr>
            <w:r w:rsidRPr="003252C6">
              <w:t xml:space="preserve">Disabled </w:t>
            </w:r>
          </w:p>
        </w:tc>
        <w:tc>
          <w:tcPr>
            <w:tcW w:w="3057" w:type="dxa"/>
          </w:tcPr>
          <w:p w:rsidR="004E76D5" w:rsidRPr="003252C6" w:rsidRDefault="004E76D5" w:rsidP="0012092E">
            <w:pPr>
              <w:jc w:val="both"/>
              <w:cnfStyle w:val="100000000000" w:firstRow="1" w:lastRow="0" w:firstColumn="0" w:lastColumn="0" w:oddVBand="0" w:evenVBand="0" w:oddHBand="0" w:evenHBand="0" w:firstRowFirstColumn="0" w:firstRowLastColumn="0" w:lastRowFirstColumn="0" w:lastRowLastColumn="0"/>
              <w:rPr>
                <w:b w:val="0"/>
              </w:rPr>
            </w:pPr>
            <w:r w:rsidRPr="003252C6">
              <w:t xml:space="preserve">Non-disabled </w:t>
            </w:r>
          </w:p>
        </w:tc>
      </w:tr>
      <w:tr w:rsidR="004E76D5" w:rsidRPr="003252C6" w:rsidTr="001209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48" w:type="dxa"/>
          </w:tcPr>
          <w:p w:rsidR="004E76D5" w:rsidRPr="003252C6" w:rsidRDefault="004E76D5" w:rsidP="0012092E">
            <w:pPr>
              <w:jc w:val="both"/>
              <w:rPr>
                <w:b w:val="0"/>
              </w:rPr>
            </w:pPr>
            <w:r w:rsidRPr="003252C6">
              <w:t>Male</w:t>
            </w:r>
          </w:p>
        </w:tc>
        <w:tc>
          <w:tcPr>
            <w:tcW w:w="3058" w:type="dxa"/>
          </w:tcPr>
          <w:p w:rsidR="004E76D5" w:rsidRPr="003252C6" w:rsidRDefault="004E76D5" w:rsidP="0012092E">
            <w:pPr>
              <w:jc w:val="both"/>
              <w:cnfStyle w:val="000000100000" w:firstRow="0" w:lastRow="0" w:firstColumn="0" w:lastColumn="0" w:oddVBand="0" w:evenVBand="0" w:oddHBand="1" w:evenHBand="0" w:firstRowFirstColumn="0" w:firstRowLastColumn="0" w:lastRowFirstColumn="0" w:lastRowLastColumn="0"/>
            </w:pPr>
            <w:r w:rsidRPr="003252C6">
              <w:t>5%</w:t>
            </w:r>
          </w:p>
        </w:tc>
        <w:tc>
          <w:tcPr>
            <w:tcW w:w="3057" w:type="dxa"/>
          </w:tcPr>
          <w:p w:rsidR="004E76D5" w:rsidRPr="003252C6" w:rsidRDefault="004E76D5" w:rsidP="0012092E">
            <w:pPr>
              <w:jc w:val="both"/>
              <w:cnfStyle w:val="000000100000" w:firstRow="0" w:lastRow="0" w:firstColumn="0" w:lastColumn="0" w:oddVBand="0" w:evenVBand="0" w:oddHBand="1" w:evenHBand="0" w:firstRowFirstColumn="0" w:firstRowLastColumn="0" w:lastRowFirstColumn="0" w:lastRowLastColumn="0"/>
            </w:pPr>
            <w:r w:rsidRPr="003252C6">
              <w:t>3%</w:t>
            </w:r>
          </w:p>
        </w:tc>
      </w:tr>
      <w:tr w:rsidR="004E76D5" w:rsidRPr="003252C6" w:rsidTr="0012092E">
        <w:trPr>
          <w:trHeight w:val="298"/>
        </w:trPr>
        <w:tc>
          <w:tcPr>
            <w:cnfStyle w:val="001000000000" w:firstRow="0" w:lastRow="0" w:firstColumn="1" w:lastColumn="0" w:oddVBand="0" w:evenVBand="0" w:oddHBand="0" w:evenHBand="0" w:firstRowFirstColumn="0" w:firstRowLastColumn="0" w:lastRowFirstColumn="0" w:lastRowLastColumn="0"/>
            <w:tcW w:w="3048" w:type="dxa"/>
          </w:tcPr>
          <w:p w:rsidR="004E76D5" w:rsidRPr="003252C6" w:rsidRDefault="004E76D5" w:rsidP="0012092E">
            <w:pPr>
              <w:jc w:val="both"/>
              <w:rPr>
                <w:b w:val="0"/>
              </w:rPr>
            </w:pPr>
            <w:r w:rsidRPr="003252C6">
              <w:t xml:space="preserve">Female </w:t>
            </w:r>
          </w:p>
        </w:tc>
        <w:tc>
          <w:tcPr>
            <w:tcW w:w="3058" w:type="dxa"/>
          </w:tcPr>
          <w:p w:rsidR="004E76D5" w:rsidRPr="003252C6" w:rsidRDefault="004E76D5" w:rsidP="0012092E">
            <w:pPr>
              <w:jc w:val="both"/>
              <w:cnfStyle w:val="000000000000" w:firstRow="0" w:lastRow="0" w:firstColumn="0" w:lastColumn="0" w:oddVBand="0" w:evenVBand="0" w:oddHBand="0" w:evenHBand="0" w:firstRowFirstColumn="0" w:firstRowLastColumn="0" w:lastRowFirstColumn="0" w:lastRowLastColumn="0"/>
            </w:pPr>
            <w:r w:rsidRPr="003252C6">
              <w:t>9%</w:t>
            </w:r>
          </w:p>
        </w:tc>
        <w:tc>
          <w:tcPr>
            <w:tcW w:w="3057" w:type="dxa"/>
          </w:tcPr>
          <w:p w:rsidR="004E76D5" w:rsidRPr="003252C6" w:rsidRDefault="004E76D5" w:rsidP="0012092E">
            <w:pPr>
              <w:jc w:val="both"/>
              <w:cnfStyle w:val="000000000000" w:firstRow="0" w:lastRow="0" w:firstColumn="0" w:lastColumn="0" w:oddVBand="0" w:evenVBand="0" w:oddHBand="0" w:evenHBand="0" w:firstRowFirstColumn="0" w:firstRowLastColumn="0" w:lastRowFirstColumn="0" w:lastRowLastColumn="0"/>
            </w:pPr>
            <w:r w:rsidRPr="003252C6">
              <w:t>5%</w:t>
            </w:r>
          </w:p>
        </w:tc>
      </w:tr>
    </w:tbl>
    <w:p w:rsidR="004E76D5" w:rsidRPr="003252C6" w:rsidRDefault="004E76D5" w:rsidP="004E76D5">
      <w:pPr>
        <w:jc w:val="both"/>
        <w:rPr>
          <w:sz w:val="22"/>
          <w:szCs w:val="22"/>
        </w:rPr>
      </w:pPr>
    </w:p>
    <w:p w:rsidR="004E76D5" w:rsidRPr="003252C6" w:rsidRDefault="004E76D5" w:rsidP="004E76D5">
      <w:pPr>
        <w:jc w:val="both"/>
        <w:rPr>
          <w:sz w:val="22"/>
          <w:szCs w:val="22"/>
        </w:rPr>
      </w:pPr>
      <w:r w:rsidRPr="003252C6">
        <w:rPr>
          <w:sz w:val="22"/>
          <w:szCs w:val="22"/>
        </w:rPr>
        <w:t xml:space="preserve">As with the total population there is a positive association with educational attainment and labour force participation. At every level of qualification, however, disabled people are less likely than non-disabled people to be in the workforce. The participation rate of disabled people with post school qualifications (76%) is about the same as that of non-disabled people with no qualifications. </w:t>
      </w:r>
    </w:p>
    <w:p w:rsidR="004E76D5" w:rsidRPr="003252C6" w:rsidRDefault="004E76D5" w:rsidP="004E76D5">
      <w:pPr>
        <w:jc w:val="both"/>
        <w:rPr>
          <w:sz w:val="22"/>
          <w:szCs w:val="22"/>
        </w:rPr>
      </w:pPr>
    </w:p>
    <w:p w:rsidR="004E76D5" w:rsidRPr="003252C6" w:rsidRDefault="004E76D5" w:rsidP="004E76D5">
      <w:pPr>
        <w:jc w:val="both"/>
        <w:rPr>
          <w:sz w:val="22"/>
          <w:szCs w:val="22"/>
        </w:rPr>
      </w:pPr>
      <w:r w:rsidRPr="003252C6">
        <w:rPr>
          <w:sz w:val="22"/>
          <w:szCs w:val="22"/>
        </w:rPr>
        <w:t xml:space="preserve">The likelihood of being in the labour force is greater for some types of disability than others. People with a vision or hearing impairment are most likely to be in the labour force, while people with an intellectual impairment or experience of mental illness are the least likely.  </w:t>
      </w:r>
    </w:p>
    <w:p w:rsidR="004E76D5" w:rsidRPr="003252C6" w:rsidRDefault="004E76D5" w:rsidP="004E76D5">
      <w:pPr>
        <w:jc w:val="both"/>
        <w:rPr>
          <w:rFonts w:cs="Arial"/>
          <w:b/>
          <w:sz w:val="28"/>
          <w:szCs w:val="28"/>
        </w:rPr>
      </w:pPr>
    </w:p>
    <w:p w:rsidR="004E76D5" w:rsidRPr="003252C6" w:rsidRDefault="004E76D5" w:rsidP="004E76D5">
      <w:pPr>
        <w:jc w:val="both"/>
        <w:rPr>
          <w:rFonts w:cs="Arial"/>
          <w:b/>
          <w:sz w:val="28"/>
          <w:szCs w:val="28"/>
        </w:rPr>
      </w:pPr>
      <w:r w:rsidRPr="003252C6">
        <w:rPr>
          <w:rFonts w:cs="Arial"/>
          <w:b/>
          <w:sz w:val="28"/>
          <w:szCs w:val="28"/>
        </w:rPr>
        <w:t>Disability discrimination complaints</w:t>
      </w:r>
    </w:p>
    <w:p w:rsidR="004E76D5" w:rsidRPr="003252C6" w:rsidRDefault="004E76D5" w:rsidP="004E76D5">
      <w:pPr>
        <w:jc w:val="both"/>
        <w:rPr>
          <w:rFonts w:cs="Arial"/>
          <w:sz w:val="22"/>
          <w:szCs w:val="22"/>
        </w:rPr>
      </w:pPr>
      <w:r w:rsidRPr="003252C6">
        <w:rPr>
          <w:rFonts w:cs="Arial"/>
          <w:sz w:val="22"/>
          <w:szCs w:val="22"/>
        </w:rPr>
        <w:t>Complaints recorded under the ground of disability include permanent disabilities as well as temporary injuries or illnesses. The most commonly received type of complaint relates to the termination of employment (including the threat or perceived threat of termination) which the complainant believes is related to disability/injury/illness. Complaints relating to being declined roles were also high for people citing disability as a ground of complaint. Numbers of complaints relating to termination of employment have been steady over the last three years, while numbers of complaints relating to problems obtaining employment have dropped slightly in the last two years.</w:t>
      </w:r>
    </w:p>
    <w:p w:rsidR="004E76D5" w:rsidRPr="003252C6" w:rsidRDefault="004E76D5" w:rsidP="004E76D5">
      <w:pPr>
        <w:spacing w:line="276" w:lineRule="auto"/>
        <w:jc w:val="both"/>
        <w:rPr>
          <w:rFonts w:cs="Arial"/>
          <w:sz w:val="22"/>
          <w:szCs w:val="22"/>
        </w:rPr>
      </w:pPr>
    </w:p>
    <w:p w:rsidR="004E76D5" w:rsidRPr="003252C6" w:rsidRDefault="004E76D5" w:rsidP="003252C6">
      <w:pPr>
        <w:spacing w:line="276" w:lineRule="auto"/>
        <w:jc w:val="both"/>
        <w:rPr>
          <w:rFonts w:cs="Arial"/>
          <w:b/>
          <w:sz w:val="28"/>
          <w:szCs w:val="28"/>
        </w:rPr>
      </w:pPr>
      <w:r w:rsidRPr="003252C6">
        <w:rPr>
          <w:rFonts w:cs="Arial"/>
          <w:b/>
          <w:sz w:val="28"/>
          <w:szCs w:val="28"/>
        </w:rPr>
        <w:t xml:space="preserve">Table </w:t>
      </w:r>
      <w:r w:rsidR="00997B54" w:rsidRPr="003252C6">
        <w:rPr>
          <w:rFonts w:cs="Arial"/>
          <w:b/>
          <w:sz w:val="28"/>
          <w:szCs w:val="28"/>
        </w:rPr>
        <w:t>5</w:t>
      </w:r>
      <w:r w:rsidRPr="003252C6">
        <w:rPr>
          <w:rFonts w:cs="Arial"/>
          <w:b/>
          <w:sz w:val="28"/>
          <w:szCs w:val="28"/>
        </w:rPr>
        <w:t>:  Disability and employment complaints</w:t>
      </w:r>
    </w:p>
    <w:p w:rsidR="004E76D5" w:rsidRPr="003252C6" w:rsidRDefault="004E76D5" w:rsidP="004E76D5">
      <w:pPr>
        <w:jc w:val="both"/>
        <w:rPr>
          <w:rFonts w:cs="Arial"/>
          <w:i/>
          <w:sz w:val="22"/>
          <w:szCs w:val="22"/>
          <w:u w:val="single"/>
        </w:rPr>
      </w:pPr>
    </w:p>
    <w:tbl>
      <w:tblPr>
        <w:tblStyle w:val="MediumGrid1-Accent2"/>
        <w:tblW w:w="9070" w:type="dxa"/>
        <w:tblLook w:val="04A0" w:firstRow="1" w:lastRow="0" w:firstColumn="1" w:lastColumn="0" w:noHBand="0" w:noVBand="1"/>
      </w:tblPr>
      <w:tblGrid>
        <w:gridCol w:w="4890"/>
        <w:gridCol w:w="2090"/>
        <w:gridCol w:w="2090"/>
      </w:tblGrid>
      <w:tr w:rsidR="004E76D5" w:rsidRPr="003252C6" w:rsidTr="0012092E">
        <w:trPr>
          <w:cnfStyle w:val="100000000000" w:firstRow="1" w:lastRow="0" w:firstColumn="0" w:lastColumn="0" w:oddVBand="0" w:evenVBand="0" w:oddHBand="0"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jc w:val="both"/>
              <w:rPr>
                <w:rFonts w:cs="Arial"/>
              </w:rPr>
            </w:pPr>
          </w:p>
        </w:tc>
        <w:tc>
          <w:tcPr>
            <w:tcW w:w="2090" w:type="dxa"/>
          </w:tcPr>
          <w:p w:rsidR="004E76D5" w:rsidRPr="003252C6" w:rsidRDefault="004E76D5" w:rsidP="0012092E">
            <w:pPr>
              <w:jc w:val="both"/>
              <w:cnfStyle w:val="100000000000" w:firstRow="1" w:lastRow="0" w:firstColumn="0" w:lastColumn="0" w:oddVBand="0" w:evenVBand="0" w:oddHBand="0" w:evenHBand="0" w:firstRowFirstColumn="0" w:firstRowLastColumn="0" w:lastRowFirstColumn="0" w:lastRowLastColumn="0"/>
              <w:rPr>
                <w:rFonts w:cs="Arial"/>
              </w:rPr>
            </w:pPr>
          </w:p>
          <w:p w:rsidR="004E76D5" w:rsidRPr="003252C6" w:rsidRDefault="004E76D5" w:rsidP="0012092E">
            <w:pPr>
              <w:jc w:val="both"/>
              <w:cnfStyle w:val="100000000000" w:firstRow="1" w:lastRow="0" w:firstColumn="0" w:lastColumn="0" w:oddVBand="0" w:evenVBand="0" w:oddHBand="0" w:evenHBand="0" w:firstRowFirstColumn="0" w:firstRowLastColumn="0" w:lastRowFirstColumn="0" w:lastRowLastColumn="0"/>
              <w:rPr>
                <w:rFonts w:cs="Arial"/>
              </w:rPr>
            </w:pPr>
            <w:r w:rsidRPr="003252C6">
              <w:rPr>
                <w:rFonts w:cs="Arial"/>
              </w:rPr>
              <w:t>Disability complaints</w:t>
            </w:r>
          </w:p>
        </w:tc>
        <w:tc>
          <w:tcPr>
            <w:tcW w:w="2090" w:type="dxa"/>
          </w:tcPr>
          <w:p w:rsidR="004E76D5" w:rsidRPr="003252C6" w:rsidRDefault="004E76D5" w:rsidP="0012092E">
            <w:pPr>
              <w:spacing w:before="240"/>
              <w:cnfStyle w:val="100000000000" w:firstRow="1" w:lastRow="0" w:firstColumn="0" w:lastColumn="0" w:oddVBand="0" w:evenVBand="0" w:oddHBand="0" w:evenHBand="0" w:firstRowFirstColumn="0" w:firstRowLastColumn="0" w:lastRowFirstColumn="0" w:lastRowLastColumn="0"/>
              <w:rPr>
                <w:rFonts w:cs="Arial"/>
              </w:rPr>
            </w:pPr>
            <w:r w:rsidRPr="003252C6">
              <w:rPr>
                <w:rFonts w:cs="Arial"/>
              </w:rPr>
              <w:t xml:space="preserve">Proportion of  disability complaints </w:t>
            </w:r>
          </w:p>
        </w:tc>
      </w:tr>
      <w:tr w:rsidR="004E76D5" w:rsidRPr="003252C6" w:rsidTr="001209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jc w:val="both"/>
              <w:rPr>
                <w:rFonts w:cs="Arial"/>
              </w:rPr>
            </w:pPr>
            <w:r w:rsidRPr="003252C6">
              <w:rPr>
                <w:rFonts w:cs="Arial"/>
              </w:rPr>
              <w:t>Termination of employment</w:t>
            </w:r>
          </w:p>
        </w:tc>
        <w:tc>
          <w:tcPr>
            <w:tcW w:w="2090" w:type="dxa"/>
          </w:tcPr>
          <w:p w:rsidR="004E76D5" w:rsidRPr="003252C6"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166</w:t>
            </w:r>
          </w:p>
        </w:tc>
        <w:tc>
          <w:tcPr>
            <w:tcW w:w="2090" w:type="dxa"/>
          </w:tcPr>
          <w:p w:rsidR="004E76D5" w:rsidRPr="003252C6"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26%</w:t>
            </w:r>
          </w:p>
        </w:tc>
      </w:tr>
      <w:tr w:rsidR="004E76D5" w:rsidRPr="003252C6" w:rsidTr="0012092E">
        <w:trPr>
          <w:trHeight w:val="270"/>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rPr>
                <w:rFonts w:cs="Arial"/>
              </w:rPr>
            </w:pPr>
            <w:r w:rsidRPr="003252C6">
              <w:rPr>
                <w:rFonts w:cs="Arial"/>
              </w:rPr>
              <w:t>Declined role</w:t>
            </w:r>
          </w:p>
        </w:tc>
        <w:tc>
          <w:tcPr>
            <w:tcW w:w="2090" w:type="dxa"/>
          </w:tcPr>
          <w:p w:rsidR="004E76D5" w:rsidRPr="003252C6" w:rsidRDefault="004E76D5" w:rsidP="0012092E">
            <w:pPr>
              <w:jc w:val="center"/>
              <w:cnfStyle w:val="000000000000" w:firstRow="0" w:lastRow="0" w:firstColumn="0" w:lastColumn="0" w:oddVBand="0" w:evenVBand="0" w:oddHBand="0" w:evenHBand="0" w:firstRowFirstColumn="0" w:firstRowLastColumn="0" w:lastRowFirstColumn="0" w:lastRowLastColumn="0"/>
              <w:rPr>
                <w:rFonts w:cs="Arial"/>
              </w:rPr>
            </w:pPr>
            <w:r w:rsidRPr="003252C6">
              <w:rPr>
                <w:rFonts w:cs="Arial"/>
              </w:rPr>
              <w:t>149</w:t>
            </w:r>
          </w:p>
        </w:tc>
        <w:tc>
          <w:tcPr>
            <w:tcW w:w="2090" w:type="dxa"/>
          </w:tcPr>
          <w:p w:rsidR="004E76D5" w:rsidRPr="003252C6" w:rsidRDefault="004E76D5" w:rsidP="0012092E">
            <w:pPr>
              <w:jc w:val="center"/>
              <w:cnfStyle w:val="000000000000" w:firstRow="0" w:lastRow="0" w:firstColumn="0" w:lastColumn="0" w:oddVBand="0" w:evenVBand="0" w:oddHBand="0" w:evenHBand="0" w:firstRowFirstColumn="0" w:firstRowLastColumn="0" w:lastRowFirstColumn="0" w:lastRowLastColumn="0"/>
              <w:rPr>
                <w:rFonts w:cs="Arial"/>
              </w:rPr>
            </w:pPr>
            <w:r w:rsidRPr="003252C6">
              <w:rPr>
                <w:rFonts w:cs="Arial"/>
              </w:rPr>
              <w:t>23%</w:t>
            </w:r>
          </w:p>
        </w:tc>
      </w:tr>
      <w:tr w:rsidR="004E76D5" w:rsidRPr="003252C6" w:rsidTr="001209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rPr>
                <w:rFonts w:cs="Arial"/>
              </w:rPr>
            </w:pPr>
            <w:r w:rsidRPr="003252C6">
              <w:rPr>
                <w:rFonts w:cs="Arial"/>
              </w:rPr>
              <w:t xml:space="preserve">Discrimination at work </w:t>
            </w:r>
          </w:p>
        </w:tc>
        <w:tc>
          <w:tcPr>
            <w:tcW w:w="2090" w:type="dxa"/>
          </w:tcPr>
          <w:p w:rsidR="004E76D5" w:rsidRPr="003252C6"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92</w:t>
            </w:r>
          </w:p>
        </w:tc>
        <w:tc>
          <w:tcPr>
            <w:tcW w:w="2090" w:type="dxa"/>
          </w:tcPr>
          <w:p w:rsidR="004E76D5" w:rsidRPr="003252C6"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14%</w:t>
            </w:r>
          </w:p>
        </w:tc>
      </w:tr>
      <w:tr w:rsidR="004E76D5" w:rsidRPr="003252C6" w:rsidTr="0012092E">
        <w:trPr>
          <w:trHeight w:val="270"/>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rPr>
                <w:rFonts w:cs="Arial"/>
              </w:rPr>
            </w:pPr>
            <w:r w:rsidRPr="003252C6">
              <w:rPr>
                <w:rFonts w:cs="Arial"/>
              </w:rPr>
              <w:t>Accommodation at work</w:t>
            </w:r>
          </w:p>
        </w:tc>
        <w:tc>
          <w:tcPr>
            <w:tcW w:w="2090" w:type="dxa"/>
          </w:tcPr>
          <w:p w:rsidR="004E76D5" w:rsidRPr="003252C6" w:rsidRDefault="004E76D5" w:rsidP="0012092E">
            <w:pPr>
              <w:jc w:val="center"/>
              <w:cnfStyle w:val="000000000000" w:firstRow="0" w:lastRow="0" w:firstColumn="0" w:lastColumn="0" w:oddVBand="0" w:evenVBand="0" w:oddHBand="0" w:evenHBand="0" w:firstRowFirstColumn="0" w:firstRowLastColumn="0" w:lastRowFirstColumn="0" w:lastRowLastColumn="0"/>
              <w:rPr>
                <w:rFonts w:cs="Arial"/>
              </w:rPr>
            </w:pPr>
            <w:r w:rsidRPr="003252C6">
              <w:rPr>
                <w:rFonts w:cs="Arial"/>
              </w:rPr>
              <w:t>69</w:t>
            </w:r>
          </w:p>
        </w:tc>
        <w:tc>
          <w:tcPr>
            <w:tcW w:w="2090" w:type="dxa"/>
          </w:tcPr>
          <w:p w:rsidR="004E76D5" w:rsidRPr="003252C6" w:rsidRDefault="004E76D5" w:rsidP="0012092E">
            <w:pPr>
              <w:jc w:val="center"/>
              <w:cnfStyle w:val="000000000000" w:firstRow="0" w:lastRow="0" w:firstColumn="0" w:lastColumn="0" w:oddVBand="0" w:evenVBand="0" w:oddHBand="0" w:evenHBand="0" w:firstRowFirstColumn="0" w:firstRowLastColumn="0" w:lastRowFirstColumn="0" w:lastRowLastColumn="0"/>
              <w:rPr>
                <w:rFonts w:cs="Arial"/>
              </w:rPr>
            </w:pPr>
            <w:r w:rsidRPr="003252C6">
              <w:rPr>
                <w:rFonts w:cs="Arial"/>
              </w:rPr>
              <w:t>11%</w:t>
            </w:r>
          </w:p>
        </w:tc>
      </w:tr>
      <w:tr w:rsidR="004E76D5" w:rsidRPr="00332CC0" w:rsidTr="0012092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90" w:type="dxa"/>
          </w:tcPr>
          <w:p w:rsidR="004E76D5" w:rsidRPr="003252C6" w:rsidRDefault="004E76D5" w:rsidP="0012092E">
            <w:pPr>
              <w:rPr>
                <w:rFonts w:cs="Arial"/>
              </w:rPr>
            </w:pPr>
            <w:r w:rsidRPr="003252C6">
              <w:rPr>
                <w:rFonts w:cs="Arial"/>
              </w:rPr>
              <w:t>Sick leave</w:t>
            </w:r>
          </w:p>
        </w:tc>
        <w:tc>
          <w:tcPr>
            <w:tcW w:w="2090" w:type="dxa"/>
          </w:tcPr>
          <w:p w:rsidR="004E76D5" w:rsidRPr="003252C6"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30</w:t>
            </w:r>
          </w:p>
        </w:tc>
        <w:tc>
          <w:tcPr>
            <w:tcW w:w="2090" w:type="dxa"/>
          </w:tcPr>
          <w:p w:rsidR="004E76D5" w:rsidRPr="00332CC0" w:rsidRDefault="004E76D5" w:rsidP="0012092E">
            <w:pPr>
              <w:jc w:val="center"/>
              <w:cnfStyle w:val="000000100000" w:firstRow="0" w:lastRow="0" w:firstColumn="0" w:lastColumn="0" w:oddVBand="0" w:evenVBand="0" w:oddHBand="1" w:evenHBand="0" w:firstRowFirstColumn="0" w:firstRowLastColumn="0" w:lastRowFirstColumn="0" w:lastRowLastColumn="0"/>
              <w:rPr>
                <w:rFonts w:cs="Arial"/>
              </w:rPr>
            </w:pPr>
            <w:r w:rsidRPr="003252C6">
              <w:rPr>
                <w:rFonts w:cs="Arial"/>
              </w:rPr>
              <w:t>5%</w:t>
            </w:r>
          </w:p>
        </w:tc>
      </w:tr>
    </w:tbl>
    <w:p w:rsidR="00554171" w:rsidRPr="00332CC0" w:rsidRDefault="00554171" w:rsidP="00554171">
      <w:pPr>
        <w:rPr>
          <w:b/>
          <w:color w:val="00B0F0"/>
          <w:sz w:val="32"/>
          <w:szCs w:val="32"/>
        </w:rPr>
      </w:pPr>
      <w:r w:rsidRPr="00332CC0">
        <w:rPr>
          <w:b/>
          <w:color w:val="00B0F0"/>
          <w:sz w:val="32"/>
          <w:szCs w:val="32"/>
        </w:rPr>
        <w:lastRenderedPageBreak/>
        <w:t>Regions</w:t>
      </w:r>
    </w:p>
    <w:p w:rsidR="00554171" w:rsidRPr="00332CC0" w:rsidRDefault="00554171" w:rsidP="00554171">
      <w:pPr>
        <w:jc w:val="both"/>
        <w:rPr>
          <w:rFonts w:cs="Arial"/>
          <w:sz w:val="22"/>
        </w:rPr>
      </w:pPr>
      <w:r w:rsidRPr="00332CC0">
        <w:rPr>
          <w:rFonts w:cs="Arial"/>
          <w:sz w:val="22"/>
        </w:rPr>
        <w:t>Up-to-date labour market information is critical to monitoring current and historic trends in regional economies, projecting future trends, assessing the impacts of developments on regional economies and developing regional strategies. It is also important for quantitative analysis of social conditions and living standards of particular groups and communities, research into income distribution and interactions with other aspects of social policy.</w:t>
      </w:r>
    </w:p>
    <w:p w:rsidR="00554171" w:rsidRPr="00332CC0" w:rsidRDefault="00554171" w:rsidP="00554171">
      <w:pPr>
        <w:jc w:val="both"/>
        <w:rPr>
          <w:rFonts w:cs="Arial"/>
          <w:sz w:val="22"/>
        </w:rPr>
      </w:pPr>
    </w:p>
    <w:p w:rsidR="00554171" w:rsidRPr="00332CC0" w:rsidRDefault="00554171" w:rsidP="00554171">
      <w:pPr>
        <w:jc w:val="both"/>
        <w:rPr>
          <w:rFonts w:cs="Arial"/>
          <w:sz w:val="22"/>
        </w:rPr>
      </w:pPr>
      <w:r w:rsidRPr="00332CC0">
        <w:rPr>
          <w:rFonts w:cs="Arial"/>
          <w:sz w:val="22"/>
        </w:rPr>
        <w:t xml:space="preserve">Participants the Commission met with as part of the </w:t>
      </w:r>
      <w:r w:rsidRPr="00332CC0">
        <w:rPr>
          <w:rFonts w:cs="Arial"/>
          <w:i/>
          <w:sz w:val="22"/>
        </w:rPr>
        <w:t>National Conversation about Work</w:t>
      </w:r>
      <w:r w:rsidRPr="00332CC0">
        <w:rPr>
          <w:rFonts w:cs="Arial"/>
          <w:sz w:val="22"/>
        </w:rPr>
        <w:t xml:space="preserve"> said the provision of adequate labour market information for local employment and economic planning purposes was more limited since the Department of Labour ceased providing dedicated labour information staff in the regions.  The Commission raised the issue with Economic Development Agencies New Zealand (EDANZ) who agree labour market information is an issue for some regions but not all.  </w:t>
      </w:r>
    </w:p>
    <w:p w:rsidR="00554171" w:rsidRPr="00332CC0" w:rsidRDefault="00554171" w:rsidP="00554171">
      <w:pPr>
        <w:rPr>
          <w:sz w:val="22"/>
          <w:szCs w:val="22"/>
        </w:rPr>
      </w:pPr>
    </w:p>
    <w:p w:rsidR="00554171" w:rsidRPr="00332CC0" w:rsidRDefault="00C230D7" w:rsidP="00554171">
      <w:pPr>
        <w:jc w:val="both"/>
        <w:rPr>
          <w:sz w:val="22"/>
          <w:szCs w:val="22"/>
        </w:rPr>
      </w:pPr>
      <w:r w:rsidRPr="003252C6">
        <w:rPr>
          <w:sz w:val="22"/>
          <w:szCs w:val="22"/>
        </w:rPr>
        <w:t>Tables 6 to 13</w:t>
      </w:r>
      <w:r w:rsidR="00554171" w:rsidRPr="003252C6">
        <w:rPr>
          <w:sz w:val="22"/>
          <w:szCs w:val="22"/>
        </w:rPr>
        <w:t xml:space="preserve"> compare</w:t>
      </w:r>
      <w:r w:rsidR="00554171" w:rsidRPr="00332CC0">
        <w:rPr>
          <w:sz w:val="22"/>
          <w:szCs w:val="22"/>
        </w:rPr>
        <w:t xml:space="preserve"> labour market participation rates and unemployment rates across regions.</w:t>
      </w:r>
      <w:r w:rsidR="00554171" w:rsidRPr="00332CC0">
        <w:rPr>
          <w:rStyle w:val="FootnoteReference"/>
          <w:sz w:val="22"/>
          <w:szCs w:val="22"/>
        </w:rPr>
        <w:footnoteReference w:id="21"/>
      </w:r>
      <w:r w:rsidR="00554171" w:rsidRPr="00332CC0">
        <w:rPr>
          <w:sz w:val="22"/>
          <w:szCs w:val="22"/>
        </w:rPr>
        <w:t xml:space="preserve"> There are limited regional differences in participation and unemployment rates for Europeans. There appear to be lower participation rates for Māori in Auckland and Waikato than in Wellington and Canterbury, and a lower participation rate for Pacific peoples in Auckland and Canterbury than in other regions.  Unemployment rates for Māori and Pacific peoples are higher across all regions than for Europeans.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The population in the Auckland region is considerably larger than any other region and accounts for 31% of the national working age population (15 years and older). The Auckland region is home to 71% of all working age Pacific peoples. One third of all Māori of working age live in Auckland and the only region that has a higher number of Māori is the rest of the North Island, that is, all of the North Island except Auckland, Waikato and the Wellington region.</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percentage of youth labour force participation is the lowest in Auckland of all regions and for all ethnicities, although the difference for European youth compared to other regions is slight. Auckland has the highest unemployment rate for both youth (19.4%) and across all age groups at 7.8%.   In the North Island the unemployment rate for Māori and Pacific youth is of particular concern.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figures for 25–44 year olds across all regions show much higher participation in the labour force and much lower rates of unemployment across all regions and all ethnic groups. Differences between ethnic groups appear to be stronger than regional differences. </w:t>
      </w:r>
    </w:p>
    <w:p w:rsidR="00554171" w:rsidRPr="00332CC0" w:rsidRDefault="00554171" w:rsidP="00554171">
      <w:pPr>
        <w:jc w:val="both"/>
      </w:pPr>
    </w:p>
    <w:p w:rsidR="00554171" w:rsidRPr="00332CC0" w:rsidRDefault="00554171" w:rsidP="00554171">
      <w:pPr>
        <w:jc w:val="both"/>
        <w:rPr>
          <w:sz w:val="22"/>
          <w:szCs w:val="22"/>
        </w:rPr>
      </w:pPr>
      <w:r w:rsidRPr="00332CC0">
        <w:rPr>
          <w:sz w:val="22"/>
          <w:szCs w:val="22"/>
        </w:rPr>
        <w:t>Both participation rates and unemployment rates reduce across the country as older people exit the labour market. Numbers are too small to observe regional differences in unemployment or participation rates.</w:t>
      </w:r>
      <w:r w:rsidRPr="00332CC0">
        <w:rPr>
          <w:rStyle w:val="FootnoteReference"/>
          <w:sz w:val="22"/>
          <w:szCs w:val="22"/>
        </w:rPr>
        <w:footnoteReference w:id="22"/>
      </w:r>
      <w:r w:rsidRPr="00332CC0">
        <w:rPr>
          <w:sz w:val="22"/>
          <w:szCs w:val="22"/>
        </w:rPr>
        <w:t xml:space="preserve"> Ethnic differences in labour market participation in Auckland, Waikato and Canterbury warrant further exploration. The Canterbury labour market will have changed considerably in the next quarter.  </w:t>
      </w:r>
    </w:p>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3252C6">
      <w:pPr>
        <w:rPr>
          <w:b/>
          <w:sz w:val="28"/>
          <w:szCs w:val="28"/>
        </w:rPr>
      </w:pPr>
      <w:r w:rsidRPr="00332CC0">
        <w:rPr>
          <w:b/>
          <w:sz w:val="28"/>
          <w:szCs w:val="28"/>
        </w:rPr>
        <w:lastRenderedPageBreak/>
        <w:t xml:space="preserve">Table </w:t>
      </w:r>
      <w:r w:rsidR="00997B54">
        <w:rPr>
          <w:b/>
          <w:sz w:val="28"/>
          <w:szCs w:val="28"/>
        </w:rPr>
        <w:t>6</w:t>
      </w:r>
      <w:r w:rsidRPr="00332CC0">
        <w:rPr>
          <w:b/>
          <w:sz w:val="28"/>
          <w:szCs w:val="28"/>
        </w:rPr>
        <w:t>:  Participation rate: Under 25 yrs by ethnicity</w:t>
      </w:r>
    </w:p>
    <w:p w:rsidR="00554171" w:rsidRPr="00332CC0" w:rsidRDefault="00554171" w:rsidP="00554171"/>
    <w:tbl>
      <w:tblPr>
        <w:tblStyle w:val="MediumGrid1-Accent2"/>
        <w:tblW w:w="9403" w:type="dxa"/>
        <w:tblLook w:val="04A0" w:firstRow="1" w:lastRow="0" w:firstColumn="1" w:lastColumn="0" w:noHBand="0" w:noVBand="1"/>
      </w:tblPr>
      <w:tblGrid>
        <w:gridCol w:w="1573"/>
        <w:gridCol w:w="1524"/>
        <w:gridCol w:w="1403"/>
        <w:gridCol w:w="1465"/>
        <w:gridCol w:w="2035"/>
        <w:gridCol w:w="1403"/>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Region</w:t>
            </w:r>
          </w:p>
        </w:tc>
        <w:tc>
          <w:tcPr>
            <w:tcW w:w="155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7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1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8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r w:rsidRPr="00332CC0">
              <w:rPr>
                <w:rStyle w:val="FootnoteReference"/>
              </w:rPr>
              <w:footnoteReference w:id="23"/>
            </w:r>
            <w:r w:rsidRPr="00332CC0">
              <w:t>/</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7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 xml:space="preserve">Auckland </w:t>
            </w:r>
          </w:p>
        </w:tc>
        <w:tc>
          <w:tcPr>
            <w:tcW w:w="155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63.6%</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46.6%</w:t>
            </w:r>
          </w:p>
        </w:tc>
        <w:tc>
          <w:tcPr>
            <w:tcW w:w="151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43.6%</w:t>
            </w:r>
          </w:p>
        </w:tc>
        <w:tc>
          <w:tcPr>
            <w:tcW w:w="178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49.5%</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55.2%</w:t>
            </w:r>
          </w:p>
        </w:tc>
      </w:tr>
      <w:tr w:rsidR="00554171" w:rsidRPr="00332CC0" w:rsidTr="00040D3F">
        <w:trPr>
          <w:trHeight w:val="328"/>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Waikato</w:t>
            </w:r>
          </w:p>
        </w:tc>
        <w:tc>
          <w:tcPr>
            <w:tcW w:w="155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65.0%</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51.9%</w:t>
            </w:r>
          </w:p>
        </w:tc>
        <w:tc>
          <w:tcPr>
            <w:tcW w:w="151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70.4%</w:t>
            </w:r>
          </w:p>
        </w:tc>
        <w:tc>
          <w:tcPr>
            <w:tcW w:w="178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60.7%</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Wellington</w:t>
            </w:r>
          </w:p>
        </w:tc>
        <w:tc>
          <w:tcPr>
            <w:tcW w:w="155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72.9%</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66.4%</w:t>
            </w:r>
          </w:p>
        </w:tc>
        <w:tc>
          <w:tcPr>
            <w:tcW w:w="151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59.9%</w:t>
            </w:r>
          </w:p>
        </w:tc>
        <w:tc>
          <w:tcPr>
            <w:tcW w:w="178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72.5%</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70.2%</w:t>
            </w:r>
          </w:p>
        </w:tc>
      </w:tr>
      <w:tr w:rsidR="00554171" w:rsidRPr="00332CC0" w:rsidTr="00040D3F">
        <w:trPr>
          <w:trHeight w:val="328"/>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Canterbury</w:t>
            </w:r>
          </w:p>
        </w:tc>
        <w:tc>
          <w:tcPr>
            <w:tcW w:w="155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72.1%</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70.6%</w:t>
            </w:r>
          </w:p>
        </w:tc>
        <w:tc>
          <w:tcPr>
            <w:tcW w:w="151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8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52.7%</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68.9%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Rest of North Island</w:t>
            </w:r>
          </w:p>
        </w:tc>
        <w:tc>
          <w:tcPr>
            <w:tcW w:w="155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65.1%</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59.1%</w:t>
            </w:r>
          </w:p>
        </w:tc>
        <w:tc>
          <w:tcPr>
            <w:tcW w:w="151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66.4%</w:t>
            </w:r>
          </w:p>
        </w:tc>
        <w:tc>
          <w:tcPr>
            <w:tcW w:w="178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55.9%</w:t>
            </w:r>
          </w:p>
        </w:tc>
        <w:tc>
          <w:tcPr>
            <w:tcW w:w="147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 xml:space="preserve">62.8% </w:t>
            </w:r>
          </w:p>
        </w:tc>
      </w:tr>
      <w:tr w:rsidR="00554171" w:rsidRPr="00332CC0" w:rsidTr="00040D3F">
        <w:trPr>
          <w:trHeight w:val="656"/>
        </w:trPr>
        <w:tc>
          <w:tcPr>
            <w:cnfStyle w:val="001000000000" w:firstRow="0" w:lastRow="0" w:firstColumn="1" w:lastColumn="0" w:oddVBand="0" w:evenVBand="0" w:oddHBand="0" w:evenHBand="0" w:firstRowFirstColumn="0" w:firstRowLastColumn="0" w:lastRowFirstColumn="0" w:lastRowLastColumn="0"/>
            <w:tcW w:w="1585" w:type="dxa"/>
          </w:tcPr>
          <w:p w:rsidR="00554171" w:rsidRPr="00332CC0" w:rsidRDefault="00554171" w:rsidP="00040D3F">
            <w:pPr>
              <w:rPr>
                <w:b w:val="0"/>
              </w:rPr>
            </w:pPr>
            <w:r w:rsidRPr="00332CC0">
              <w:t>Rest of South Island</w:t>
            </w:r>
          </w:p>
        </w:tc>
        <w:tc>
          <w:tcPr>
            <w:tcW w:w="155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69.5%</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52.7%</w:t>
            </w:r>
          </w:p>
        </w:tc>
        <w:tc>
          <w:tcPr>
            <w:tcW w:w="151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8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54.5%</w:t>
            </w:r>
          </w:p>
        </w:tc>
        <w:tc>
          <w:tcPr>
            <w:tcW w:w="147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67.7%</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3252C6">
      <w:pPr>
        <w:rPr>
          <w:b/>
          <w:sz w:val="28"/>
          <w:szCs w:val="28"/>
        </w:rPr>
      </w:pPr>
      <w:r>
        <w:rPr>
          <w:b/>
          <w:sz w:val="28"/>
          <w:szCs w:val="28"/>
        </w:rPr>
        <w:t xml:space="preserve">Table </w:t>
      </w:r>
      <w:r w:rsidR="00997B54">
        <w:rPr>
          <w:b/>
          <w:sz w:val="28"/>
          <w:szCs w:val="28"/>
        </w:rPr>
        <w:t>7</w:t>
      </w:r>
      <w:r w:rsidR="00554171" w:rsidRPr="00332CC0">
        <w:rPr>
          <w:b/>
          <w:sz w:val="28"/>
          <w:szCs w:val="28"/>
        </w:rPr>
        <w:t>:  Unemployment rate: Under 25 yrs by ethnicity</w:t>
      </w:r>
    </w:p>
    <w:p w:rsidR="00554171" w:rsidRPr="00332CC0" w:rsidRDefault="00554171" w:rsidP="00554171">
      <w:pPr>
        <w:tabs>
          <w:tab w:val="left" w:pos="3400"/>
        </w:tabs>
        <w:rPr>
          <w:i/>
        </w:rPr>
      </w:pPr>
      <w:r w:rsidRPr="00332CC0">
        <w:rPr>
          <w:i/>
        </w:rPr>
        <w:t xml:space="preserve"> </w:t>
      </w:r>
      <w:r w:rsidRPr="00332CC0">
        <w:rPr>
          <w:i/>
        </w:rPr>
        <w:tab/>
      </w:r>
    </w:p>
    <w:tbl>
      <w:tblPr>
        <w:tblStyle w:val="MediumGrid1-Accent2"/>
        <w:tblW w:w="9423" w:type="dxa"/>
        <w:tblLook w:val="04A0" w:firstRow="1" w:lastRow="0" w:firstColumn="1" w:lastColumn="0" w:noHBand="0" w:noVBand="1"/>
      </w:tblPr>
      <w:tblGrid>
        <w:gridCol w:w="1586"/>
        <w:gridCol w:w="1550"/>
        <w:gridCol w:w="1462"/>
        <w:gridCol w:w="1506"/>
        <w:gridCol w:w="1857"/>
        <w:gridCol w:w="1462"/>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Region</w:t>
            </w:r>
          </w:p>
        </w:tc>
        <w:tc>
          <w:tcPr>
            <w:tcW w:w="155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8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1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9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8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 xml:space="preserve">Auckland </w:t>
            </w:r>
          </w:p>
        </w:tc>
        <w:tc>
          <w:tcPr>
            <w:tcW w:w="155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16.6%</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28.2%</w:t>
            </w:r>
          </w:p>
        </w:tc>
        <w:tc>
          <w:tcPr>
            <w:tcW w:w="151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25.9%</w:t>
            </w:r>
          </w:p>
        </w:tc>
        <w:tc>
          <w:tcPr>
            <w:tcW w:w="17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19.0%</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19.4%</w:t>
            </w:r>
          </w:p>
        </w:tc>
      </w:tr>
      <w:tr w:rsidR="00554171" w:rsidRPr="00332CC0" w:rsidTr="00040D3F">
        <w:trPr>
          <w:trHeight w:val="31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Waikato</w:t>
            </w:r>
          </w:p>
        </w:tc>
        <w:tc>
          <w:tcPr>
            <w:tcW w:w="155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14.2%</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29.5%</w:t>
            </w:r>
          </w:p>
        </w:tc>
        <w:tc>
          <w:tcPr>
            <w:tcW w:w="151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17.9%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Wellington</w:t>
            </w:r>
          </w:p>
        </w:tc>
        <w:tc>
          <w:tcPr>
            <w:tcW w:w="155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12.3%</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23.6%</w:t>
            </w:r>
          </w:p>
        </w:tc>
        <w:tc>
          <w:tcPr>
            <w:tcW w:w="151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7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14.1%</w:t>
            </w:r>
          </w:p>
        </w:tc>
      </w:tr>
      <w:tr w:rsidR="00554171" w:rsidRPr="00332CC0" w:rsidTr="00040D3F">
        <w:trPr>
          <w:trHeight w:val="31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Canterbury</w:t>
            </w:r>
          </w:p>
        </w:tc>
        <w:tc>
          <w:tcPr>
            <w:tcW w:w="155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10.5%</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16.5%</w:t>
            </w:r>
          </w:p>
        </w:tc>
        <w:tc>
          <w:tcPr>
            <w:tcW w:w="151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26.2%</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12.4%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Rest of North Island</w:t>
            </w:r>
          </w:p>
        </w:tc>
        <w:tc>
          <w:tcPr>
            <w:tcW w:w="155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15.0%</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31.2%</w:t>
            </w:r>
          </w:p>
        </w:tc>
        <w:tc>
          <w:tcPr>
            <w:tcW w:w="151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41.6%</w:t>
            </w:r>
          </w:p>
        </w:tc>
        <w:tc>
          <w:tcPr>
            <w:tcW w:w="17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8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19.3%</w:t>
            </w:r>
          </w:p>
        </w:tc>
      </w:tr>
      <w:tr w:rsidR="00554171" w:rsidRPr="00332CC0" w:rsidTr="00040D3F">
        <w:trPr>
          <w:trHeight w:val="628"/>
        </w:trPr>
        <w:tc>
          <w:tcPr>
            <w:cnfStyle w:val="001000000000" w:firstRow="0" w:lastRow="0" w:firstColumn="1" w:lastColumn="0" w:oddVBand="0" w:evenVBand="0" w:oddHBand="0" w:evenHBand="0" w:firstRowFirstColumn="0" w:firstRowLastColumn="0" w:lastRowFirstColumn="0" w:lastRowLastColumn="0"/>
            <w:tcW w:w="1589" w:type="dxa"/>
          </w:tcPr>
          <w:p w:rsidR="00554171" w:rsidRPr="00332CC0" w:rsidRDefault="00554171" w:rsidP="00040D3F">
            <w:pPr>
              <w:rPr>
                <w:b w:val="0"/>
              </w:rPr>
            </w:pPr>
            <w:r w:rsidRPr="00332CC0">
              <w:t>Rest of South Island</w:t>
            </w:r>
          </w:p>
        </w:tc>
        <w:tc>
          <w:tcPr>
            <w:tcW w:w="155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12.8%</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51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8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13.6%</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3252C6">
      <w:pPr>
        <w:rPr>
          <w:b/>
          <w:sz w:val="28"/>
          <w:szCs w:val="28"/>
        </w:rPr>
      </w:pPr>
      <w:r w:rsidRPr="00332CC0">
        <w:rPr>
          <w:b/>
          <w:sz w:val="28"/>
          <w:szCs w:val="28"/>
        </w:rPr>
        <w:t xml:space="preserve">Table </w:t>
      </w:r>
      <w:r w:rsidR="00997B54">
        <w:rPr>
          <w:b/>
          <w:sz w:val="28"/>
          <w:szCs w:val="28"/>
        </w:rPr>
        <w:t>8</w:t>
      </w:r>
      <w:r w:rsidRPr="00332CC0">
        <w:rPr>
          <w:b/>
          <w:sz w:val="28"/>
          <w:szCs w:val="28"/>
        </w:rPr>
        <w:t xml:space="preserve">:  Participation rate:  25–44 year olds by region and ethnicity </w:t>
      </w:r>
    </w:p>
    <w:p w:rsidR="00554171" w:rsidRPr="00332CC0" w:rsidRDefault="00554171" w:rsidP="00554171"/>
    <w:tbl>
      <w:tblPr>
        <w:tblStyle w:val="MediumGrid1-Accent2"/>
        <w:tblW w:w="9524" w:type="dxa"/>
        <w:tblLook w:val="04A0" w:firstRow="1" w:lastRow="0" w:firstColumn="1" w:lastColumn="0" w:noHBand="0" w:noVBand="1"/>
      </w:tblPr>
      <w:tblGrid>
        <w:gridCol w:w="1603"/>
        <w:gridCol w:w="1569"/>
        <w:gridCol w:w="1484"/>
        <w:gridCol w:w="1527"/>
        <w:gridCol w:w="1857"/>
        <w:gridCol w:w="1484"/>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Region</w:t>
            </w:r>
          </w:p>
        </w:tc>
        <w:tc>
          <w:tcPr>
            <w:tcW w:w="157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9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3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81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9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 xml:space="preserve">Auckland </w:t>
            </w:r>
          </w:p>
        </w:tc>
        <w:tc>
          <w:tcPr>
            <w:tcW w:w="15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85.7%</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75.0%</w:t>
            </w:r>
          </w:p>
        </w:tc>
        <w:tc>
          <w:tcPr>
            <w:tcW w:w="15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73.3%</w:t>
            </w:r>
          </w:p>
        </w:tc>
        <w:tc>
          <w:tcPr>
            <w:tcW w:w="181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78.6%</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81.1%</w:t>
            </w:r>
          </w:p>
        </w:tc>
      </w:tr>
      <w:tr w:rsidR="00554171" w:rsidRPr="00332CC0" w:rsidTr="00040D3F">
        <w:trPr>
          <w:trHeight w:val="92"/>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Waikato</w:t>
            </w:r>
          </w:p>
        </w:tc>
        <w:tc>
          <w:tcPr>
            <w:tcW w:w="15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83.8%</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77.4%</w:t>
            </w:r>
          </w:p>
        </w:tc>
        <w:tc>
          <w:tcPr>
            <w:tcW w:w="15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78.6%</w:t>
            </w:r>
          </w:p>
        </w:tc>
        <w:tc>
          <w:tcPr>
            <w:tcW w:w="181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86.5%</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83.1%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Wellington</w:t>
            </w:r>
          </w:p>
        </w:tc>
        <w:tc>
          <w:tcPr>
            <w:tcW w:w="15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88.0%</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85.0%</w:t>
            </w:r>
          </w:p>
        </w:tc>
        <w:tc>
          <w:tcPr>
            <w:tcW w:w="15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81.9%</w:t>
            </w:r>
          </w:p>
        </w:tc>
        <w:tc>
          <w:tcPr>
            <w:tcW w:w="181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85.0%</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87.1%</w:t>
            </w:r>
          </w:p>
        </w:tc>
      </w:tr>
      <w:tr w:rsidR="00554171" w:rsidRPr="00332CC0" w:rsidTr="00040D3F">
        <w:trPr>
          <w:trHeight w:val="92"/>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Canterbury</w:t>
            </w:r>
          </w:p>
        </w:tc>
        <w:tc>
          <w:tcPr>
            <w:tcW w:w="15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85.9%</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76.9%</w:t>
            </w:r>
          </w:p>
        </w:tc>
        <w:tc>
          <w:tcPr>
            <w:tcW w:w="15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82.8%</w:t>
            </w:r>
          </w:p>
        </w:tc>
        <w:tc>
          <w:tcPr>
            <w:tcW w:w="181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80.3%</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84.6%</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Rest of North Island</w:t>
            </w:r>
          </w:p>
        </w:tc>
        <w:tc>
          <w:tcPr>
            <w:tcW w:w="15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83.1%</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73.2%</w:t>
            </w:r>
          </w:p>
        </w:tc>
        <w:tc>
          <w:tcPr>
            <w:tcW w:w="15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77.5%</w:t>
            </w:r>
          </w:p>
        </w:tc>
        <w:tc>
          <w:tcPr>
            <w:tcW w:w="181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85.7%</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81.3%</w:t>
            </w:r>
          </w:p>
        </w:tc>
      </w:tr>
      <w:tr w:rsidR="00554171" w:rsidRPr="00332CC0" w:rsidTr="00040D3F">
        <w:trPr>
          <w:trHeight w:val="179"/>
        </w:trPr>
        <w:tc>
          <w:tcPr>
            <w:cnfStyle w:val="001000000000" w:firstRow="0" w:lastRow="0" w:firstColumn="1" w:lastColumn="0" w:oddVBand="0" w:evenVBand="0" w:oddHBand="0" w:evenHBand="0" w:firstRowFirstColumn="0" w:firstRowLastColumn="0" w:lastRowFirstColumn="0" w:lastRowLastColumn="0"/>
            <w:tcW w:w="1606" w:type="dxa"/>
          </w:tcPr>
          <w:p w:rsidR="00554171" w:rsidRPr="00332CC0" w:rsidRDefault="00554171" w:rsidP="00040D3F">
            <w:pPr>
              <w:rPr>
                <w:b w:val="0"/>
              </w:rPr>
            </w:pPr>
            <w:r w:rsidRPr="00332CC0">
              <w:t>Rest of South Island</w:t>
            </w:r>
          </w:p>
        </w:tc>
        <w:tc>
          <w:tcPr>
            <w:tcW w:w="15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84.8%</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76.0%</w:t>
            </w:r>
          </w:p>
        </w:tc>
        <w:tc>
          <w:tcPr>
            <w:tcW w:w="15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86.9%</w:t>
            </w:r>
          </w:p>
        </w:tc>
        <w:tc>
          <w:tcPr>
            <w:tcW w:w="181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86.1%</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84.9%</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4E76D5" w:rsidP="003252C6">
      <w:pPr>
        <w:rPr>
          <w:b/>
          <w:sz w:val="28"/>
          <w:szCs w:val="28"/>
        </w:rPr>
      </w:pPr>
      <w:r>
        <w:rPr>
          <w:b/>
          <w:sz w:val="28"/>
          <w:szCs w:val="28"/>
        </w:rPr>
        <w:t xml:space="preserve">Table </w:t>
      </w:r>
      <w:r w:rsidR="00997B54">
        <w:rPr>
          <w:b/>
          <w:sz w:val="28"/>
          <w:szCs w:val="28"/>
        </w:rPr>
        <w:t>9</w:t>
      </w:r>
      <w:r w:rsidR="00554171" w:rsidRPr="00332CC0">
        <w:rPr>
          <w:b/>
          <w:sz w:val="28"/>
          <w:szCs w:val="28"/>
        </w:rPr>
        <w:t xml:space="preserve">:  Unemployment rate: 25–44 year olds by region and ethnicity </w:t>
      </w:r>
    </w:p>
    <w:p w:rsidR="00554171" w:rsidRPr="00332CC0" w:rsidRDefault="00554171" w:rsidP="00554171"/>
    <w:tbl>
      <w:tblPr>
        <w:tblStyle w:val="MediumGrid1-Accent2"/>
        <w:tblW w:w="9362" w:type="dxa"/>
        <w:tblLook w:val="04A0" w:firstRow="1" w:lastRow="0" w:firstColumn="1" w:lastColumn="0" w:noHBand="0" w:noVBand="1"/>
      </w:tblPr>
      <w:tblGrid>
        <w:gridCol w:w="1577"/>
        <w:gridCol w:w="1540"/>
        <w:gridCol w:w="1453"/>
        <w:gridCol w:w="1497"/>
        <w:gridCol w:w="1857"/>
        <w:gridCol w:w="1438"/>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Region</w:t>
            </w:r>
          </w:p>
        </w:tc>
        <w:tc>
          <w:tcPr>
            <w:tcW w:w="154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7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1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8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6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 xml:space="preserve">Auckland </w:t>
            </w:r>
          </w:p>
        </w:tc>
        <w:tc>
          <w:tcPr>
            <w:tcW w:w="15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4.2%</w:t>
            </w:r>
          </w:p>
        </w:tc>
        <w:tc>
          <w:tcPr>
            <w:tcW w:w="147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8.0%</w:t>
            </w:r>
          </w:p>
        </w:tc>
        <w:tc>
          <w:tcPr>
            <w:tcW w:w="151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8.6%</w:t>
            </w:r>
          </w:p>
        </w:tc>
        <w:tc>
          <w:tcPr>
            <w:tcW w:w="17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9.2%</w:t>
            </w:r>
          </w:p>
        </w:tc>
        <w:tc>
          <w:tcPr>
            <w:tcW w:w="14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w:t>
            </w:r>
          </w:p>
        </w:tc>
      </w:tr>
      <w:tr w:rsidR="00554171" w:rsidRPr="00332CC0" w:rsidTr="00040D3F">
        <w:trPr>
          <w:trHeight w:val="292"/>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Waikato</w:t>
            </w:r>
          </w:p>
        </w:tc>
        <w:tc>
          <w:tcPr>
            <w:tcW w:w="15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3.5%</w:t>
            </w:r>
          </w:p>
        </w:tc>
        <w:tc>
          <w:tcPr>
            <w:tcW w:w="147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11.9%</w:t>
            </w:r>
          </w:p>
        </w:tc>
        <w:tc>
          <w:tcPr>
            <w:tcW w:w="151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8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6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5.2%</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Wellington</w:t>
            </w:r>
          </w:p>
        </w:tc>
        <w:tc>
          <w:tcPr>
            <w:tcW w:w="15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2.3%</w:t>
            </w:r>
          </w:p>
        </w:tc>
        <w:tc>
          <w:tcPr>
            <w:tcW w:w="147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9.5%</w:t>
            </w:r>
          </w:p>
        </w:tc>
        <w:tc>
          <w:tcPr>
            <w:tcW w:w="151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16.3%</w:t>
            </w:r>
          </w:p>
        </w:tc>
        <w:tc>
          <w:tcPr>
            <w:tcW w:w="17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3.9%</w:t>
            </w:r>
          </w:p>
        </w:tc>
      </w:tr>
      <w:tr w:rsidR="00554171" w:rsidRPr="00332CC0" w:rsidTr="00040D3F">
        <w:trPr>
          <w:trHeight w:val="316"/>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Canterbury</w:t>
            </w:r>
          </w:p>
        </w:tc>
        <w:tc>
          <w:tcPr>
            <w:tcW w:w="15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5.7%</w:t>
            </w:r>
          </w:p>
        </w:tc>
        <w:tc>
          <w:tcPr>
            <w:tcW w:w="147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51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8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9.5%</w:t>
            </w:r>
          </w:p>
        </w:tc>
        <w:tc>
          <w:tcPr>
            <w:tcW w:w="146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Rest of North Island</w:t>
            </w:r>
          </w:p>
        </w:tc>
        <w:tc>
          <w:tcPr>
            <w:tcW w:w="15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4.1%</w:t>
            </w:r>
          </w:p>
        </w:tc>
        <w:tc>
          <w:tcPr>
            <w:tcW w:w="147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11.4%</w:t>
            </w:r>
          </w:p>
        </w:tc>
        <w:tc>
          <w:tcPr>
            <w:tcW w:w="151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7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5.6%</w:t>
            </w:r>
          </w:p>
        </w:tc>
      </w:tr>
      <w:tr w:rsidR="00554171" w:rsidRPr="00332CC0" w:rsidTr="00040D3F">
        <w:trPr>
          <w:trHeight w:val="632"/>
        </w:trPr>
        <w:tc>
          <w:tcPr>
            <w:cnfStyle w:val="001000000000" w:firstRow="0" w:lastRow="0" w:firstColumn="1" w:lastColumn="0" w:oddVBand="0" w:evenVBand="0" w:oddHBand="0" w:evenHBand="0" w:firstRowFirstColumn="0" w:firstRowLastColumn="0" w:lastRowFirstColumn="0" w:lastRowLastColumn="0"/>
            <w:tcW w:w="1580" w:type="dxa"/>
          </w:tcPr>
          <w:p w:rsidR="00554171" w:rsidRPr="00332CC0" w:rsidRDefault="00554171" w:rsidP="00040D3F">
            <w:pPr>
              <w:rPr>
                <w:b w:val="0"/>
              </w:rPr>
            </w:pPr>
            <w:r w:rsidRPr="00332CC0">
              <w:t>Rest of South Island</w:t>
            </w:r>
          </w:p>
        </w:tc>
        <w:tc>
          <w:tcPr>
            <w:tcW w:w="15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3.9%</w:t>
            </w:r>
          </w:p>
        </w:tc>
        <w:tc>
          <w:tcPr>
            <w:tcW w:w="147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51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8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6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3.9%</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3252C6">
      <w:pPr>
        <w:rPr>
          <w:b/>
          <w:sz w:val="28"/>
          <w:szCs w:val="28"/>
        </w:rPr>
      </w:pPr>
      <w:r>
        <w:rPr>
          <w:b/>
          <w:sz w:val="28"/>
          <w:szCs w:val="28"/>
        </w:rPr>
        <w:t xml:space="preserve">Table </w:t>
      </w:r>
      <w:r w:rsidR="00997B54">
        <w:rPr>
          <w:b/>
          <w:sz w:val="28"/>
          <w:szCs w:val="28"/>
        </w:rPr>
        <w:t>10</w:t>
      </w:r>
      <w:r w:rsidR="00554171" w:rsidRPr="00332CC0">
        <w:rPr>
          <w:b/>
          <w:sz w:val="28"/>
          <w:szCs w:val="28"/>
        </w:rPr>
        <w:t xml:space="preserve">:  Participation rate:  45 and over by region and ethnicity </w:t>
      </w:r>
    </w:p>
    <w:p w:rsidR="00554171" w:rsidRPr="00332CC0" w:rsidRDefault="00554171" w:rsidP="00554171">
      <w:pPr>
        <w:rPr>
          <w:u w:val="single"/>
        </w:rPr>
      </w:pPr>
      <w:r w:rsidRPr="00332CC0">
        <w:rPr>
          <w:u w:val="single"/>
        </w:rPr>
        <w:t xml:space="preserve"> </w:t>
      </w:r>
    </w:p>
    <w:tbl>
      <w:tblPr>
        <w:tblStyle w:val="MediumGrid1-Accent2"/>
        <w:tblW w:w="9301" w:type="dxa"/>
        <w:tblLook w:val="04A0" w:firstRow="1" w:lastRow="0" w:firstColumn="1" w:lastColumn="0" w:noHBand="0" w:noVBand="1"/>
      </w:tblPr>
      <w:tblGrid>
        <w:gridCol w:w="1565"/>
        <w:gridCol w:w="1527"/>
        <w:gridCol w:w="1435"/>
        <w:gridCol w:w="1482"/>
        <w:gridCol w:w="1857"/>
        <w:gridCol w:w="1435"/>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Region</w:t>
            </w:r>
          </w:p>
        </w:tc>
        <w:tc>
          <w:tcPr>
            <w:tcW w:w="153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6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0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6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6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 xml:space="preserve">Auckland </w:t>
            </w:r>
          </w:p>
        </w:tc>
        <w:tc>
          <w:tcPr>
            <w:tcW w:w="15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63.2%</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70.3%</w:t>
            </w:r>
          </w:p>
        </w:tc>
        <w:tc>
          <w:tcPr>
            <w:tcW w:w="150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54.0%</w:t>
            </w:r>
          </w:p>
        </w:tc>
        <w:tc>
          <w:tcPr>
            <w:tcW w:w="176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55.9%</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61.0%</w:t>
            </w:r>
          </w:p>
        </w:tc>
      </w:tr>
      <w:tr w:rsidR="00554171" w:rsidRPr="00332CC0" w:rsidTr="00040D3F">
        <w:trPr>
          <w:trHeight w:val="279"/>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Waikato</w:t>
            </w:r>
          </w:p>
        </w:tc>
        <w:tc>
          <w:tcPr>
            <w:tcW w:w="153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62.8%</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57.7%</w:t>
            </w:r>
          </w:p>
        </w:tc>
        <w:tc>
          <w:tcPr>
            <w:tcW w:w="150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70.3%</w:t>
            </w:r>
          </w:p>
        </w:tc>
        <w:tc>
          <w:tcPr>
            <w:tcW w:w="176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64.0%</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Wellington</w:t>
            </w:r>
          </w:p>
        </w:tc>
        <w:tc>
          <w:tcPr>
            <w:tcW w:w="15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62.8%</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62.5%</w:t>
            </w:r>
          </w:p>
        </w:tc>
        <w:tc>
          <w:tcPr>
            <w:tcW w:w="150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67.2%</w:t>
            </w:r>
          </w:p>
        </w:tc>
        <w:tc>
          <w:tcPr>
            <w:tcW w:w="176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60.1%</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62.8%</w:t>
            </w:r>
          </w:p>
        </w:tc>
      </w:tr>
      <w:tr w:rsidR="00554171" w:rsidRPr="00332CC0" w:rsidTr="00040D3F">
        <w:trPr>
          <w:trHeight w:val="279"/>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Canterbury</w:t>
            </w:r>
          </w:p>
        </w:tc>
        <w:tc>
          <w:tcPr>
            <w:tcW w:w="153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62.9%</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73.5%</w:t>
            </w:r>
          </w:p>
        </w:tc>
        <w:tc>
          <w:tcPr>
            <w:tcW w:w="150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52.3%</w:t>
            </w:r>
          </w:p>
        </w:tc>
        <w:tc>
          <w:tcPr>
            <w:tcW w:w="176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53.8%</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62.1%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Rest of North Island</w:t>
            </w:r>
          </w:p>
        </w:tc>
        <w:tc>
          <w:tcPr>
            <w:tcW w:w="15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57.1%</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61.9%</w:t>
            </w:r>
          </w:p>
        </w:tc>
        <w:tc>
          <w:tcPr>
            <w:tcW w:w="150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72.2%</w:t>
            </w:r>
          </w:p>
        </w:tc>
        <w:tc>
          <w:tcPr>
            <w:tcW w:w="176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65.6%</w:t>
            </w:r>
          </w:p>
        </w:tc>
        <w:tc>
          <w:tcPr>
            <w:tcW w:w="146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57.9%</w:t>
            </w:r>
          </w:p>
        </w:tc>
      </w:tr>
      <w:tr w:rsidR="00554171" w:rsidRPr="00332CC0" w:rsidTr="00040D3F">
        <w:trPr>
          <w:trHeight w:val="582"/>
        </w:trPr>
        <w:tc>
          <w:tcPr>
            <w:cnfStyle w:val="001000000000" w:firstRow="0" w:lastRow="0" w:firstColumn="1" w:lastColumn="0" w:oddVBand="0" w:evenVBand="0" w:oddHBand="0" w:evenHBand="0" w:firstRowFirstColumn="0" w:firstRowLastColumn="0" w:lastRowFirstColumn="0" w:lastRowLastColumn="0"/>
            <w:tcW w:w="1568" w:type="dxa"/>
          </w:tcPr>
          <w:p w:rsidR="00554171" w:rsidRPr="00332CC0" w:rsidRDefault="00554171" w:rsidP="00040D3F">
            <w:pPr>
              <w:rPr>
                <w:b w:val="0"/>
              </w:rPr>
            </w:pPr>
            <w:r w:rsidRPr="00332CC0">
              <w:t>Rest of South Island</w:t>
            </w:r>
          </w:p>
        </w:tc>
        <w:tc>
          <w:tcPr>
            <w:tcW w:w="153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60.9%</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71.1%</w:t>
            </w:r>
          </w:p>
        </w:tc>
        <w:tc>
          <w:tcPr>
            <w:tcW w:w="150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6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61.9%</w:t>
            </w:r>
          </w:p>
        </w:tc>
        <w:tc>
          <w:tcPr>
            <w:tcW w:w="146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61.2%</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3252C6">
      <w:pPr>
        <w:rPr>
          <w:b/>
          <w:sz w:val="28"/>
          <w:szCs w:val="28"/>
        </w:rPr>
      </w:pPr>
      <w:r w:rsidRPr="00332CC0">
        <w:rPr>
          <w:b/>
          <w:sz w:val="28"/>
          <w:szCs w:val="28"/>
        </w:rPr>
        <w:t xml:space="preserve">Table </w:t>
      </w:r>
      <w:r w:rsidR="00997B54">
        <w:rPr>
          <w:b/>
          <w:sz w:val="28"/>
          <w:szCs w:val="28"/>
        </w:rPr>
        <w:t>11</w:t>
      </w:r>
      <w:r w:rsidRPr="00332CC0">
        <w:rPr>
          <w:b/>
          <w:sz w:val="28"/>
          <w:szCs w:val="28"/>
        </w:rPr>
        <w:t xml:space="preserve">:  Unemployment rate: 45 and over by region and ethnicity </w:t>
      </w:r>
    </w:p>
    <w:p w:rsidR="00554171" w:rsidRPr="00332CC0" w:rsidRDefault="00554171" w:rsidP="00554171"/>
    <w:tbl>
      <w:tblPr>
        <w:tblStyle w:val="MediumGrid1-Accent2"/>
        <w:tblW w:w="9263" w:type="dxa"/>
        <w:tblLook w:val="04A0" w:firstRow="1" w:lastRow="0" w:firstColumn="1" w:lastColumn="0" w:noHBand="0" w:noVBand="1"/>
      </w:tblPr>
      <w:tblGrid>
        <w:gridCol w:w="1561"/>
        <w:gridCol w:w="1524"/>
        <w:gridCol w:w="1427"/>
        <w:gridCol w:w="1478"/>
        <w:gridCol w:w="1857"/>
        <w:gridCol w:w="141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Region</w:t>
            </w:r>
          </w:p>
        </w:tc>
        <w:tc>
          <w:tcPr>
            <w:tcW w:w="153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5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49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6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44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 xml:space="preserve">Auckland </w:t>
            </w:r>
          </w:p>
        </w:tc>
        <w:tc>
          <w:tcPr>
            <w:tcW w:w="153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3.4%</w:t>
            </w:r>
          </w:p>
        </w:tc>
        <w:tc>
          <w:tcPr>
            <w:tcW w:w="145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7.4%</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8.0%</w:t>
            </w:r>
          </w:p>
        </w:tc>
        <w:tc>
          <w:tcPr>
            <w:tcW w:w="176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5.1%</w:t>
            </w:r>
          </w:p>
        </w:tc>
        <w:tc>
          <w:tcPr>
            <w:tcW w:w="14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4.2%</w:t>
            </w:r>
          </w:p>
        </w:tc>
      </w:tr>
      <w:tr w:rsidR="00554171" w:rsidRPr="00332CC0" w:rsidTr="00040D3F">
        <w:trPr>
          <w:trHeight w:val="266"/>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Waikato</w:t>
            </w:r>
          </w:p>
        </w:tc>
        <w:tc>
          <w:tcPr>
            <w:tcW w:w="153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2.0%</w:t>
            </w:r>
          </w:p>
        </w:tc>
        <w:tc>
          <w:tcPr>
            <w:tcW w:w="145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8.8%</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6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Wellington</w:t>
            </w:r>
          </w:p>
        </w:tc>
        <w:tc>
          <w:tcPr>
            <w:tcW w:w="153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3.1%</w:t>
            </w:r>
          </w:p>
        </w:tc>
        <w:tc>
          <w:tcPr>
            <w:tcW w:w="145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76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3.4%</w:t>
            </w:r>
          </w:p>
        </w:tc>
      </w:tr>
      <w:tr w:rsidR="00554171" w:rsidRPr="00332CC0" w:rsidTr="00040D3F">
        <w:trPr>
          <w:trHeight w:val="266"/>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Canterbury</w:t>
            </w:r>
          </w:p>
        </w:tc>
        <w:tc>
          <w:tcPr>
            <w:tcW w:w="153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3.0%</w:t>
            </w:r>
          </w:p>
        </w:tc>
        <w:tc>
          <w:tcPr>
            <w:tcW w:w="145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6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Rest of North Island</w:t>
            </w:r>
          </w:p>
        </w:tc>
        <w:tc>
          <w:tcPr>
            <w:tcW w:w="153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3.0%</w:t>
            </w:r>
          </w:p>
        </w:tc>
        <w:tc>
          <w:tcPr>
            <w:tcW w:w="145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8.4%</w:t>
            </w:r>
          </w:p>
        </w:tc>
        <w:tc>
          <w:tcPr>
            <w:tcW w:w="149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76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44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3.9%</w:t>
            </w:r>
          </w:p>
        </w:tc>
      </w:tr>
      <w:tr w:rsidR="00554171" w:rsidRPr="00332CC0" w:rsidTr="00040D3F">
        <w:trPr>
          <w:trHeight w:val="575"/>
        </w:trPr>
        <w:tc>
          <w:tcPr>
            <w:cnfStyle w:val="001000000000" w:firstRow="0" w:lastRow="0" w:firstColumn="1" w:lastColumn="0" w:oddVBand="0" w:evenVBand="0" w:oddHBand="0" w:evenHBand="0" w:firstRowFirstColumn="0" w:firstRowLastColumn="0" w:lastRowFirstColumn="0" w:lastRowLastColumn="0"/>
            <w:tcW w:w="1564" w:type="dxa"/>
          </w:tcPr>
          <w:p w:rsidR="00554171" w:rsidRPr="00332CC0" w:rsidRDefault="00554171" w:rsidP="00040D3F">
            <w:pPr>
              <w:rPr>
                <w:b w:val="0"/>
              </w:rPr>
            </w:pPr>
            <w:r w:rsidRPr="00332CC0">
              <w:t>Rest of South Island</w:t>
            </w:r>
          </w:p>
        </w:tc>
        <w:tc>
          <w:tcPr>
            <w:tcW w:w="153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2.4%</w:t>
            </w:r>
          </w:p>
        </w:tc>
        <w:tc>
          <w:tcPr>
            <w:tcW w:w="145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9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76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44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 xml:space="preserve">2.9% </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3252C6">
      <w:pPr>
        <w:rPr>
          <w:b/>
          <w:sz w:val="28"/>
          <w:szCs w:val="28"/>
        </w:rPr>
      </w:pPr>
      <w:r w:rsidRPr="00332CC0">
        <w:rPr>
          <w:b/>
          <w:sz w:val="28"/>
          <w:szCs w:val="28"/>
        </w:rPr>
        <w:t xml:space="preserve">Table </w:t>
      </w:r>
      <w:r w:rsidR="00997B54">
        <w:rPr>
          <w:b/>
          <w:sz w:val="28"/>
          <w:szCs w:val="28"/>
        </w:rPr>
        <w:t>12</w:t>
      </w:r>
      <w:r w:rsidRPr="00332CC0">
        <w:rPr>
          <w:b/>
          <w:sz w:val="28"/>
          <w:szCs w:val="28"/>
        </w:rPr>
        <w:t xml:space="preserve">:  Participation rate: Total by region and ethnicity </w:t>
      </w:r>
    </w:p>
    <w:p w:rsidR="00554171" w:rsidRPr="00332CC0" w:rsidRDefault="00554171" w:rsidP="00554171"/>
    <w:tbl>
      <w:tblPr>
        <w:tblStyle w:val="MediumGrid1-Accent2"/>
        <w:tblW w:w="9108" w:type="dxa"/>
        <w:tblLook w:val="04A0" w:firstRow="1" w:lastRow="0" w:firstColumn="1" w:lastColumn="0" w:noHBand="0" w:noVBand="1"/>
      </w:tblPr>
      <w:tblGrid>
        <w:gridCol w:w="1588"/>
        <w:gridCol w:w="1551"/>
        <w:gridCol w:w="1463"/>
        <w:gridCol w:w="1508"/>
        <w:gridCol w:w="1857"/>
        <w:gridCol w:w="1141"/>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Region</w:t>
            </w:r>
          </w:p>
        </w:tc>
        <w:tc>
          <w:tcPr>
            <w:tcW w:w="156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8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2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79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15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 xml:space="preserve">Auckland </w:t>
            </w:r>
          </w:p>
        </w:tc>
        <w:tc>
          <w:tcPr>
            <w:tcW w:w="156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70.7%</w:t>
            </w:r>
          </w:p>
        </w:tc>
        <w:tc>
          <w:tcPr>
            <w:tcW w:w="14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64.8%</w:t>
            </w:r>
          </w:p>
        </w:tc>
        <w:tc>
          <w:tcPr>
            <w:tcW w:w="152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58.7%</w:t>
            </w:r>
          </w:p>
        </w:tc>
        <w:tc>
          <w:tcPr>
            <w:tcW w:w="179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64.4%</w:t>
            </w:r>
          </w:p>
        </w:tc>
        <w:tc>
          <w:tcPr>
            <w:tcW w:w="115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67.3%</w:t>
            </w:r>
          </w:p>
        </w:tc>
      </w:tr>
      <w:tr w:rsidR="00554171" w:rsidRPr="00332CC0" w:rsidTr="00040D3F">
        <w:trPr>
          <w:trHeight w:val="303"/>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Waikato</w:t>
            </w:r>
          </w:p>
        </w:tc>
        <w:tc>
          <w:tcPr>
            <w:tcW w:w="156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69.9%</w:t>
            </w:r>
          </w:p>
        </w:tc>
        <w:tc>
          <w:tcPr>
            <w:tcW w:w="14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63.1%</w:t>
            </w:r>
          </w:p>
        </w:tc>
        <w:tc>
          <w:tcPr>
            <w:tcW w:w="152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73.1%</w:t>
            </w:r>
          </w:p>
        </w:tc>
        <w:tc>
          <w:tcPr>
            <w:tcW w:w="179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74.4%</w:t>
            </w:r>
          </w:p>
        </w:tc>
        <w:tc>
          <w:tcPr>
            <w:tcW w:w="115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68.7%</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Wellington</w:t>
            </w:r>
          </w:p>
        </w:tc>
        <w:tc>
          <w:tcPr>
            <w:tcW w:w="156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72.8%</w:t>
            </w:r>
          </w:p>
        </w:tc>
        <w:tc>
          <w:tcPr>
            <w:tcW w:w="14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73.8%</w:t>
            </w:r>
          </w:p>
        </w:tc>
        <w:tc>
          <w:tcPr>
            <w:tcW w:w="152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70.7%</w:t>
            </w:r>
          </w:p>
        </w:tc>
        <w:tc>
          <w:tcPr>
            <w:tcW w:w="179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74.1%</w:t>
            </w:r>
          </w:p>
        </w:tc>
        <w:tc>
          <w:tcPr>
            <w:tcW w:w="115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72.7%</w:t>
            </w:r>
          </w:p>
        </w:tc>
      </w:tr>
      <w:tr w:rsidR="00554171" w:rsidRPr="00332CC0" w:rsidTr="00040D3F">
        <w:trPr>
          <w:trHeight w:val="328"/>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Canterbury</w:t>
            </w:r>
          </w:p>
        </w:tc>
        <w:tc>
          <w:tcPr>
            <w:tcW w:w="156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71.7%</w:t>
            </w:r>
          </w:p>
        </w:tc>
        <w:tc>
          <w:tcPr>
            <w:tcW w:w="14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73.8%</w:t>
            </w:r>
          </w:p>
        </w:tc>
        <w:tc>
          <w:tcPr>
            <w:tcW w:w="152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53.3%</w:t>
            </w:r>
          </w:p>
        </w:tc>
        <w:tc>
          <w:tcPr>
            <w:tcW w:w="179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65.5%</w:t>
            </w:r>
          </w:p>
        </w:tc>
        <w:tc>
          <w:tcPr>
            <w:tcW w:w="115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70.7%</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Rest of North Island</w:t>
            </w:r>
          </w:p>
        </w:tc>
        <w:tc>
          <w:tcPr>
            <w:tcW w:w="156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65.8%</w:t>
            </w:r>
          </w:p>
        </w:tc>
        <w:tc>
          <w:tcPr>
            <w:tcW w:w="14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65.0%</w:t>
            </w:r>
          </w:p>
        </w:tc>
        <w:tc>
          <w:tcPr>
            <w:tcW w:w="152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72.7%</w:t>
            </w:r>
          </w:p>
        </w:tc>
        <w:tc>
          <w:tcPr>
            <w:tcW w:w="179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71.3%</w:t>
            </w:r>
          </w:p>
        </w:tc>
        <w:tc>
          <w:tcPr>
            <w:tcW w:w="115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65.8%</w:t>
            </w:r>
          </w:p>
        </w:tc>
      </w:tr>
      <w:tr w:rsidR="00554171" w:rsidRPr="00332CC0" w:rsidTr="00040D3F">
        <w:trPr>
          <w:trHeight w:val="656"/>
        </w:trPr>
        <w:tc>
          <w:tcPr>
            <w:cnfStyle w:val="001000000000" w:firstRow="0" w:lastRow="0" w:firstColumn="1" w:lastColumn="0" w:oddVBand="0" w:evenVBand="0" w:oddHBand="0" w:evenHBand="0" w:firstRowFirstColumn="0" w:firstRowLastColumn="0" w:lastRowFirstColumn="0" w:lastRowLastColumn="0"/>
            <w:tcW w:w="1592" w:type="dxa"/>
          </w:tcPr>
          <w:p w:rsidR="00554171" w:rsidRPr="00332CC0" w:rsidRDefault="00554171" w:rsidP="00040D3F">
            <w:pPr>
              <w:rPr>
                <w:b w:val="0"/>
              </w:rPr>
            </w:pPr>
            <w:r w:rsidRPr="00332CC0">
              <w:t>Rest of South Island</w:t>
            </w:r>
          </w:p>
        </w:tc>
        <w:tc>
          <w:tcPr>
            <w:tcW w:w="156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69.7%</w:t>
            </w:r>
          </w:p>
        </w:tc>
        <w:tc>
          <w:tcPr>
            <w:tcW w:w="14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67.9%</w:t>
            </w:r>
          </w:p>
        </w:tc>
        <w:tc>
          <w:tcPr>
            <w:tcW w:w="152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67.3%</w:t>
            </w:r>
          </w:p>
        </w:tc>
        <w:tc>
          <w:tcPr>
            <w:tcW w:w="179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69.8%</w:t>
            </w:r>
          </w:p>
        </w:tc>
        <w:tc>
          <w:tcPr>
            <w:tcW w:w="115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69.7%</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3</w:t>
      </w:r>
      <w:r w:rsidRPr="00332CC0">
        <w:rPr>
          <w:b/>
          <w:sz w:val="28"/>
          <w:szCs w:val="28"/>
        </w:rPr>
        <w:t xml:space="preserve">:  Unemployment rate: Total by region and ethnicity </w:t>
      </w:r>
    </w:p>
    <w:p w:rsidR="00554171" w:rsidRPr="00332CC0" w:rsidRDefault="00554171" w:rsidP="00554171"/>
    <w:tbl>
      <w:tblPr>
        <w:tblStyle w:val="MediumGrid1-Accent2"/>
        <w:tblW w:w="9108" w:type="dxa"/>
        <w:tblLook w:val="04A0" w:firstRow="1" w:lastRow="0" w:firstColumn="1" w:lastColumn="0" w:noHBand="0" w:noVBand="1"/>
      </w:tblPr>
      <w:tblGrid>
        <w:gridCol w:w="1593"/>
        <w:gridCol w:w="1558"/>
        <w:gridCol w:w="1472"/>
        <w:gridCol w:w="1515"/>
        <w:gridCol w:w="1857"/>
        <w:gridCol w:w="1113"/>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Region</w:t>
            </w:r>
          </w:p>
        </w:tc>
        <w:tc>
          <w:tcPr>
            <w:tcW w:w="156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European </w:t>
            </w:r>
          </w:p>
        </w:tc>
        <w:tc>
          <w:tcPr>
            <w:tcW w:w="149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Māori</w:t>
            </w:r>
          </w:p>
        </w:tc>
        <w:tc>
          <w:tcPr>
            <w:tcW w:w="152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Pacific peoples</w:t>
            </w:r>
          </w:p>
        </w:tc>
        <w:tc>
          <w:tcPr>
            <w:tcW w:w="180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Asian/MELAA/</w:t>
            </w: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other </w:t>
            </w:r>
          </w:p>
        </w:tc>
        <w:tc>
          <w:tcPr>
            <w:tcW w:w="112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 xml:space="preserve">Auckland </w:t>
            </w:r>
          </w:p>
        </w:tc>
        <w:tc>
          <w:tcPr>
            <w:tcW w:w="15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5.9%</w:t>
            </w:r>
          </w:p>
        </w:tc>
        <w:tc>
          <w:tcPr>
            <w:tcW w:w="149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12.2%</w:t>
            </w:r>
          </w:p>
        </w:tc>
        <w:tc>
          <w:tcPr>
            <w:tcW w:w="15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12.4%</w:t>
            </w:r>
          </w:p>
        </w:tc>
        <w:tc>
          <w:tcPr>
            <w:tcW w:w="18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9.9%</w:t>
            </w:r>
          </w:p>
        </w:tc>
        <w:tc>
          <w:tcPr>
            <w:tcW w:w="11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7.8%</w:t>
            </w:r>
          </w:p>
        </w:tc>
      </w:tr>
      <w:tr w:rsidR="00554171" w:rsidRPr="00332CC0" w:rsidTr="00040D3F">
        <w:trPr>
          <w:trHeight w:val="319"/>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Waikato</w:t>
            </w:r>
          </w:p>
        </w:tc>
        <w:tc>
          <w:tcPr>
            <w:tcW w:w="156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4.4%</w:t>
            </w:r>
          </w:p>
        </w:tc>
        <w:tc>
          <w:tcPr>
            <w:tcW w:w="149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14.7%</w:t>
            </w:r>
          </w:p>
        </w:tc>
        <w:tc>
          <w:tcPr>
            <w:tcW w:w="152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19.1%</w:t>
            </w:r>
          </w:p>
        </w:tc>
        <w:tc>
          <w:tcPr>
            <w:tcW w:w="180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6.5%</w:t>
            </w:r>
          </w:p>
        </w:tc>
        <w:tc>
          <w:tcPr>
            <w:tcW w:w="11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Wellington</w:t>
            </w:r>
          </w:p>
        </w:tc>
        <w:tc>
          <w:tcPr>
            <w:tcW w:w="15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4.3%</w:t>
            </w:r>
          </w:p>
        </w:tc>
        <w:tc>
          <w:tcPr>
            <w:tcW w:w="149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12.6%</w:t>
            </w:r>
          </w:p>
        </w:tc>
        <w:tc>
          <w:tcPr>
            <w:tcW w:w="15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16.7%</w:t>
            </w:r>
          </w:p>
        </w:tc>
        <w:tc>
          <w:tcPr>
            <w:tcW w:w="18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4.1%</w:t>
            </w:r>
          </w:p>
        </w:tc>
        <w:tc>
          <w:tcPr>
            <w:tcW w:w="11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5.4%</w:t>
            </w:r>
          </w:p>
        </w:tc>
      </w:tr>
      <w:tr w:rsidR="00554171" w:rsidRPr="00332CC0" w:rsidTr="00040D3F">
        <w:trPr>
          <w:trHeight w:val="319"/>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Canterbury</w:t>
            </w:r>
          </w:p>
        </w:tc>
        <w:tc>
          <w:tcPr>
            <w:tcW w:w="156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5.3%</w:t>
            </w:r>
          </w:p>
        </w:tc>
        <w:tc>
          <w:tcPr>
            <w:tcW w:w="149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8.6%</w:t>
            </w:r>
          </w:p>
        </w:tc>
        <w:tc>
          <w:tcPr>
            <w:tcW w:w="152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80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11.4%</w:t>
            </w:r>
          </w:p>
        </w:tc>
        <w:tc>
          <w:tcPr>
            <w:tcW w:w="11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Rest of North Island</w:t>
            </w:r>
          </w:p>
        </w:tc>
        <w:tc>
          <w:tcPr>
            <w:tcW w:w="15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5.3%</w:t>
            </w:r>
          </w:p>
        </w:tc>
        <w:tc>
          <w:tcPr>
            <w:tcW w:w="149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15.3%</w:t>
            </w:r>
          </w:p>
        </w:tc>
        <w:tc>
          <w:tcPr>
            <w:tcW w:w="15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18.7%</w:t>
            </w:r>
          </w:p>
        </w:tc>
        <w:tc>
          <w:tcPr>
            <w:tcW w:w="18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5.3%</w:t>
            </w:r>
          </w:p>
        </w:tc>
        <w:tc>
          <w:tcPr>
            <w:tcW w:w="11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7.1%</w:t>
            </w:r>
          </w:p>
        </w:tc>
      </w:tr>
      <w:tr w:rsidR="00554171" w:rsidRPr="00332CC0" w:rsidTr="00040D3F">
        <w:trPr>
          <w:trHeight w:val="613"/>
        </w:trPr>
        <w:tc>
          <w:tcPr>
            <w:cnfStyle w:val="001000000000" w:firstRow="0" w:lastRow="0" w:firstColumn="1" w:lastColumn="0" w:oddVBand="0" w:evenVBand="0" w:oddHBand="0" w:evenHBand="0" w:firstRowFirstColumn="0" w:firstRowLastColumn="0" w:lastRowFirstColumn="0" w:lastRowLastColumn="0"/>
            <w:tcW w:w="1597" w:type="dxa"/>
          </w:tcPr>
          <w:p w:rsidR="00554171" w:rsidRPr="00332CC0" w:rsidRDefault="00554171" w:rsidP="00040D3F">
            <w:pPr>
              <w:rPr>
                <w:b w:val="0"/>
              </w:rPr>
            </w:pPr>
            <w:r w:rsidRPr="00332CC0">
              <w:t>Rest of South Island</w:t>
            </w:r>
          </w:p>
        </w:tc>
        <w:tc>
          <w:tcPr>
            <w:tcW w:w="156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4.7%</w:t>
            </w:r>
          </w:p>
        </w:tc>
        <w:tc>
          <w:tcPr>
            <w:tcW w:w="149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10.7%</w:t>
            </w:r>
          </w:p>
        </w:tc>
        <w:tc>
          <w:tcPr>
            <w:tcW w:w="152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180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4.7%</w:t>
            </w:r>
          </w:p>
        </w:tc>
        <w:tc>
          <w:tcPr>
            <w:tcW w:w="11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5.0%</w:t>
            </w:r>
          </w:p>
        </w:tc>
      </w:tr>
    </w:tbl>
    <w:p w:rsidR="00554171" w:rsidRPr="00332CC0" w:rsidRDefault="00554171" w:rsidP="00554171"/>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t xml:space="preserve">Younger and older workers </w:t>
      </w:r>
    </w:p>
    <w:p w:rsidR="00554171" w:rsidRPr="00332CC0" w:rsidRDefault="00554171" w:rsidP="00554171">
      <w:pPr>
        <w:jc w:val="both"/>
        <w:rPr>
          <w:sz w:val="22"/>
          <w:szCs w:val="22"/>
        </w:rPr>
      </w:pPr>
      <w:r w:rsidRPr="00332CC0">
        <w:rPr>
          <w:sz w:val="22"/>
          <w:szCs w:val="22"/>
        </w:rPr>
        <w:t xml:space="preserve">In this section we refer to young workers as those under 25, and have separated those under and over 20 years old where possible. We have defined older </w:t>
      </w:r>
      <w:r>
        <w:rPr>
          <w:sz w:val="22"/>
          <w:szCs w:val="22"/>
        </w:rPr>
        <w:t>workers as those over 65</w:t>
      </w:r>
      <w:r w:rsidRPr="00332CC0">
        <w:rPr>
          <w:sz w:val="22"/>
          <w:szCs w:val="22"/>
        </w:rPr>
        <w:t xml:space="preserve">, for the purpose of this analysis.  Internationally, 55 years and over and sometimes 45 years and over constitute “older workers”.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Unemployment rates for young people, especially for those under 20 years old, are currently very high. These unemployment rates refer to those people who do not have a job, and are actively seeking work. Pacific youth, Māori and people from other ethnic minorities are much more likely to be unemployed</w:t>
      </w:r>
      <w:r w:rsidR="00C230D7">
        <w:rPr>
          <w:sz w:val="22"/>
          <w:szCs w:val="22"/>
        </w:rPr>
        <w:t xml:space="preserve"> than young Europeans. </w:t>
      </w:r>
      <w:r w:rsidR="00C230D7" w:rsidRPr="002127F2">
        <w:rPr>
          <w:sz w:val="22"/>
          <w:szCs w:val="22"/>
        </w:rPr>
        <w:t>Tables 14 and 15</w:t>
      </w:r>
      <w:r w:rsidRPr="002127F2">
        <w:rPr>
          <w:sz w:val="22"/>
          <w:szCs w:val="22"/>
        </w:rPr>
        <w:t xml:space="preserve"> demonstrate</w:t>
      </w:r>
      <w:r w:rsidRPr="00332CC0">
        <w:rPr>
          <w:sz w:val="22"/>
          <w:szCs w:val="22"/>
        </w:rPr>
        <w:t xml:space="preserve"> the double disadvantage of age and ethnicity.</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Participation rates reflect engagement in the labour force and many young people are participating in education, training or caregiving and so it is expected that the younger group (under 20 years) will have lower participation rates. The rate of young people who are disengaged from the labour market, that is, not in employment, education, training or caregiving (NEET) is of concern, and again is higher among Māori and Pacific youth. Young men have a slightly higher NEET rate than young women.</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Workers over 65 years have a much lower participation rate than younger cohorts but the rate in New Zealand is high compared to other OECD countries and is increasing. Interestingly, Māori have the highest proportion of over 65 years in the workforce by ethnicity. Participation rates of younger “older” workers (i.e. 45 -55 years) are very high and unemployment low.  </w:t>
      </w:r>
    </w:p>
    <w:p w:rsidR="00554171" w:rsidRPr="00332CC0" w:rsidRDefault="00554171" w:rsidP="00554171">
      <w:pPr>
        <w:rPr>
          <w:rStyle w:val="IntenseEmphasis"/>
        </w:rPr>
      </w:pPr>
    </w:p>
    <w:p w:rsidR="00554171" w:rsidRPr="00332CC0" w:rsidRDefault="00554171" w:rsidP="00554171">
      <w:pPr>
        <w:rPr>
          <w:rStyle w:val="IntenseEmphasis"/>
          <w:i w:val="0"/>
          <w:color w:val="auto"/>
          <w:sz w:val="28"/>
          <w:szCs w:val="28"/>
        </w:rPr>
      </w:pPr>
      <w:r w:rsidRPr="00332CC0">
        <w:rPr>
          <w:rStyle w:val="IntenseEmphasis"/>
          <w:i w:val="0"/>
          <w:color w:val="auto"/>
          <w:sz w:val="28"/>
          <w:szCs w:val="28"/>
        </w:rPr>
        <w:t xml:space="preserve">Employment statistics </w:t>
      </w:r>
    </w:p>
    <w:p w:rsidR="00554171" w:rsidRPr="00332CC0" w:rsidRDefault="00554171" w:rsidP="00554171">
      <w:r w:rsidRPr="00332CC0">
        <w:t xml:space="preserve"> </w:t>
      </w:r>
    </w:p>
    <w:p w:rsidR="00554171" w:rsidRPr="00332CC0" w:rsidRDefault="00554171" w:rsidP="002127F2">
      <w:pPr>
        <w:rPr>
          <w:b/>
          <w:sz w:val="28"/>
          <w:szCs w:val="28"/>
        </w:rPr>
      </w:pPr>
      <w:r w:rsidRPr="002127F2">
        <w:rPr>
          <w:b/>
          <w:sz w:val="28"/>
          <w:szCs w:val="28"/>
        </w:rPr>
        <w:t>Table 1</w:t>
      </w:r>
      <w:r w:rsidR="00997B54" w:rsidRPr="002127F2">
        <w:rPr>
          <w:b/>
          <w:sz w:val="28"/>
          <w:szCs w:val="28"/>
        </w:rPr>
        <w:t>4</w:t>
      </w:r>
      <w:r w:rsidRPr="002127F2">
        <w:rPr>
          <w:b/>
          <w:sz w:val="28"/>
          <w:szCs w:val="28"/>
        </w:rPr>
        <w:t>:   Participation rate by age and ethnicity</w:t>
      </w:r>
    </w:p>
    <w:p w:rsidR="00554171" w:rsidRPr="00332CC0" w:rsidRDefault="00554171" w:rsidP="00554171"/>
    <w:tbl>
      <w:tblPr>
        <w:tblStyle w:val="MediumGrid1-Accent2"/>
        <w:tblW w:w="0" w:type="auto"/>
        <w:tblLook w:val="04A0" w:firstRow="1" w:lastRow="0" w:firstColumn="1" w:lastColumn="0" w:noHBand="0" w:noVBand="1"/>
      </w:tblPr>
      <w:tblGrid>
        <w:gridCol w:w="1857"/>
        <w:gridCol w:w="1621"/>
        <w:gridCol w:w="1621"/>
        <w:gridCol w:w="1872"/>
        <w:gridCol w:w="198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 xml:space="preserve">Ethnicity </w:t>
            </w:r>
          </w:p>
        </w:tc>
        <w:tc>
          <w:tcPr>
            <w:tcW w:w="162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15-19</w:t>
            </w:r>
          </w:p>
        </w:tc>
        <w:tc>
          <w:tcPr>
            <w:tcW w:w="162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20-24</w:t>
            </w:r>
          </w:p>
        </w:tc>
        <w:tc>
          <w:tcPr>
            <w:tcW w:w="187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65 and over</w:t>
            </w:r>
          </w:p>
        </w:tc>
        <w:tc>
          <w:tcPr>
            <w:tcW w:w="198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 15 and over</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 xml:space="preserve">European </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54.6%</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80.7%</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18.1%</w:t>
            </w:r>
          </w:p>
        </w:tc>
        <w:tc>
          <w:tcPr>
            <w:tcW w:w="19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69.8%</w:t>
            </w:r>
          </w:p>
        </w:tc>
      </w:tr>
      <w:tr w:rsidR="00554171" w:rsidRPr="00332CC0" w:rsidTr="00040D3F">
        <w:trPr>
          <w:trHeight w:val="34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Māori</w:t>
            </w:r>
          </w:p>
        </w:tc>
        <w:tc>
          <w:tcPr>
            <w:tcW w:w="162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45.4%</w:t>
            </w:r>
          </w:p>
        </w:tc>
        <w:tc>
          <w:tcPr>
            <w:tcW w:w="162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69.7%</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20.2%</w:t>
            </w:r>
          </w:p>
        </w:tc>
        <w:tc>
          <w:tcPr>
            <w:tcW w:w="19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66.4%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Pacific peoples</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33.8%</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68.8%</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13.1%</w:t>
            </w:r>
          </w:p>
        </w:tc>
        <w:tc>
          <w:tcPr>
            <w:tcW w:w="19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61.6%</w:t>
            </w:r>
          </w:p>
        </w:tc>
      </w:tr>
      <w:tr w:rsidR="00554171" w:rsidRPr="00332CC0" w:rsidTr="00040D3F">
        <w:trPr>
          <w:trHeight w:val="68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Asian/MELAA/</w:t>
            </w:r>
          </w:p>
          <w:p w:rsidR="00554171" w:rsidRPr="00332CC0" w:rsidRDefault="00554171" w:rsidP="00040D3F">
            <w:pPr>
              <w:rPr>
                <w:b w:val="0"/>
              </w:rPr>
            </w:pPr>
            <w:r w:rsidRPr="00332CC0">
              <w:t xml:space="preserve">Other </w:t>
            </w:r>
          </w:p>
        </w:tc>
        <w:tc>
          <w:tcPr>
            <w:tcW w:w="162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34.5%</w:t>
            </w:r>
          </w:p>
        </w:tc>
        <w:tc>
          <w:tcPr>
            <w:tcW w:w="162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66.0%</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15.3%</w:t>
            </w:r>
          </w:p>
        </w:tc>
        <w:tc>
          <w:tcPr>
            <w:tcW w:w="19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66.9%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7" w:type="dxa"/>
          </w:tcPr>
          <w:p w:rsidR="00554171" w:rsidRPr="00332CC0" w:rsidRDefault="00554171" w:rsidP="00040D3F">
            <w:pPr>
              <w:rPr>
                <w:b w:val="0"/>
              </w:rPr>
            </w:pPr>
            <w:r w:rsidRPr="00332CC0">
              <w:t xml:space="preserve">Total </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48.5%</w:t>
            </w:r>
          </w:p>
        </w:tc>
        <w:tc>
          <w:tcPr>
            <w:tcW w:w="162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75.9%</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17.8%</w:t>
            </w:r>
          </w:p>
        </w:tc>
        <w:tc>
          <w:tcPr>
            <w:tcW w:w="19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68.5%</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5</w:t>
      </w:r>
      <w:r w:rsidRPr="00332CC0">
        <w:rPr>
          <w:b/>
          <w:sz w:val="28"/>
          <w:szCs w:val="28"/>
        </w:rPr>
        <w:t xml:space="preserve">:  Unemployment rate by age and ethnicity </w:t>
      </w:r>
    </w:p>
    <w:p w:rsidR="00554171" w:rsidRPr="00332CC0" w:rsidRDefault="00554171" w:rsidP="00554171"/>
    <w:tbl>
      <w:tblPr>
        <w:tblStyle w:val="MediumGrid1-Accent2"/>
        <w:tblW w:w="0" w:type="auto"/>
        <w:tblLook w:val="04A0" w:firstRow="1" w:lastRow="0" w:firstColumn="1" w:lastColumn="0" w:noHBand="0" w:noVBand="1"/>
      </w:tblPr>
      <w:tblGrid>
        <w:gridCol w:w="1857"/>
        <w:gridCol w:w="1633"/>
        <w:gridCol w:w="1633"/>
        <w:gridCol w:w="1885"/>
        <w:gridCol w:w="2000"/>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 xml:space="preserve">Ethnicity </w:t>
            </w:r>
          </w:p>
        </w:tc>
        <w:tc>
          <w:tcPr>
            <w:tcW w:w="163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15-19</w:t>
            </w:r>
          </w:p>
        </w:tc>
        <w:tc>
          <w:tcPr>
            <w:tcW w:w="163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20-24</w:t>
            </w:r>
          </w:p>
        </w:tc>
        <w:tc>
          <w:tcPr>
            <w:tcW w:w="188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65 and over</w:t>
            </w:r>
          </w:p>
        </w:tc>
        <w:tc>
          <w:tcPr>
            <w:tcW w:w="200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 15 and over</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 xml:space="preserve">European </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20.4%</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9.3%</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w:t>
            </w:r>
          </w:p>
        </w:tc>
        <w:tc>
          <w:tcPr>
            <w:tcW w:w="20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5.1%</w:t>
            </w:r>
          </w:p>
        </w:tc>
      </w:tr>
      <w:tr w:rsidR="00554171" w:rsidRPr="00332CC0" w:rsidTr="00040D3F">
        <w:trPr>
          <w:trHeight w:val="323"/>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Māori</w:t>
            </w:r>
          </w:p>
        </w:tc>
        <w:tc>
          <w:tcPr>
            <w:tcW w:w="163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38.2%</w:t>
            </w:r>
          </w:p>
        </w:tc>
        <w:tc>
          <w:tcPr>
            <w:tcW w:w="163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18.8%</w:t>
            </w:r>
          </w:p>
        </w:tc>
        <w:tc>
          <w:tcPr>
            <w:tcW w:w="188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200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13.4%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Pacific peoples</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40.9%</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17.2%</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20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13.6%</w:t>
            </w:r>
          </w:p>
        </w:tc>
      </w:tr>
      <w:tr w:rsidR="00554171" w:rsidRPr="00332CC0" w:rsidTr="00040D3F">
        <w:trPr>
          <w:trHeight w:val="621"/>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Asian/MELAA/</w:t>
            </w:r>
          </w:p>
          <w:p w:rsidR="00554171" w:rsidRPr="00332CC0" w:rsidRDefault="00554171" w:rsidP="00040D3F">
            <w:pPr>
              <w:rPr>
                <w:b w:val="0"/>
              </w:rPr>
            </w:pPr>
            <w:r w:rsidRPr="00332CC0">
              <w:t xml:space="preserve">Other </w:t>
            </w:r>
          </w:p>
        </w:tc>
        <w:tc>
          <w:tcPr>
            <w:tcW w:w="163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33.5%</w:t>
            </w:r>
          </w:p>
        </w:tc>
        <w:tc>
          <w:tcPr>
            <w:tcW w:w="163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12.2%</w:t>
            </w:r>
          </w:p>
        </w:tc>
        <w:tc>
          <w:tcPr>
            <w:tcW w:w="188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200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760" w:type="dxa"/>
          </w:tcPr>
          <w:p w:rsidR="00554171" w:rsidRPr="00332CC0" w:rsidRDefault="00554171" w:rsidP="00040D3F">
            <w:pPr>
              <w:rPr>
                <w:b w:val="0"/>
              </w:rPr>
            </w:pPr>
            <w:r w:rsidRPr="00332CC0">
              <w:t xml:space="preserve">Total </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25.5%</w:t>
            </w:r>
          </w:p>
        </w:tc>
        <w:tc>
          <w:tcPr>
            <w:tcW w:w="163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11.2%</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w:t>
            </w:r>
          </w:p>
        </w:tc>
        <w:tc>
          <w:tcPr>
            <w:tcW w:w="200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6.6%</w:t>
            </w:r>
          </w:p>
        </w:tc>
      </w:tr>
    </w:tbl>
    <w:p w:rsidR="00554171" w:rsidRPr="00332CC0" w:rsidRDefault="00554171" w:rsidP="00554171">
      <w:r w:rsidRPr="00332CC0">
        <w:t xml:space="preserve"> </w:t>
      </w:r>
    </w:p>
    <w:p w:rsidR="00554171" w:rsidRPr="00332CC0" w:rsidRDefault="00554171" w:rsidP="00554171">
      <w:pPr>
        <w:rPr>
          <w:b/>
          <w:sz w:val="28"/>
          <w:szCs w:val="28"/>
        </w:rPr>
      </w:pPr>
    </w:p>
    <w:p w:rsidR="00554171" w:rsidRPr="00332CC0" w:rsidRDefault="00997B54" w:rsidP="002127F2">
      <w:pPr>
        <w:rPr>
          <w:b/>
          <w:sz w:val="28"/>
          <w:szCs w:val="28"/>
        </w:rPr>
      </w:pPr>
      <w:r w:rsidRPr="002127F2">
        <w:rPr>
          <w:b/>
          <w:sz w:val="28"/>
          <w:szCs w:val="28"/>
        </w:rPr>
        <w:t>Table 16</w:t>
      </w:r>
      <w:r w:rsidR="00554171" w:rsidRPr="002127F2">
        <w:rPr>
          <w:b/>
          <w:sz w:val="28"/>
          <w:szCs w:val="28"/>
        </w:rPr>
        <w:t>:  Gender participation rate by age</w:t>
      </w:r>
    </w:p>
    <w:p w:rsidR="00554171" w:rsidRPr="00332CC0" w:rsidRDefault="00554171" w:rsidP="00554171">
      <w:pPr>
        <w:rPr>
          <w:b/>
        </w:rPr>
      </w:pPr>
    </w:p>
    <w:tbl>
      <w:tblPr>
        <w:tblStyle w:val="MediumGrid1-Accent2"/>
        <w:tblW w:w="0" w:type="auto"/>
        <w:tblLook w:val="04A0" w:firstRow="1" w:lastRow="0" w:firstColumn="1" w:lastColumn="0" w:noHBand="0" w:noVBand="1"/>
      </w:tblPr>
      <w:tblGrid>
        <w:gridCol w:w="1652"/>
        <w:gridCol w:w="1652"/>
        <w:gridCol w:w="1652"/>
        <w:gridCol w:w="1908"/>
        <w:gridCol w:w="2024"/>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652" w:type="dxa"/>
          </w:tcPr>
          <w:p w:rsidR="00554171" w:rsidRPr="00332CC0" w:rsidRDefault="00554171" w:rsidP="00040D3F">
            <w:pPr>
              <w:rPr>
                <w:b w:val="0"/>
              </w:rPr>
            </w:pPr>
            <w:r w:rsidRPr="00332CC0">
              <w:t>Gender</w:t>
            </w:r>
          </w:p>
        </w:tc>
        <w:tc>
          <w:tcPr>
            <w:tcW w:w="165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15-19</w:t>
            </w:r>
          </w:p>
        </w:tc>
        <w:tc>
          <w:tcPr>
            <w:tcW w:w="165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20-24</w:t>
            </w:r>
          </w:p>
        </w:tc>
        <w:tc>
          <w:tcPr>
            <w:tcW w:w="190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65 and over</w:t>
            </w:r>
          </w:p>
        </w:tc>
        <w:tc>
          <w:tcPr>
            <w:tcW w:w="202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 15 and over</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52" w:type="dxa"/>
          </w:tcPr>
          <w:p w:rsidR="00554171" w:rsidRPr="00332CC0" w:rsidRDefault="00554171" w:rsidP="00040D3F">
            <w:pPr>
              <w:rPr>
                <w:b w:val="0"/>
              </w:rPr>
            </w:pPr>
            <w:r w:rsidRPr="00332CC0">
              <w:t>Male</w:t>
            </w:r>
          </w:p>
        </w:tc>
        <w:tc>
          <w:tcPr>
            <w:tcW w:w="165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48.6%</w:t>
            </w:r>
          </w:p>
        </w:tc>
        <w:tc>
          <w:tcPr>
            <w:tcW w:w="165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80.2%</w:t>
            </w:r>
          </w:p>
        </w:tc>
        <w:tc>
          <w:tcPr>
            <w:tcW w:w="19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23.5%</w:t>
            </w:r>
          </w:p>
        </w:tc>
        <w:tc>
          <w:tcPr>
            <w:tcW w:w="20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74.9%</w:t>
            </w:r>
          </w:p>
        </w:tc>
      </w:tr>
      <w:tr w:rsidR="00554171" w:rsidRPr="00332CC0" w:rsidTr="00040D3F">
        <w:trPr>
          <w:trHeight w:val="334"/>
        </w:trPr>
        <w:tc>
          <w:tcPr>
            <w:cnfStyle w:val="001000000000" w:firstRow="0" w:lastRow="0" w:firstColumn="1" w:lastColumn="0" w:oddVBand="0" w:evenVBand="0" w:oddHBand="0" w:evenHBand="0" w:firstRowFirstColumn="0" w:firstRowLastColumn="0" w:lastRowFirstColumn="0" w:lastRowLastColumn="0"/>
            <w:tcW w:w="1652" w:type="dxa"/>
          </w:tcPr>
          <w:p w:rsidR="00554171" w:rsidRPr="00332CC0" w:rsidRDefault="00554171" w:rsidP="00040D3F">
            <w:pPr>
              <w:rPr>
                <w:b w:val="0"/>
              </w:rPr>
            </w:pPr>
            <w:r w:rsidRPr="00332CC0">
              <w:t>Female</w:t>
            </w:r>
          </w:p>
        </w:tc>
        <w:tc>
          <w:tcPr>
            <w:tcW w:w="165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48.4%</w:t>
            </w:r>
          </w:p>
        </w:tc>
        <w:tc>
          <w:tcPr>
            <w:tcW w:w="165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71.3%</w:t>
            </w:r>
          </w:p>
        </w:tc>
        <w:tc>
          <w:tcPr>
            <w:tcW w:w="190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12.9%</w:t>
            </w:r>
          </w:p>
        </w:tc>
        <w:tc>
          <w:tcPr>
            <w:tcW w:w="20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62.5%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52" w:type="dxa"/>
          </w:tcPr>
          <w:p w:rsidR="00554171" w:rsidRPr="00332CC0" w:rsidRDefault="00554171" w:rsidP="00040D3F">
            <w:pPr>
              <w:rPr>
                <w:b w:val="0"/>
              </w:rPr>
            </w:pPr>
            <w:r w:rsidRPr="00332CC0">
              <w:t xml:space="preserve">Total </w:t>
            </w:r>
          </w:p>
        </w:tc>
        <w:tc>
          <w:tcPr>
            <w:tcW w:w="165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48.5%</w:t>
            </w:r>
          </w:p>
        </w:tc>
        <w:tc>
          <w:tcPr>
            <w:tcW w:w="165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75.9%</w:t>
            </w:r>
          </w:p>
        </w:tc>
        <w:tc>
          <w:tcPr>
            <w:tcW w:w="19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17.8%</w:t>
            </w:r>
          </w:p>
        </w:tc>
        <w:tc>
          <w:tcPr>
            <w:tcW w:w="20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68.5%</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997B54" w:rsidP="002127F2">
      <w:pPr>
        <w:rPr>
          <w:b/>
          <w:sz w:val="28"/>
          <w:szCs w:val="28"/>
        </w:rPr>
      </w:pPr>
      <w:r>
        <w:rPr>
          <w:b/>
          <w:sz w:val="28"/>
          <w:szCs w:val="28"/>
        </w:rPr>
        <w:t>Table 17</w:t>
      </w:r>
      <w:r w:rsidR="00554171" w:rsidRPr="00332CC0">
        <w:rPr>
          <w:b/>
          <w:sz w:val="28"/>
          <w:szCs w:val="28"/>
        </w:rPr>
        <w:t>:  Gender unemployment rate by age</w:t>
      </w:r>
    </w:p>
    <w:p w:rsidR="00554171" w:rsidRPr="00332CC0" w:rsidRDefault="00554171" w:rsidP="00554171"/>
    <w:tbl>
      <w:tblPr>
        <w:tblStyle w:val="MediumGrid1-Accent2"/>
        <w:tblW w:w="0" w:type="auto"/>
        <w:tblLook w:val="04A0" w:firstRow="1" w:lastRow="0" w:firstColumn="1" w:lastColumn="0" w:noHBand="0" w:noVBand="1"/>
      </w:tblPr>
      <w:tblGrid>
        <w:gridCol w:w="1644"/>
        <w:gridCol w:w="1644"/>
        <w:gridCol w:w="1644"/>
        <w:gridCol w:w="1899"/>
        <w:gridCol w:w="2014"/>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44" w:type="dxa"/>
          </w:tcPr>
          <w:p w:rsidR="00554171" w:rsidRPr="00332CC0" w:rsidRDefault="00554171" w:rsidP="00040D3F">
            <w:pPr>
              <w:rPr>
                <w:b w:val="0"/>
              </w:rPr>
            </w:pPr>
            <w:r w:rsidRPr="00332CC0">
              <w:t xml:space="preserve">Gender </w:t>
            </w:r>
          </w:p>
        </w:tc>
        <w:tc>
          <w:tcPr>
            <w:tcW w:w="164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15-19</w:t>
            </w:r>
          </w:p>
        </w:tc>
        <w:tc>
          <w:tcPr>
            <w:tcW w:w="164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20-24</w:t>
            </w:r>
          </w:p>
        </w:tc>
        <w:tc>
          <w:tcPr>
            <w:tcW w:w="189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65 and over</w:t>
            </w:r>
          </w:p>
        </w:tc>
        <w:tc>
          <w:tcPr>
            <w:tcW w:w="2014" w:type="dxa"/>
          </w:tcPr>
          <w:p w:rsidR="00554171" w:rsidRPr="00332CC0" w:rsidRDefault="00554171" w:rsidP="00040D3F">
            <w:pPr>
              <w:ind w:right="-101"/>
              <w:cnfStyle w:val="100000000000" w:firstRow="1" w:lastRow="0" w:firstColumn="0" w:lastColumn="0" w:oddVBand="0" w:evenVBand="0" w:oddHBand="0" w:evenHBand="0" w:firstRowFirstColumn="0" w:firstRowLastColumn="0" w:lastRowFirstColumn="0" w:lastRowLastColumn="0"/>
              <w:rPr>
                <w:b w:val="0"/>
              </w:rPr>
            </w:pPr>
            <w:r w:rsidRPr="00332CC0">
              <w:t>Total 15 and over</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44" w:type="dxa"/>
          </w:tcPr>
          <w:p w:rsidR="00554171" w:rsidRPr="00332CC0" w:rsidRDefault="00554171" w:rsidP="00040D3F">
            <w:pPr>
              <w:rPr>
                <w:b w:val="0"/>
              </w:rPr>
            </w:pPr>
            <w:r w:rsidRPr="00332CC0">
              <w:t>Male</w:t>
            </w:r>
          </w:p>
        </w:tc>
        <w:tc>
          <w:tcPr>
            <w:tcW w:w="164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24.8%</w:t>
            </w:r>
          </w:p>
        </w:tc>
        <w:tc>
          <w:tcPr>
            <w:tcW w:w="164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11.6%</w:t>
            </w:r>
          </w:p>
        </w:tc>
        <w:tc>
          <w:tcPr>
            <w:tcW w:w="189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2.5%</w:t>
            </w:r>
          </w:p>
        </w:tc>
        <w:tc>
          <w:tcPr>
            <w:tcW w:w="201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w:t>
            </w:r>
          </w:p>
        </w:tc>
      </w:tr>
      <w:tr w:rsidR="00554171" w:rsidRPr="00332CC0" w:rsidTr="00040D3F">
        <w:trPr>
          <w:trHeight w:val="369"/>
        </w:trPr>
        <w:tc>
          <w:tcPr>
            <w:cnfStyle w:val="001000000000" w:firstRow="0" w:lastRow="0" w:firstColumn="1" w:lastColumn="0" w:oddVBand="0" w:evenVBand="0" w:oddHBand="0" w:evenHBand="0" w:firstRowFirstColumn="0" w:firstRowLastColumn="0" w:lastRowFirstColumn="0" w:lastRowLastColumn="0"/>
            <w:tcW w:w="1644" w:type="dxa"/>
          </w:tcPr>
          <w:p w:rsidR="00554171" w:rsidRPr="00332CC0" w:rsidRDefault="00554171" w:rsidP="00040D3F">
            <w:pPr>
              <w:rPr>
                <w:b w:val="0"/>
              </w:rPr>
            </w:pPr>
            <w:r w:rsidRPr="00332CC0">
              <w:t>Female</w:t>
            </w:r>
          </w:p>
        </w:tc>
        <w:tc>
          <w:tcPr>
            <w:tcW w:w="164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26.3%</w:t>
            </w:r>
          </w:p>
        </w:tc>
        <w:tc>
          <w:tcPr>
            <w:tcW w:w="164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10.8%</w:t>
            </w:r>
          </w:p>
        </w:tc>
        <w:tc>
          <w:tcPr>
            <w:tcW w:w="189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..S</w:t>
            </w:r>
          </w:p>
        </w:tc>
        <w:tc>
          <w:tcPr>
            <w:tcW w:w="201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44" w:type="dxa"/>
          </w:tcPr>
          <w:p w:rsidR="00554171" w:rsidRPr="00332CC0" w:rsidRDefault="00554171" w:rsidP="00040D3F">
            <w:pPr>
              <w:rPr>
                <w:b w:val="0"/>
              </w:rPr>
            </w:pPr>
            <w:r w:rsidRPr="00332CC0">
              <w:t xml:space="preserve">Total </w:t>
            </w:r>
          </w:p>
        </w:tc>
        <w:tc>
          <w:tcPr>
            <w:tcW w:w="164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25.5%</w:t>
            </w:r>
          </w:p>
        </w:tc>
        <w:tc>
          <w:tcPr>
            <w:tcW w:w="164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11.2%</w:t>
            </w:r>
          </w:p>
        </w:tc>
        <w:tc>
          <w:tcPr>
            <w:tcW w:w="189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w:t>
            </w:r>
          </w:p>
        </w:tc>
        <w:tc>
          <w:tcPr>
            <w:tcW w:w="201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6.6%</w:t>
            </w:r>
          </w:p>
        </w:tc>
      </w:tr>
    </w:tbl>
    <w:p w:rsidR="00554171" w:rsidRPr="00332CC0" w:rsidRDefault="00554171" w:rsidP="00554171">
      <w:pPr>
        <w:rPr>
          <w:sz w:val="22"/>
        </w:rPr>
      </w:pPr>
    </w:p>
    <w:p w:rsidR="00554171" w:rsidRPr="00332CC0" w:rsidRDefault="00554171" w:rsidP="00554171">
      <w:pPr>
        <w:rPr>
          <w:sz w:val="22"/>
        </w:rPr>
      </w:pPr>
    </w:p>
    <w:p w:rsidR="00554171" w:rsidRPr="00332CC0" w:rsidRDefault="00554171" w:rsidP="00554171">
      <w:pPr>
        <w:jc w:val="both"/>
        <w:rPr>
          <w:sz w:val="22"/>
        </w:rPr>
      </w:pPr>
      <w:r w:rsidRPr="002127F2">
        <w:rPr>
          <w:sz w:val="22"/>
        </w:rPr>
        <w:t xml:space="preserve">Older workers are sometimes categorised as those over 45. Table </w:t>
      </w:r>
      <w:r w:rsidR="00C230D7" w:rsidRPr="002127F2">
        <w:rPr>
          <w:sz w:val="22"/>
        </w:rPr>
        <w:t>18</w:t>
      </w:r>
      <w:r w:rsidRPr="002127F2">
        <w:rPr>
          <w:sz w:val="22"/>
        </w:rPr>
        <w:t xml:space="preserve"> shows participation rates start to reduce in the late fifties and early sixties but reduce sharply at 65 ye</w:t>
      </w:r>
      <w:r w:rsidRPr="00332CC0">
        <w:rPr>
          <w:sz w:val="22"/>
        </w:rPr>
        <w:t xml:space="preserve">ars. </w:t>
      </w:r>
    </w:p>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8</w:t>
      </w:r>
      <w:r w:rsidRPr="00332CC0">
        <w:rPr>
          <w:b/>
          <w:sz w:val="28"/>
          <w:szCs w:val="28"/>
        </w:rPr>
        <w:t>:  Participation and unemployment of older workers</w:t>
      </w:r>
    </w:p>
    <w:p w:rsidR="00554171" w:rsidRPr="00332CC0" w:rsidRDefault="00554171" w:rsidP="00554171">
      <w:pPr>
        <w:rPr>
          <w:b/>
          <w:sz w:val="28"/>
          <w:szCs w:val="28"/>
        </w:rPr>
      </w:pPr>
    </w:p>
    <w:tbl>
      <w:tblPr>
        <w:tblStyle w:val="MediumGrid1-Accent2"/>
        <w:tblW w:w="8819" w:type="dxa"/>
        <w:tblLook w:val="04A0" w:firstRow="1" w:lastRow="0" w:firstColumn="1" w:lastColumn="0" w:noHBand="0" w:noVBand="1"/>
      </w:tblPr>
      <w:tblGrid>
        <w:gridCol w:w="2939"/>
        <w:gridCol w:w="2940"/>
        <w:gridCol w:w="2940"/>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39" w:type="dxa"/>
          </w:tcPr>
          <w:p w:rsidR="00554171" w:rsidRPr="00332CC0" w:rsidRDefault="00554171" w:rsidP="00040D3F">
            <w:pPr>
              <w:autoSpaceDE w:val="0"/>
              <w:autoSpaceDN w:val="0"/>
              <w:adjustRightInd w:val="0"/>
              <w:spacing w:before="240" w:line="360" w:lineRule="auto"/>
              <w:rPr>
                <w:rFonts w:cs="Arial"/>
              </w:rPr>
            </w:pPr>
            <w:r w:rsidRPr="00332CC0">
              <w:rPr>
                <w:rFonts w:cs="Arial"/>
              </w:rPr>
              <w:t>Older workers</w:t>
            </w:r>
          </w:p>
        </w:tc>
        <w:tc>
          <w:tcPr>
            <w:tcW w:w="2940" w:type="dxa"/>
            <w:hideMark/>
          </w:tcPr>
          <w:p w:rsidR="00554171" w:rsidRPr="00332CC0" w:rsidRDefault="00554171" w:rsidP="00040D3F">
            <w:pPr>
              <w:autoSpaceDE w:val="0"/>
              <w:autoSpaceDN w:val="0"/>
              <w:adjustRightInd w:val="0"/>
              <w:spacing w:before="240" w:line="360" w:lineRule="auto"/>
              <w:ind w:left="250"/>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Participation</w:t>
            </w:r>
          </w:p>
        </w:tc>
        <w:tc>
          <w:tcPr>
            <w:tcW w:w="2940" w:type="dxa"/>
            <w:hideMark/>
          </w:tcPr>
          <w:p w:rsidR="00554171" w:rsidRPr="00332CC0" w:rsidRDefault="00554171" w:rsidP="00040D3F">
            <w:pPr>
              <w:autoSpaceDE w:val="0"/>
              <w:autoSpaceDN w:val="0"/>
              <w:adjustRightInd w:val="0"/>
              <w:spacing w:before="240" w:line="360" w:lineRule="auto"/>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Unemployment</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45–49</w:t>
            </w:r>
          </w:p>
        </w:tc>
        <w:tc>
          <w:tcPr>
            <w:tcW w:w="2940" w:type="dxa"/>
            <w:hideMark/>
          </w:tcPr>
          <w:p w:rsidR="00554171" w:rsidRPr="00332CC0" w:rsidRDefault="00554171" w:rsidP="00040D3F">
            <w:pPr>
              <w:autoSpaceDE w:val="0"/>
              <w:autoSpaceDN w:val="0"/>
              <w:adjustRightInd w:val="0"/>
              <w:spacing w:line="360" w:lineRule="auto"/>
              <w:ind w:left="340"/>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87%</w:t>
            </w:r>
          </w:p>
        </w:tc>
        <w:tc>
          <w:tcPr>
            <w:tcW w:w="2940" w:type="dxa"/>
            <w:hideMark/>
          </w:tcPr>
          <w:p w:rsidR="00554171" w:rsidRPr="00332CC0" w:rsidRDefault="00554171" w:rsidP="00040D3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4.0%</w:t>
            </w:r>
          </w:p>
        </w:tc>
      </w:tr>
      <w:tr w:rsidR="00554171" w:rsidRPr="00332CC0" w:rsidTr="00040D3F">
        <w:trPr>
          <w:trHeight w:val="314"/>
        </w:trPr>
        <w:tc>
          <w:tcPr>
            <w:cnfStyle w:val="001000000000" w:firstRow="0" w:lastRow="0" w:firstColumn="1" w:lastColumn="0" w:oddVBand="0" w:evenVBand="0" w:oddHBand="0" w:evenHBand="0" w:firstRowFirstColumn="0" w:firstRowLastColumn="0" w:lastRowFirstColumn="0" w:lastRowLastColumn="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50–54</w:t>
            </w:r>
          </w:p>
        </w:tc>
        <w:tc>
          <w:tcPr>
            <w:tcW w:w="2940" w:type="dxa"/>
            <w:hideMark/>
          </w:tcPr>
          <w:p w:rsidR="00554171" w:rsidRPr="00332CC0" w:rsidRDefault="00554171" w:rsidP="00040D3F">
            <w:pPr>
              <w:autoSpaceDE w:val="0"/>
              <w:autoSpaceDN w:val="0"/>
              <w:adjustRightInd w:val="0"/>
              <w:spacing w:line="360" w:lineRule="auto"/>
              <w:ind w:left="340"/>
              <w:cnfStyle w:val="000000000000" w:firstRow="0" w:lastRow="0" w:firstColumn="0" w:lastColumn="0" w:oddVBand="0" w:evenVBand="0" w:oddHBand="0" w:evenHBand="0" w:firstRowFirstColumn="0" w:firstRowLastColumn="0" w:lastRowFirstColumn="0" w:lastRowLastColumn="0"/>
              <w:rPr>
                <w:rFonts w:cs="Arial"/>
                <w:color w:val="000000"/>
              </w:rPr>
            </w:pPr>
            <w:r w:rsidRPr="00332CC0">
              <w:rPr>
                <w:rFonts w:cs="Arial"/>
                <w:color w:val="000000"/>
              </w:rPr>
              <w:t>86.3%</w:t>
            </w:r>
          </w:p>
        </w:tc>
        <w:tc>
          <w:tcPr>
            <w:tcW w:w="2940" w:type="dxa"/>
            <w:hideMark/>
          </w:tcPr>
          <w:p w:rsidR="00554171" w:rsidRPr="00332CC0" w:rsidRDefault="00554171" w:rsidP="00040D3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332CC0">
              <w:rPr>
                <w:rFonts w:cs="Arial"/>
                <w:color w:val="000000"/>
              </w:rPr>
              <w:t>3.8%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55–59</w:t>
            </w:r>
          </w:p>
        </w:tc>
        <w:tc>
          <w:tcPr>
            <w:tcW w:w="2940" w:type="dxa"/>
            <w:hideMark/>
          </w:tcPr>
          <w:p w:rsidR="00554171" w:rsidRPr="00332CC0" w:rsidRDefault="00554171" w:rsidP="00040D3F">
            <w:pPr>
              <w:autoSpaceDE w:val="0"/>
              <w:autoSpaceDN w:val="0"/>
              <w:adjustRightInd w:val="0"/>
              <w:spacing w:line="360" w:lineRule="auto"/>
              <w:ind w:left="340"/>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81.4%</w:t>
            </w:r>
          </w:p>
        </w:tc>
        <w:tc>
          <w:tcPr>
            <w:tcW w:w="2940" w:type="dxa"/>
            <w:hideMark/>
          </w:tcPr>
          <w:p w:rsidR="00554171" w:rsidRPr="00332CC0" w:rsidRDefault="00554171" w:rsidP="00040D3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3.7%</w:t>
            </w:r>
          </w:p>
        </w:tc>
      </w:tr>
      <w:tr w:rsidR="00554171" w:rsidRPr="00332CC0" w:rsidTr="00040D3F">
        <w:trPr>
          <w:trHeight w:val="314"/>
        </w:trPr>
        <w:tc>
          <w:tcPr>
            <w:cnfStyle w:val="001000000000" w:firstRow="0" w:lastRow="0" w:firstColumn="1" w:lastColumn="0" w:oddVBand="0" w:evenVBand="0" w:oddHBand="0" w:evenHBand="0" w:firstRowFirstColumn="0" w:firstRowLastColumn="0" w:lastRowFirstColumn="0" w:lastRowLastColumn="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60–64</w:t>
            </w:r>
          </w:p>
        </w:tc>
        <w:tc>
          <w:tcPr>
            <w:tcW w:w="2940" w:type="dxa"/>
            <w:hideMark/>
          </w:tcPr>
          <w:p w:rsidR="00554171" w:rsidRPr="00332CC0" w:rsidRDefault="00554171" w:rsidP="00040D3F">
            <w:pPr>
              <w:autoSpaceDE w:val="0"/>
              <w:autoSpaceDN w:val="0"/>
              <w:adjustRightInd w:val="0"/>
              <w:spacing w:line="360" w:lineRule="auto"/>
              <w:ind w:left="340"/>
              <w:cnfStyle w:val="000000000000" w:firstRow="0" w:lastRow="0" w:firstColumn="0" w:lastColumn="0" w:oddVBand="0" w:evenVBand="0" w:oddHBand="0" w:evenHBand="0" w:firstRowFirstColumn="0" w:firstRowLastColumn="0" w:lastRowFirstColumn="0" w:lastRowLastColumn="0"/>
              <w:rPr>
                <w:rFonts w:cs="Arial"/>
                <w:color w:val="000000"/>
              </w:rPr>
            </w:pPr>
            <w:r w:rsidRPr="00332CC0">
              <w:rPr>
                <w:rFonts w:cs="Arial"/>
                <w:color w:val="000000"/>
              </w:rPr>
              <w:t>70%</w:t>
            </w:r>
          </w:p>
        </w:tc>
        <w:tc>
          <w:tcPr>
            <w:tcW w:w="2940" w:type="dxa"/>
            <w:hideMark/>
          </w:tcPr>
          <w:p w:rsidR="00554171" w:rsidRPr="00332CC0" w:rsidRDefault="00554171" w:rsidP="00040D3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332CC0">
              <w:rPr>
                <w:rFonts w:cs="Arial"/>
                <w:color w:val="000000"/>
              </w:rPr>
              <w:t>3.3%</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65</w:t>
            </w:r>
          </w:p>
        </w:tc>
        <w:tc>
          <w:tcPr>
            <w:tcW w:w="2940" w:type="dxa"/>
            <w:hideMark/>
          </w:tcPr>
          <w:p w:rsidR="00554171" w:rsidRPr="00332CC0" w:rsidRDefault="00554171" w:rsidP="00040D3F">
            <w:pPr>
              <w:autoSpaceDE w:val="0"/>
              <w:autoSpaceDN w:val="0"/>
              <w:adjustRightInd w:val="0"/>
              <w:spacing w:line="360" w:lineRule="auto"/>
              <w:ind w:left="340"/>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17.8%</w:t>
            </w:r>
          </w:p>
        </w:tc>
        <w:tc>
          <w:tcPr>
            <w:tcW w:w="2940" w:type="dxa"/>
            <w:hideMark/>
          </w:tcPr>
          <w:p w:rsidR="00554171" w:rsidRPr="00332CC0" w:rsidRDefault="00554171" w:rsidP="00040D3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332CC0">
              <w:rPr>
                <w:rFonts w:cs="Arial"/>
                <w:color w:val="000000"/>
              </w:rPr>
              <w:t>2.2%</w:t>
            </w:r>
          </w:p>
        </w:tc>
      </w:tr>
    </w:tbl>
    <w:p w:rsidR="00554171" w:rsidRPr="00332CC0" w:rsidRDefault="00554171" w:rsidP="00554171">
      <w:pPr>
        <w:rPr>
          <w:b/>
          <w:color w:val="00B0F0"/>
          <w:sz w:val="28"/>
          <w:szCs w:val="28"/>
        </w:rPr>
      </w:pPr>
    </w:p>
    <w:p w:rsidR="00554171" w:rsidRPr="00332CC0" w:rsidRDefault="00554171" w:rsidP="00554171">
      <w:pPr>
        <w:rPr>
          <w:b/>
          <w:color w:val="00B0F0"/>
          <w:sz w:val="32"/>
          <w:szCs w:val="32"/>
        </w:rPr>
      </w:pPr>
      <w:r w:rsidRPr="00332CC0">
        <w:rPr>
          <w:b/>
          <w:color w:val="00B0F0"/>
          <w:sz w:val="32"/>
          <w:szCs w:val="32"/>
        </w:rPr>
        <w:t>Not in Education, Employment or Training (NEET)</w:t>
      </w:r>
    </w:p>
    <w:p w:rsidR="00554171" w:rsidRPr="00332CC0" w:rsidRDefault="00554171" w:rsidP="00554171">
      <w:pPr>
        <w:pStyle w:val="NormalWeb"/>
        <w:shd w:val="clear" w:color="auto" w:fill="FFFFFF"/>
        <w:spacing w:before="0" w:beforeAutospacing="0" w:after="0" w:afterAutospacing="0"/>
        <w:jc w:val="both"/>
        <w:rPr>
          <w:rFonts w:ascii="Arial" w:hAnsi="Arial" w:cs="Arial"/>
          <w:sz w:val="22"/>
          <w:szCs w:val="22"/>
        </w:rPr>
      </w:pPr>
      <w:r w:rsidRPr="00332CC0">
        <w:rPr>
          <w:rFonts w:ascii="Arial" w:hAnsi="Arial" w:cs="Arial"/>
          <w:sz w:val="22"/>
          <w:szCs w:val="22"/>
        </w:rPr>
        <w:t xml:space="preserve">“Over recent years, the proportion of young people in New Zealand who are not engaged in employment, education, training or caregiving (NEET) has been monitored as an indicator of youth engagement in training and employment. It serves as a good alternative to the traditional labour force participation rate, which is less relevant for youth given the high numbers of youth out of the labour force because they are at school or in tertiary study.  Those youth who are categorised as NEET are disengaged from both formal learning and work, and as such, are considered to be missing the opportunity to develop their potential at an age that heavily influences future outcomes. While the NEET measure does not count young people involved in other activities that could contribute to their well-being, or are 'in between' activities for a short period of time (for example, just returned from or about to leave for overseas, or on holiday from work or study), it is still a particularly useful indicator of youth disengagement.” </w:t>
      </w:r>
      <w:r w:rsidRPr="00332CC0">
        <w:rPr>
          <w:rStyle w:val="FootnoteReference"/>
          <w:rFonts w:ascii="Arial" w:hAnsi="Arial" w:cs="Arial"/>
          <w:sz w:val="22"/>
          <w:szCs w:val="22"/>
        </w:rPr>
        <w:footnoteReference w:id="24"/>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As at March 2011, in the 15-19 years age group, just under one in ten (9.3%) of males were NEET, compared with 7.6% of females.  The school leaving age is now 16.  Among those aged 20–24, 12.3% of men and 10.4% of young women were NEET. Young M</w:t>
      </w:r>
      <w:r w:rsidRPr="00332CC0">
        <w:rPr>
          <w:rFonts w:cs="Arial"/>
          <w:sz w:val="22"/>
          <w:szCs w:val="22"/>
        </w:rPr>
        <w:t>ā</w:t>
      </w:r>
      <w:r w:rsidRPr="00332CC0">
        <w:rPr>
          <w:sz w:val="22"/>
          <w:szCs w:val="22"/>
        </w:rPr>
        <w:t>ori aged 15–24 have the highest NEET rates, at 17%, followed by Pacific youth at 14.5% and European youth at 8.2%.</w:t>
      </w: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i w:val="0"/>
          <w:color w:val="auto"/>
          <w:sz w:val="28"/>
          <w:szCs w:val="28"/>
        </w:rPr>
      </w:pPr>
      <w:r w:rsidRPr="00332CC0">
        <w:rPr>
          <w:rStyle w:val="IntenseEmphasis"/>
          <w:i w:val="0"/>
          <w:color w:val="auto"/>
          <w:sz w:val="28"/>
          <w:szCs w:val="28"/>
        </w:rPr>
        <w:t xml:space="preserve">Employment-related age complaints </w:t>
      </w:r>
    </w:p>
    <w:p w:rsidR="00554171" w:rsidRPr="00332CC0" w:rsidRDefault="00554171" w:rsidP="00554171">
      <w:pPr>
        <w:jc w:val="both"/>
        <w:rPr>
          <w:sz w:val="22"/>
        </w:rPr>
      </w:pPr>
      <w:r w:rsidRPr="00332CC0">
        <w:rPr>
          <w:rFonts w:cs="Arial"/>
          <w:sz w:val="22"/>
          <w:szCs w:val="22"/>
        </w:rPr>
        <w:t xml:space="preserve">The following section summarises complaints received by the Human Rights Commission in relation to employment and age issues. The most common theme of age discrimination complaints in the last five years involves explicit or perceived age preferences in pre-employment. This includes complaints from people who have been told that they are either too old or too young for jobs, as well as people who believe that age is the reason for being declined employment. Of those who stated that they were told they were ‘too old’ or ‘too young’ for a role, most had been told they were too old for a role. Being considered ‘too old’ affected people in all age groups, including a complainant aged under 20 who was considered too old for a role in which the employer wanted to pay youth rates.  </w:t>
      </w:r>
      <w:r w:rsidRPr="00332CC0">
        <w:rPr>
          <w:rFonts w:cs="Arial"/>
          <w:sz w:val="22"/>
        </w:rPr>
        <w:t>Retirement complaints largely involve older workers claiming pressure to retire by their employers.</w:t>
      </w:r>
    </w:p>
    <w:p w:rsidR="00554171" w:rsidRPr="00332CC0" w:rsidRDefault="00554171" w:rsidP="00554171">
      <w:pPr>
        <w:rPr>
          <w:rFonts w:cs="Arial"/>
          <w:i/>
          <w:sz w:val="22"/>
          <w:u w:val="single"/>
        </w:rPr>
      </w:pPr>
    </w:p>
    <w:p w:rsidR="00554171" w:rsidRPr="00332CC0" w:rsidRDefault="004E76D5" w:rsidP="002127F2">
      <w:pPr>
        <w:rPr>
          <w:rFonts w:cs="Arial"/>
          <w:b/>
          <w:sz w:val="28"/>
          <w:szCs w:val="28"/>
        </w:rPr>
      </w:pPr>
      <w:r w:rsidRPr="002127F2">
        <w:rPr>
          <w:rFonts w:cs="Arial"/>
          <w:b/>
          <w:sz w:val="28"/>
          <w:szCs w:val="28"/>
        </w:rPr>
        <w:t>Table 1</w:t>
      </w:r>
      <w:r w:rsidR="00997B54" w:rsidRPr="002127F2">
        <w:rPr>
          <w:rFonts w:cs="Arial"/>
          <w:b/>
          <w:sz w:val="28"/>
          <w:szCs w:val="28"/>
        </w:rPr>
        <w:t>9</w:t>
      </w:r>
      <w:r w:rsidR="00554171" w:rsidRPr="002127F2">
        <w:rPr>
          <w:rFonts w:cs="Arial"/>
          <w:b/>
          <w:sz w:val="28"/>
          <w:szCs w:val="28"/>
        </w:rPr>
        <w:t>:  Age employment complaints</w:t>
      </w:r>
      <w:r w:rsidR="00554171" w:rsidRPr="00332CC0">
        <w:rPr>
          <w:rFonts w:cs="Arial"/>
          <w:b/>
          <w:sz w:val="28"/>
          <w:szCs w:val="28"/>
        </w:rPr>
        <w:t xml:space="preserve"> </w:t>
      </w:r>
    </w:p>
    <w:p w:rsidR="00554171" w:rsidRPr="00332CC0" w:rsidRDefault="00554171" w:rsidP="00554171">
      <w:pPr>
        <w:rPr>
          <w:rFonts w:cs="Arial"/>
          <w:i/>
          <w:sz w:val="22"/>
          <w:u w:val="single"/>
        </w:rPr>
      </w:pPr>
    </w:p>
    <w:tbl>
      <w:tblPr>
        <w:tblStyle w:val="MediumGrid1-Accent2"/>
        <w:tblW w:w="0" w:type="auto"/>
        <w:tblLook w:val="04A0" w:firstRow="1" w:lastRow="0" w:firstColumn="1" w:lastColumn="0" w:noHBand="0" w:noVBand="1"/>
      </w:tblPr>
      <w:tblGrid>
        <w:gridCol w:w="5355"/>
        <w:gridCol w:w="1740"/>
        <w:gridCol w:w="2013"/>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5355" w:type="dxa"/>
          </w:tcPr>
          <w:p w:rsidR="00554171" w:rsidRPr="00332CC0" w:rsidRDefault="00554171" w:rsidP="00040D3F">
            <w:pPr>
              <w:rPr>
                <w:rFonts w:cs="Arial"/>
              </w:rPr>
            </w:pPr>
          </w:p>
        </w:tc>
        <w:tc>
          <w:tcPr>
            <w:tcW w:w="174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Number of age complaints</w:t>
            </w:r>
          </w:p>
        </w:tc>
        <w:tc>
          <w:tcPr>
            <w:tcW w:w="201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Proportion of age complaints</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55" w:type="dxa"/>
          </w:tcPr>
          <w:p w:rsidR="00554171" w:rsidRPr="00332CC0" w:rsidRDefault="00554171" w:rsidP="00040D3F">
            <w:pPr>
              <w:rPr>
                <w:rFonts w:cs="Arial"/>
              </w:rPr>
            </w:pPr>
            <w:r w:rsidRPr="00332CC0">
              <w:rPr>
                <w:rFonts w:cs="Arial"/>
              </w:rPr>
              <w:t>Age preference in pre-employment</w:t>
            </w:r>
          </w:p>
        </w:tc>
        <w:tc>
          <w:tcPr>
            <w:tcW w:w="174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109</w:t>
            </w:r>
          </w:p>
        </w:tc>
        <w:tc>
          <w:tcPr>
            <w:tcW w:w="2013"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40%</w:t>
            </w:r>
          </w:p>
        </w:tc>
      </w:tr>
      <w:tr w:rsidR="00554171" w:rsidRPr="00332CC0" w:rsidTr="00040D3F">
        <w:trPr>
          <w:trHeight w:val="444"/>
        </w:trPr>
        <w:tc>
          <w:tcPr>
            <w:cnfStyle w:val="001000000000" w:firstRow="0" w:lastRow="0" w:firstColumn="1" w:lastColumn="0" w:oddVBand="0" w:evenVBand="0" w:oddHBand="0" w:evenHBand="0" w:firstRowFirstColumn="0" w:firstRowLastColumn="0" w:lastRowFirstColumn="0" w:lastRowLastColumn="0"/>
            <w:tcW w:w="5355" w:type="dxa"/>
          </w:tcPr>
          <w:p w:rsidR="00554171" w:rsidRPr="00332CC0" w:rsidRDefault="00554171" w:rsidP="00040D3F">
            <w:pPr>
              <w:rPr>
                <w:rFonts w:cs="Arial"/>
              </w:rPr>
            </w:pPr>
            <w:r w:rsidRPr="00332CC0">
              <w:rPr>
                <w:rFonts w:cs="Arial"/>
              </w:rPr>
              <w:t>Pre-employment questions</w:t>
            </w:r>
          </w:p>
        </w:tc>
        <w:tc>
          <w:tcPr>
            <w:tcW w:w="174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32</w:t>
            </w:r>
          </w:p>
        </w:tc>
        <w:tc>
          <w:tcPr>
            <w:tcW w:w="2013"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55" w:type="dxa"/>
          </w:tcPr>
          <w:p w:rsidR="00554171" w:rsidRPr="00332CC0" w:rsidRDefault="00554171" w:rsidP="00040D3F">
            <w:pPr>
              <w:rPr>
                <w:rFonts w:cs="Arial"/>
              </w:rPr>
            </w:pPr>
            <w:r w:rsidRPr="00332CC0">
              <w:rPr>
                <w:rFonts w:cs="Arial"/>
              </w:rPr>
              <w:t>Retirement</w:t>
            </w:r>
          </w:p>
        </w:tc>
        <w:tc>
          <w:tcPr>
            <w:tcW w:w="174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29</w:t>
            </w:r>
          </w:p>
        </w:tc>
        <w:tc>
          <w:tcPr>
            <w:tcW w:w="2013"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11%</w:t>
            </w:r>
          </w:p>
        </w:tc>
      </w:tr>
      <w:tr w:rsidR="00554171" w:rsidRPr="00332CC0" w:rsidTr="00040D3F">
        <w:trPr>
          <w:trHeight w:val="470"/>
        </w:trPr>
        <w:tc>
          <w:tcPr>
            <w:cnfStyle w:val="001000000000" w:firstRow="0" w:lastRow="0" w:firstColumn="1" w:lastColumn="0" w:oddVBand="0" w:evenVBand="0" w:oddHBand="0" w:evenHBand="0" w:firstRowFirstColumn="0" w:firstRowLastColumn="0" w:lastRowFirstColumn="0" w:lastRowLastColumn="0"/>
            <w:tcW w:w="5355" w:type="dxa"/>
          </w:tcPr>
          <w:p w:rsidR="00554171" w:rsidRPr="00332CC0" w:rsidRDefault="00554171" w:rsidP="00040D3F">
            <w:pPr>
              <w:rPr>
                <w:rFonts w:cs="Arial"/>
              </w:rPr>
            </w:pPr>
            <w:r w:rsidRPr="00332CC0">
              <w:rPr>
                <w:rFonts w:cs="Arial"/>
              </w:rPr>
              <w:t>Different entitlements based on age</w:t>
            </w:r>
          </w:p>
        </w:tc>
        <w:tc>
          <w:tcPr>
            <w:tcW w:w="174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13</w:t>
            </w:r>
          </w:p>
        </w:tc>
        <w:tc>
          <w:tcPr>
            <w:tcW w:w="2013"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4%</w:t>
            </w:r>
          </w:p>
        </w:tc>
      </w:tr>
    </w:tbl>
    <w:p w:rsidR="00554171" w:rsidRPr="00332CC0" w:rsidRDefault="00554171" w:rsidP="00554171">
      <w:pPr>
        <w:rPr>
          <w:rFonts w:cs="Arial"/>
          <w:i/>
          <w:u w:val="single"/>
        </w:rPr>
      </w:pPr>
    </w:p>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t xml:space="preserve">Gender  </w:t>
      </w:r>
    </w:p>
    <w:p w:rsidR="00554171" w:rsidRPr="00332CC0" w:rsidRDefault="00554171" w:rsidP="00554171"/>
    <w:p w:rsidR="00554171" w:rsidRPr="00332CC0" w:rsidRDefault="00554171" w:rsidP="00554171">
      <w:pPr>
        <w:rPr>
          <w:rStyle w:val="IntenseEmphasis"/>
        </w:rPr>
      </w:pPr>
      <w:r w:rsidRPr="00332CC0">
        <w:rPr>
          <w:rStyle w:val="IntenseEmphasis"/>
          <w:i w:val="0"/>
          <w:color w:val="auto"/>
          <w:sz w:val="28"/>
          <w:szCs w:val="28"/>
        </w:rPr>
        <w:t>Employment Statistics</w:t>
      </w:r>
      <w:r w:rsidRPr="00332CC0">
        <w:rPr>
          <w:rStyle w:val="IntenseEmphasis"/>
        </w:rPr>
        <w:t xml:space="preserve"> </w:t>
      </w:r>
    </w:p>
    <w:p w:rsidR="00554171" w:rsidRPr="00332CC0" w:rsidRDefault="00C230D7" w:rsidP="00554171">
      <w:pPr>
        <w:jc w:val="both"/>
        <w:rPr>
          <w:sz w:val="22"/>
          <w:szCs w:val="22"/>
        </w:rPr>
      </w:pPr>
      <w:r w:rsidRPr="002127F2">
        <w:rPr>
          <w:sz w:val="22"/>
          <w:szCs w:val="22"/>
        </w:rPr>
        <w:t>Tables 20 to 23</w:t>
      </w:r>
      <w:r w:rsidR="00554171" w:rsidRPr="002127F2">
        <w:rPr>
          <w:sz w:val="22"/>
          <w:szCs w:val="22"/>
        </w:rPr>
        <w:t xml:space="preserve"> show gender differences by age and ethnicity which warrant further</w:t>
      </w:r>
      <w:r w:rsidR="00554171" w:rsidRPr="00332CC0">
        <w:rPr>
          <w:sz w:val="22"/>
          <w:szCs w:val="22"/>
        </w:rPr>
        <w:t xml:space="preserve"> investigation. While there is little difference in the participation rates of young European men and women, there is a substantial difference in the participation rates between young Māori men and women and between young Pacific men and women. In the 25–44 age range, the participation rates of men is greater than</w:t>
      </w:r>
      <w:r w:rsidR="00554171">
        <w:rPr>
          <w:sz w:val="22"/>
          <w:szCs w:val="22"/>
        </w:rPr>
        <w:t xml:space="preserve"> women across all ethnic groups.  T</w:t>
      </w:r>
      <w:r w:rsidR="00554171" w:rsidRPr="00332CC0">
        <w:rPr>
          <w:sz w:val="22"/>
          <w:szCs w:val="22"/>
        </w:rPr>
        <w:t xml:space="preserve">his is also true of those 45 and over, but not so markedly. There is also a substantial difference in unemployment rates between young Pacific men and women.   </w:t>
      </w:r>
    </w:p>
    <w:p w:rsidR="00554171" w:rsidRPr="00332CC0" w:rsidRDefault="00554171" w:rsidP="00554171">
      <w:pPr>
        <w:jc w:val="both"/>
        <w:rPr>
          <w:sz w:val="22"/>
          <w:szCs w:val="22"/>
        </w:rPr>
      </w:pPr>
    </w:p>
    <w:p w:rsidR="00554171" w:rsidRPr="00332CC0" w:rsidRDefault="00C230D7" w:rsidP="00554171">
      <w:pPr>
        <w:jc w:val="both"/>
        <w:rPr>
          <w:sz w:val="22"/>
          <w:szCs w:val="22"/>
        </w:rPr>
      </w:pPr>
      <w:r w:rsidRPr="002127F2">
        <w:rPr>
          <w:sz w:val="22"/>
          <w:szCs w:val="22"/>
        </w:rPr>
        <w:t>Tables 24 and 25</w:t>
      </w:r>
      <w:r w:rsidR="00554171" w:rsidRPr="002127F2">
        <w:rPr>
          <w:sz w:val="22"/>
          <w:szCs w:val="22"/>
        </w:rPr>
        <w:t xml:space="preserve"> demonstrate the double disadvantage of gender and ethnicity. The gender</w:t>
      </w:r>
      <w:r w:rsidR="00554171" w:rsidRPr="00332CC0">
        <w:rPr>
          <w:sz w:val="22"/>
          <w:szCs w:val="22"/>
        </w:rPr>
        <w:t xml:space="preserve"> pay gap between the highest hourly rate (European men) and the lowest (Pacific women) is 24.4%. </w:t>
      </w:r>
    </w:p>
    <w:p w:rsidR="00554171" w:rsidRPr="00332CC0" w:rsidRDefault="00554171" w:rsidP="00554171">
      <w:r w:rsidRPr="00332CC0">
        <w:t xml:space="preserve"> </w:t>
      </w:r>
    </w:p>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997B54" w:rsidP="002127F2">
      <w:pPr>
        <w:rPr>
          <w:b/>
          <w:sz w:val="28"/>
          <w:szCs w:val="28"/>
        </w:rPr>
      </w:pPr>
      <w:r w:rsidRPr="002127F2">
        <w:rPr>
          <w:b/>
          <w:sz w:val="28"/>
          <w:szCs w:val="28"/>
        </w:rPr>
        <w:t>Table 20</w:t>
      </w:r>
      <w:r w:rsidR="00554171" w:rsidRPr="002127F2">
        <w:rPr>
          <w:b/>
          <w:sz w:val="28"/>
          <w:szCs w:val="28"/>
        </w:rPr>
        <w:t>:   Male participation by age and ethnicity</w:t>
      </w:r>
    </w:p>
    <w:p w:rsidR="00554171" w:rsidRPr="00332CC0" w:rsidRDefault="00554171" w:rsidP="00554171"/>
    <w:tbl>
      <w:tblPr>
        <w:tblStyle w:val="MediumGrid1-Accent2"/>
        <w:tblW w:w="9423" w:type="dxa"/>
        <w:tblLook w:val="04A0" w:firstRow="1" w:lastRow="0" w:firstColumn="1" w:lastColumn="0" w:noHBand="0" w:noVBand="1"/>
      </w:tblPr>
      <w:tblGrid>
        <w:gridCol w:w="1937"/>
        <w:gridCol w:w="1872"/>
        <w:gridCol w:w="1871"/>
        <w:gridCol w:w="1871"/>
        <w:gridCol w:w="1872"/>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tc>
        <w:tc>
          <w:tcPr>
            <w:tcW w:w="187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Under 25 yrs</w:t>
            </w:r>
          </w:p>
        </w:tc>
        <w:tc>
          <w:tcPr>
            <w:tcW w:w="187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25-44 yrs</w:t>
            </w:r>
          </w:p>
        </w:tc>
        <w:tc>
          <w:tcPr>
            <w:tcW w:w="187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45 and over</w:t>
            </w:r>
          </w:p>
        </w:tc>
        <w:tc>
          <w:tcPr>
            <w:tcW w:w="187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pPr>
              <w:rPr>
                <w:b w:val="0"/>
              </w:rPr>
            </w:pPr>
            <w:r w:rsidRPr="00332CC0">
              <w:t>European</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69.3%</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93.9%</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67.3%</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76.0%</w:t>
            </w:r>
          </w:p>
        </w:tc>
      </w:tr>
      <w:tr w:rsidR="00554171" w:rsidRPr="00332CC0" w:rsidTr="00040D3F">
        <w:trPr>
          <w:trHeight w:val="378"/>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pPr>
              <w:rPr>
                <w:b w:val="0"/>
              </w:rPr>
            </w:pPr>
            <w:r w:rsidRPr="00332CC0">
              <w:t>Māori</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61.7%</w:t>
            </w:r>
          </w:p>
        </w:tc>
        <w:tc>
          <w:tcPr>
            <w:tcW w:w="18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84.7%</w:t>
            </w:r>
          </w:p>
        </w:tc>
        <w:tc>
          <w:tcPr>
            <w:tcW w:w="18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68.6%</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72.3%</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pPr>
              <w:rPr>
                <w:b w:val="0"/>
              </w:rPr>
            </w:pPr>
            <w:r w:rsidRPr="00332CC0">
              <w:t>Pacific peoples</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52.7%</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87.4%</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63.5%</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69.3%</w:t>
            </w:r>
          </w:p>
        </w:tc>
      </w:tr>
      <w:tr w:rsidR="00554171" w:rsidRPr="00332CC0" w:rsidTr="00040D3F">
        <w:trPr>
          <w:trHeight w:val="787"/>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pPr>
              <w:rPr>
                <w:b w:val="0"/>
              </w:rPr>
            </w:pPr>
            <w:r w:rsidRPr="00332CC0">
              <w:t>Asian/MELAA/ Other</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54.6%</w:t>
            </w:r>
          </w:p>
        </w:tc>
        <w:tc>
          <w:tcPr>
            <w:tcW w:w="18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91.3%</w:t>
            </w:r>
          </w:p>
        </w:tc>
        <w:tc>
          <w:tcPr>
            <w:tcW w:w="18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65.6%</w:t>
            </w:r>
          </w:p>
        </w:tc>
        <w:tc>
          <w:tcPr>
            <w:tcW w:w="187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73.5%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37" w:type="dxa"/>
          </w:tcPr>
          <w:p w:rsidR="00554171" w:rsidRPr="00332CC0" w:rsidRDefault="00554171" w:rsidP="00040D3F">
            <w:pPr>
              <w:rPr>
                <w:b w:val="0"/>
              </w:rPr>
            </w:pPr>
            <w:r w:rsidRPr="00332CC0">
              <w:t xml:space="preserve">Total </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64.3%</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92.1%</w:t>
            </w:r>
          </w:p>
        </w:tc>
        <w:tc>
          <w:tcPr>
            <w:tcW w:w="18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67.0%</w:t>
            </w:r>
          </w:p>
        </w:tc>
        <w:tc>
          <w:tcPr>
            <w:tcW w:w="187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74.9%</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2127F2">
      <w:pPr>
        <w:rPr>
          <w:b/>
          <w:sz w:val="28"/>
          <w:szCs w:val="28"/>
        </w:rPr>
      </w:pPr>
      <w:r>
        <w:rPr>
          <w:b/>
          <w:sz w:val="28"/>
          <w:szCs w:val="28"/>
        </w:rPr>
        <w:t>Table 2</w:t>
      </w:r>
      <w:r w:rsidR="00997B54">
        <w:rPr>
          <w:b/>
          <w:sz w:val="28"/>
          <w:szCs w:val="28"/>
        </w:rPr>
        <w:t>1</w:t>
      </w:r>
      <w:r w:rsidR="00554171" w:rsidRPr="00332CC0">
        <w:rPr>
          <w:b/>
          <w:sz w:val="28"/>
          <w:szCs w:val="28"/>
        </w:rPr>
        <w:t>:  Female participation by age and ethnicity</w:t>
      </w:r>
    </w:p>
    <w:p w:rsidR="00554171" w:rsidRPr="00332CC0" w:rsidRDefault="00554171" w:rsidP="00554171">
      <w:r w:rsidRPr="00332CC0">
        <w:t xml:space="preserve"> </w:t>
      </w:r>
    </w:p>
    <w:tbl>
      <w:tblPr>
        <w:tblStyle w:val="MediumGrid1-Accent2"/>
        <w:tblW w:w="9403" w:type="dxa"/>
        <w:tblLook w:val="04A0" w:firstRow="1" w:lastRow="0" w:firstColumn="1" w:lastColumn="0" w:noHBand="0" w:noVBand="1"/>
      </w:tblPr>
      <w:tblGrid>
        <w:gridCol w:w="1933"/>
        <w:gridCol w:w="1868"/>
        <w:gridCol w:w="1867"/>
        <w:gridCol w:w="1867"/>
        <w:gridCol w:w="1868"/>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tc>
        <w:tc>
          <w:tcPr>
            <w:tcW w:w="186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Under 25 yrs</w:t>
            </w:r>
          </w:p>
        </w:tc>
        <w:tc>
          <w:tcPr>
            <w:tcW w:w="186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25-44 yrs</w:t>
            </w:r>
          </w:p>
        </w:tc>
        <w:tc>
          <w:tcPr>
            <w:tcW w:w="186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45 and over</w:t>
            </w:r>
          </w:p>
        </w:tc>
        <w:tc>
          <w:tcPr>
            <w:tcW w:w="186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pPr>
              <w:rPr>
                <w:b w:val="0"/>
              </w:rPr>
            </w:pPr>
            <w:r w:rsidRPr="00332CC0">
              <w:t>European</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65.7%</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76.9%</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55.6%</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63.9%</w:t>
            </w:r>
          </w:p>
        </w:tc>
      </w:tr>
      <w:tr w:rsidR="00554171" w:rsidRPr="00332CC0" w:rsidTr="00040D3F">
        <w:trPr>
          <w:trHeight w:val="401"/>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pPr>
              <w:rPr>
                <w:b w:val="0"/>
              </w:rPr>
            </w:pPr>
            <w:r w:rsidRPr="00332CC0">
              <w:t>Māori</w:t>
            </w:r>
          </w:p>
        </w:tc>
        <w:tc>
          <w:tcPr>
            <w:tcW w:w="186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50.9%</w:t>
            </w:r>
          </w:p>
        </w:tc>
        <w:tc>
          <w:tcPr>
            <w:tcW w:w="186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68.5%</w:t>
            </w:r>
          </w:p>
        </w:tc>
        <w:tc>
          <w:tcPr>
            <w:tcW w:w="186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61.0%</w:t>
            </w:r>
          </w:p>
        </w:tc>
        <w:tc>
          <w:tcPr>
            <w:tcW w:w="186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61.1%</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pPr>
              <w:rPr>
                <w:b w:val="0"/>
              </w:rPr>
            </w:pPr>
            <w:r w:rsidRPr="00332CC0">
              <w:t>Pacific peoples</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43.0%</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64.3%</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52.3%</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54.5%</w:t>
            </w:r>
          </w:p>
        </w:tc>
      </w:tr>
      <w:tr w:rsidR="00554171" w:rsidRPr="00332CC0" w:rsidTr="00040D3F">
        <w:trPr>
          <w:trHeight w:val="802"/>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pPr>
              <w:rPr>
                <w:b w:val="0"/>
              </w:rPr>
            </w:pPr>
            <w:r w:rsidRPr="00332CC0">
              <w:t>Asian/MELAA/ Other</w:t>
            </w:r>
          </w:p>
        </w:tc>
        <w:tc>
          <w:tcPr>
            <w:tcW w:w="186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51.4%</w:t>
            </w:r>
          </w:p>
        </w:tc>
        <w:tc>
          <w:tcPr>
            <w:tcW w:w="186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71.9%</w:t>
            </w:r>
          </w:p>
        </w:tc>
        <w:tc>
          <w:tcPr>
            <w:tcW w:w="186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51.6%</w:t>
            </w:r>
          </w:p>
        </w:tc>
        <w:tc>
          <w:tcPr>
            <w:tcW w:w="186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60.8%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33" w:type="dxa"/>
          </w:tcPr>
          <w:p w:rsidR="00554171" w:rsidRPr="00332CC0" w:rsidRDefault="00554171" w:rsidP="00040D3F">
            <w:pPr>
              <w:rPr>
                <w:b w:val="0"/>
              </w:rPr>
            </w:pPr>
            <w:r w:rsidRPr="00332CC0">
              <w:t xml:space="preserve">Total </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59.8%</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74.5%</w:t>
            </w:r>
          </w:p>
        </w:tc>
        <w:tc>
          <w:tcPr>
            <w:tcW w:w="186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54.9%</w:t>
            </w:r>
          </w:p>
        </w:tc>
        <w:tc>
          <w:tcPr>
            <w:tcW w:w="186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62.5%</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2127F2">
      <w:pPr>
        <w:rPr>
          <w:b/>
          <w:sz w:val="28"/>
          <w:szCs w:val="28"/>
        </w:rPr>
      </w:pPr>
      <w:r>
        <w:rPr>
          <w:b/>
          <w:sz w:val="28"/>
          <w:szCs w:val="28"/>
        </w:rPr>
        <w:t>Table 2</w:t>
      </w:r>
      <w:r w:rsidR="00997B54">
        <w:rPr>
          <w:b/>
          <w:sz w:val="28"/>
          <w:szCs w:val="28"/>
        </w:rPr>
        <w:t>2</w:t>
      </w:r>
      <w:r w:rsidR="00554171" w:rsidRPr="00332CC0">
        <w:rPr>
          <w:b/>
          <w:sz w:val="28"/>
          <w:szCs w:val="28"/>
        </w:rPr>
        <w:t>:  Male unemployment by age and ethnicity</w:t>
      </w:r>
    </w:p>
    <w:p w:rsidR="00554171" w:rsidRPr="00332CC0" w:rsidRDefault="00554171" w:rsidP="00554171">
      <w:r w:rsidRPr="00332CC0">
        <w:t xml:space="preserve"> </w:t>
      </w:r>
    </w:p>
    <w:tbl>
      <w:tblPr>
        <w:tblStyle w:val="MediumGrid1-Accent2"/>
        <w:tblW w:w="9423" w:type="dxa"/>
        <w:tblLook w:val="04A0" w:firstRow="1" w:lastRow="0" w:firstColumn="1" w:lastColumn="0" w:noHBand="0" w:noVBand="1"/>
      </w:tblPr>
      <w:tblGrid>
        <w:gridCol w:w="1938"/>
        <w:gridCol w:w="1874"/>
        <w:gridCol w:w="1864"/>
        <w:gridCol w:w="1873"/>
        <w:gridCol w:w="1874"/>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tc>
        <w:tc>
          <w:tcPr>
            <w:tcW w:w="187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Under 25 yrs</w:t>
            </w:r>
          </w:p>
        </w:tc>
        <w:tc>
          <w:tcPr>
            <w:tcW w:w="186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25-44 yrs</w:t>
            </w:r>
          </w:p>
        </w:tc>
        <w:tc>
          <w:tcPr>
            <w:tcW w:w="1873"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45 and over</w:t>
            </w:r>
          </w:p>
        </w:tc>
        <w:tc>
          <w:tcPr>
            <w:tcW w:w="187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pPr>
              <w:rPr>
                <w:b w:val="0"/>
              </w:rPr>
            </w:pPr>
            <w:r w:rsidRPr="00332CC0">
              <w:t>European</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13.3%</w:t>
            </w:r>
          </w:p>
        </w:tc>
        <w:tc>
          <w:tcPr>
            <w:tcW w:w="18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3.8%</w:t>
            </w:r>
          </w:p>
        </w:tc>
        <w:tc>
          <w:tcPr>
            <w:tcW w:w="187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3.2%</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5.0%</w:t>
            </w:r>
          </w:p>
        </w:tc>
      </w:tr>
      <w:tr w:rsidR="00554171" w:rsidRPr="00332CC0" w:rsidTr="00040D3F">
        <w:trPr>
          <w:trHeight w:val="385"/>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pPr>
              <w:rPr>
                <w:b w:val="0"/>
              </w:rPr>
            </w:pPr>
            <w:r w:rsidRPr="00332CC0">
              <w:t>Māori</w:t>
            </w:r>
          </w:p>
        </w:tc>
        <w:tc>
          <w:tcPr>
            <w:tcW w:w="18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27.2%</w:t>
            </w:r>
          </w:p>
        </w:tc>
        <w:tc>
          <w:tcPr>
            <w:tcW w:w="186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8.9%</w:t>
            </w:r>
          </w:p>
        </w:tc>
        <w:tc>
          <w:tcPr>
            <w:tcW w:w="187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9.7%</w:t>
            </w:r>
          </w:p>
        </w:tc>
        <w:tc>
          <w:tcPr>
            <w:tcW w:w="18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13.8%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pPr>
              <w:rPr>
                <w:b w:val="0"/>
              </w:rPr>
            </w:pPr>
            <w:r w:rsidRPr="00332CC0">
              <w:t>Pacific peoples</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22.9%</w:t>
            </w:r>
          </w:p>
        </w:tc>
        <w:tc>
          <w:tcPr>
            <w:tcW w:w="18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7.6%</w:t>
            </w:r>
          </w:p>
        </w:tc>
        <w:tc>
          <w:tcPr>
            <w:tcW w:w="187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10.3%</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12.1%</w:t>
            </w:r>
          </w:p>
        </w:tc>
      </w:tr>
      <w:tr w:rsidR="00554171" w:rsidRPr="00332CC0" w:rsidTr="00040D3F">
        <w:trPr>
          <w:trHeight w:val="804"/>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pPr>
              <w:rPr>
                <w:b w:val="0"/>
              </w:rPr>
            </w:pPr>
            <w:r w:rsidRPr="00332CC0">
              <w:t>Asian/MELAA/ Other</w:t>
            </w:r>
          </w:p>
        </w:tc>
        <w:tc>
          <w:tcPr>
            <w:tcW w:w="18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18.2%</w:t>
            </w:r>
          </w:p>
        </w:tc>
        <w:tc>
          <w:tcPr>
            <w:tcW w:w="186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5.4%</w:t>
            </w:r>
          </w:p>
        </w:tc>
        <w:tc>
          <w:tcPr>
            <w:tcW w:w="187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5.0%</w:t>
            </w:r>
          </w:p>
        </w:tc>
        <w:tc>
          <w:tcPr>
            <w:tcW w:w="18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7.7%</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38" w:type="dxa"/>
          </w:tcPr>
          <w:p w:rsidR="00554171" w:rsidRPr="00332CC0" w:rsidRDefault="00554171" w:rsidP="00040D3F">
            <w:pPr>
              <w:rPr>
                <w:b w:val="0"/>
              </w:rPr>
            </w:pPr>
            <w:r w:rsidRPr="00332CC0">
              <w:t xml:space="preserve">Total </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16.6%</w:t>
            </w:r>
          </w:p>
        </w:tc>
        <w:tc>
          <w:tcPr>
            <w:tcW w:w="186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4.7%</w:t>
            </w:r>
          </w:p>
        </w:tc>
        <w:tc>
          <w:tcPr>
            <w:tcW w:w="187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4.0%</w:t>
            </w:r>
          </w:p>
        </w:tc>
        <w:tc>
          <w:tcPr>
            <w:tcW w:w="18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997B54" w:rsidP="002127F2">
      <w:pPr>
        <w:rPr>
          <w:b/>
          <w:sz w:val="28"/>
          <w:szCs w:val="28"/>
        </w:rPr>
      </w:pPr>
      <w:r>
        <w:rPr>
          <w:b/>
          <w:sz w:val="28"/>
          <w:szCs w:val="28"/>
        </w:rPr>
        <w:t>Table 23</w:t>
      </w:r>
      <w:r w:rsidR="00554171" w:rsidRPr="00332CC0">
        <w:rPr>
          <w:b/>
          <w:sz w:val="28"/>
          <w:szCs w:val="28"/>
        </w:rPr>
        <w:t>:  Female unemployment by age and ethnicity</w:t>
      </w:r>
    </w:p>
    <w:p w:rsidR="00554171" w:rsidRPr="00332CC0" w:rsidRDefault="00554171" w:rsidP="00554171"/>
    <w:tbl>
      <w:tblPr>
        <w:tblStyle w:val="MediumGrid1-Accent2"/>
        <w:tblW w:w="9483" w:type="dxa"/>
        <w:tblLook w:val="04A0" w:firstRow="1" w:lastRow="0" w:firstColumn="1" w:lastColumn="0" w:noHBand="0" w:noVBand="1"/>
      </w:tblPr>
      <w:tblGrid>
        <w:gridCol w:w="1951"/>
        <w:gridCol w:w="1886"/>
        <w:gridCol w:w="1885"/>
        <w:gridCol w:w="1875"/>
        <w:gridCol w:w="188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tc>
        <w:tc>
          <w:tcPr>
            <w:tcW w:w="188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Under 25 yrs</w:t>
            </w:r>
          </w:p>
        </w:tc>
        <w:tc>
          <w:tcPr>
            <w:tcW w:w="188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25-44 yrs</w:t>
            </w:r>
          </w:p>
        </w:tc>
        <w:tc>
          <w:tcPr>
            <w:tcW w:w="187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45 and over</w:t>
            </w:r>
          </w:p>
        </w:tc>
        <w:tc>
          <w:tcPr>
            <w:tcW w:w="188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pPr>
              <w:rPr>
                <w:b w:val="0"/>
              </w:rPr>
            </w:pPr>
            <w:r w:rsidRPr="00332CC0">
              <w:t>European</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14.4%</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4.4%</w:t>
            </w:r>
          </w:p>
        </w:tc>
        <w:tc>
          <w:tcPr>
            <w:tcW w:w="18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2.6%</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5.3%</w:t>
            </w:r>
          </w:p>
        </w:tc>
      </w:tr>
      <w:tr w:rsidR="00554171" w:rsidRPr="00332CC0" w:rsidTr="00040D3F">
        <w:trPr>
          <w:trHeight w:val="383"/>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pPr>
              <w:rPr>
                <w:b w:val="0"/>
              </w:rPr>
            </w:pPr>
            <w:r w:rsidRPr="00332CC0">
              <w:t>Māori</w:t>
            </w:r>
          </w:p>
        </w:tc>
        <w:tc>
          <w:tcPr>
            <w:tcW w:w="18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27.7%</w:t>
            </w:r>
          </w:p>
        </w:tc>
        <w:tc>
          <w:tcPr>
            <w:tcW w:w="188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10.7%</w:t>
            </w:r>
          </w:p>
        </w:tc>
        <w:tc>
          <w:tcPr>
            <w:tcW w:w="18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6.1%</w:t>
            </w:r>
          </w:p>
        </w:tc>
        <w:tc>
          <w:tcPr>
            <w:tcW w:w="18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12.9%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pPr>
              <w:rPr>
                <w:b w:val="0"/>
              </w:rPr>
            </w:pPr>
            <w:r w:rsidRPr="00332CC0">
              <w:t>Pacific peoples</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32.7%</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13.3%</w:t>
            </w:r>
          </w:p>
        </w:tc>
        <w:tc>
          <w:tcPr>
            <w:tcW w:w="18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..S</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15.2%</w:t>
            </w:r>
          </w:p>
        </w:tc>
      </w:tr>
      <w:tr w:rsidR="00554171" w:rsidRPr="00332CC0" w:rsidTr="00040D3F">
        <w:trPr>
          <w:trHeight w:val="736"/>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pPr>
              <w:rPr>
                <w:b w:val="0"/>
              </w:rPr>
            </w:pPr>
            <w:r w:rsidRPr="00332CC0">
              <w:t>Asian/MELAA/ Other</w:t>
            </w:r>
          </w:p>
        </w:tc>
        <w:tc>
          <w:tcPr>
            <w:tcW w:w="18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17.3%</w:t>
            </w:r>
          </w:p>
        </w:tc>
        <w:tc>
          <w:tcPr>
            <w:tcW w:w="188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9.7%</w:t>
            </w:r>
          </w:p>
        </w:tc>
        <w:tc>
          <w:tcPr>
            <w:tcW w:w="18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4.6%</w:t>
            </w:r>
          </w:p>
        </w:tc>
        <w:tc>
          <w:tcPr>
            <w:tcW w:w="18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9.4%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51" w:type="dxa"/>
          </w:tcPr>
          <w:p w:rsidR="00554171" w:rsidRPr="00332CC0" w:rsidRDefault="00554171" w:rsidP="00040D3F">
            <w:pPr>
              <w:rPr>
                <w:b w:val="0"/>
              </w:rPr>
            </w:pPr>
            <w:r w:rsidRPr="00332CC0">
              <w:t xml:space="preserve">Total </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17.1%</w:t>
            </w:r>
          </w:p>
        </w:tc>
        <w:tc>
          <w:tcPr>
            <w:tcW w:w="188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6.4%</w:t>
            </w:r>
          </w:p>
        </w:tc>
        <w:tc>
          <w:tcPr>
            <w:tcW w:w="18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3.1%</w:t>
            </w:r>
          </w:p>
        </w:tc>
        <w:tc>
          <w:tcPr>
            <w:tcW w:w="18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6.8%</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4E76D5" w:rsidP="002127F2">
      <w:pPr>
        <w:rPr>
          <w:b/>
          <w:sz w:val="28"/>
          <w:szCs w:val="28"/>
        </w:rPr>
      </w:pPr>
      <w:r>
        <w:rPr>
          <w:b/>
          <w:sz w:val="28"/>
          <w:szCs w:val="28"/>
        </w:rPr>
        <w:t>Table 2</w:t>
      </w:r>
      <w:r w:rsidR="00997B54">
        <w:rPr>
          <w:b/>
          <w:sz w:val="28"/>
          <w:szCs w:val="28"/>
        </w:rPr>
        <w:t>4</w:t>
      </w:r>
      <w:r w:rsidR="00554171" w:rsidRPr="00332CC0">
        <w:rPr>
          <w:b/>
          <w:sz w:val="28"/>
          <w:szCs w:val="28"/>
        </w:rPr>
        <w:t>:  Median hourly rate</w:t>
      </w:r>
      <w:r w:rsidR="00554171" w:rsidRPr="00332CC0">
        <w:rPr>
          <w:rStyle w:val="FootnoteReference"/>
          <w:b/>
          <w:sz w:val="28"/>
          <w:szCs w:val="28"/>
        </w:rPr>
        <w:footnoteReference w:id="25"/>
      </w:r>
    </w:p>
    <w:p w:rsidR="00554171" w:rsidRPr="00332CC0" w:rsidRDefault="00554171" w:rsidP="00554171"/>
    <w:tbl>
      <w:tblPr>
        <w:tblStyle w:val="MediumGrid1-Accent2"/>
        <w:tblW w:w="9503" w:type="dxa"/>
        <w:tblLook w:val="04A0" w:firstRow="1" w:lastRow="0" w:firstColumn="1" w:lastColumn="0" w:noHBand="0" w:noVBand="1"/>
      </w:tblPr>
      <w:tblGrid>
        <w:gridCol w:w="2381"/>
        <w:gridCol w:w="2374"/>
        <w:gridCol w:w="2374"/>
        <w:gridCol w:w="2374"/>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81" w:type="dxa"/>
          </w:tcPr>
          <w:p w:rsidR="00554171" w:rsidRPr="00332CC0" w:rsidRDefault="00554171" w:rsidP="00040D3F"/>
        </w:tc>
        <w:tc>
          <w:tcPr>
            <w:tcW w:w="237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All</w:t>
            </w:r>
          </w:p>
        </w:tc>
        <w:tc>
          <w:tcPr>
            <w:tcW w:w="237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Full-time</w:t>
            </w:r>
          </w:p>
        </w:tc>
        <w:tc>
          <w:tcPr>
            <w:tcW w:w="237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b w:val="0"/>
              </w:rPr>
            </w:pPr>
            <w:r w:rsidRPr="00332CC0">
              <w:t>Part-time</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381" w:type="dxa"/>
          </w:tcPr>
          <w:p w:rsidR="00554171" w:rsidRPr="00332CC0" w:rsidRDefault="00554171" w:rsidP="00040D3F">
            <w:pPr>
              <w:rPr>
                <w:b w:val="0"/>
              </w:rPr>
            </w:pPr>
            <w:r w:rsidRPr="00332CC0">
              <w:t>Men</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$21.25</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$22.12</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$14.50</w:t>
            </w:r>
          </w:p>
        </w:tc>
      </w:tr>
      <w:tr w:rsidR="00554171" w:rsidRPr="00332CC0" w:rsidTr="00040D3F">
        <w:trPr>
          <w:trHeight w:val="355"/>
        </w:trPr>
        <w:tc>
          <w:tcPr>
            <w:cnfStyle w:val="001000000000" w:firstRow="0" w:lastRow="0" w:firstColumn="1" w:lastColumn="0" w:oddVBand="0" w:evenVBand="0" w:oddHBand="0" w:evenHBand="0" w:firstRowFirstColumn="0" w:firstRowLastColumn="0" w:lastRowFirstColumn="0" w:lastRowLastColumn="0"/>
            <w:tcW w:w="2381" w:type="dxa"/>
          </w:tcPr>
          <w:p w:rsidR="00554171" w:rsidRPr="00332CC0" w:rsidRDefault="00554171" w:rsidP="00040D3F">
            <w:pPr>
              <w:rPr>
                <w:b w:val="0"/>
              </w:rPr>
            </w:pPr>
            <w:r w:rsidRPr="00332CC0">
              <w:t>Women</w:t>
            </w:r>
          </w:p>
        </w:tc>
        <w:tc>
          <w:tcPr>
            <w:tcW w:w="23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$19.00</w:t>
            </w:r>
          </w:p>
        </w:tc>
        <w:tc>
          <w:tcPr>
            <w:tcW w:w="23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$20.62</w:t>
            </w:r>
          </w:p>
        </w:tc>
        <w:tc>
          <w:tcPr>
            <w:tcW w:w="237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$15.33</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381" w:type="dxa"/>
          </w:tcPr>
          <w:p w:rsidR="00554171" w:rsidRPr="00332CC0" w:rsidRDefault="00554171" w:rsidP="00040D3F">
            <w:pPr>
              <w:rPr>
                <w:b w:val="0"/>
              </w:rPr>
            </w:pPr>
            <w:r w:rsidRPr="00332CC0">
              <w:t xml:space="preserve">Total </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$20.00</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$21.58</w:t>
            </w:r>
          </w:p>
        </w:tc>
        <w:tc>
          <w:tcPr>
            <w:tcW w:w="237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$15.00</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2</w:t>
      </w:r>
      <w:r w:rsidR="00997B54">
        <w:rPr>
          <w:b/>
          <w:sz w:val="28"/>
          <w:szCs w:val="28"/>
        </w:rPr>
        <w:t>5</w:t>
      </w:r>
      <w:r w:rsidRPr="00332CC0">
        <w:rPr>
          <w:b/>
          <w:sz w:val="28"/>
          <w:szCs w:val="28"/>
        </w:rPr>
        <w:t>:  Median hourly rate by gender and ethnicity</w:t>
      </w:r>
      <w:r w:rsidRPr="00332CC0">
        <w:rPr>
          <w:rStyle w:val="FootnoteReference"/>
          <w:b/>
          <w:sz w:val="28"/>
          <w:szCs w:val="28"/>
        </w:rPr>
        <w:footnoteReference w:id="26"/>
      </w:r>
      <w:r w:rsidRPr="00332CC0">
        <w:rPr>
          <w:b/>
          <w:sz w:val="28"/>
          <w:szCs w:val="28"/>
        </w:rPr>
        <w:t xml:space="preserve"> </w:t>
      </w:r>
    </w:p>
    <w:p w:rsidR="00554171" w:rsidRPr="00332CC0" w:rsidRDefault="00554171" w:rsidP="00554171"/>
    <w:tbl>
      <w:tblPr>
        <w:tblStyle w:val="MediumGrid1-Accent2"/>
        <w:tblW w:w="9583" w:type="dxa"/>
        <w:tblLook w:val="04A0" w:firstRow="1" w:lastRow="0" w:firstColumn="1" w:lastColumn="0" w:noHBand="0" w:noVBand="1"/>
      </w:tblPr>
      <w:tblGrid>
        <w:gridCol w:w="3204"/>
        <w:gridCol w:w="3186"/>
        <w:gridCol w:w="3193"/>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tc>
        <w:tc>
          <w:tcPr>
            <w:tcW w:w="3186" w:type="dxa"/>
          </w:tcPr>
          <w:p w:rsidR="00554171" w:rsidRPr="00332CC0" w:rsidRDefault="00554171" w:rsidP="00040D3F">
            <w:pPr>
              <w:spacing w:before="240" w:after="240"/>
              <w:cnfStyle w:val="100000000000" w:firstRow="1" w:lastRow="0" w:firstColumn="0" w:lastColumn="0" w:oddVBand="0" w:evenVBand="0" w:oddHBand="0" w:evenHBand="0" w:firstRowFirstColumn="0" w:firstRowLastColumn="0" w:lastRowFirstColumn="0" w:lastRowLastColumn="0"/>
              <w:rPr>
                <w:b w:val="0"/>
              </w:rPr>
            </w:pPr>
            <w:r w:rsidRPr="00332CC0">
              <w:t>Men</w:t>
            </w:r>
          </w:p>
        </w:tc>
        <w:tc>
          <w:tcPr>
            <w:tcW w:w="3193" w:type="dxa"/>
          </w:tcPr>
          <w:p w:rsidR="00554171" w:rsidRPr="00332CC0" w:rsidRDefault="00554171" w:rsidP="00040D3F">
            <w:pPr>
              <w:spacing w:before="240"/>
              <w:cnfStyle w:val="100000000000" w:firstRow="1" w:lastRow="0" w:firstColumn="0" w:lastColumn="0" w:oddVBand="0" w:evenVBand="0" w:oddHBand="0" w:evenHBand="0" w:firstRowFirstColumn="0" w:firstRowLastColumn="0" w:lastRowFirstColumn="0" w:lastRowLastColumn="0"/>
              <w:rPr>
                <w:b w:val="0"/>
              </w:rPr>
            </w:pPr>
            <w:r w:rsidRPr="00332CC0">
              <w:t>Women</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 xml:space="preserve">European </w:t>
            </w:r>
          </w:p>
        </w:tc>
        <w:tc>
          <w:tcPr>
            <w:tcW w:w="31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$22.06</w:t>
            </w:r>
          </w:p>
        </w:tc>
        <w:tc>
          <w:tcPr>
            <w:tcW w:w="31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$19.33</w:t>
            </w:r>
          </w:p>
        </w:tc>
      </w:tr>
      <w:tr w:rsidR="00554171" w:rsidRPr="00332CC0" w:rsidTr="00040D3F">
        <w:trPr>
          <w:trHeight w:val="471"/>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 xml:space="preserve">Māori </w:t>
            </w:r>
          </w:p>
        </w:tc>
        <w:tc>
          <w:tcPr>
            <w:tcW w:w="31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$18.00</w:t>
            </w:r>
          </w:p>
        </w:tc>
        <w:tc>
          <w:tcPr>
            <w:tcW w:w="31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$17.00</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Pacific People</w:t>
            </w:r>
          </w:p>
        </w:tc>
        <w:tc>
          <w:tcPr>
            <w:tcW w:w="31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$17.88</w:t>
            </w:r>
          </w:p>
        </w:tc>
        <w:tc>
          <w:tcPr>
            <w:tcW w:w="31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$16.68</w:t>
            </w:r>
          </w:p>
        </w:tc>
      </w:tr>
      <w:tr w:rsidR="00554171" w:rsidRPr="00332CC0" w:rsidTr="00040D3F">
        <w:trPr>
          <w:trHeight w:val="435"/>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Asian</w:t>
            </w:r>
          </w:p>
        </w:tc>
        <w:tc>
          <w:tcPr>
            <w:tcW w:w="31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$19.18</w:t>
            </w:r>
          </w:p>
        </w:tc>
        <w:tc>
          <w:tcPr>
            <w:tcW w:w="31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$18.00</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MELAA</w:t>
            </w:r>
          </w:p>
        </w:tc>
        <w:tc>
          <w:tcPr>
            <w:tcW w:w="318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$22.00</w:t>
            </w:r>
          </w:p>
        </w:tc>
        <w:tc>
          <w:tcPr>
            <w:tcW w:w="3193"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$20.00</w:t>
            </w:r>
          </w:p>
        </w:tc>
      </w:tr>
      <w:tr w:rsidR="00554171" w:rsidRPr="00332CC0" w:rsidTr="00040D3F">
        <w:trPr>
          <w:trHeight w:val="435"/>
        </w:trPr>
        <w:tc>
          <w:tcPr>
            <w:cnfStyle w:val="001000000000" w:firstRow="0" w:lastRow="0" w:firstColumn="1" w:lastColumn="0" w:oddVBand="0" w:evenVBand="0" w:oddHBand="0" w:evenHBand="0" w:firstRowFirstColumn="0" w:firstRowLastColumn="0" w:lastRowFirstColumn="0" w:lastRowLastColumn="0"/>
            <w:tcW w:w="3204" w:type="dxa"/>
          </w:tcPr>
          <w:p w:rsidR="00554171" w:rsidRPr="00332CC0" w:rsidRDefault="00554171" w:rsidP="00040D3F">
            <w:pPr>
              <w:rPr>
                <w:b w:val="0"/>
              </w:rPr>
            </w:pPr>
            <w:r w:rsidRPr="00332CC0">
              <w:t>Other</w:t>
            </w:r>
          </w:p>
        </w:tc>
        <w:tc>
          <w:tcPr>
            <w:tcW w:w="318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$22.06</w:t>
            </w:r>
          </w:p>
        </w:tc>
        <w:tc>
          <w:tcPr>
            <w:tcW w:w="3193"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$18.00</w:t>
            </w:r>
          </w:p>
        </w:tc>
      </w:tr>
    </w:tbl>
    <w:p w:rsidR="00554171" w:rsidRPr="00332CC0" w:rsidRDefault="00554171" w:rsidP="00554171">
      <w:r w:rsidRPr="00332CC0">
        <w:t xml:space="preserve"> </w:t>
      </w: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r w:rsidRPr="00332CC0">
        <w:rPr>
          <w:rFonts w:cs="Arial"/>
          <w:b/>
          <w:sz w:val="28"/>
          <w:szCs w:val="28"/>
        </w:rPr>
        <w:t>Sex discrimination complaints</w:t>
      </w:r>
    </w:p>
    <w:p w:rsidR="00554171" w:rsidRPr="00332CC0" w:rsidRDefault="00554171" w:rsidP="00554171">
      <w:pPr>
        <w:jc w:val="both"/>
        <w:rPr>
          <w:rFonts w:cs="Arial"/>
          <w:sz w:val="22"/>
        </w:rPr>
      </w:pPr>
      <w:r w:rsidRPr="00332CC0">
        <w:rPr>
          <w:rFonts w:cs="Arial"/>
          <w:sz w:val="22"/>
        </w:rPr>
        <w:t>The most common type of complaint on the ground of sex was in relation to pregnancy accounting for 31% of the sex co</w:t>
      </w:r>
      <w:r w:rsidR="00B22FCE">
        <w:rPr>
          <w:rFonts w:cs="Arial"/>
          <w:sz w:val="22"/>
        </w:rPr>
        <w:t>mplaints in employment (</w:t>
      </w:r>
      <w:r w:rsidR="00B22FCE" w:rsidRPr="002127F2">
        <w:rPr>
          <w:rFonts w:cs="Arial"/>
          <w:sz w:val="22"/>
        </w:rPr>
        <w:t>Table 26</w:t>
      </w:r>
      <w:r w:rsidRPr="002127F2">
        <w:rPr>
          <w:rFonts w:cs="Arial"/>
          <w:sz w:val="22"/>
        </w:rPr>
        <w:t>) in the</w:t>
      </w:r>
      <w:r w:rsidRPr="00332CC0">
        <w:rPr>
          <w:rFonts w:cs="Arial"/>
          <w:sz w:val="22"/>
        </w:rPr>
        <w:t xml:space="preserve"> last five years. Pregnancy complaints include women being made redundant or having their roles otherwise terminated shortly after advising of pregnancy (34 complaints), being declined roles (12) or other pre-employment problems (10), and poor treatment after advising of pregnancy (16).</w:t>
      </w:r>
    </w:p>
    <w:p w:rsidR="00554171" w:rsidRPr="00332CC0" w:rsidRDefault="00554171" w:rsidP="00554171">
      <w:pPr>
        <w:jc w:val="both"/>
        <w:rPr>
          <w:rFonts w:cs="Arial"/>
          <w:sz w:val="22"/>
        </w:rPr>
      </w:pPr>
    </w:p>
    <w:p w:rsidR="00554171" w:rsidRDefault="00554171" w:rsidP="00554171">
      <w:pPr>
        <w:jc w:val="both"/>
        <w:rPr>
          <w:rFonts w:cs="Arial"/>
          <w:sz w:val="22"/>
        </w:rPr>
      </w:pPr>
      <w:r w:rsidRPr="00332CC0">
        <w:rPr>
          <w:rFonts w:cs="Arial"/>
          <w:sz w:val="22"/>
        </w:rPr>
        <w:t>Related to the pregnancy complaints were a further 23 complaints about parental leave, including problems with jobs not being held open for people returning from parental leave.</w:t>
      </w:r>
    </w:p>
    <w:p w:rsidR="00554171" w:rsidRDefault="00554171" w:rsidP="00554171">
      <w:pPr>
        <w:jc w:val="both"/>
        <w:rPr>
          <w:rFonts w:cs="Arial"/>
          <w:sz w:val="22"/>
        </w:rPr>
      </w:pPr>
    </w:p>
    <w:p w:rsidR="00554171" w:rsidRPr="00332CC0" w:rsidRDefault="00554171" w:rsidP="00554171">
      <w:pPr>
        <w:jc w:val="both"/>
        <w:rPr>
          <w:rFonts w:cs="Arial"/>
          <w:sz w:val="22"/>
        </w:rPr>
      </w:pPr>
      <w:r>
        <w:rPr>
          <w:rFonts w:cs="Arial"/>
          <w:sz w:val="22"/>
        </w:rPr>
        <w:t>Sexual harassment is included as a separate form of discrimination in the HRA and remains persistently high.</w:t>
      </w:r>
    </w:p>
    <w:p w:rsidR="00554171" w:rsidRPr="00332CC0" w:rsidRDefault="00554171" w:rsidP="00554171">
      <w:pPr>
        <w:rPr>
          <w:rFonts w:cs="Arial"/>
          <w:i/>
          <w:u w:val="single"/>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6</w:t>
      </w:r>
      <w:r w:rsidRPr="00332CC0">
        <w:rPr>
          <w:rFonts w:cs="Arial"/>
          <w:b/>
          <w:sz w:val="28"/>
          <w:szCs w:val="28"/>
        </w:rPr>
        <w:t>:  Sex discrimination and employment complaints</w:t>
      </w:r>
    </w:p>
    <w:p w:rsidR="00554171" w:rsidRPr="00332CC0" w:rsidRDefault="00554171" w:rsidP="00554171">
      <w:pPr>
        <w:rPr>
          <w:rFonts w:cs="Arial"/>
          <w:i/>
          <w:u w:val="single"/>
        </w:rPr>
      </w:pPr>
    </w:p>
    <w:tbl>
      <w:tblPr>
        <w:tblStyle w:val="MediumGrid1-Accent2"/>
        <w:tblW w:w="9415" w:type="dxa"/>
        <w:tblLook w:val="04A0" w:firstRow="1" w:lastRow="0" w:firstColumn="1" w:lastColumn="0" w:noHBand="0" w:noVBand="1"/>
      </w:tblPr>
      <w:tblGrid>
        <w:gridCol w:w="5693"/>
        <w:gridCol w:w="1860"/>
        <w:gridCol w:w="1862"/>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5693" w:type="dxa"/>
          </w:tcPr>
          <w:p w:rsidR="00554171" w:rsidRPr="00332CC0" w:rsidRDefault="00554171" w:rsidP="00040D3F">
            <w:pPr>
              <w:rPr>
                <w:rFonts w:cs="Arial"/>
              </w:rPr>
            </w:pPr>
          </w:p>
        </w:tc>
        <w:tc>
          <w:tcPr>
            <w:tcW w:w="1860" w:type="dxa"/>
          </w:tcPr>
          <w:p w:rsidR="00554171" w:rsidRPr="00332CC0" w:rsidRDefault="00554171" w:rsidP="00040D3F">
            <w:pPr>
              <w:spacing w:before="240" w:line="276" w:lineRule="auto"/>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Number of sex complaints</w:t>
            </w:r>
          </w:p>
        </w:tc>
        <w:tc>
          <w:tcPr>
            <w:tcW w:w="1862" w:type="dxa"/>
          </w:tcPr>
          <w:p w:rsidR="00554171" w:rsidRPr="00332CC0" w:rsidRDefault="00554171" w:rsidP="00040D3F">
            <w:pPr>
              <w:spacing w:before="240"/>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Proportion of sex complaints</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693" w:type="dxa"/>
          </w:tcPr>
          <w:p w:rsidR="00554171" w:rsidRPr="00332CC0" w:rsidRDefault="00554171" w:rsidP="00040D3F">
            <w:pPr>
              <w:rPr>
                <w:rFonts w:cs="Arial"/>
              </w:rPr>
            </w:pPr>
            <w:r w:rsidRPr="00332CC0">
              <w:rPr>
                <w:rFonts w:cs="Arial"/>
              </w:rPr>
              <w:t>Pregnancy</w:t>
            </w:r>
          </w:p>
        </w:tc>
        <w:tc>
          <w:tcPr>
            <w:tcW w:w="186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128</w:t>
            </w:r>
          </w:p>
        </w:tc>
        <w:tc>
          <w:tcPr>
            <w:tcW w:w="1862"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31%</w:t>
            </w:r>
          </w:p>
        </w:tc>
      </w:tr>
      <w:tr w:rsidR="00554171" w:rsidRPr="00332CC0" w:rsidTr="00040D3F">
        <w:trPr>
          <w:trHeight w:val="528"/>
        </w:trPr>
        <w:tc>
          <w:tcPr>
            <w:cnfStyle w:val="001000000000" w:firstRow="0" w:lastRow="0" w:firstColumn="1" w:lastColumn="0" w:oddVBand="0" w:evenVBand="0" w:oddHBand="0" w:evenHBand="0" w:firstRowFirstColumn="0" w:firstRowLastColumn="0" w:lastRowFirstColumn="0" w:lastRowLastColumn="0"/>
            <w:tcW w:w="5693" w:type="dxa"/>
          </w:tcPr>
          <w:p w:rsidR="00554171" w:rsidRPr="00332CC0" w:rsidRDefault="00554171" w:rsidP="00040D3F">
            <w:pPr>
              <w:rPr>
                <w:rFonts w:cs="Arial"/>
              </w:rPr>
            </w:pPr>
            <w:r w:rsidRPr="00332CC0">
              <w:rPr>
                <w:rFonts w:cs="Arial"/>
              </w:rPr>
              <w:t>Gender preference in pre-employment</w:t>
            </w:r>
          </w:p>
        </w:tc>
        <w:tc>
          <w:tcPr>
            <w:tcW w:w="186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95</w:t>
            </w:r>
          </w:p>
        </w:tc>
        <w:tc>
          <w:tcPr>
            <w:tcW w:w="1862"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23%</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93" w:type="dxa"/>
          </w:tcPr>
          <w:p w:rsidR="00554171" w:rsidRPr="00332CC0" w:rsidRDefault="00554171" w:rsidP="00040D3F">
            <w:pPr>
              <w:rPr>
                <w:rFonts w:cs="Arial"/>
              </w:rPr>
            </w:pPr>
            <w:r w:rsidRPr="00332CC0">
              <w:rPr>
                <w:rFonts w:cs="Arial"/>
              </w:rPr>
              <w:t>Parental leave</w:t>
            </w:r>
          </w:p>
        </w:tc>
        <w:tc>
          <w:tcPr>
            <w:tcW w:w="186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23</w:t>
            </w:r>
          </w:p>
        </w:tc>
        <w:tc>
          <w:tcPr>
            <w:tcW w:w="1862"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w:t>
            </w:r>
          </w:p>
        </w:tc>
      </w:tr>
    </w:tbl>
    <w:p w:rsidR="00554171" w:rsidRPr="00332CC0" w:rsidRDefault="00554171" w:rsidP="00554171">
      <w:pPr>
        <w:rPr>
          <w:rFonts w:cs="Arial"/>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7</w:t>
      </w:r>
      <w:r w:rsidRPr="00332CC0">
        <w:rPr>
          <w:rFonts w:cs="Arial"/>
          <w:b/>
          <w:sz w:val="28"/>
          <w:szCs w:val="28"/>
        </w:rPr>
        <w:t>:  Sexual harassment complaints</w:t>
      </w:r>
    </w:p>
    <w:p w:rsidR="00554171" w:rsidRPr="00332CC0" w:rsidRDefault="00554171" w:rsidP="00554171">
      <w:pPr>
        <w:rPr>
          <w:rFonts w:cs="Arial"/>
          <w:i/>
          <w:u w:val="single"/>
        </w:rPr>
      </w:pPr>
    </w:p>
    <w:tbl>
      <w:tblPr>
        <w:tblStyle w:val="MediumGrid1-Accent2"/>
        <w:tblW w:w="9508" w:type="dxa"/>
        <w:tblLook w:val="04A0" w:firstRow="1" w:lastRow="0" w:firstColumn="1" w:lastColumn="0" w:noHBand="0" w:noVBand="1"/>
      </w:tblPr>
      <w:tblGrid>
        <w:gridCol w:w="5757"/>
        <w:gridCol w:w="1875"/>
        <w:gridCol w:w="187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5757" w:type="dxa"/>
          </w:tcPr>
          <w:p w:rsidR="00554171" w:rsidRPr="00332CC0" w:rsidRDefault="00554171" w:rsidP="00040D3F">
            <w:pPr>
              <w:rPr>
                <w:rFonts w:cs="Arial"/>
              </w:rPr>
            </w:pPr>
          </w:p>
        </w:tc>
        <w:tc>
          <w:tcPr>
            <w:tcW w:w="187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Number of sexual harassment complaints</w:t>
            </w:r>
          </w:p>
        </w:tc>
        <w:tc>
          <w:tcPr>
            <w:tcW w:w="187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p>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Proportion of sexual harassment complaints</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757" w:type="dxa"/>
          </w:tcPr>
          <w:p w:rsidR="00554171" w:rsidRPr="00332CC0" w:rsidRDefault="00554171" w:rsidP="00040D3F">
            <w:pPr>
              <w:rPr>
                <w:rFonts w:cs="Arial"/>
              </w:rPr>
            </w:pPr>
            <w:r w:rsidRPr="00332CC0">
              <w:rPr>
                <w:rFonts w:cs="Arial"/>
              </w:rPr>
              <w:t>Harassment (by colleague or not specified)</w:t>
            </w:r>
          </w:p>
        </w:tc>
        <w:tc>
          <w:tcPr>
            <w:tcW w:w="1875"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184</w:t>
            </w:r>
          </w:p>
        </w:tc>
        <w:tc>
          <w:tcPr>
            <w:tcW w:w="1876"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57%</w:t>
            </w:r>
          </w:p>
        </w:tc>
      </w:tr>
      <w:tr w:rsidR="00554171" w:rsidRPr="00332CC0" w:rsidTr="00040D3F">
        <w:trPr>
          <w:trHeight w:val="483"/>
        </w:trPr>
        <w:tc>
          <w:tcPr>
            <w:cnfStyle w:val="001000000000" w:firstRow="0" w:lastRow="0" w:firstColumn="1" w:lastColumn="0" w:oddVBand="0" w:evenVBand="0" w:oddHBand="0" w:evenHBand="0" w:firstRowFirstColumn="0" w:firstRowLastColumn="0" w:lastRowFirstColumn="0" w:lastRowLastColumn="0"/>
            <w:tcW w:w="5757" w:type="dxa"/>
          </w:tcPr>
          <w:p w:rsidR="00554171" w:rsidRPr="00332CC0" w:rsidRDefault="00554171" w:rsidP="00040D3F">
            <w:pPr>
              <w:rPr>
                <w:rFonts w:cs="Arial"/>
              </w:rPr>
            </w:pPr>
            <w:r w:rsidRPr="00332CC0">
              <w:rPr>
                <w:rFonts w:cs="Arial"/>
              </w:rPr>
              <w:t>Harassment by person in senior role</w:t>
            </w:r>
          </w:p>
        </w:tc>
        <w:tc>
          <w:tcPr>
            <w:tcW w:w="1875"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113</w:t>
            </w:r>
          </w:p>
        </w:tc>
        <w:tc>
          <w:tcPr>
            <w:tcW w:w="1876"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35%</w:t>
            </w:r>
          </w:p>
        </w:tc>
      </w:tr>
    </w:tbl>
    <w:p w:rsidR="00554171" w:rsidRPr="00332CC0" w:rsidRDefault="00554171" w:rsidP="00554171"/>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spacing w:after="200" w:line="276" w:lineRule="auto"/>
        <w:rPr>
          <w:rFonts w:eastAsiaTheme="majorEastAsia" w:cs="Arial"/>
          <w:b/>
          <w:bCs/>
          <w:color w:val="00B0F0"/>
          <w:sz w:val="32"/>
          <w:szCs w:val="32"/>
        </w:rPr>
      </w:pPr>
      <w:r>
        <w:rPr>
          <w:rFonts w:cs="Arial"/>
          <w:color w:val="00B0F0"/>
          <w:sz w:val="32"/>
          <w:szCs w:val="32"/>
        </w:rPr>
        <w:br w:type="page"/>
      </w:r>
    </w:p>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t>Ethnicity</w:t>
      </w:r>
    </w:p>
    <w:p w:rsidR="00554171" w:rsidRPr="00332CC0" w:rsidRDefault="00554171" w:rsidP="00554171">
      <w:pPr>
        <w:autoSpaceDE w:val="0"/>
        <w:autoSpaceDN w:val="0"/>
        <w:adjustRightInd w:val="0"/>
        <w:rPr>
          <w:rFonts w:cs="Arial"/>
          <w:b/>
          <w:color w:val="000000"/>
        </w:rPr>
      </w:pPr>
    </w:p>
    <w:p w:rsidR="00554171" w:rsidRPr="00332CC0" w:rsidRDefault="00554171" w:rsidP="00554171">
      <w:pPr>
        <w:autoSpaceDE w:val="0"/>
        <w:autoSpaceDN w:val="0"/>
        <w:adjustRightInd w:val="0"/>
        <w:rPr>
          <w:rStyle w:val="IntenseEmphasis"/>
          <w:i w:val="0"/>
          <w:color w:val="auto"/>
          <w:sz w:val="28"/>
          <w:szCs w:val="28"/>
        </w:rPr>
      </w:pPr>
      <w:r w:rsidRPr="00332CC0">
        <w:rPr>
          <w:rStyle w:val="IntenseEmphasis"/>
          <w:i w:val="0"/>
          <w:color w:val="auto"/>
          <w:sz w:val="28"/>
          <w:szCs w:val="28"/>
        </w:rPr>
        <w:t>Employment Statistics</w:t>
      </w:r>
    </w:p>
    <w:p w:rsidR="00554171" w:rsidRPr="002127F2" w:rsidRDefault="00C230D7" w:rsidP="00554171">
      <w:pPr>
        <w:autoSpaceDE w:val="0"/>
        <w:autoSpaceDN w:val="0"/>
        <w:adjustRightInd w:val="0"/>
        <w:jc w:val="both"/>
        <w:rPr>
          <w:rFonts w:cs="Arial"/>
          <w:color w:val="000000"/>
          <w:sz w:val="22"/>
          <w:szCs w:val="22"/>
        </w:rPr>
      </w:pPr>
      <w:r w:rsidRPr="002127F2">
        <w:rPr>
          <w:rFonts w:cs="Arial"/>
          <w:color w:val="000000"/>
          <w:sz w:val="22"/>
          <w:szCs w:val="22"/>
        </w:rPr>
        <w:t>Tables 28 and 29</w:t>
      </w:r>
      <w:r w:rsidR="00554171" w:rsidRPr="002127F2">
        <w:rPr>
          <w:rFonts w:cs="Arial"/>
          <w:color w:val="000000"/>
          <w:sz w:val="22"/>
          <w:szCs w:val="22"/>
        </w:rPr>
        <w:t xml:space="preserve"> indicate the acuteness of Māori and Pacific youth unemployment. More than one in four Māori and one in four Pacific youth in the labour market are unemployed. </w:t>
      </w:r>
    </w:p>
    <w:p w:rsidR="00554171" w:rsidRPr="002127F2" w:rsidRDefault="00554171" w:rsidP="00554171">
      <w:pPr>
        <w:autoSpaceDE w:val="0"/>
        <w:autoSpaceDN w:val="0"/>
        <w:adjustRightInd w:val="0"/>
        <w:jc w:val="both"/>
        <w:rPr>
          <w:rFonts w:cs="Arial"/>
          <w:color w:val="000000"/>
          <w:sz w:val="22"/>
          <w:szCs w:val="22"/>
        </w:rPr>
      </w:pPr>
    </w:p>
    <w:p w:rsidR="00554171" w:rsidRPr="002127F2" w:rsidRDefault="00554171" w:rsidP="00554171">
      <w:pPr>
        <w:autoSpaceDE w:val="0"/>
        <w:autoSpaceDN w:val="0"/>
        <w:adjustRightInd w:val="0"/>
        <w:jc w:val="both"/>
        <w:rPr>
          <w:rFonts w:cs="Arial"/>
          <w:color w:val="000000"/>
          <w:sz w:val="22"/>
          <w:szCs w:val="22"/>
        </w:rPr>
      </w:pPr>
      <w:r w:rsidRPr="002127F2">
        <w:rPr>
          <w:rFonts w:cs="Arial"/>
          <w:color w:val="000000"/>
          <w:sz w:val="22"/>
          <w:szCs w:val="22"/>
        </w:rPr>
        <w:t>For all under 25 year olds, 9.3% of Europeans, 15.4% of Māori, 13.1% of Pacific youth and 9.5% of Asian/MELAA/other are unemployed.</w:t>
      </w:r>
      <w:r w:rsidRPr="002127F2">
        <w:rPr>
          <w:rStyle w:val="FootnoteReference"/>
          <w:rFonts w:cs="Arial"/>
          <w:color w:val="000000"/>
          <w:sz w:val="22"/>
          <w:szCs w:val="22"/>
        </w:rPr>
        <w:footnoteReference w:id="27"/>
      </w:r>
      <w:r w:rsidRPr="002127F2">
        <w:rPr>
          <w:rFonts w:cs="Arial"/>
          <w:color w:val="000000"/>
          <w:sz w:val="22"/>
          <w:szCs w:val="22"/>
        </w:rPr>
        <w:t xml:space="preserve"> The different participation rates leads to questions as to what those people are doing – and for under 25s many will be in education. </w:t>
      </w:r>
    </w:p>
    <w:p w:rsidR="00554171" w:rsidRPr="002127F2"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jc w:val="both"/>
        <w:rPr>
          <w:rFonts w:cs="Arial"/>
          <w:color w:val="000000"/>
          <w:sz w:val="22"/>
          <w:szCs w:val="22"/>
        </w:rPr>
      </w:pPr>
      <w:r w:rsidRPr="002127F2">
        <w:rPr>
          <w:rFonts w:cs="Arial"/>
          <w:color w:val="000000"/>
          <w:sz w:val="22"/>
          <w:szCs w:val="22"/>
        </w:rPr>
        <w:t>Unemployment r</w:t>
      </w:r>
      <w:r w:rsidR="00C230D7" w:rsidRPr="002127F2">
        <w:rPr>
          <w:rFonts w:cs="Arial"/>
          <w:color w:val="000000"/>
          <w:sz w:val="22"/>
          <w:szCs w:val="22"/>
        </w:rPr>
        <w:t>ates by qualification (Tables 30 to 32</w:t>
      </w:r>
      <w:r w:rsidRPr="002127F2">
        <w:rPr>
          <w:rFonts w:cs="Arial"/>
          <w:color w:val="000000"/>
          <w:sz w:val="22"/>
          <w:szCs w:val="22"/>
        </w:rPr>
        <w:t>) suggest that while higher education levels reduce the likelihood of unemployment, Māori, Pacific people</w:t>
      </w:r>
      <w:r w:rsidRPr="00332CC0">
        <w:rPr>
          <w:rFonts w:cs="Arial"/>
          <w:color w:val="000000"/>
          <w:sz w:val="22"/>
          <w:szCs w:val="22"/>
        </w:rPr>
        <w:t xml:space="preserve"> and other people from ethnic minorities with a post secondary school diploma have higher rates of unemployment than Europeans with no qualifications.</w:t>
      </w:r>
      <w:r w:rsidRPr="00332CC0">
        <w:rPr>
          <w:rStyle w:val="FootnoteReference"/>
          <w:rFonts w:cs="Arial"/>
          <w:color w:val="000000"/>
          <w:sz w:val="22"/>
          <w:szCs w:val="22"/>
        </w:rPr>
        <w:footnoteReference w:id="28"/>
      </w:r>
      <w:r w:rsidRPr="00332CC0">
        <w:rPr>
          <w:rFonts w:cs="Arial"/>
          <w:color w:val="000000"/>
          <w:sz w:val="22"/>
          <w:szCs w:val="22"/>
        </w:rPr>
        <w:t xml:space="preserve">  </w:t>
      </w:r>
    </w:p>
    <w:p w:rsidR="00554171" w:rsidRPr="00332CC0" w:rsidRDefault="00554171" w:rsidP="00554171">
      <w:pPr>
        <w:autoSpaceDE w:val="0"/>
        <w:autoSpaceDN w:val="0"/>
        <w:adjustRightInd w:val="0"/>
        <w:jc w:val="both"/>
        <w:rPr>
          <w:rFonts w:cs="Arial"/>
          <w:color w:val="000000"/>
          <w:sz w:val="22"/>
          <w:szCs w:val="22"/>
        </w:rPr>
      </w:pPr>
    </w:p>
    <w:p w:rsidR="00554171" w:rsidRPr="00332CC0" w:rsidRDefault="004E76D5" w:rsidP="002127F2">
      <w:pPr>
        <w:rPr>
          <w:rFonts w:cs="Arial"/>
          <w:b/>
          <w:sz w:val="28"/>
          <w:szCs w:val="28"/>
        </w:rPr>
      </w:pPr>
      <w:r>
        <w:rPr>
          <w:rFonts w:cs="Arial"/>
          <w:b/>
          <w:sz w:val="28"/>
          <w:szCs w:val="28"/>
        </w:rPr>
        <w:t>Table 2</w:t>
      </w:r>
      <w:r w:rsidR="00997B54">
        <w:rPr>
          <w:rFonts w:cs="Arial"/>
          <w:b/>
          <w:sz w:val="28"/>
          <w:szCs w:val="28"/>
        </w:rPr>
        <w:t>8</w:t>
      </w:r>
      <w:r w:rsidR="00554171" w:rsidRPr="00332CC0">
        <w:rPr>
          <w:rFonts w:cs="Arial"/>
          <w:b/>
          <w:sz w:val="28"/>
          <w:szCs w:val="28"/>
        </w:rPr>
        <w:t>:  Participation rates</w:t>
      </w:r>
    </w:p>
    <w:p w:rsidR="00554171" w:rsidRPr="00332CC0" w:rsidRDefault="00554171" w:rsidP="00554171">
      <w:pPr>
        <w:rPr>
          <w:rFonts w:cs="Arial"/>
          <w:sz w:val="22"/>
          <w:szCs w:val="22"/>
          <w:u w:val="single"/>
        </w:rPr>
      </w:pPr>
    </w:p>
    <w:tbl>
      <w:tblPr>
        <w:tblStyle w:val="MediumGrid1-Accent2"/>
        <w:tblW w:w="9528" w:type="dxa"/>
        <w:tblLook w:val="04A0" w:firstRow="1" w:lastRow="0" w:firstColumn="1" w:lastColumn="0" w:noHBand="0" w:noVBand="1"/>
      </w:tblPr>
      <w:tblGrid>
        <w:gridCol w:w="1950"/>
        <w:gridCol w:w="1895"/>
        <w:gridCol w:w="1894"/>
        <w:gridCol w:w="1981"/>
        <w:gridCol w:w="1808"/>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rPr>
            </w:pPr>
          </w:p>
        </w:tc>
        <w:tc>
          <w:tcPr>
            <w:tcW w:w="189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Under 25 yrs</w:t>
            </w:r>
          </w:p>
        </w:tc>
        <w:tc>
          <w:tcPr>
            <w:tcW w:w="189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25-44 yrs</w:t>
            </w:r>
          </w:p>
        </w:tc>
        <w:tc>
          <w:tcPr>
            <w:tcW w:w="198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45 and over</w:t>
            </w:r>
          </w:p>
        </w:tc>
        <w:tc>
          <w:tcPr>
            <w:tcW w:w="180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b w:val="0"/>
              </w:rPr>
            </w:pPr>
            <w:r w:rsidRPr="00332CC0">
              <w:rPr>
                <w:rFonts w:cs="Arial"/>
              </w:rPr>
              <w:t>European</w:t>
            </w:r>
          </w:p>
        </w:tc>
        <w:tc>
          <w:tcPr>
            <w:tcW w:w="18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67.5%</w:t>
            </w:r>
          </w:p>
        </w:tc>
        <w:tc>
          <w:tcPr>
            <w:tcW w:w="189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85.2%</w:t>
            </w:r>
          </w:p>
        </w:tc>
        <w:tc>
          <w:tcPr>
            <w:tcW w:w="19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61.3%</w:t>
            </w:r>
          </w:p>
        </w:tc>
        <w:tc>
          <w:tcPr>
            <w:tcW w:w="18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69.8%</w:t>
            </w:r>
          </w:p>
        </w:tc>
      </w:tr>
      <w:tr w:rsidR="00554171" w:rsidRPr="00332CC0" w:rsidTr="00040D3F">
        <w:trPr>
          <w:trHeight w:val="456"/>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b w:val="0"/>
              </w:rPr>
            </w:pPr>
            <w:r w:rsidRPr="00332CC0">
              <w:rPr>
                <w:rFonts w:cs="Arial"/>
              </w:rPr>
              <w:t>Māori</w:t>
            </w:r>
          </w:p>
        </w:tc>
        <w:tc>
          <w:tcPr>
            <w:tcW w:w="189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56.3%</w:t>
            </w:r>
          </w:p>
        </w:tc>
        <w:tc>
          <w:tcPr>
            <w:tcW w:w="189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76.1%</w:t>
            </w:r>
          </w:p>
        </w:tc>
        <w:tc>
          <w:tcPr>
            <w:tcW w:w="198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64.5%</w:t>
            </w:r>
          </w:p>
        </w:tc>
        <w:tc>
          <w:tcPr>
            <w:tcW w:w="180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66.4%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b w:val="0"/>
              </w:rPr>
            </w:pPr>
            <w:r w:rsidRPr="00332CC0">
              <w:rPr>
                <w:rFonts w:cs="Arial"/>
              </w:rPr>
              <w:t>Pacific peoples</w:t>
            </w:r>
          </w:p>
        </w:tc>
        <w:tc>
          <w:tcPr>
            <w:tcW w:w="18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48.0%</w:t>
            </w:r>
          </w:p>
        </w:tc>
        <w:tc>
          <w:tcPr>
            <w:tcW w:w="189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75.3%</w:t>
            </w:r>
          </w:p>
        </w:tc>
        <w:tc>
          <w:tcPr>
            <w:tcW w:w="19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57.5%</w:t>
            </w:r>
          </w:p>
        </w:tc>
        <w:tc>
          <w:tcPr>
            <w:tcW w:w="18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61.6%</w:t>
            </w:r>
          </w:p>
        </w:tc>
      </w:tr>
      <w:tr w:rsidR="00554171" w:rsidRPr="00332CC0" w:rsidTr="00040D3F">
        <w:trPr>
          <w:trHeight w:val="953"/>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b w:val="0"/>
              </w:rPr>
            </w:pPr>
            <w:r w:rsidRPr="00332CC0">
              <w:rPr>
                <w:rFonts w:cs="Arial"/>
              </w:rPr>
              <w:t>Asian/MELAA/ Other</w:t>
            </w:r>
          </w:p>
        </w:tc>
        <w:tc>
          <w:tcPr>
            <w:tcW w:w="189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53.2%</w:t>
            </w:r>
          </w:p>
        </w:tc>
        <w:tc>
          <w:tcPr>
            <w:tcW w:w="189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 xml:space="preserve">80.9% </w:t>
            </w:r>
          </w:p>
        </w:tc>
        <w:tc>
          <w:tcPr>
            <w:tcW w:w="198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58.2%</w:t>
            </w:r>
          </w:p>
        </w:tc>
        <w:tc>
          <w:tcPr>
            <w:tcW w:w="180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66.9%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50" w:type="dxa"/>
          </w:tcPr>
          <w:p w:rsidR="00554171" w:rsidRPr="00332CC0" w:rsidRDefault="00554171" w:rsidP="00040D3F">
            <w:pPr>
              <w:rPr>
                <w:rFonts w:cs="Arial"/>
                <w:b w:val="0"/>
              </w:rPr>
            </w:pPr>
            <w:r w:rsidRPr="00332CC0">
              <w:rPr>
                <w:rFonts w:cs="Arial"/>
              </w:rPr>
              <w:t xml:space="preserve">Total </w:t>
            </w:r>
          </w:p>
        </w:tc>
        <w:tc>
          <w:tcPr>
            <w:tcW w:w="18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62.1%</w:t>
            </w:r>
          </w:p>
        </w:tc>
        <w:tc>
          <w:tcPr>
            <w:tcW w:w="189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83.0%</w:t>
            </w:r>
          </w:p>
        </w:tc>
        <w:tc>
          <w:tcPr>
            <w:tcW w:w="198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60.7%</w:t>
            </w:r>
          </w:p>
        </w:tc>
        <w:tc>
          <w:tcPr>
            <w:tcW w:w="18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68.5%</w:t>
            </w:r>
          </w:p>
        </w:tc>
      </w:tr>
    </w:tbl>
    <w:p w:rsidR="00554171" w:rsidRPr="00332CC0" w:rsidRDefault="00554171" w:rsidP="00554171">
      <w:pPr>
        <w:rPr>
          <w:rFonts w:cs="Arial"/>
          <w:sz w:val="22"/>
          <w:szCs w:val="22"/>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9</w:t>
      </w:r>
      <w:r w:rsidRPr="00332CC0">
        <w:rPr>
          <w:rFonts w:cs="Arial"/>
          <w:b/>
          <w:sz w:val="28"/>
          <w:szCs w:val="28"/>
        </w:rPr>
        <w:t>:  Unemployment rates</w:t>
      </w:r>
    </w:p>
    <w:p w:rsidR="00554171" w:rsidRPr="00332CC0" w:rsidRDefault="00554171" w:rsidP="00554171">
      <w:pPr>
        <w:rPr>
          <w:rFonts w:cs="Arial"/>
          <w:b/>
          <w:sz w:val="22"/>
          <w:szCs w:val="22"/>
        </w:rPr>
      </w:pPr>
    </w:p>
    <w:tbl>
      <w:tblPr>
        <w:tblStyle w:val="MediumGrid1-Accent2"/>
        <w:tblW w:w="9724" w:type="dxa"/>
        <w:tblLook w:val="04A0" w:firstRow="1" w:lastRow="0" w:firstColumn="1" w:lastColumn="0" w:noHBand="0" w:noVBand="1"/>
      </w:tblPr>
      <w:tblGrid>
        <w:gridCol w:w="1990"/>
        <w:gridCol w:w="1936"/>
        <w:gridCol w:w="1935"/>
        <w:gridCol w:w="1927"/>
        <w:gridCol w:w="193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p>
        </w:tc>
        <w:tc>
          <w:tcPr>
            <w:tcW w:w="193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Under 25 yrs</w:t>
            </w:r>
          </w:p>
        </w:tc>
        <w:tc>
          <w:tcPr>
            <w:tcW w:w="193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25-44 yrs</w:t>
            </w:r>
          </w:p>
        </w:tc>
        <w:tc>
          <w:tcPr>
            <w:tcW w:w="192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45 and over</w:t>
            </w:r>
          </w:p>
        </w:tc>
        <w:tc>
          <w:tcPr>
            <w:tcW w:w="193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Total</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r w:rsidRPr="00332CC0">
              <w:rPr>
                <w:rFonts w:cs="Arial"/>
              </w:rPr>
              <w:t>European</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13.8%</w:t>
            </w:r>
          </w:p>
        </w:tc>
        <w:tc>
          <w:tcPr>
            <w:tcW w:w="193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4.1%</w:t>
            </w:r>
          </w:p>
        </w:tc>
        <w:tc>
          <w:tcPr>
            <w:tcW w:w="19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2.9%</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5.1%</w:t>
            </w:r>
          </w:p>
        </w:tc>
      </w:tr>
      <w:tr w:rsidR="00554171" w:rsidRPr="00332CC0" w:rsidTr="00040D3F">
        <w:trPr>
          <w:trHeight w:val="439"/>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r w:rsidRPr="00332CC0">
              <w:rPr>
                <w:rFonts w:cs="Arial"/>
              </w:rPr>
              <w:t>Māori</w:t>
            </w:r>
          </w:p>
        </w:tc>
        <w:tc>
          <w:tcPr>
            <w:tcW w:w="19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27.4%</w:t>
            </w:r>
          </w:p>
        </w:tc>
        <w:tc>
          <w:tcPr>
            <w:tcW w:w="193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9.7%</w:t>
            </w:r>
          </w:p>
        </w:tc>
        <w:tc>
          <w:tcPr>
            <w:tcW w:w="192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7.8%</w:t>
            </w:r>
          </w:p>
        </w:tc>
        <w:tc>
          <w:tcPr>
            <w:tcW w:w="19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13.4%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r w:rsidRPr="00332CC0">
              <w:rPr>
                <w:rFonts w:cs="Arial"/>
              </w:rPr>
              <w:t>Pacific peoples</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27.2%</w:t>
            </w:r>
          </w:p>
        </w:tc>
        <w:tc>
          <w:tcPr>
            <w:tcW w:w="193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10.2%</w:t>
            </w:r>
          </w:p>
        </w:tc>
        <w:tc>
          <w:tcPr>
            <w:tcW w:w="19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7.5%</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13.6%</w:t>
            </w:r>
          </w:p>
        </w:tc>
      </w:tr>
      <w:tr w:rsidR="00554171" w:rsidRPr="00332CC0" w:rsidTr="00040D3F">
        <w:trPr>
          <w:trHeight w:val="915"/>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r w:rsidRPr="00332CC0">
              <w:rPr>
                <w:rFonts w:cs="Arial"/>
              </w:rPr>
              <w:t>Asian/MELAA/ Other</w:t>
            </w:r>
          </w:p>
        </w:tc>
        <w:tc>
          <w:tcPr>
            <w:tcW w:w="19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17.8%</w:t>
            </w:r>
          </w:p>
        </w:tc>
        <w:tc>
          <w:tcPr>
            <w:tcW w:w="193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7.5%</w:t>
            </w:r>
          </w:p>
        </w:tc>
        <w:tc>
          <w:tcPr>
            <w:tcW w:w="192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4.8%</w:t>
            </w:r>
          </w:p>
        </w:tc>
        <w:tc>
          <w:tcPr>
            <w:tcW w:w="19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8.5%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990" w:type="dxa"/>
          </w:tcPr>
          <w:p w:rsidR="00554171" w:rsidRPr="00332CC0" w:rsidRDefault="00554171" w:rsidP="00040D3F">
            <w:pPr>
              <w:rPr>
                <w:rFonts w:cs="Arial"/>
              </w:rPr>
            </w:pPr>
            <w:r w:rsidRPr="00332CC0">
              <w:rPr>
                <w:rFonts w:cs="Arial"/>
              </w:rPr>
              <w:t xml:space="preserve">Total </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16.8%</w:t>
            </w:r>
          </w:p>
        </w:tc>
        <w:tc>
          <w:tcPr>
            <w:tcW w:w="193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5.5%</w:t>
            </w:r>
          </w:p>
        </w:tc>
        <w:tc>
          <w:tcPr>
            <w:tcW w:w="19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3.6%</w:t>
            </w:r>
          </w:p>
        </w:tc>
        <w:tc>
          <w:tcPr>
            <w:tcW w:w="19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6.6%</w:t>
            </w:r>
          </w:p>
        </w:tc>
      </w:tr>
    </w:tbl>
    <w:p w:rsidR="00554171" w:rsidRDefault="00554171" w:rsidP="00554171">
      <w:pPr>
        <w:rPr>
          <w:rFonts w:cs="Arial"/>
          <w:b/>
          <w:sz w:val="28"/>
          <w:szCs w:val="28"/>
        </w:rPr>
      </w:pPr>
    </w:p>
    <w:p w:rsidR="00554171" w:rsidRPr="00332CC0" w:rsidRDefault="00554171" w:rsidP="00554171">
      <w:pPr>
        <w:rPr>
          <w:rFonts w:cs="Arial"/>
          <w:b/>
          <w:sz w:val="28"/>
          <w:szCs w:val="28"/>
        </w:rPr>
      </w:pPr>
      <w:r w:rsidRPr="00332CC0">
        <w:rPr>
          <w:rFonts w:cs="Arial"/>
          <w:b/>
          <w:sz w:val="28"/>
          <w:szCs w:val="28"/>
        </w:rPr>
        <w:t xml:space="preserve">Qualifications and unemployment </w:t>
      </w:r>
    </w:p>
    <w:p w:rsidR="00554171" w:rsidRPr="00332CC0" w:rsidRDefault="00554171" w:rsidP="00554171">
      <w:pPr>
        <w:rPr>
          <w:rFonts w:cs="Arial"/>
          <w:sz w:val="22"/>
          <w:szCs w:val="22"/>
          <w:u w:val="single"/>
        </w:rPr>
      </w:pPr>
    </w:p>
    <w:p w:rsidR="00554171" w:rsidRPr="00332CC0" w:rsidRDefault="00997B54" w:rsidP="002127F2">
      <w:pPr>
        <w:rPr>
          <w:rFonts w:cs="Arial"/>
          <w:b/>
          <w:sz w:val="28"/>
          <w:szCs w:val="28"/>
        </w:rPr>
      </w:pPr>
      <w:r>
        <w:rPr>
          <w:rFonts w:cs="Arial"/>
          <w:b/>
          <w:sz w:val="28"/>
          <w:szCs w:val="28"/>
        </w:rPr>
        <w:t>Table 30</w:t>
      </w:r>
      <w:r w:rsidR="00554171" w:rsidRPr="00332CC0">
        <w:rPr>
          <w:rFonts w:cs="Arial"/>
          <w:b/>
          <w:sz w:val="28"/>
          <w:szCs w:val="28"/>
        </w:rPr>
        <w:t>:  Male unemployment rates by educational qualification and ethnicity</w:t>
      </w:r>
    </w:p>
    <w:p w:rsidR="00554171" w:rsidRPr="00332CC0" w:rsidRDefault="00554171" w:rsidP="00554171">
      <w:pPr>
        <w:rPr>
          <w:rFonts w:cs="Arial"/>
          <w:b/>
          <w:sz w:val="22"/>
          <w:szCs w:val="22"/>
        </w:rPr>
      </w:pPr>
    </w:p>
    <w:tbl>
      <w:tblPr>
        <w:tblStyle w:val="MediumGrid1-Accent2"/>
        <w:tblW w:w="9522" w:type="dxa"/>
        <w:tblLook w:val="04A0" w:firstRow="1" w:lastRow="0" w:firstColumn="1" w:lastColumn="0" w:noHBand="0" w:noVBand="1"/>
      </w:tblPr>
      <w:tblGrid>
        <w:gridCol w:w="1842"/>
        <w:gridCol w:w="1194"/>
        <w:gridCol w:w="1257"/>
        <w:gridCol w:w="1323"/>
        <w:gridCol w:w="1355"/>
        <w:gridCol w:w="1360"/>
        <w:gridCol w:w="1191"/>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Ethnicity</w:t>
            </w:r>
          </w:p>
        </w:tc>
        <w:tc>
          <w:tcPr>
            <w:tcW w:w="121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None</w:t>
            </w:r>
          </w:p>
        </w:tc>
        <w:tc>
          <w:tcPr>
            <w:tcW w:w="127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School </w:t>
            </w:r>
            <w:r>
              <w:rPr>
                <w:rFonts w:cs="Arial"/>
              </w:rPr>
              <w:t>qual</w:t>
            </w:r>
          </w:p>
        </w:tc>
        <w:tc>
          <w:tcPr>
            <w:tcW w:w="126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Post school</w:t>
            </w:r>
            <w:r>
              <w:rPr>
                <w:rFonts w:cs="Arial"/>
              </w:rPr>
              <w:t xml:space="preserve"> (Diploma)</w:t>
            </w:r>
            <w:r w:rsidRPr="00332CC0">
              <w:rPr>
                <w:rFonts w:cs="Arial"/>
              </w:rPr>
              <w:t xml:space="preserve"> </w:t>
            </w:r>
          </w:p>
        </w:tc>
        <w:tc>
          <w:tcPr>
            <w:tcW w:w="1361"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Bachelor</w:t>
            </w:r>
          </w:p>
        </w:tc>
        <w:tc>
          <w:tcPr>
            <w:tcW w:w="136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Not specified</w:t>
            </w:r>
          </w:p>
        </w:tc>
        <w:tc>
          <w:tcPr>
            <w:tcW w:w="120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European</w:t>
            </w:r>
          </w:p>
        </w:tc>
        <w:tc>
          <w:tcPr>
            <w:tcW w:w="121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8.6%</w:t>
            </w:r>
          </w:p>
        </w:tc>
        <w:tc>
          <w:tcPr>
            <w:tcW w:w="12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6.5%</w:t>
            </w:r>
          </w:p>
        </w:tc>
        <w:tc>
          <w:tcPr>
            <w:tcW w:w="12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4.1%</w:t>
            </w:r>
          </w:p>
        </w:tc>
        <w:tc>
          <w:tcPr>
            <w:tcW w:w="13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2.6%</w:t>
            </w:r>
          </w:p>
        </w:tc>
        <w:tc>
          <w:tcPr>
            <w:tcW w:w="13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2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5.0%</w:t>
            </w:r>
          </w:p>
        </w:tc>
      </w:tr>
      <w:tr w:rsidR="00554171" w:rsidRPr="00332CC0" w:rsidTr="00040D3F">
        <w:trPr>
          <w:trHeight w:val="373"/>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Māori</w:t>
            </w:r>
          </w:p>
        </w:tc>
        <w:tc>
          <w:tcPr>
            <w:tcW w:w="121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22.6%</w:t>
            </w:r>
          </w:p>
        </w:tc>
        <w:tc>
          <w:tcPr>
            <w:tcW w:w="12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12.5%</w:t>
            </w:r>
          </w:p>
        </w:tc>
        <w:tc>
          <w:tcPr>
            <w:tcW w:w="126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8.8%</w:t>
            </w:r>
          </w:p>
        </w:tc>
        <w:tc>
          <w:tcPr>
            <w:tcW w:w="136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36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20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13.8%</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Pacific</w:t>
            </w:r>
          </w:p>
        </w:tc>
        <w:tc>
          <w:tcPr>
            <w:tcW w:w="121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14.2%</w:t>
            </w:r>
          </w:p>
        </w:tc>
        <w:tc>
          <w:tcPr>
            <w:tcW w:w="12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15.8%</w:t>
            </w:r>
          </w:p>
        </w:tc>
        <w:tc>
          <w:tcPr>
            <w:tcW w:w="12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10.4%</w:t>
            </w:r>
          </w:p>
        </w:tc>
        <w:tc>
          <w:tcPr>
            <w:tcW w:w="13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3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2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12.1%</w:t>
            </w:r>
          </w:p>
        </w:tc>
      </w:tr>
      <w:tr w:rsidR="00554171" w:rsidRPr="00332CC0" w:rsidTr="00040D3F">
        <w:trPr>
          <w:trHeight w:val="809"/>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21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27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12.4%</w:t>
            </w:r>
          </w:p>
        </w:tc>
        <w:tc>
          <w:tcPr>
            <w:tcW w:w="126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8.9%</w:t>
            </w:r>
          </w:p>
        </w:tc>
        <w:tc>
          <w:tcPr>
            <w:tcW w:w="1361"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4.8%</w:t>
            </w:r>
          </w:p>
        </w:tc>
        <w:tc>
          <w:tcPr>
            <w:tcW w:w="136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20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7.7%</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44" w:type="dxa"/>
          </w:tcPr>
          <w:p w:rsidR="00554171" w:rsidRPr="00332CC0" w:rsidRDefault="00554171" w:rsidP="00040D3F">
            <w:pPr>
              <w:rPr>
                <w:rFonts w:cs="Arial"/>
                <w:b w:val="0"/>
              </w:rPr>
            </w:pPr>
            <w:r w:rsidRPr="00332CC0">
              <w:rPr>
                <w:rFonts w:cs="Arial"/>
              </w:rPr>
              <w:t xml:space="preserve">Total </w:t>
            </w:r>
          </w:p>
        </w:tc>
        <w:tc>
          <w:tcPr>
            <w:tcW w:w="121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11.0%</w:t>
            </w:r>
          </w:p>
        </w:tc>
        <w:tc>
          <w:tcPr>
            <w:tcW w:w="127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8.3%</w:t>
            </w:r>
          </w:p>
        </w:tc>
        <w:tc>
          <w:tcPr>
            <w:tcW w:w="12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5.2%</w:t>
            </w:r>
          </w:p>
        </w:tc>
        <w:tc>
          <w:tcPr>
            <w:tcW w:w="1361"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3.1%</w:t>
            </w:r>
          </w:p>
        </w:tc>
        <w:tc>
          <w:tcPr>
            <w:tcW w:w="136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20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6.4%</w:t>
            </w:r>
          </w:p>
        </w:tc>
      </w:tr>
    </w:tbl>
    <w:p w:rsidR="00554171" w:rsidRPr="00332CC0" w:rsidRDefault="00554171" w:rsidP="00554171">
      <w:pPr>
        <w:rPr>
          <w:rFonts w:cs="Arial"/>
          <w:b/>
          <w:sz w:val="22"/>
          <w:szCs w:val="22"/>
        </w:rPr>
      </w:pPr>
    </w:p>
    <w:p w:rsidR="00554171" w:rsidRPr="00332CC0" w:rsidRDefault="004E76D5" w:rsidP="002127F2">
      <w:pPr>
        <w:rPr>
          <w:rFonts w:cs="Arial"/>
          <w:b/>
          <w:sz w:val="28"/>
          <w:szCs w:val="28"/>
        </w:rPr>
      </w:pPr>
      <w:r>
        <w:rPr>
          <w:rFonts w:cs="Arial"/>
          <w:b/>
          <w:sz w:val="28"/>
          <w:szCs w:val="28"/>
        </w:rPr>
        <w:t>Table 3</w:t>
      </w:r>
      <w:r w:rsidR="00997B54">
        <w:rPr>
          <w:rFonts w:cs="Arial"/>
          <w:b/>
          <w:sz w:val="28"/>
          <w:szCs w:val="28"/>
        </w:rPr>
        <w:t>1</w:t>
      </w:r>
      <w:r w:rsidR="00554171" w:rsidRPr="00332CC0">
        <w:rPr>
          <w:rFonts w:cs="Arial"/>
          <w:b/>
          <w:sz w:val="28"/>
          <w:szCs w:val="28"/>
        </w:rPr>
        <w:t>:  Female unemployment rates by educational qualification and ethnicity</w:t>
      </w:r>
    </w:p>
    <w:p w:rsidR="00554171" w:rsidRPr="00332CC0" w:rsidRDefault="00554171" w:rsidP="00554171">
      <w:pPr>
        <w:rPr>
          <w:rFonts w:cs="Arial"/>
          <w:b/>
          <w:sz w:val="22"/>
          <w:szCs w:val="22"/>
        </w:rPr>
      </w:pPr>
    </w:p>
    <w:tbl>
      <w:tblPr>
        <w:tblStyle w:val="MediumGrid1-Accent2"/>
        <w:tblW w:w="9264" w:type="dxa"/>
        <w:tblLook w:val="04A0" w:firstRow="1" w:lastRow="0" w:firstColumn="1" w:lastColumn="0" w:noHBand="0" w:noVBand="1"/>
      </w:tblPr>
      <w:tblGrid>
        <w:gridCol w:w="1794"/>
        <w:gridCol w:w="1149"/>
        <w:gridCol w:w="1214"/>
        <w:gridCol w:w="1323"/>
        <w:gridCol w:w="1316"/>
        <w:gridCol w:w="1322"/>
        <w:gridCol w:w="114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Ethnicity</w:t>
            </w:r>
          </w:p>
        </w:tc>
        <w:tc>
          <w:tcPr>
            <w:tcW w:w="117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None</w:t>
            </w:r>
          </w:p>
        </w:tc>
        <w:tc>
          <w:tcPr>
            <w:tcW w:w="123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School </w:t>
            </w:r>
            <w:r>
              <w:rPr>
                <w:rFonts w:cs="Arial"/>
              </w:rPr>
              <w:t>qual</w:t>
            </w:r>
          </w:p>
        </w:tc>
        <w:tc>
          <w:tcPr>
            <w:tcW w:w="1227"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Post school </w:t>
            </w:r>
            <w:r>
              <w:rPr>
                <w:rFonts w:cs="Arial"/>
              </w:rPr>
              <w:t>(Diploma)</w:t>
            </w:r>
          </w:p>
        </w:tc>
        <w:tc>
          <w:tcPr>
            <w:tcW w:w="132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Bachelor</w:t>
            </w:r>
          </w:p>
        </w:tc>
        <w:tc>
          <w:tcPr>
            <w:tcW w:w="1329"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Not specified</w:t>
            </w:r>
          </w:p>
        </w:tc>
        <w:tc>
          <w:tcPr>
            <w:tcW w:w="117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European</w:t>
            </w:r>
          </w:p>
        </w:tc>
        <w:tc>
          <w:tcPr>
            <w:tcW w:w="117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7.9%</w:t>
            </w:r>
          </w:p>
        </w:tc>
        <w:tc>
          <w:tcPr>
            <w:tcW w:w="12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7.3%</w:t>
            </w:r>
          </w:p>
        </w:tc>
        <w:tc>
          <w:tcPr>
            <w:tcW w:w="12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4.8%</w:t>
            </w:r>
          </w:p>
        </w:tc>
        <w:tc>
          <w:tcPr>
            <w:tcW w:w="13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2.4%</w:t>
            </w:r>
          </w:p>
        </w:tc>
        <w:tc>
          <w:tcPr>
            <w:tcW w:w="13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1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5.3%</w:t>
            </w:r>
          </w:p>
        </w:tc>
      </w:tr>
      <w:tr w:rsidR="00554171" w:rsidRPr="00332CC0" w:rsidTr="00040D3F">
        <w:trPr>
          <w:trHeight w:val="309"/>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Māori</w:t>
            </w:r>
          </w:p>
        </w:tc>
        <w:tc>
          <w:tcPr>
            <w:tcW w:w="117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18.9%</w:t>
            </w:r>
          </w:p>
        </w:tc>
        <w:tc>
          <w:tcPr>
            <w:tcW w:w="123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15.1%</w:t>
            </w:r>
          </w:p>
        </w:tc>
        <w:tc>
          <w:tcPr>
            <w:tcW w:w="122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11.8%</w:t>
            </w:r>
          </w:p>
        </w:tc>
        <w:tc>
          <w:tcPr>
            <w:tcW w:w="13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32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1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12.9%</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Pacific</w:t>
            </w:r>
          </w:p>
        </w:tc>
        <w:tc>
          <w:tcPr>
            <w:tcW w:w="117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16.3%</w:t>
            </w:r>
          </w:p>
        </w:tc>
        <w:tc>
          <w:tcPr>
            <w:tcW w:w="12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17.0%</w:t>
            </w:r>
          </w:p>
        </w:tc>
        <w:tc>
          <w:tcPr>
            <w:tcW w:w="12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16.1%</w:t>
            </w:r>
          </w:p>
        </w:tc>
        <w:tc>
          <w:tcPr>
            <w:tcW w:w="13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3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1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15.2%</w:t>
            </w:r>
          </w:p>
        </w:tc>
      </w:tr>
      <w:tr w:rsidR="00554171" w:rsidRPr="00332CC0" w:rsidTr="00040D3F">
        <w:trPr>
          <w:trHeight w:val="593"/>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17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7.3%</w:t>
            </w:r>
          </w:p>
        </w:tc>
        <w:tc>
          <w:tcPr>
            <w:tcW w:w="123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12.3%</w:t>
            </w:r>
          </w:p>
        </w:tc>
        <w:tc>
          <w:tcPr>
            <w:tcW w:w="1227"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11.4%</w:t>
            </w:r>
          </w:p>
        </w:tc>
        <w:tc>
          <w:tcPr>
            <w:tcW w:w="132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7.5%</w:t>
            </w:r>
          </w:p>
        </w:tc>
        <w:tc>
          <w:tcPr>
            <w:tcW w:w="1329"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17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9.4%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94" w:type="dxa"/>
          </w:tcPr>
          <w:p w:rsidR="00554171" w:rsidRPr="00332CC0" w:rsidRDefault="00554171" w:rsidP="00040D3F">
            <w:pPr>
              <w:rPr>
                <w:rFonts w:cs="Arial"/>
                <w:b w:val="0"/>
              </w:rPr>
            </w:pPr>
            <w:r w:rsidRPr="00332CC0">
              <w:rPr>
                <w:rFonts w:cs="Arial"/>
              </w:rPr>
              <w:t xml:space="preserve">Total </w:t>
            </w:r>
          </w:p>
        </w:tc>
        <w:tc>
          <w:tcPr>
            <w:tcW w:w="117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10.1%</w:t>
            </w:r>
          </w:p>
        </w:tc>
        <w:tc>
          <w:tcPr>
            <w:tcW w:w="123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8.5%</w:t>
            </w:r>
          </w:p>
        </w:tc>
        <w:tc>
          <w:tcPr>
            <w:tcW w:w="1227"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6.6%</w:t>
            </w:r>
          </w:p>
        </w:tc>
        <w:tc>
          <w:tcPr>
            <w:tcW w:w="132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3.7%</w:t>
            </w:r>
          </w:p>
        </w:tc>
        <w:tc>
          <w:tcPr>
            <w:tcW w:w="1329"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17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6.8%</w:t>
            </w:r>
          </w:p>
        </w:tc>
      </w:tr>
    </w:tbl>
    <w:p w:rsidR="00554171" w:rsidRPr="00332CC0" w:rsidRDefault="00554171" w:rsidP="00554171">
      <w:pPr>
        <w:rPr>
          <w:rFonts w:cs="Arial"/>
          <w:b/>
          <w:sz w:val="28"/>
          <w:szCs w:val="28"/>
        </w:rPr>
      </w:pPr>
    </w:p>
    <w:p w:rsidR="00554171" w:rsidRPr="00332CC0" w:rsidRDefault="004E76D5" w:rsidP="002127F2">
      <w:pPr>
        <w:rPr>
          <w:rFonts w:cs="Arial"/>
          <w:b/>
          <w:sz w:val="28"/>
          <w:szCs w:val="28"/>
        </w:rPr>
      </w:pPr>
      <w:r>
        <w:rPr>
          <w:rFonts w:cs="Arial"/>
          <w:b/>
          <w:sz w:val="28"/>
          <w:szCs w:val="28"/>
        </w:rPr>
        <w:t>Table 3</w:t>
      </w:r>
      <w:r w:rsidR="00997B54">
        <w:rPr>
          <w:rFonts w:cs="Arial"/>
          <w:b/>
          <w:sz w:val="28"/>
          <w:szCs w:val="28"/>
        </w:rPr>
        <w:t>2</w:t>
      </w:r>
      <w:r w:rsidR="00554171" w:rsidRPr="00332CC0">
        <w:rPr>
          <w:rFonts w:cs="Arial"/>
          <w:b/>
          <w:sz w:val="28"/>
          <w:szCs w:val="28"/>
        </w:rPr>
        <w:t xml:space="preserve">:  Total unemployment rates by educational qualification and ethnicity </w:t>
      </w:r>
    </w:p>
    <w:p w:rsidR="00554171" w:rsidRPr="00332CC0" w:rsidRDefault="00554171" w:rsidP="00554171">
      <w:pPr>
        <w:rPr>
          <w:rFonts w:cs="Arial"/>
          <w:b/>
          <w:sz w:val="22"/>
          <w:szCs w:val="22"/>
        </w:rPr>
      </w:pPr>
    </w:p>
    <w:tbl>
      <w:tblPr>
        <w:tblStyle w:val="MediumGrid1-Accent2"/>
        <w:tblW w:w="9240" w:type="dxa"/>
        <w:tblLook w:val="04A0" w:firstRow="1" w:lastRow="0" w:firstColumn="1" w:lastColumn="0" w:noHBand="0" w:noVBand="1"/>
      </w:tblPr>
      <w:tblGrid>
        <w:gridCol w:w="1790"/>
        <w:gridCol w:w="1158"/>
        <w:gridCol w:w="1212"/>
        <w:gridCol w:w="1323"/>
        <w:gridCol w:w="1298"/>
        <w:gridCol w:w="1303"/>
        <w:gridCol w:w="1156"/>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Ethnicity</w:t>
            </w:r>
          </w:p>
        </w:tc>
        <w:tc>
          <w:tcPr>
            <w:tcW w:w="1198"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None</w:t>
            </w:r>
          </w:p>
        </w:tc>
        <w:tc>
          <w:tcPr>
            <w:tcW w:w="1242"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School </w:t>
            </w:r>
            <w:r>
              <w:rPr>
                <w:rFonts w:cs="Arial"/>
              </w:rPr>
              <w:t>qual</w:t>
            </w:r>
          </w:p>
        </w:tc>
        <w:tc>
          <w:tcPr>
            <w:tcW w:w="123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Post school (Diploma) </w:t>
            </w:r>
          </w:p>
        </w:tc>
        <w:tc>
          <w:tcPr>
            <w:tcW w:w="1306"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Bachelor</w:t>
            </w:r>
          </w:p>
        </w:tc>
        <w:tc>
          <w:tcPr>
            <w:tcW w:w="131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Not specified</w:t>
            </w:r>
          </w:p>
        </w:tc>
        <w:tc>
          <w:tcPr>
            <w:tcW w:w="1195"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b w:val="0"/>
              </w:rPr>
            </w:pPr>
            <w:r w:rsidRPr="00332CC0">
              <w:rPr>
                <w:rFonts w:cs="Arial"/>
              </w:rPr>
              <w:t xml:space="preserve">Total </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European</w:t>
            </w:r>
          </w:p>
        </w:tc>
        <w:tc>
          <w:tcPr>
            <w:tcW w:w="119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8.3%</w:t>
            </w:r>
          </w:p>
        </w:tc>
        <w:tc>
          <w:tcPr>
            <w:tcW w:w="124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6.9%</w:t>
            </w:r>
          </w:p>
        </w:tc>
        <w:tc>
          <w:tcPr>
            <w:tcW w:w="12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4.4%</w:t>
            </w:r>
          </w:p>
        </w:tc>
        <w:tc>
          <w:tcPr>
            <w:tcW w:w="130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2.5%</w:t>
            </w:r>
          </w:p>
        </w:tc>
        <w:tc>
          <w:tcPr>
            <w:tcW w:w="131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3.0%</w:t>
            </w:r>
          </w:p>
        </w:tc>
        <w:tc>
          <w:tcPr>
            <w:tcW w:w="11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5.1%</w:t>
            </w:r>
          </w:p>
        </w:tc>
      </w:tr>
      <w:tr w:rsidR="00554171" w:rsidRPr="00332CC0" w:rsidTr="00040D3F">
        <w:trPr>
          <w:trHeight w:val="282"/>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Māori</w:t>
            </w:r>
          </w:p>
        </w:tc>
        <w:tc>
          <w:tcPr>
            <w:tcW w:w="119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21.0%</w:t>
            </w:r>
          </w:p>
        </w:tc>
        <w:tc>
          <w:tcPr>
            <w:tcW w:w="124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13.8%</w:t>
            </w:r>
          </w:p>
        </w:tc>
        <w:tc>
          <w:tcPr>
            <w:tcW w:w="12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10.2%</w:t>
            </w:r>
          </w:p>
        </w:tc>
        <w:tc>
          <w:tcPr>
            <w:tcW w:w="130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4.2%</w:t>
            </w:r>
          </w:p>
        </w:tc>
        <w:tc>
          <w:tcPr>
            <w:tcW w:w="131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19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13.4%</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Pacific</w:t>
            </w:r>
          </w:p>
        </w:tc>
        <w:tc>
          <w:tcPr>
            <w:tcW w:w="119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15.0%</w:t>
            </w:r>
          </w:p>
        </w:tc>
        <w:tc>
          <w:tcPr>
            <w:tcW w:w="124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16.4%</w:t>
            </w:r>
          </w:p>
        </w:tc>
        <w:tc>
          <w:tcPr>
            <w:tcW w:w="12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13.1%</w:t>
            </w:r>
          </w:p>
        </w:tc>
        <w:tc>
          <w:tcPr>
            <w:tcW w:w="130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31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..S</w:t>
            </w:r>
          </w:p>
        </w:tc>
        <w:tc>
          <w:tcPr>
            <w:tcW w:w="11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13.6%</w:t>
            </w:r>
          </w:p>
        </w:tc>
      </w:tr>
      <w:tr w:rsidR="00554171" w:rsidRPr="00332CC0" w:rsidTr="00040D3F">
        <w:trPr>
          <w:trHeight w:val="611"/>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198"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6.0%</w:t>
            </w:r>
          </w:p>
        </w:tc>
        <w:tc>
          <w:tcPr>
            <w:tcW w:w="1242"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12.3%</w:t>
            </w:r>
          </w:p>
        </w:tc>
        <w:tc>
          <w:tcPr>
            <w:tcW w:w="123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10.0%</w:t>
            </w:r>
          </w:p>
        </w:tc>
        <w:tc>
          <w:tcPr>
            <w:tcW w:w="1306"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6.1%</w:t>
            </w:r>
          </w:p>
        </w:tc>
        <w:tc>
          <w:tcPr>
            <w:tcW w:w="1310"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..S</w:t>
            </w:r>
          </w:p>
        </w:tc>
        <w:tc>
          <w:tcPr>
            <w:tcW w:w="1195"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8.5%</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53" w:type="dxa"/>
          </w:tcPr>
          <w:p w:rsidR="00554171" w:rsidRPr="00332CC0" w:rsidRDefault="00554171" w:rsidP="00040D3F">
            <w:pPr>
              <w:rPr>
                <w:rFonts w:cs="Arial"/>
                <w:b w:val="0"/>
              </w:rPr>
            </w:pPr>
            <w:r w:rsidRPr="00332CC0">
              <w:rPr>
                <w:rFonts w:cs="Arial"/>
              </w:rPr>
              <w:t xml:space="preserve">Total </w:t>
            </w:r>
          </w:p>
        </w:tc>
        <w:tc>
          <w:tcPr>
            <w:tcW w:w="1198"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10.6%</w:t>
            </w:r>
          </w:p>
        </w:tc>
        <w:tc>
          <w:tcPr>
            <w:tcW w:w="1242"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8.4%</w:t>
            </w:r>
          </w:p>
        </w:tc>
        <w:tc>
          <w:tcPr>
            <w:tcW w:w="123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5.8%</w:t>
            </w:r>
          </w:p>
        </w:tc>
        <w:tc>
          <w:tcPr>
            <w:tcW w:w="1306"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3.4%</w:t>
            </w:r>
          </w:p>
        </w:tc>
        <w:tc>
          <w:tcPr>
            <w:tcW w:w="1310"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3.4%</w:t>
            </w:r>
          </w:p>
        </w:tc>
        <w:tc>
          <w:tcPr>
            <w:tcW w:w="1195"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6.6%</w:t>
            </w:r>
          </w:p>
        </w:tc>
      </w:tr>
    </w:tbl>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rPr>
          <w:rStyle w:val="IntenseEmphasis"/>
          <w:rFonts w:cs="Arial"/>
          <w:i w:val="0"/>
          <w:color w:val="auto"/>
          <w:sz w:val="28"/>
          <w:szCs w:val="28"/>
        </w:rPr>
      </w:pPr>
      <w:r w:rsidRPr="00332CC0">
        <w:rPr>
          <w:rStyle w:val="IntenseEmphasis"/>
          <w:rFonts w:cs="Arial"/>
          <w:i w:val="0"/>
          <w:color w:val="auto"/>
          <w:sz w:val="28"/>
          <w:szCs w:val="28"/>
        </w:rPr>
        <w:t>Employment and pre-employment race-related complaints</w:t>
      </w:r>
    </w:p>
    <w:p w:rsidR="00554171" w:rsidRPr="00332CC0" w:rsidRDefault="00554171" w:rsidP="00554171">
      <w:pPr>
        <w:jc w:val="both"/>
        <w:rPr>
          <w:rFonts w:cs="Arial"/>
          <w:sz w:val="22"/>
          <w:szCs w:val="22"/>
        </w:rPr>
      </w:pPr>
      <w:r w:rsidRPr="00332CC0">
        <w:rPr>
          <w:rFonts w:cs="Arial"/>
          <w:sz w:val="22"/>
          <w:szCs w:val="22"/>
        </w:rPr>
        <w:t>The five race-related grounds (race, racial harassment, racial disharmony, colour, and ethnic and national origins) are commonly combined in Commission reporting. The combined overall proportion of race-related employment complaints in the five year period 2006–10 was 28.1%.</w:t>
      </w:r>
    </w:p>
    <w:p w:rsidR="00554171" w:rsidRPr="00332CC0" w:rsidRDefault="00554171" w:rsidP="00554171">
      <w:pPr>
        <w:jc w:val="both"/>
        <w:rPr>
          <w:rFonts w:cs="Arial"/>
          <w:sz w:val="22"/>
          <w:szCs w:val="22"/>
        </w:rPr>
      </w:pPr>
    </w:p>
    <w:p w:rsidR="00554171" w:rsidRPr="002127F2" w:rsidRDefault="00554171" w:rsidP="00554171">
      <w:pPr>
        <w:jc w:val="both"/>
        <w:rPr>
          <w:rFonts w:cs="Arial"/>
          <w:sz w:val="22"/>
          <w:szCs w:val="22"/>
        </w:rPr>
      </w:pPr>
      <w:r w:rsidRPr="002127F2">
        <w:rPr>
          <w:rFonts w:cs="Arial"/>
          <w:sz w:val="22"/>
          <w:szCs w:val="22"/>
        </w:rPr>
        <w:t>The most commonly cited themes of race-related complaints are shown in Table 3</w:t>
      </w:r>
      <w:r w:rsidR="00C230D7" w:rsidRPr="002127F2">
        <w:rPr>
          <w:rFonts w:cs="Arial"/>
          <w:sz w:val="22"/>
          <w:szCs w:val="22"/>
        </w:rPr>
        <w:t>3</w:t>
      </w:r>
      <w:r w:rsidRPr="002127F2">
        <w:rPr>
          <w:rFonts w:cs="Arial"/>
          <w:sz w:val="22"/>
          <w:szCs w:val="22"/>
        </w:rPr>
        <w:t>.</w:t>
      </w:r>
    </w:p>
    <w:p w:rsidR="00554171" w:rsidRPr="002127F2" w:rsidRDefault="00554171" w:rsidP="00554171">
      <w:pPr>
        <w:jc w:val="both"/>
        <w:rPr>
          <w:rFonts w:cs="Arial"/>
          <w:sz w:val="22"/>
          <w:szCs w:val="22"/>
        </w:rPr>
      </w:pPr>
    </w:p>
    <w:p w:rsidR="00554171" w:rsidRPr="00332CC0" w:rsidRDefault="004E76D5" w:rsidP="002127F2">
      <w:pPr>
        <w:jc w:val="both"/>
        <w:rPr>
          <w:rFonts w:cs="Arial"/>
          <w:b/>
          <w:sz w:val="28"/>
          <w:szCs w:val="28"/>
        </w:rPr>
      </w:pPr>
      <w:r w:rsidRPr="002127F2">
        <w:rPr>
          <w:rFonts w:cs="Arial"/>
          <w:b/>
          <w:sz w:val="28"/>
          <w:szCs w:val="28"/>
        </w:rPr>
        <w:t>Table 3</w:t>
      </w:r>
      <w:r w:rsidR="00997B54" w:rsidRPr="002127F2">
        <w:rPr>
          <w:rFonts w:cs="Arial"/>
          <w:b/>
          <w:sz w:val="28"/>
          <w:szCs w:val="28"/>
        </w:rPr>
        <w:t>3</w:t>
      </w:r>
      <w:r w:rsidR="00554171" w:rsidRPr="002127F2">
        <w:rPr>
          <w:rFonts w:cs="Arial"/>
          <w:b/>
          <w:sz w:val="28"/>
          <w:szCs w:val="28"/>
        </w:rPr>
        <w:t>:  Race and employment complaints</w:t>
      </w:r>
    </w:p>
    <w:p w:rsidR="00554171" w:rsidRPr="00332CC0" w:rsidRDefault="00554171" w:rsidP="00554171">
      <w:pPr>
        <w:rPr>
          <w:rFonts w:cs="Arial"/>
          <w:sz w:val="22"/>
          <w:szCs w:val="22"/>
        </w:rPr>
      </w:pPr>
    </w:p>
    <w:tbl>
      <w:tblPr>
        <w:tblStyle w:val="MediumGrid1-Accent2"/>
        <w:tblW w:w="0" w:type="auto"/>
        <w:tblLook w:val="04A0" w:firstRow="1" w:lastRow="0" w:firstColumn="1" w:lastColumn="0" w:noHBand="0" w:noVBand="1"/>
      </w:tblPr>
      <w:tblGrid>
        <w:gridCol w:w="4119"/>
        <w:gridCol w:w="2424"/>
        <w:gridCol w:w="2560"/>
      </w:tblGrid>
      <w:tr w:rsidR="00554171" w:rsidRPr="00332CC0" w:rsidTr="00040D3F">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p>
        </w:tc>
        <w:tc>
          <w:tcPr>
            <w:tcW w:w="2424"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Number of race-related complaints</w:t>
            </w:r>
          </w:p>
        </w:tc>
        <w:tc>
          <w:tcPr>
            <w:tcW w:w="2560" w:type="dxa"/>
          </w:tcPr>
          <w:p w:rsidR="00554171" w:rsidRPr="00332CC0" w:rsidRDefault="00554171" w:rsidP="00040D3F">
            <w:pPr>
              <w:cnfStyle w:val="100000000000" w:firstRow="1" w:lastRow="0" w:firstColumn="0" w:lastColumn="0" w:oddVBand="0" w:evenVBand="0" w:oddHBand="0" w:evenHBand="0" w:firstRowFirstColumn="0" w:firstRowLastColumn="0" w:lastRowFirstColumn="0" w:lastRowLastColumn="0"/>
              <w:rPr>
                <w:rFonts w:cs="Arial"/>
              </w:rPr>
            </w:pPr>
            <w:r w:rsidRPr="00332CC0">
              <w:rPr>
                <w:rFonts w:cs="Arial"/>
              </w:rPr>
              <w:t>Proportion of race-related complaints</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Discrimination</w:t>
            </w:r>
          </w:p>
        </w:tc>
        <w:tc>
          <w:tcPr>
            <w:tcW w:w="2424"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168</w:t>
            </w:r>
          </w:p>
        </w:tc>
        <w:tc>
          <w:tcPr>
            <w:tcW w:w="256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23%</w:t>
            </w:r>
          </w:p>
        </w:tc>
      </w:tr>
      <w:tr w:rsidR="00554171" w:rsidRPr="00332CC0" w:rsidTr="00040D3F">
        <w:trPr>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Racist abuse/comments</w:t>
            </w:r>
          </w:p>
        </w:tc>
        <w:tc>
          <w:tcPr>
            <w:tcW w:w="2424"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162</w:t>
            </w:r>
          </w:p>
        </w:tc>
        <w:tc>
          <w:tcPr>
            <w:tcW w:w="256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22%</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Language in the workplace</w:t>
            </w:r>
          </w:p>
        </w:tc>
        <w:tc>
          <w:tcPr>
            <w:tcW w:w="2424"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93</w:t>
            </w:r>
          </w:p>
        </w:tc>
        <w:tc>
          <w:tcPr>
            <w:tcW w:w="256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13%</w:t>
            </w:r>
          </w:p>
        </w:tc>
      </w:tr>
      <w:tr w:rsidR="00554171" w:rsidRPr="00332CC0" w:rsidTr="00040D3F">
        <w:trPr>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Harassment</w:t>
            </w:r>
          </w:p>
        </w:tc>
        <w:tc>
          <w:tcPr>
            <w:tcW w:w="2424"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89</w:t>
            </w:r>
          </w:p>
        </w:tc>
        <w:tc>
          <w:tcPr>
            <w:tcW w:w="256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12%</w:t>
            </w:r>
          </w:p>
        </w:tc>
      </w:tr>
      <w:tr w:rsidR="00554171" w:rsidRPr="00332CC0" w:rsidTr="00040D3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Declined role</w:t>
            </w:r>
          </w:p>
        </w:tc>
        <w:tc>
          <w:tcPr>
            <w:tcW w:w="2424"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40</w:t>
            </w:r>
          </w:p>
        </w:tc>
        <w:tc>
          <w:tcPr>
            <w:tcW w:w="2560" w:type="dxa"/>
          </w:tcPr>
          <w:p w:rsidR="00554171" w:rsidRPr="00332CC0" w:rsidRDefault="00554171" w:rsidP="00040D3F">
            <w:pPr>
              <w:jc w:val="center"/>
              <w:cnfStyle w:val="000000100000" w:firstRow="0" w:lastRow="0" w:firstColumn="0" w:lastColumn="0" w:oddVBand="0" w:evenVBand="0" w:oddHBand="1" w:evenHBand="0" w:firstRowFirstColumn="0" w:firstRowLastColumn="0" w:lastRowFirstColumn="0" w:lastRowLastColumn="0"/>
              <w:rPr>
                <w:rFonts w:cs="Arial"/>
              </w:rPr>
            </w:pPr>
            <w:r w:rsidRPr="00332CC0">
              <w:rPr>
                <w:rFonts w:cs="Arial"/>
              </w:rPr>
              <w:t>5%</w:t>
            </w:r>
          </w:p>
        </w:tc>
      </w:tr>
      <w:tr w:rsidR="00554171" w:rsidRPr="00332CC0" w:rsidTr="00040D3F">
        <w:trPr>
          <w:trHeight w:val="290"/>
        </w:trPr>
        <w:tc>
          <w:tcPr>
            <w:cnfStyle w:val="001000000000" w:firstRow="0" w:lastRow="0" w:firstColumn="1" w:lastColumn="0" w:oddVBand="0" w:evenVBand="0" w:oddHBand="0" w:evenHBand="0" w:firstRowFirstColumn="0" w:firstRowLastColumn="0" w:lastRowFirstColumn="0" w:lastRowLastColumn="0"/>
            <w:tcW w:w="4119" w:type="dxa"/>
          </w:tcPr>
          <w:p w:rsidR="00554171" w:rsidRPr="00332CC0" w:rsidRDefault="00554171" w:rsidP="00040D3F">
            <w:pPr>
              <w:rPr>
                <w:rFonts w:cs="Arial"/>
              </w:rPr>
            </w:pPr>
            <w:r w:rsidRPr="00332CC0">
              <w:rPr>
                <w:rFonts w:cs="Arial"/>
              </w:rPr>
              <w:t>Ethnic targeting of roles</w:t>
            </w:r>
          </w:p>
        </w:tc>
        <w:tc>
          <w:tcPr>
            <w:tcW w:w="2424"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40</w:t>
            </w:r>
          </w:p>
        </w:tc>
        <w:tc>
          <w:tcPr>
            <w:tcW w:w="2560" w:type="dxa"/>
          </w:tcPr>
          <w:p w:rsidR="00554171" w:rsidRPr="00332CC0" w:rsidRDefault="00554171" w:rsidP="00040D3F">
            <w:pPr>
              <w:jc w:val="center"/>
              <w:cnfStyle w:val="000000000000" w:firstRow="0" w:lastRow="0" w:firstColumn="0" w:lastColumn="0" w:oddVBand="0" w:evenVBand="0" w:oddHBand="0" w:evenHBand="0" w:firstRowFirstColumn="0" w:firstRowLastColumn="0" w:lastRowFirstColumn="0" w:lastRowLastColumn="0"/>
              <w:rPr>
                <w:rFonts w:cs="Arial"/>
              </w:rPr>
            </w:pPr>
            <w:r w:rsidRPr="00332CC0">
              <w:rPr>
                <w:rFonts w:cs="Arial"/>
              </w:rPr>
              <w:t>5%</w:t>
            </w:r>
          </w:p>
        </w:tc>
      </w:tr>
    </w:tbl>
    <w:p w:rsidR="00554171" w:rsidRPr="00332CC0" w:rsidRDefault="00554171" w:rsidP="00554171">
      <w:pPr>
        <w:rPr>
          <w:rFonts w:cs="Arial"/>
          <w:sz w:val="22"/>
          <w:szCs w:val="22"/>
        </w:rPr>
      </w:pP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‘Discrimination’ is something of a catch all category and is when the complainant either used the word ‘discrimination’, or described a situation where a person was being treated differently allegedly due to race-related reasons, and when the complaint did not fit into another common theme category. Similarly ‘harassment’ complaints are when the complainant used the word ‘harassment’ to describe the complaint, and when it did not fit in any of the other common themes.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Complaints of racist comments or abuse were the most common single issue (other than the broad ‘discrimination’), accounting for 22% of race-related complaints.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‘Language’ complaints are of two main types: issues around languages other than English being spoken in the workplace, and English language ability or accent: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49 complaints were about languages other than English being spoken in workplaces, including 8 relating to prohibitions on the use of te reo Māori at work and 3 other Māori language issues</w:t>
      </w:r>
      <w:r>
        <w:rPr>
          <w:rFonts w:cs="Arial"/>
          <w:sz w:val="22"/>
          <w:szCs w:val="22"/>
        </w:rPr>
        <w: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29 complaints were about people having trouble gaining work, or problems with colleagues because of their accent or lack of English language skills</w:t>
      </w:r>
      <w:r>
        <w:rPr>
          <w:rFonts w:cs="Arial"/>
          <w:sz w:val="22"/>
          <w:szCs w:val="22"/>
        </w:rPr>
        <w: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15 complaints were about job advertisements which specified a first language command of English (11 complaints) or the ability to speak another specified language (4 complaints).</w:t>
      </w:r>
    </w:p>
    <w:p w:rsidR="00554171" w:rsidRPr="00332CC0" w:rsidRDefault="00554171" w:rsidP="00554171">
      <w:pPr>
        <w:rPr>
          <w:rFonts w:cs="Arial"/>
          <w:sz w:val="22"/>
          <w:szCs w:val="22"/>
        </w:rPr>
      </w:pPr>
    </w:p>
    <w:p w:rsidR="00554171" w:rsidRPr="00332CC0" w:rsidRDefault="00554171" w:rsidP="00554171">
      <w:pPr>
        <w:rPr>
          <w:rFonts w:cs="Arial"/>
          <w:sz w:val="22"/>
          <w:szCs w:val="22"/>
        </w:rPr>
      </w:pPr>
      <w:r w:rsidRPr="00332CC0">
        <w:rPr>
          <w:rFonts w:cs="Arial"/>
          <w:sz w:val="22"/>
          <w:szCs w:val="22"/>
        </w:rPr>
        <w:t>Numbers of each type of complaint have fluctuated in the last five years, and there is no evidence of an increase in any of the specific themes in the last two years.</w:t>
      </w:r>
    </w:p>
    <w:p w:rsidR="00554171" w:rsidRPr="00332CC0" w:rsidRDefault="00554171" w:rsidP="00554171">
      <w:pPr>
        <w:pStyle w:val="Heading1"/>
        <w:spacing w:before="0"/>
        <w:rPr>
          <w:rFonts w:ascii="Arial" w:hAnsi="Arial" w:cs="Arial"/>
          <w:color w:val="00B0F0"/>
        </w:rPr>
      </w:pPr>
    </w:p>
    <w:p w:rsidR="00554171" w:rsidRDefault="00554171" w:rsidP="00554171">
      <w:pPr>
        <w:spacing w:after="200" w:line="276" w:lineRule="auto"/>
        <w:rPr>
          <w:rFonts w:eastAsiaTheme="majorEastAsia" w:cs="Arial"/>
          <w:b/>
          <w:bCs/>
          <w:color w:val="00B0F0"/>
          <w:sz w:val="32"/>
          <w:szCs w:val="32"/>
        </w:rPr>
      </w:pPr>
      <w:r>
        <w:rPr>
          <w:rFonts w:cs="Arial"/>
          <w:color w:val="00B0F0"/>
          <w:sz w:val="32"/>
          <w:szCs w:val="32"/>
        </w:rPr>
        <w:br w:type="page"/>
      </w:r>
    </w:p>
    <w:p w:rsidR="002127F2" w:rsidRPr="005D0A53" w:rsidRDefault="002127F2" w:rsidP="002127F2">
      <w:pPr>
        <w:rPr>
          <w:rFonts w:asciiTheme="majorHAnsi" w:hAnsiTheme="majorHAnsi"/>
          <w:b/>
          <w:color w:val="00B0F0"/>
          <w:sz w:val="72"/>
          <w:szCs w:val="72"/>
        </w:rPr>
      </w:pPr>
      <w:r w:rsidRPr="005D0A53">
        <w:rPr>
          <w:rFonts w:asciiTheme="majorHAnsi" w:hAnsiTheme="majorHAnsi"/>
          <w:b/>
          <w:color w:val="00B0F0"/>
          <w:sz w:val="72"/>
          <w:szCs w:val="72"/>
        </w:rPr>
        <w:t>Monitoring New Zealand’s progress</w:t>
      </w:r>
    </w:p>
    <w:p w:rsidR="002127F2" w:rsidRDefault="002127F2" w:rsidP="002127F2">
      <w:pPr>
        <w:rPr>
          <w:b/>
        </w:rPr>
      </w:pPr>
    </w:p>
    <w:p w:rsidR="002127F2" w:rsidRPr="005D0A53" w:rsidRDefault="002127F2" w:rsidP="002127F2">
      <w:pPr>
        <w:jc w:val="both"/>
        <w:rPr>
          <w:rFonts w:cs="Arial"/>
          <w:sz w:val="22"/>
        </w:rPr>
      </w:pPr>
      <w:r w:rsidRPr="005D0A53">
        <w:rPr>
          <w:rFonts w:cs="Arial"/>
          <w:sz w:val="22"/>
        </w:rPr>
        <w:t xml:space="preserve">New Zealand’s ratification of the </w:t>
      </w:r>
      <w:r>
        <w:rPr>
          <w:rFonts w:cs="Arial"/>
          <w:sz w:val="22"/>
        </w:rPr>
        <w:t xml:space="preserve">Convention was followed by the establishment of </w:t>
      </w:r>
      <w:r w:rsidRPr="005D0A53">
        <w:rPr>
          <w:rFonts w:cs="Arial"/>
          <w:sz w:val="22"/>
        </w:rPr>
        <w:t xml:space="preserve">an independent mechanism to promote, protect and monitor the implementation of the </w:t>
      </w:r>
      <w:r>
        <w:rPr>
          <w:rFonts w:cs="Arial"/>
          <w:sz w:val="22"/>
        </w:rPr>
        <w:t xml:space="preserve">CRPD </w:t>
      </w:r>
      <w:r w:rsidRPr="005D0A53">
        <w:rPr>
          <w:rFonts w:cs="Arial"/>
          <w:sz w:val="22"/>
        </w:rPr>
        <w:t xml:space="preserve">and periodically report to the United Nations on progress.  </w:t>
      </w:r>
      <w:r>
        <w:rPr>
          <w:rFonts w:cs="Arial"/>
          <w:sz w:val="22"/>
        </w:rPr>
        <w:t xml:space="preserve">It </w:t>
      </w:r>
      <w:r w:rsidRPr="005D0A53">
        <w:rPr>
          <w:rFonts w:cs="Arial"/>
          <w:sz w:val="22"/>
        </w:rPr>
        <w:t>consists of three independent organisations working in partnership to achieve the results</w:t>
      </w:r>
      <w:r>
        <w:rPr>
          <w:rFonts w:cs="Arial"/>
          <w:sz w:val="22"/>
        </w:rPr>
        <w:t xml:space="preserve">, </w:t>
      </w:r>
      <w:r w:rsidRPr="005D0A53">
        <w:rPr>
          <w:rFonts w:cs="Arial"/>
          <w:sz w:val="22"/>
        </w:rPr>
        <w:t xml:space="preserve">the Disability Convention Coalition, the Office of the Ombudsmen and the Human Rights Commission. </w:t>
      </w:r>
    </w:p>
    <w:p w:rsidR="002127F2" w:rsidRPr="005D0A53" w:rsidRDefault="002127F2" w:rsidP="002127F2">
      <w:pPr>
        <w:jc w:val="both"/>
        <w:rPr>
          <w:rFonts w:cs="Arial"/>
          <w:b/>
          <w:sz w:val="22"/>
        </w:rPr>
      </w:pPr>
    </w:p>
    <w:p w:rsidR="002127F2" w:rsidRPr="005D0A53" w:rsidRDefault="002127F2" w:rsidP="002127F2">
      <w:pPr>
        <w:jc w:val="both"/>
        <w:rPr>
          <w:rFonts w:cs="Arial"/>
          <w:b/>
          <w:color w:val="00B0F0"/>
          <w:sz w:val="28"/>
          <w:szCs w:val="28"/>
        </w:rPr>
      </w:pPr>
      <w:r w:rsidRPr="005D0A53">
        <w:rPr>
          <w:rFonts w:cs="Arial"/>
          <w:b/>
          <w:color w:val="00B0F0"/>
          <w:sz w:val="28"/>
          <w:szCs w:val="28"/>
        </w:rPr>
        <w:t>Role of the independent mechanism</w:t>
      </w:r>
    </w:p>
    <w:p w:rsidR="002127F2" w:rsidRPr="005D0A53" w:rsidRDefault="002127F2" w:rsidP="002127F2">
      <w:pPr>
        <w:jc w:val="both"/>
        <w:rPr>
          <w:rFonts w:cs="Arial"/>
          <w:sz w:val="22"/>
        </w:rPr>
      </w:pPr>
      <w:r w:rsidRPr="005D0A53">
        <w:rPr>
          <w:rFonts w:cs="Arial"/>
          <w:sz w:val="22"/>
        </w:rPr>
        <w:t>The role of the independent mechanism is to:</w:t>
      </w:r>
    </w:p>
    <w:p w:rsidR="002127F2" w:rsidRPr="005D0A53" w:rsidRDefault="002127F2" w:rsidP="002127F2">
      <w:pPr>
        <w:pStyle w:val="ListParagraph"/>
        <w:numPr>
          <w:ilvl w:val="0"/>
          <w:numId w:val="62"/>
        </w:numPr>
        <w:jc w:val="both"/>
        <w:rPr>
          <w:rFonts w:cs="Arial"/>
          <w:sz w:val="22"/>
        </w:rPr>
      </w:pPr>
      <w:r w:rsidRPr="005D0A53">
        <w:rPr>
          <w:rFonts w:cs="Arial"/>
          <w:sz w:val="22"/>
        </w:rPr>
        <w:t xml:space="preserve">Develop a monitoring framework including indicators of progress </w:t>
      </w:r>
    </w:p>
    <w:p w:rsidR="002127F2" w:rsidRPr="005D0A53" w:rsidRDefault="002127F2" w:rsidP="002127F2">
      <w:pPr>
        <w:pStyle w:val="ListParagraph"/>
        <w:numPr>
          <w:ilvl w:val="0"/>
          <w:numId w:val="62"/>
        </w:numPr>
        <w:jc w:val="both"/>
        <w:rPr>
          <w:rFonts w:cs="Arial"/>
          <w:sz w:val="22"/>
        </w:rPr>
      </w:pPr>
      <w:r w:rsidRPr="005D0A53">
        <w:rPr>
          <w:rFonts w:cs="Arial"/>
          <w:sz w:val="22"/>
        </w:rPr>
        <w:t>Provide the United Nations CRPD Committee with an issues paper to coincide with the Government’s periodic repo</w:t>
      </w:r>
      <w:r>
        <w:rPr>
          <w:rFonts w:cs="Arial"/>
          <w:sz w:val="22"/>
        </w:rPr>
        <w:t>rt on the implementation of the CRPD</w:t>
      </w:r>
    </w:p>
    <w:p w:rsidR="002127F2" w:rsidRPr="005D0A53" w:rsidRDefault="002127F2" w:rsidP="002127F2">
      <w:pPr>
        <w:pStyle w:val="ListParagraph"/>
        <w:numPr>
          <w:ilvl w:val="0"/>
          <w:numId w:val="62"/>
        </w:numPr>
        <w:jc w:val="both"/>
        <w:rPr>
          <w:rFonts w:cs="Arial"/>
          <w:sz w:val="22"/>
        </w:rPr>
      </w:pPr>
      <w:r w:rsidRPr="005D0A53">
        <w:rPr>
          <w:rFonts w:cs="Arial"/>
          <w:sz w:val="22"/>
        </w:rPr>
        <w:t>Advise the government and civil society on any legislation, policy or practice with an impact on the daily lives of disabled New Zealanders</w:t>
      </w:r>
    </w:p>
    <w:p w:rsidR="002127F2" w:rsidRPr="005D0A53" w:rsidRDefault="002127F2" w:rsidP="002127F2">
      <w:pPr>
        <w:pStyle w:val="ListParagraph"/>
        <w:numPr>
          <w:ilvl w:val="0"/>
          <w:numId w:val="62"/>
        </w:numPr>
        <w:jc w:val="both"/>
        <w:rPr>
          <w:rFonts w:cs="Arial"/>
          <w:sz w:val="22"/>
        </w:rPr>
      </w:pPr>
      <w:r w:rsidRPr="005D0A53">
        <w:rPr>
          <w:rFonts w:cs="Arial"/>
          <w:sz w:val="22"/>
        </w:rPr>
        <w:t>Inform the United Nations of progress on particular issues of interest</w:t>
      </w:r>
    </w:p>
    <w:p w:rsidR="002127F2" w:rsidRPr="005D0A53" w:rsidRDefault="002127F2" w:rsidP="002127F2">
      <w:pPr>
        <w:pStyle w:val="ListParagraph"/>
        <w:numPr>
          <w:ilvl w:val="0"/>
          <w:numId w:val="62"/>
        </w:numPr>
        <w:jc w:val="both"/>
        <w:rPr>
          <w:rFonts w:cs="Arial"/>
          <w:sz w:val="22"/>
        </w:rPr>
      </w:pPr>
      <w:r w:rsidRPr="005D0A53">
        <w:rPr>
          <w:rFonts w:cs="Arial"/>
          <w:sz w:val="22"/>
        </w:rPr>
        <w:t>Inquire into any issue that may involve an infringement of human rights</w:t>
      </w:r>
      <w:r>
        <w:rPr>
          <w:rFonts w:cs="Arial"/>
          <w:sz w:val="22"/>
        </w:rPr>
        <w:t>.</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 xml:space="preserve">The three partners involved in the independent mechanism are proposing to provide an annual report to Parliament.      </w:t>
      </w:r>
    </w:p>
    <w:p w:rsidR="002127F2" w:rsidRPr="005D0A53" w:rsidRDefault="002127F2" w:rsidP="002127F2">
      <w:pPr>
        <w:jc w:val="both"/>
        <w:rPr>
          <w:rFonts w:cs="Arial"/>
          <w:b/>
          <w:sz w:val="22"/>
        </w:rPr>
      </w:pPr>
    </w:p>
    <w:p w:rsidR="002127F2" w:rsidRPr="005D0A53" w:rsidRDefault="002127F2" w:rsidP="002127F2">
      <w:pPr>
        <w:jc w:val="both"/>
        <w:rPr>
          <w:rFonts w:cs="Arial"/>
          <w:b/>
          <w:color w:val="00B0F0"/>
          <w:sz w:val="28"/>
          <w:szCs w:val="28"/>
        </w:rPr>
      </w:pPr>
      <w:r w:rsidRPr="005D0A53">
        <w:rPr>
          <w:rFonts w:cs="Arial"/>
          <w:b/>
          <w:color w:val="00B0F0"/>
          <w:sz w:val="28"/>
          <w:szCs w:val="28"/>
        </w:rPr>
        <w:t>Role and activities of the Human Rights Commission</w:t>
      </w:r>
    </w:p>
    <w:p w:rsidR="002127F2" w:rsidRPr="005D0A53" w:rsidRDefault="002127F2" w:rsidP="002127F2">
      <w:pPr>
        <w:jc w:val="both"/>
        <w:rPr>
          <w:rFonts w:cs="Arial"/>
          <w:sz w:val="22"/>
        </w:rPr>
      </w:pPr>
      <w:r w:rsidRPr="005D0A53">
        <w:rPr>
          <w:rFonts w:cs="Arial"/>
          <w:sz w:val="22"/>
        </w:rPr>
        <w:t xml:space="preserve">The Human Rights Commission has been given the role of coordinating the activities of the independent mechanism.  </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Pr>
          <w:rFonts w:cs="Arial"/>
          <w:sz w:val="22"/>
        </w:rPr>
        <w:t xml:space="preserve">The Commission’s </w:t>
      </w:r>
      <w:r w:rsidRPr="005D0A53">
        <w:rPr>
          <w:rFonts w:cs="Arial"/>
          <w:sz w:val="22"/>
        </w:rPr>
        <w:t xml:space="preserve">Statement of Intent </w:t>
      </w:r>
      <w:r>
        <w:rPr>
          <w:rFonts w:cs="Arial"/>
          <w:sz w:val="22"/>
        </w:rPr>
        <w:t xml:space="preserve">2011-2014 </w:t>
      </w:r>
      <w:r w:rsidRPr="005D0A53">
        <w:rPr>
          <w:rFonts w:cs="Arial"/>
          <w:sz w:val="22"/>
        </w:rPr>
        <w:t>identifies the major initiatives in the disability rights area for the current year as:</w:t>
      </w:r>
    </w:p>
    <w:p w:rsidR="002127F2" w:rsidRPr="005D0A53" w:rsidRDefault="002127F2" w:rsidP="002127F2">
      <w:pPr>
        <w:pStyle w:val="ListParagraph"/>
        <w:numPr>
          <w:ilvl w:val="0"/>
          <w:numId w:val="63"/>
        </w:numPr>
        <w:jc w:val="both"/>
        <w:rPr>
          <w:rFonts w:cs="Arial"/>
          <w:sz w:val="22"/>
        </w:rPr>
      </w:pPr>
      <w:r w:rsidRPr="005D0A53">
        <w:rPr>
          <w:rFonts w:cs="Arial"/>
          <w:sz w:val="22"/>
        </w:rPr>
        <w:t>Promote knowledge of, and use of</w:t>
      </w:r>
      <w:r>
        <w:rPr>
          <w:rFonts w:cs="Arial"/>
          <w:sz w:val="22"/>
        </w:rPr>
        <w:t>,</w:t>
      </w:r>
      <w:r w:rsidRPr="005D0A53">
        <w:rPr>
          <w:rFonts w:cs="Arial"/>
          <w:sz w:val="22"/>
        </w:rPr>
        <w:t xml:space="preserve"> the CRPD by disabled people and their organisations</w:t>
      </w:r>
    </w:p>
    <w:p w:rsidR="002127F2" w:rsidRPr="005D0A53" w:rsidRDefault="002127F2" w:rsidP="002127F2">
      <w:pPr>
        <w:pStyle w:val="ListParagraph"/>
        <w:numPr>
          <w:ilvl w:val="0"/>
          <w:numId w:val="63"/>
        </w:numPr>
        <w:jc w:val="both"/>
        <w:rPr>
          <w:rFonts w:cs="Arial"/>
          <w:sz w:val="22"/>
        </w:rPr>
      </w:pPr>
      <w:r w:rsidRPr="005D0A53">
        <w:rPr>
          <w:rFonts w:cs="Arial"/>
          <w:sz w:val="22"/>
        </w:rPr>
        <w:t>Provide an issues report to the United Nations CRPD Committee identifying the main human rights issues and recommendations for government action</w:t>
      </w:r>
    </w:p>
    <w:p w:rsidR="002127F2" w:rsidRPr="005D0A53" w:rsidRDefault="002127F2" w:rsidP="002127F2">
      <w:pPr>
        <w:pStyle w:val="ListParagraph"/>
        <w:numPr>
          <w:ilvl w:val="0"/>
          <w:numId w:val="63"/>
        </w:numPr>
        <w:jc w:val="both"/>
        <w:rPr>
          <w:rFonts w:cs="Arial"/>
          <w:sz w:val="22"/>
        </w:rPr>
      </w:pPr>
      <w:r w:rsidRPr="005D0A53">
        <w:rPr>
          <w:rFonts w:cs="Arial"/>
          <w:sz w:val="22"/>
        </w:rPr>
        <w:t>Monitor and report on progress on key human rights issues including inclusive education, access to New Zealand Sign Language, accessible official information and the removal of ba</w:t>
      </w:r>
      <w:r>
        <w:rPr>
          <w:rFonts w:cs="Arial"/>
          <w:sz w:val="22"/>
        </w:rPr>
        <w:t>rriers in the built environment.</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The Commission’s role in attempting to resolve human rights disputes suggests that a number of issues will be crucial in the next year including the captioning of advertisements and other material associat</w:t>
      </w:r>
      <w:r>
        <w:rPr>
          <w:rFonts w:cs="Arial"/>
          <w:sz w:val="22"/>
        </w:rPr>
        <w:t>ed with the general election.</w:t>
      </w:r>
    </w:p>
    <w:p w:rsidR="002127F2"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To date the Commission has:</w:t>
      </w:r>
    </w:p>
    <w:p w:rsidR="002127F2" w:rsidRPr="005D0A53" w:rsidRDefault="002127F2" w:rsidP="002127F2">
      <w:pPr>
        <w:pStyle w:val="ListParagraph"/>
        <w:numPr>
          <w:ilvl w:val="0"/>
          <w:numId w:val="64"/>
        </w:numPr>
        <w:jc w:val="both"/>
        <w:rPr>
          <w:rFonts w:cs="Arial"/>
          <w:sz w:val="22"/>
        </w:rPr>
      </w:pPr>
      <w:r w:rsidRPr="005D0A53">
        <w:rPr>
          <w:rFonts w:cs="Arial"/>
          <w:sz w:val="22"/>
        </w:rPr>
        <w:t>Undertaken an extensive community engagement with disabled people to understand which human rights issues are most important to them.  This will inform the Commission’s ongoing work and contribute to the issu</w:t>
      </w:r>
      <w:r>
        <w:rPr>
          <w:rFonts w:cs="Arial"/>
          <w:sz w:val="22"/>
        </w:rPr>
        <w:t>es report to the United Nations</w:t>
      </w:r>
    </w:p>
    <w:p w:rsidR="002127F2" w:rsidRPr="005D0A53" w:rsidRDefault="002127F2" w:rsidP="002127F2">
      <w:pPr>
        <w:pStyle w:val="ListParagraph"/>
        <w:numPr>
          <w:ilvl w:val="0"/>
          <w:numId w:val="64"/>
        </w:numPr>
        <w:jc w:val="both"/>
        <w:rPr>
          <w:rFonts w:cs="Arial"/>
          <w:sz w:val="22"/>
        </w:rPr>
      </w:pPr>
      <w:r w:rsidRPr="005D0A53">
        <w:rPr>
          <w:rFonts w:cs="Arial"/>
          <w:sz w:val="22"/>
        </w:rPr>
        <w:t>Produced an information broch</w:t>
      </w:r>
      <w:r>
        <w:rPr>
          <w:rFonts w:cs="Arial"/>
          <w:sz w:val="22"/>
        </w:rPr>
        <w:t>ure on the CRPD in</w:t>
      </w:r>
      <w:r w:rsidRPr="005D0A53">
        <w:rPr>
          <w:rFonts w:cs="Arial"/>
          <w:sz w:val="22"/>
        </w:rPr>
        <w:t xml:space="preserve"> a variety of alternative formats</w:t>
      </w:r>
    </w:p>
    <w:p w:rsidR="002127F2" w:rsidRPr="005D0A53" w:rsidRDefault="002127F2" w:rsidP="002127F2">
      <w:pPr>
        <w:pStyle w:val="ListParagraph"/>
        <w:numPr>
          <w:ilvl w:val="0"/>
          <w:numId w:val="64"/>
        </w:numPr>
        <w:jc w:val="both"/>
        <w:rPr>
          <w:rFonts w:cs="Arial"/>
          <w:sz w:val="22"/>
        </w:rPr>
      </w:pPr>
      <w:r w:rsidRPr="005D0A53">
        <w:rPr>
          <w:rFonts w:cs="Arial"/>
          <w:sz w:val="22"/>
        </w:rPr>
        <w:t>Developed a draft monitoring framework</w:t>
      </w:r>
    </w:p>
    <w:p w:rsidR="002127F2" w:rsidRPr="005D0A53" w:rsidRDefault="002127F2" w:rsidP="002127F2">
      <w:pPr>
        <w:pStyle w:val="ListParagraph"/>
        <w:numPr>
          <w:ilvl w:val="0"/>
          <w:numId w:val="64"/>
        </w:numPr>
        <w:jc w:val="both"/>
        <w:rPr>
          <w:rFonts w:cs="Arial"/>
          <w:sz w:val="22"/>
        </w:rPr>
      </w:pPr>
      <w:r w:rsidRPr="005D0A53">
        <w:rPr>
          <w:rFonts w:cs="Arial"/>
          <w:sz w:val="22"/>
        </w:rPr>
        <w:t xml:space="preserve">Undertaken research and policy development work on three access issues: accessible local and national elections, access to the built environment and accessible information.  These will form the basis of a consultation document later in the year.   </w:t>
      </w:r>
    </w:p>
    <w:p w:rsidR="00554171" w:rsidRPr="00332CC0" w:rsidRDefault="00554171" w:rsidP="00554171">
      <w:pPr>
        <w:jc w:val="both"/>
        <w:rPr>
          <w:rFonts w:asciiTheme="majorHAnsi" w:hAnsiTheme="majorHAnsi"/>
          <w:b/>
          <w:color w:val="00B0F0"/>
          <w:sz w:val="72"/>
          <w:szCs w:val="72"/>
        </w:rPr>
      </w:pPr>
      <w:r w:rsidRPr="00332CC0">
        <w:rPr>
          <w:rFonts w:asciiTheme="majorHAnsi" w:hAnsiTheme="majorHAnsi"/>
          <w:b/>
          <w:color w:val="00B0F0"/>
          <w:sz w:val="72"/>
          <w:szCs w:val="72"/>
        </w:rPr>
        <w:t>Equality at work indicators</w:t>
      </w:r>
    </w:p>
    <w:p w:rsidR="00554171" w:rsidRDefault="00554171" w:rsidP="00554171">
      <w:pPr>
        <w:jc w:val="both"/>
        <w:rPr>
          <w:sz w:val="22"/>
          <w:szCs w:val="22"/>
        </w:rPr>
      </w:pPr>
      <w:r w:rsidRPr="00332CC0">
        <w:rPr>
          <w:sz w:val="22"/>
          <w:szCs w:val="22"/>
        </w:rPr>
        <w:t xml:space="preserve">Given New Zealand’s current labour market situation, how can we make progress?   First, we need to be able to track progress.   What gets counted often gets done.  </w:t>
      </w:r>
    </w:p>
    <w:p w:rsidR="0012092E" w:rsidRDefault="0012092E" w:rsidP="00554171">
      <w:pPr>
        <w:jc w:val="both"/>
        <w:rPr>
          <w:sz w:val="22"/>
          <w:szCs w:val="22"/>
        </w:rPr>
      </w:pPr>
    </w:p>
    <w:p w:rsidR="0012092E" w:rsidRPr="00332CC0" w:rsidRDefault="0012092E" w:rsidP="00554171">
      <w:pPr>
        <w:jc w:val="both"/>
        <w:rPr>
          <w:sz w:val="22"/>
          <w:szCs w:val="22"/>
        </w:rPr>
      </w:pPr>
      <w:r w:rsidRPr="002127F2">
        <w:rPr>
          <w:sz w:val="22"/>
          <w:szCs w:val="22"/>
        </w:rPr>
        <w:t>In the development of a new set of indicators we have used di</w:t>
      </w:r>
      <w:r w:rsidR="00386766" w:rsidRPr="002127F2">
        <w:rPr>
          <w:sz w:val="22"/>
          <w:szCs w:val="22"/>
        </w:rPr>
        <w:t>sability as a prominent measure.  For example, looking at unemployment rates, we need to know how many disabled people are not working but seeking work, just as we do with other groups.</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New Zealand has never had a method of objectively benchmarking EEO.  This set of Equality at Work indicators has been developed by the Commission working with experts and using overseas examples. It provides time series data and aims for an objective progress report on how New Zealand is doing that can be used by government, policy agencies, industry sectors, employers, trade unions, researchers and civil society.</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The Human Rights Commission will use these indicators to monitor progress for both national and international reporting purposes.  Making progress visible will encourage great</w:t>
      </w:r>
      <w:r w:rsidR="00386766">
        <w:rPr>
          <w:sz w:val="22"/>
          <w:szCs w:val="22"/>
        </w:rPr>
        <w:t>er efforts to achieve equality</w:t>
      </w:r>
      <w:r w:rsidR="00386766" w:rsidRPr="002127F2">
        <w:rPr>
          <w:sz w:val="22"/>
          <w:szCs w:val="22"/>
        </w:rPr>
        <w:t>, including for disabled people.</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20 indicators have been selected to reflect all aspects of the employment cycle used by the Human Rights Commission in promoting the right to work.  Measures are described for each indicator, alongside the grounds on which equality will be determined such as age, gender, ethnicity and disability which reflect human rights discrimination.  Other sources of inequality in employment such as regional variation are also included.   Finally, the availability of data for each indicator is detailed. This has been included to assist monitoring, and to highlight data gaps.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In most cases data is publically available from government agencies or is available for purchase. However, data on equality in employment for </w:t>
      </w:r>
      <w:r>
        <w:rPr>
          <w:sz w:val="22"/>
          <w:szCs w:val="22"/>
        </w:rPr>
        <w:t xml:space="preserve">disabled </w:t>
      </w:r>
      <w:r w:rsidRPr="00332CC0">
        <w:rPr>
          <w:sz w:val="22"/>
          <w:szCs w:val="22"/>
        </w:rPr>
        <w:t xml:space="preserve">people is scant and up-to-date information is not available. The most comprehensive and reliable source of employment data for </w:t>
      </w:r>
      <w:r>
        <w:rPr>
          <w:sz w:val="22"/>
          <w:szCs w:val="22"/>
        </w:rPr>
        <w:t xml:space="preserve">disabled </w:t>
      </w:r>
      <w:r w:rsidRPr="00332CC0">
        <w:rPr>
          <w:sz w:val="22"/>
          <w:szCs w:val="22"/>
        </w:rPr>
        <w:t xml:space="preserve">people is the Disability Survey conducted as a supplement after the New Zealand Census conducted every five years. The 2011 Census has been postponed as a result of the Christchurch earthquake and will now be held in 2013.    Data on sexual orientation and employment is not available and submissions to Statistics New Zealand to include sexual orientation questions in the 2011 Census were not successful.  </w:t>
      </w:r>
    </w:p>
    <w:p w:rsidR="00554171" w:rsidRPr="00332CC0" w:rsidRDefault="00554171" w:rsidP="00554171">
      <w:pPr>
        <w:rPr>
          <w:sz w:val="22"/>
        </w:rPr>
      </w:pPr>
    </w:p>
    <w:p w:rsidR="00554171" w:rsidRPr="00332CC0" w:rsidRDefault="00554171" w:rsidP="00554171">
      <w:pPr>
        <w:jc w:val="both"/>
        <w:rPr>
          <w:sz w:val="22"/>
        </w:rPr>
      </w:pPr>
      <w:r w:rsidRPr="00332CC0">
        <w:rPr>
          <w:sz w:val="22"/>
          <w:szCs w:val="22"/>
        </w:rPr>
        <w:t xml:space="preserve">The indicators are developed from similar equality indicators from other jurisdictions, </w:t>
      </w:r>
      <w:r>
        <w:rPr>
          <w:sz w:val="22"/>
          <w:szCs w:val="22"/>
        </w:rPr>
        <w:t xml:space="preserve">including </w:t>
      </w:r>
      <w:r w:rsidRPr="00332CC0">
        <w:rPr>
          <w:sz w:val="22"/>
          <w:szCs w:val="22"/>
        </w:rPr>
        <w:t xml:space="preserve">the Canadian Human Rights Commission’s </w:t>
      </w:r>
      <w:r w:rsidRPr="00332CC0">
        <w:rPr>
          <w:i/>
          <w:sz w:val="22"/>
          <w:szCs w:val="22"/>
        </w:rPr>
        <w:t>Framework for Documenting Equality Rights 2010</w:t>
      </w:r>
      <w:r w:rsidRPr="00332CC0">
        <w:rPr>
          <w:sz w:val="22"/>
          <w:szCs w:val="22"/>
        </w:rPr>
        <w:t>.</w:t>
      </w:r>
    </w:p>
    <w:p w:rsidR="00554171" w:rsidRPr="00332CC0" w:rsidRDefault="00554171" w:rsidP="00554171">
      <w:pPr>
        <w:rPr>
          <w:sz w:val="22"/>
        </w:rPr>
      </w:pPr>
    </w:p>
    <w:p w:rsidR="00554171" w:rsidRPr="00332CC0" w:rsidRDefault="00554171" w:rsidP="00554171">
      <w:pPr>
        <w:rPr>
          <w:sz w:val="22"/>
        </w:rPr>
      </w:pPr>
      <w:r w:rsidRPr="00332CC0">
        <w:rPr>
          <w:sz w:val="22"/>
        </w:rPr>
        <w:t xml:space="preserve">  </w:t>
      </w:r>
    </w:p>
    <w:p w:rsidR="00554171" w:rsidRPr="00332CC0" w:rsidRDefault="00554171" w:rsidP="00554171">
      <w:pPr>
        <w:rPr>
          <w:sz w:val="20"/>
          <w:szCs w:val="20"/>
        </w:rPr>
      </w:pPr>
      <w:r w:rsidRPr="00332CC0">
        <w:rPr>
          <w:sz w:val="20"/>
          <w:szCs w:val="20"/>
        </w:rPr>
        <w:t xml:space="preserve"> </w:t>
      </w:r>
    </w:p>
    <w:p w:rsidR="00554171" w:rsidRPr="00332CC0" w:rsidRDefault="00554171" w:rsidP="00554171">
      <w:pPr>
        <w:jc w:val="both"/>
        <w:rPr>
          <w:rFonts w:asciiTheme="majorHAnsi" w:hAnsiTheme="majorHAnsi"/>
          <w:b/>
          <w:color w:val="00B0F0"/>
          <w:sz w:val="72"/>
          <w:szCs w:val="72"/>
        </w:rPr>
      </w:pPr>
    </w:p>
    <w:p w:rsidR="00554171" w:rsidRPr="00332CC0" w:rsidRDefault="00554171" w:rsidP="00554171">
      <w:pPr>
        <w:spacing w:after="200" w:line="276" w:lineRule="auto"/>
        <w:rPr>
          <w:b/>
          <w:sz w:val="40"/>
          <w:szCs w:val="40"/>
        </w:rPr>
      </w:pPr>
      <w:r w:rsidRPr="00332CC0">
        <w:rPr>
          <w:b/>
          <w:sz w:val="40"/>
          <w:szCs w:val="40"/>
        </w:rPr>
        <w:br w:type="page"/>
      </w:r>
    </w:p>
    <w:p w:rsidR="00554171" w:rsidRPr="00332CC0" w:rsidRDefault="00554171" w:rsidP="00554171">
      <w:pPr>
        <w:rPr>
          <w:b/>
          <w:sz w:val="40"/>
          <w:szCs w:val="40"/>
        </w:rPr>
        <w:sectPr w:rsidR="00554171" w:rsidRPr="00332CC0" w:rsidSect="009B324F">
          <w:pgSz w:w="11906" w:h="16838"/>
          <w:pgMar w:top="1440" w:right="1440" w:bottom="1440" w:left="1440" w:header="706" w:footer="706" w:gutter="0"/>
          <w:pgNumType w:start="1"/>
          <w:cols w:space="708"/>
          <w:docGrid w:linePitch="360"/>
        </w:sectPr>
      </w:pPr>
    </w:p>
    <w:p w:rsidR="00554171" w:rsidRPr="00332CC0" w:rsidRDefault="00554171" w:rsidP="00554171">
      <w:pPr>
        <w:rPr>
          <w:rFonts w:asciiTheme="majorHAnsi" w:hAnsiTheme="majorHAnsi"/>
          <w:b/>
          <w:color w:val="00B0F0"/>
          <w:sz w:val="72"/>
          <w:szCs w:val="72"/>
        </w:rPr>
      </w:pPr>
      <w:r>
        <w:rPr>
          <w:rFonts w:asciiTheme="majorHAnsi" w:hAnsiTheme="majorHAnsi"/>
          <w:b/>
          <w:color w:val="00B0F0"/>
          <w:sz w:val="72"/>
          <w:szCs w:val="72"/>
        </w:rPr>
        <w:t>Top 20 indi</w:t>
      </w:r>
      <w:r w:rsidRPr="00332CC0">
        <w:rPr>
          <w:rFonts w:asciiTheme="majorHAnsi" w:hAnsiTheme="majorHAnsi"/>
          <w:b/>
          <w:color w:val="00B0F0"/>
          <w:sz w:val="72"/>
          <w:szCs w:val="72"/>
        </w:rPr>
        <w:t xml:space="preserve">cators </w:t>
      </w:r>
    </w:p>
    <w:p w:rsidR="00554171" w:rsidRPr="00332CC0" w:rsidRDefault="00554171" w:rsidP="00554171"/>
    <w:tbl>
      <w:tblPr>
        <w:tblStyle w:val="MediumGrid3-Accent2"/>
        <w:tblW w:w="0" w:type="auto"/>
        <w:tblLook w:val="04A0" w:firstRow="1" w:lastRow="0" w:firstColumn="1" w:lastColumn="0" w:noHBand="0" w:noVBand="1"/>
      </w:tblPr>
      <w:tblGrid>
        <w:gridCol w:w="481"/>
        <w:gridCol w:w="2164"/>
        <w:gridCol w:w="2261"/>
        <w:gridCol w:w="2075"/>
        <w:gridCol w:w="2261"/>
      </w:tblGrid>
      <w:tr w:rsidR="00554171" w:rsidRPr="00332CC0" w:rsidTr="00461F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spacing w:before="240" w:line="276" w:lineRule="auto"/>
              <w:rPr>
                <w:sz w:val="26"/>
                <w:szCs w:val="26"/>
              </w:rPr>
            </w:pPr>
          </w:p>
        </w:tc>
        <w:tc>
          <w:tcPr>
            <w:tcW w:w="2014" w:type="dxa"/>
          </w:tcPr>
          <w:p w:rsidR="00554171" w:rsidRPr="00332CC0" w:rsidRDefault="00554171" w:rsidP="00040D3F">
            <w:pPr>
              <w:spacing w:before="240" w:line="276" w:lineRule="auto"/>
              <w:cnfStyle w:val="100000000000" w:firstRow="1" w:lastRow="0" w:firstColumn="0" w:lastColumn="0" w:oddVBand="0" w:evenVBand="0" w:oddHBand="0" w:evenHBand="0" w:firstRowFirstColumn="0" w:firstRowLastColumn="0" w:lastRowFirstColumn="0" w:lastRowLastColumn="0"/>
              <w:rPr>
                <w:b w:val="0"/>
                <w:sz w:val="26"/>
                <w:szCs w:val="26"/>
              </w:rPr>
            </w:pPr>
            <w:r w:rsidRPr="00332CC0">
              <w:rPr>
                <w:sz w:val="26"/>
                <w:szCs w:val="26"/>
              </w:rPr>
              <w:t>Indicators</w:t>
            </w:r>
          </w:p>
        </w:tc>
        <w:tc>
          <w:tcPr>
            <w:tcW w:w="2424" w:type="dxa"/>
          </w:tcPr>
          <w:p w:rsidR="00554171" w:rsidRPr="00332CC0" w:rsidRDefault="00554171" w:rsidP="00040D3F">
            <w:pPr>
              <w:spacing w:before="240" w:line="276" w:lineRule="auto"/>
              <w:cnfStyle w:val="100000000000" w:firstRow="1" w:lastRow="0" w:firstColumn="0" w:lastColumn="0" w:oddVBand="0" w:evenVBand="0" w:oddHBand="0" w:evenHBand="0" w:firstRowFirstColumn="0" w:firstRowLastColumn="0" w:lastRowFirstColumn="0" w:lastRowLastColumn="0"/>
              <w:rPr>
                <w:b w:val="0"/>
                <w:sz w:val="26"/>
                <w:szCs w:val="26"/>
              </w:rPr>
            </w:pPr>
            <w:r w:rsidRPr="00332CC0">
              <w:rPr>
                <w:sz w:val="26"/>
                <w:szCs w:val="26"/>
              </w:rPr>
              <w:t>Measure</w:t>
            </w:r>
          </w:p>
        </w:tc>
        <w:tc>
          <w:tcPr>
            <w:tcW w:w="2061" w:type="dxa"/>
          </w:tcPr>
          <w:p w:rsidR="00554171" w:rsidRPr="00332CC0" w:rsidRDefault="00554171" w:rsidP="00040D3F">
            <w:pPr>
              <w:spacing w:before="240" w:line="276" w:lineRule="auto"/>
              <w:cnfStyle w:val="100000000000" w:firstRow="1" w:lastRow="0" w:firstColumn="0" w:lastColumn="0" w:oddVBand="0" w:evenVBand="0" w:oddHBand="0" w:evenHBand="0" w:firstRowFirstColumn="0" w:firstRowLastColumn="0" w:lastRowFirstColumn="0" w:lastRowLastColumn="0"/>
              <w:rPr>
                <w:b w:val="0"/>
                <w:sz w:val="26"/>
                <w:szCs w:val="26"/>
              </w:rPr>
            </w:pPr>
            <w:r w:rsidRPr="00332CC0">
              <w:rPr>
                <w:sz w:val="26"/>
                <w:szCs w:val="26"/>
              </w:rPr>
              <w:t xml:space="preserve">Grounds </w:t>
            </w:r>
          </w:p>
        </w:tc>
        <w:tc>
          <w:tcPr>
            <w:tcW w:w="2209" w:type="dxa"/>
          </w:tcPr>
          <w:p w:rsidR="00554171" w:rsidRPr="00332CC0" w:rsidRDefault="00554171" w:rsidP="00040D3F">
            <w:pPr>
              <w:spacing w:before="240" w:line="276" w:lineRule="auto"/>
              <w:cnfStyle w:val="100000000000" w:firstRow="1" w:lastRow="0" w:firstColumn="0" w:lastColumn="0" w:oddVBand="0" w:evenVBand="0" w:oddHBand="0" w:evenHBand="0" w:firstRowFirstColumn="0" w:firstRowLastColumn="0" w:lastRowFirstColumn="0" w:lastRowLastColumn="0"/>
              <w:rPr>
                <w:b w:val="0"/>
                <w:sz w:val="26"/>
                <w:szCs w:val="26"/>
              </w:rPr>
            </w:pPr>
            <w:r w:rsidRPr="00332CC0">
              <w:rPr>
                <w:sz w:val="26"/>
                <w:szCs w:val="26"/>
              </w:rPr>
              <w:t>Data Availability</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6" w:space="0" w:color="FFFFFF" w:themeColor="background1"/>
            </w:tcBorders>
          </w:tcPr>
          <w:p w:rsidR="00554171" w:rsidRPr="00332CC0" w:rsidRDefault="00554171" w:rsidP="00040D3F">
            <w:pPr>
              <w:spacing w:line="276" w:lineRule="auto"/>
            </w:pPr>
            <w:r w:rsidRPr="00332CC0">
              <w:t>1</w:t>
            </w:r>
          </w:p>
        </w:tc>
        <w:tc>
          <w:tcPr>
            <w:tcW w:w="2014" w:type="dxa"/>
            <w:tcBorders>
              <w:top w:val="single" w:sz="6" w:space="0" w:color="FFFFFF" w:themeColor="background1"/>
            </w:tcBorders>
          </w:tcPr>
          <w:p w:rsidR="00554171" w:rsidRPr="00332CC0" w:rsidRDefault="00554171" w:rsidP="00040D3F">
            <w:pPr>
              <w:spacing w:line="276" w:lineRule="auto"/>
              <w:cnfStyle w:val="000000100000" w:firstRow="0" w:lastRow="0" w:firstColumn="0" w:lastColumn="0" w:oddVBand="0" w:evenVBand="0" w:oddHBand="1" w:evenHBand="0" w:firstRowFirstColumn="0" w:firstRowLastColumn="0" w:lastRowFirstColumn="0" w:lastRowLastColumn="0"/>
            </w:pPr>
            <w:r w:rsidRPr="00332CC0">
              <w:t>Unemployment rates</w:t>
            </w:r>
          </w:p>
        </w:tc>
        <w:tc>
          <w:tcPr>
            <w:tcW w:w="2424" w:type="dxa"/>
          </w:tcPr>
          <w:p w:rsidR="00554171" w:rsidRPr="00332CC0" w:rsidRDefault="00554171" w:rsidP="00040D3F">
            <w:pPr>
              <w:pStyle w:val="ListParagraph"/>
              <w:numPr>
                <w:ilvl w:val="0"/>
                <w:numId w:val="1"/>
              </w:numPr>
              <w:spacing w:line="276" w:lineRule="auto"/>
              <w:ind w:left="473" w:hanging="450"/>
              <w:cnfStyle w:val="000000100000" w:firstRow="0" w:lastRow="0" w:firstColumn="0" w:lastColumn="0" w:oddVBand="0" w:evenVBand="0" w:oddHBand="1" w:evenHBand="0" w:firstRowFirstColumn="0" w:firstRowLastColumn="0" w:lastRowFirstColumn="0" w:lastRowLastColumn="0"/>
            </w:pPr>
            <w:r w:rsidRPr="00332CC0">
              <w:t xml:space="preserve">Disaggregated unemployment rates from Household Labour Force Survey (HLFS).  </w:t>
            </w:r>
          </w:p>
        </w:tc>
        <w:tc>
          <w:tcPr>
            <w:tcW w:w="2061" w:type="dxa"/>
          </w:tcPr>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Age</w:t>
            </w:r>
          </w:p>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Region</w:t>
            </w:r>
          </w:p>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 xml:space="preserve">Sexual Orientation </w:t>
            </w:r>
          </w:p>
        </w:tc>
        <w:tc>
          <w:tcPr>
            <w:tcW w:w="2209" w:type="dxa"/>
          </w:tcPr>
          <w:p w:rsidR="00554171" w:rsidRPr="00332CC0" w:rsidRDefault="00554171" w:rsidP="00040D3F">
            <w:pPr>
              <w:pStyle w:val="ListParagraph"/>
              <w:numPr>
                <w:ilvl w:val="0"/>
                <w:numId w:val="1"/>
              </w:numPr>
              <w:spacing w:line="276" w:lineRule="auto"/>
              <w:ind w:left="430" w:hanging="270"/>
              <w:cnfStyle w:val="000000100000" w:firstRow="0" w:lastRow="0" w:firstColumn="0" w:lastColumn="0" w:oddVBand="0" w:evenVBand="0" w:oddHBand="1" w:evenHBand="0" w:firstRowFirstColumn="0" w:firstRowLastColumn="0" w:lastRowFirstColumn="0" w:lastRowLastColumn="0"/>
            </w:pPr>
            <w:r w:rsidRPr="00332CC0">
              <w:t>Collected and can be purchased from Stats NZ except for disability data which is collected in the Census disability survey only. Sexual orientation data is not collected by HLFS or Census</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spacing w:line="276" w:lineRule="auto"/>
            </w:pPr>
            <w:r w:rsidRPr="00332CC0">
              <w:t>2</w:t>
            </w:r>
          </w:p>
        </w:tc>
        <w:tc>
          <w:tcPr>
            <w:tcW w:w="2014" w:type="dxa"/>
          </w:tcPr>
          <w:p w:rsidR="00554171" w:rsidRPr="00332CC0" w:rsidRDefault="00554171" w:rsidP="00040D3F">
            <w:pPr>
              <w:spacing w:line="276" w:lineRule="auto"/>
              <w:cnfStyle w:val="000000000000" w:firstRow="0" w:lastRow="0" w:firstColumn="0" w:lastColumn="0" w:oddVBand="0" w:evenVBand="0" w:oddHBand="0" w:evenHBand="0" w:firstRowFirstColumn="0" w:firstRowLastColumn="0" w:lastRowFirstColumn="0" w:lastRowLastColumn="0"/>
            </w:pPr>
            <w:r w:rsidRPr="00332CC0">
              <w:t>People on benefits long term (more tha</w:t>
            </w:r>
            <w:r>
              <w:t>n</w:t>
            </w:r>
            <w:r w:rsidRPr="00332CC0">
              <w:t xml:space="preserve"> a year)</w:t>
            </w:r>
          </w:p>
        </w:tc>
        <w:tc>
          <w:tcPr>
            <w:tcW w:w="2424"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 xml:space="preserve">Disaggregated long term beneficiary data from WINZ </w:t>
            </w:r>
          </w:p>
        </w:tc>
        <w:tc>
          <w:tcPr>
            <w:tcW w:w="2061"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 xml:space="preserve">Age </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Disability</w:t>
            </w:r>
          </w:p>
        </w:tc>
        <w:tc>
          <w:tcPr>
            <w:tcW w:w="2209"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Aggregated data available from MSD</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Disaggregated data could be requested</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spacing w:line="276" w:lineRule="auto"/>
            </w:pPr>
            <w:r w:rsidRPr="00332CC0">
              <w:t>3</w:t>
            </w:r>
          </w:p>
        </w:tc>
        <w:tc>
          <w:tcPr>
            <w:tcW w:w="2014" w:type="dxa"/>
          </w:tcPr>
          <w:p w:rsidR="00554171" w:rsidRPr="00332CC0" w:rsidRDefault="00554171" w:rsidP="00040D3F">
            <w:pPr>
              <w:spacing w:line="276" w:lineRule="auto"/>
              <w:cnfStyle w:val="000000100000" w:firstRow="0" w:lastRow="0" w:firstColumn="0" w:lastColumn="0" w:oddVBand="0" w:evenVBand="0" w:oddHBand="1" w:evenHBand="0" w:firstRowFirstColumn="0" w:firstRowLastColumn="0" w:lastRowFirstColumn="0" w:lastRowLastColumn="0"/>
            </w:pPr>
            <w:r w:rsidRPr="00332CC0">
              <w:t xml:space="preserve">Adequacy of unemployment </w:t>
            </w:r>
          </w:p>
          <w:p w:rsidR="00554171" w:rsidRPr="00332CC0" w:rsidRDefault="00554171" w:rsidP="00040D3F">
            <w:pPr>
              <w:spacing w:line="276" w:lineRule="auto"/>
              <w:cnfStyle w:val="000000100000" w:firstRow="0" w:lastRow="0" w:firstColumn="0" w:lastColumn="0" w:oddVBand="0" w:evenVBand="0" w:oddHBand="1" w:evenHBand="0" w:firstRowFirstColumn="0" w:firstRowLastColumn="0" w:lastRowFirstColumn="0" w:lastRowLastColumn="0"/>
            </w:pPr>
            <w:r w:rsidRPr="00332CC0">
              <w:t>benefit</w:t>
            </w:r>
          </w:p>
        </w:tc>
        <w:tc>
          <w:tcPr>
            <w:tcW w:w="2424" w:type="dxa"/>
          </w:tcPr>
          <w:p w:rsidR="00554171" w:rsidRPr="00332CC0" w:rsidRDefault="00554171" w:rsidP="00040D3F">
            <w:pPr>
              <w:pStyle w:val="ListParagraph"/>
              <w:numPr>
                <w:ilvl w:val="0"/>
                <w:numId w:val="1"/>
              </w:numPr>
              <w:spacing w:line="276" w:lineRule="auto"/>
              <w:ind w:left="473" w:hanging="450"/>
              <w:cnfStyle w:val="000000100000" w:firstRow="0" w:lastRow="0" w:firstColumn="0" w:lastColumn="0" w:oddVBand="0" w:evenVBand="0" w:oddHBand="1" w:evenHBand="0" w:firstRowFirstColumn="0" w:firstRowLastColumn="0" w:lastRowFirstColumn="0" w:lastRowLastColumn="0"/>
            </w:pPr>
            <w:r w:rsidRPr="00332CC0">
              <w:t>Ratio of unemployment benefit to median wage as a percentage</w:t>
            </w:r>
          </w:p>
        </w:tc>
        <w:tc>
          <w:tcPr>
            <w:tcW w:w="2061" w:type="dxa"/>
          </w:tcPr>
          <w:p w:rsidR="00554171" w:rsidRPr="00332CC0" w:rsidRDefault="00554171" w:rsidP="00040D3F">
            <w:pPr>
              <w:pStyle w:val="ListParagraph"/>
              <w:spacing w:line="276" w:lineRule="auto"/>
              <w:ind w:left="473"/>
              <w:cnfStyle w:val="000000100000" w:firstRow="0" w:lastRow="0" w:firstColumn="0" w:lastColumn="0" w:oddVBand="0" w:evenVBand="0" w:oddHBand="1" w:evenHBand="0" w:firstRowFirstColumn="0" w:firstRowLastColumn="0" w:lastRowFirstColumn="0" w:lastRowLastColumn="0"/>
            </w:pPr>
          </w:p>
          <w:p w:rsidR="00554171" w:rsidRPr="00332CC0" w:rsidRDefault="00554171" w:rsidP="00040D3F">
            <w:pPr>
              <w:pStyle w:val="ListParagraph"/>
              <w:spacing w:line="276" w:lineRule="auto"/>
              <w:ind w:left="473"/>
              <w:cnfStyle w:val="000000100000" w:firstRow="0" w:lastRow="0" w:firstColumn="0" w:lastColumn="0" w:oddVBand="0" w:evenVBand="0" w:oddHBand="1" w:evenHBand="0" w:firstRowFirstColumn="0" w:firstRowLastColumn="0" w:lastRowFirstColumn="0" w:lastRowLastColumn="0"/>
            </w:pPr>
            <w:r w:rsidRPr="00332CC0">
              <w:t>N/A</w:t>
            </w:r>
          </w:p>
        </w:tc>
        <w:tc>
          <w:tcPr>
            <w:tcW w:w="2209" w:type="dxa"/>
          </w:tcPr>
          <w:p w:rsidR="00554171" w:rsidRPr="00332CC0" w:rsidRDefault="00554171" w:rsidP="00040D3F">
            <w:pPr>
              <w:pStyle w:val="ListParagraph"/>
              <w:numPr>
                <w:ilvl w:val="0"/>
                <w:numId w:val="1"/>
              </w:numPr>
              <w:spacing w:line="276" w:lineRule="auto"/>
              <w:ind w:left="473" w:hanging="450"/>
              <w:cnfStyle w:val="000000100000" w:firstRow="0" w:lastRow="0" w:firstColumn="0" w:lastColumn="0" w:oddVBand="0" w:evenVBand="0" w:oddHBand="1" w:evenHBand="0" w:firstRowFirstColumn="0" w:firstRowLastColumn="0" w:lastRowFirstColumn="0" w:lastRowLastColumn="0"/>
            </w:pPr>
            <w:r w:rsidRPr="00332CC0">
              <w:t xml:space="preserve">Calculated from HLFS and WINZ data </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spacing w:line="276" w:lineRule="auto"/>
            </w:pPr>
            <w:r w:rsidRPr="00332CC0">
              <w:t>4</w:t>
            </w:r>
          </w:p>
        </w:tc>
        <w:tc>
          <w:tcPr>
            <w:tcW w:w="2014" w:type="dxa"/>
          </w:tcPr>
          <w:p w:rsidR="00554171" w:rsidRPr="00332CC0" w:rsidRDefault="00554171" w:rsidP="00040D3F">
            <w:pPr>
              <w:spacing w:line="276" w:lineRule="auto"/>
              <w:cnfStyle w:val="000000000000" w:firstRow="0" w:lastRow="0" w:firstColumn="0" w:lastColumn="0" w:oddVBand="0" w:evenVBand="0" w:oddHBand="0" w:evenHBand="0" w:firstRowFirstColumn="0" w:firstRowLastColumn="0" w:lastRowFirstColumn="0" w:lastRowLastColumn="0"/>
            </w:pPr>
            <w:r w:rsidRPr="00332CC0">
              <w:t xml:space="preserve">Underemployment rates. </w:t>
            </w:r>
          </w:p>
        </w:tc>
        <w:tc>
          <w:tcPr>
            <w:tcW w:w="2424"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 xml:space="preserve">Disaggregated data from HLFS </w:t>
            </w:r>
          </w:p>
        </w:tc>
        <w:tc>
          <w:tcPr>
            <w:tcW w:w="2061"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 xml:space="preserve">Age </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Disability</w:t>
            </w:r>
          </w:p>
        </w:tc>
        <w:tc>
          <w:tcPr>
            <w:tcW w:w="2209" w:type="dxa"/>
          </w:tcPr>
          <w:p w:rsidR="00554171" w:rsidRPr="00332CC0" w:rsidRDefault="00554171" w:rsidP="00040D3F">
            <w:pPr>
              <w:pStyle w:val="ListParagraph"/>
              <w:numPr>
                <w:ilvl w:val="0"/>
                <w:numId w:val="1"/>
              </w:numPr>
              <w:spacing w:line="276" w:lineRule="auto"/>
              <w:ind w:left="473" w:hanging="450"/>
              <w:cnfStyle w:val="000000000000" w:firstRow="0" w:lastRow="0" w:firstColumn="0" w:lastColumn="0" w:oddVBand="0" w:evenVBand="0" w:oddHBand="0" w:evenHBand="0" w:firstRowFirstColumn="0" w:firstRowLastColumn="0" w:lastRowFirstColumn="0" w:lastRowLastColumn="0"/>
            </w:pPr>
            <w:r w:rsidRPr="00332CC0">
              <w:t>Stats NZ except for disability data which is collected in the Census disability survey only</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5</w:t>
            </w:r>
          </w:p>
        </w:tc>
        <w:tc>
          <w:tcPr>
            <w:tcW w:w="201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 xml:space="preserve">Rates of people not engaged in education, employment or training (NEET) </w:t>
            </w:r>
          </w:p>
        </w:tc>
        <w:tc>
          <w:tcPr>
            <w:tcW w:w="2424"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Disaggregated data from HLFS</w:t>
            </w:r>
          </w:p>
        </w:tc>
        <w:tc>
          <w:tcPr>
            <w:tcW w:w="2061"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Age</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Region</w:t>
            </w:r>
          </w:p>
          <w:p w:rsidR="00554171" w:rsidRPr="00332CC0" w:rsidRDefault="00554171" w:rsidP="00040D3F">
            <w:pPr>
              <w:ind w:left="23"/>
              <w:cnfStyle w:val="000000100000" w:firstRow="0" w:lastRow="0" w:firstColumn="0" w:lastColumn="0" w:oddVBand="0" w:evenVBand="0" w:oddHBand="1" w:evenHBand="0" w:firstRowFirstColumn="0" w:firstRowLastColumn="0" w:lastRowFirstColumn="0" w:lastRowLastColumn="0"/>
            </w:pPr>
            <w:r w:rsidRPr="00332CC0">
              <w:t xml:space="preserve"> </w:t>
            </w:r>
          </w:p>
        </w:tc>
        <w:tc>
          <w:tcPr>
            <w:tcW w:w="2209"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 xml:space="preserve">Stats NZ except for disability data which is collected in the Census disability survey only </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6</w:t>
            </w:r>
          </w:p>
        </w:tc>
        <w:tc>
          <w:tcPr>
            <w:tcW w:w="201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 xml:space="preserve">Complaints about discrimination at job entry </w:t>
            </w:r>
          </w:p>
        </w:tc>
        <w:tc>
          <w:tcPr>
            <w:tcW w:w="2424"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Discrimination data from Human Rights Commission (HRC)</w:t>
            </w:r>
          </w:p>
          <w:p w:rsidR="00554171" w:rsidRPr="00332CC0" w:rsidRDefault="00554171" w:rsidP="00040D3F">
            <w:pPr>
              <w:ind w:left="473" w:hanging="450"/>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Survey of Discrimination in NZ</w:t>
            </w:r>
          </w:p>
        </w:tc>
        <w:tc>
          <w:tcPr>
            <w:tcW w:w="2061"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Age</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ind w:left="473" w:hanging="450"/>
              <w:jc w:val="both"/>
              <w:cnfStyle w:val="000000000000" w:firstRow="0" w:lastRow="0" w:firstColumn="0" w:lastColumn="0" w:oddVBand="0" w:evenVBand="0" w:oddHBand="0"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Sexual Orientation</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Family Status</w:t>
            </w:r>
          </w:p>
        </w:tc>
        <w:tc>
          <w:tcPr>
            <w:tcW w:w="2209"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Data is recorded and analysed by HRC</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UMR Annual Survey commissioned by HRC</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7</w:t>
            </w:r>
          </w:p>
        </w:tc>
        <w:tc>
          <w:tcPr>
            <w:tcW w:w="201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Gender stereotyping in tertiary education courses, industry training  and apprenticeships</w:t>
            </w:r>
          </w:p>
        </w:tc>
        <w:tc>
          <w:tcPr>
            <w:tcW w:w="2424"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Disaggregated data for Modern Apprentices</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Disaggregated data for fields of study at university</w:t>
            </w:r>
          </w:p>
        </w:tc>
        <w:tc>
          <w:tcPr>
            <w:tcW w:w="2061"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Age</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Ethnicity</w:t>
            </w:r>
          </w:p>
        </w:tc>
        <w:tc>
          <w:tcPr>
            <w:tcW w:w="2209"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Data available from</w:t>
            </w:r>
            <w:r>
              <w:t xml:space="preserve"> Tertiary Education Commission (</w:t>
            </w:r>
            <w:r w:rsidRPr="00332CC0">
              <w:t>TEC</w:t>
            </w:r>
            <w:r>
              <w:t>)</w:t>
            </w:r>
            <w:r w:rsidRPr="00332CC0">
              <w:t xml:space="preserve"> and Ministry of Education  </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8</w:t>
            </w:r>
          </w:p>
        </w:tc>
        <w:tc>
          <w:tcPr>
            <w:tcW w:w="201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Uptake of paid parental leave (PPL)</w:t>
            </w:r>
          </w:p>
        </w:tc>
        <w:tc>
          <w:tcPr>
            <w:tcW w:w="2424"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 xml:space="preserve">Disaggregated data of parents accessing PPL </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Complaints data from those  excluded from PPL</w:t>
            </w:r>
          </w:p>
        </w:tc>
        <w:tc>
          <w:tcPr>
            <w:tcW w:w="2061"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Employment status</w:t>
            </w:r>
          </w:p>
        </w:tc>
        <w:tc>
          <w:tcPr>
            <w:tcW w:w="2209"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Not published but could be requested from IRD</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Data is recorded and analysed by HRC</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9</w:t>
            </w:r>
          </w:p>
        </w:tc>
        <w:tc>
          <w:tcPr>
            <w:tcW w:w="2014" w:type="dxa"/>
          </w:tcPr>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r w:rsidRPr="00332CC0">
              <w:t>Access to Early Childhood Education (ECE)</w:t>
            </w:r>
          </w:p>
        </w:tc>
        <w:tc>
          <w:tcPr>
            <w:tcW w:w="2424"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Waiting times for ECE</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Affordability of ECE</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Participation of children in ECE</w:t>
            </w:r>
          </w:p>
          <w:p w:rsidR="00554171" w:rsidRPr="00332CC0" w:rsidRDefault="00554171" w:rsidP="00040D3F">
            <w:pPr>
              <w:pStyle w:val="ListParagraph"/>
              <w:ind w:left="473"/>
              <w:cnfStyle w:val="000000100000" w:firstRow="0" w:lastRow="0" w:firstColumn="0" w:lastColumn="0" w:oddVBand="0" w:evenVBand="0" w:oddHBand="1" w:evenHBand="0" w:firstRowFirstColumn="0" w:firstRowLastColumn="0" w:lastRowFirstColumn="0" w:lastRowLastColumn="0"/>
            </w:pPr>
          </w:p>
        </w:tc>
        <w:tc>
          <w:tcPr>
            <w:tcW w:w="2061" w:type="dxa"/>
          </w:tcPr>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Region</w:t>
            </w:r>
          </w:p>
        </w:tc>
        <w:tc>
          <w:tcPr>
            <w:tcW w:w="2209" w:type="dxa"/>
          </w:tcPr>
          <w:p w:rsidR="00554171" w:rsidRDefault="00554171" w:rsidP="00040D3F">
            <w:pPr>
              <w:pStyle w:val="ListParagraph"/>
              <w:numPr>
                <w:ilvl w:val="0"/>
                <w:numId w:val="1"/>
              </w:numPr>
              <w:ind w:left="473" w:hanging="450"/>
              <w:cnfStyle w:val="000000100000" w:firstRow="0" w:lastRow="0" w:firstColumn="0" w:lastColumn="0" w:oddVBand="0" w:evenVBand="0" w:oddHBand="1" w:evenHBand="0" w:firstRowFirstColumn="0" w:firstRowLastColumn="0" w:lastRowFirstColumn="0" w:lastRowLastColumn="0"/>
            </w:pPr>
            <w:r w:rsidRPr="00332CC0">
              <w:t xml:space="preserve">Data available from TEC  and Ministry of Education </w:t>
            </w:r>
          </w:p>
          <w:p w:rsidR="00554171" w:rsidRDefault="00554171" w:rsidP="00040D3F">
            <w:pPr>
              <w:pStyle w:val="ListParagraph"/>
              <w:ind w:left="473"/>
              <w:cnfStyle w:val="000000100000" w:firstRow="0" w:lastRow="0" w:firstColumn="0" w:lastColumn="0" w:oddVBand="0" w:evenVBand="0" w:oddHBand="1" w:evenHBand="0" w:firstRowFirstColumn="0" w:firstRowLastColumn="0" w:lastRowFirstColumn="0" w:lastRowLastColumn="0"/>
            </w:pPr>
          </w:p>
          <w:p w:rsidR="00554171" w:rsidRDefault="00554171" w:rsidP="00040D3F">
            <w:pPr>
              <w:cnfStyle w:val="000000100000" w:firstRow="0" w:lastRow="0" w:firstColumn="0" w:lastColumn="0" w:oddVBand="0" w:evenVBand="0" w:oddHBand="1" w:evenHBand="0" w:firstRowFirstColumn="0" w:firstRowLastColumn="0" w:lastRowFirstColumn="0" w:lastRowLastColumn="0"/>
            </w:pPr>
          </w:p>
          <w:p w:rsidR="00554171" w:rsidRDefault="00554171" w:rsidP="00040D3F">
            <w:pPr>
              <w:cnfStyle w:val="000000100000" w:firstRow="0" w:lastRow="0" w:firstColumn="0" w:lastColumn="0" w:oddVBand="0" w:evenVBand="0" w:oddHBand="1" w:evenHBand="0" w:firstRowFirstColumn="0" w:firstRowLastColumn="0" w:lastRowFirstColumn="0" w:lastRowLastColumn="0"/>
            </w:pPr>
          </w:p>
          <w:p w:rsidR="00554171" w:rsidRPr="00332CC0" w:rsidRDefault="00554171" w:rsidP="00040D3F">
            <w:pPr>
              <w:cnfStyle w:val="000000100000" w:firstRow="0" w:lastRow="0" w:firstColumn="0" w:lastColumn="0" w:oddVBand="0" w:evenVBand="0" w:oddHBand="1" w:evenHBand="0" w:firstRowFirstColumn="0" w:firstRowLastColumn="0" w:lastRowFirstColumn="0" w:lastRowLastColumn="0"/>
            </w:pP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r w:rsidRPr="00332CC0">
              <w:t>10</w:t>
            </w:r>
          </w:p>
        </w:tc>
        <w:tc>
          <w:tcPr>
            <w:tcW w:w="2014" w:type="dxa"/>
          </w:tcPr>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r w:rsidRPr="00332CC0">
              <w:t xml:space="preserve">Occupational segregation </w:t>
            </w:r>
          </w:p>
          <w:p w:rsidR="00554171" w:rsidRPr="00332CC0" w:rsidRDefault="00554171" w:rsidP="00040D3F">
            <w:pPr>
              <w:cnfStyle w:val="000000000000" w:firstRow="0" w:lastRow="0" w:firstColumn="0" w:lastColumn="0" w:oddVBand="0" w:evenVBand="0" w:oddHBand="0" w:evenHBand="0" w:firstRowFirstColumn="0" w:firstRowLastColumn="0" w:lastRowFirstColumn="0" w:lastRowLastColumn="0"/>
            </w:pPr>
          </w:p>
        </w:tc>
        <w:tc>
          <w:tcPr>
            <w:tcW w:w="2424"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Disaggregated data from occupational classification tables</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Early childhood teachers</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 xml:space="preserve">Modern Apprenticeships  </w:t>
            </w:r>
          </w:p>
        </w:tc>
        <w:tc>
          <w:tcPr>
            <w:tcW w:w="2061"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Ethnicity</w:t>
            </w:r>
          </w:p>
        </w:tc>
        <w:tc>
          <w:tcPr>
            <w:tcW w:w="2209" w:type="dxa"/>
          </w:tcPr>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rPr>
                <w:color w:val="FF0000"/>
              </w:rPr>
            </w:pPr>
            <w:r w:rsidRPr="00332CC0">
              <w:t>Quarterly Employment Survey (QES) data from Stats NZ</w:t>
            </w:r>
          </w:p>
          <w:p w:rsidR="00554171" w:rsidRPr="00332CC0"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t>Early Childhood Education, Ministry of Education</w:t>
            </w:r>
          </w:p>
          <w:p w:rsidR="00554171" w:rsidRDefault="00554171" w:rsidP="00040D3F">
            <w:pPr>
              <w:pStyle w:val="ListParagraph"/>
              <w:numPr>
                <w:ilvl w:val="0"/>
                <w:numId w:val="1"/>
              </w:numPr>
              <w:ind w:left="473" w:hanging="450"/>
              <w:cnfStyle w:val="000000000000" w:firstRow="0" w:lastRow="0" w:firstColumn="0" w:lastColumn="0" w:oddVBand="0" w:evenVBand="0" w:oddHBand="0" w:evenHBand="0" w:firstRowFirstColumn="0" w:firstRowLastColumn="0" w:lastRowFirstColumn="0" w:lastRowLastColumn="0"/>
            </w:pPr>
            <w:r w:rsidRPr="00332CC0">
              <w:t xml:space="preserve">TEC </w:t>
            </w: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Default="00461F0D" w:rsidP="00461F0D">
            <w:pPr>
              <w:cnfStyle w:val="000000000000" w:firstRow="0" w:lastRow="0" w:firstColumn="0" w:lastColumn="0" w:oddVBand="0" w:evenVBand="0" w:oddHBand="0" w:evenHBand="0" w:firstRowFirstColumn="0" w:firstRowLastColumn="0" w:lastRowFirstColumn="0" w:lastRowLastColumn="0"/>
            </w:pPr>
          </w:p>
          <w:p w:rsidR="00461F0D" w:rsidRPr="00461F0D" w:rsidRDefault="00461F0D" w:rsidP="00461F0D">
            <w:pPr>
              <w:cnfStyle w:val="000000000000" w:firstRow="0" w:lastRow="0" w:firstColumn="0" w:lastColumn="0" w:oddVBand="0" w:evenVBand="0" w:oddHBand="0" w:evenHBand="0" w:firstRowFirstColumn="0" w:firstRowLastColumn="0" w:lastRowFirstColumn="0" w:lastRowLastColumn="0"/>
            </w:pP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11</w:t>
            </w:r>
          </w:p>
        </w:tc>
        <w:tc>
          <w:tcPr>
            <w:tcW w:w="2014" w:type="dxa"/>
          </w:tcPr>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r w:rsidRPr="00332CC0">
              <w:t xml:space="preserve">Labour force participation </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Disaggregated data from HLFS</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Age</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Sexual Orientation</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Purchased from Stats NZ except for disability data (which is collected in the Census disability survey only).</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 xml:space="preserve">Sexual orientation data  is not collected by </w:t>
            </w:r>
            <w:r>
              <w:t>HL</w:t>
            </w:r>
            <w:r w:rsidRPr="00332CC0">
              <w:t>FS or Census</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12</w:t>
            </w:r>
          </w:p>
        </w:tc>
        <w:tc>
          <w:tcPr>
            <w:tcW w:w="2014" w:type="dxa"/>
          </w:tcPr>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r w:rsidRPr="00332CC0">
              <w:t>Leadership rates in senior management and governance roles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Diversity in senior management roles</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Diversity on boards </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Sex/Gender </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Disability </w:t>
            </w: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SSC data on public service</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Ministry of Women’s Affairs data on public sector boards</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HRC’s Census of Women’s Participation for board membership and management in private sector (top listed companies)</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Disability data is not currently being collected</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13</w:t>
            </w:r>
          </w:p>
        </w:tc>
        <w:tc>
          <w:tcPr>
            <w:tcW w:w="2014" w:type="dxa"/>
          </w:tcPr>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r w:rsidRPr="00332CC0">
              <w:t>Gender pay gap</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 xml:space="preserve">Pay gap </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Ethnicity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Stats NZ data across labour force</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SSC data across the public service</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14</w:t>
            </w:r>
          </w:p>
        </w:tc>
        <w:tc>
          <w:tcPr>
            <w:tcW w:w="2014" w:type="dxa"/>
          </w:tcPr>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r w:rsidRPr="00332CC0">
              <w:t>Minimum wage</w:t>
            </w: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tc>
        <w:tc>
          <w:tcPr>
            <w:tcW w:w="2424"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Minimum wage as a percentage of median and mean wage</w:t>
            </w:r>
          </w:p>
          <w:p w:rsidR="00554171" w:rsidRPr="008D493E" w:rsidRDefault="00554171" w:rsidP="008D493E">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Disaggregated data on minimum wage jobs</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Sex/Gender </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Ethnicity </w:t>
            </w:r>
          </w:p>
        </w:tc>
        <w:tc>
          <w:tcPr>
            <w:tcW w:w="2209"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 xml:space="preserve">Annual Review of minimum wage by Department of Labour </w:t>
            </w: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15</w:t>
            </w:r>
          </w:p>
        </w:tc>
        <w:tc>
          <w:tcPr>
            <w:tcW w:w="2014" w:type="dxa"/>
          </w:tcPr>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r w:rsidRPr="00332CC0">
              <w:t>Minimum wage exemptions</w:t>
            </w:r>
          </w:p>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p>
        </w:tc>
        <w:tc>
          <w:tcPr>
            <w:tcW w:w="2424"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Number of employees receiving minimum wage exemptions</w:t>
            </w:r>
          </w:p>
        </w:tc>
        <w:tc>
          <w:tcPr>
            <w:tcW w:w="2061" w:type="dxa"/>
          </w:tcPr>
          <w:p w:rsidR="00554171" w:rsidRPr="00332CC0" w:rsidRDefault="00554171" w:rsidP="00040D3F">
            <w:pPr>
              <w:pStyle w:val="ListParagraph"/>
              <w:numPr>
                <w:ilvl w:val="0"/>
                <w:numId w:val="1"/>
              </w:numPr>
              <w:tabs>
                <w:tab w:val="left" w:pos="4950"/>
              </w:tabs>
              <w:ind w:left="520" w:hanging="450"/>
              <w:cnfStyle w:val="000000100000" w:firstRow="0" w:lastRow="0" w:firstColumn="0" w:lastColumn="0" w:oddVBand="0" w:evenVBand="0" w:oddHBand="1" w:evenHBand="0" w:firstRowFirstColumn="0" w:firstRowLastColumn="0" w:lastRowFirstColumn="0" w:lastRowLastColumn="0"/>
            </w:pPr>
            <w:r w:rsidRPr="00332CC0">
              <w:t>Disability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On request to Department of Labour</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16</w:t>
            </w:r>
          </w:p>
        </w:tc>
        <w:tc>
          <w:tcPr>
            <w:tcW w:w="2014" w:type="dxa"/>
          </w:tcPr>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r w:rsidRPr="00332CC0">
              <w:t>Harassment complaints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Complaints received by the Human Rights Commission</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Age</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Sexual orientation</w:t>
            </w:r>
          </w:p>
          <w:p w:rsidR="00554171" w:rsidRPr="00332CC0" w:rsidRDefault="00554171" w:rsidP="00040D3F">
            <w:pPr>
              <w:tabs>
                <w:tab w:val="left" w:pos="4950"/>
              </w:tabs>
              <w:ind w:left="23"/>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Data is recorded and analysed by the HRC</w:t>
            </w: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17</w:t>
            </w:r>
          </w:p>
        </w:tc>
        <w:tc>
          <w:tcPr>
            <w:tcW w:w="2014" w:type="dxa"/>
          </w:tcPr>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r w:rsidRPr="00332CC0">
              <w:t>Discrimination at work complaints</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Complaints received by the Human Rights Commission</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Age</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Ethnicity</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Disability</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Sexual Orientation</w:t>
            </w:r>
          </w:p>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Family status</w:t>
            </w:r>
          </w:p>
          <w:p w:rsidR="00554171" w:rsidRPr="00332CC0" w:rsidRDefault="00554171" w:rsidP="00040D3F">
            <w:pPr>
              <w:pStyle w:val="ListParagraph"/>
              <w:tabs>
                <w:tab w:val="left" w:pos="4950"/>
              </w:tabs>
              <w:ind w:left="473"/>
              <w:cnfStyle w:val="000000100000" w:firstRow="0" w:lastRow="0" w:firstColumn="0" w:lastColumn="0" w:oddVBand="0" w:evenVBand="0" w:oddHBand="1" w:evenHBand="0" w:firstRowFirstColumn="0" w:firstRowLastColumn="0" w:lastRowFirstColumn="0" w:lastRowLastColumn="0"/>
            </w:pPr>
          </w:p>
          <w:p w:rsidR="00554171" w:rsidRPr="00332CC0" w:rsidRDefault="00554171" w:rsidP="00040D3F">
            <w:pPr>
              <w:pStyle w:val="ListParagraph"/>
              <w:tabs>
                <w:tab w:val="left" w:pos="4950"/>
              </w:tabs>
              <w:ind w:left="473"/>
              <w:cnfStyle w:val="000000100000" w:firstRow="0" w:lastRow="0" w:firstColumn="0" w:lastColumn="0" w:oddVBand="0" w:evenVBand="0" w:oddHBand="1" w:evenHBand="0" w:firstRowFirstColumn="0" w:firstRowLastColumn="0" w:lastRowFirstColumn="0" w:lastRowLastColumn="0"/>
            </w:pPr>
          </w:p>
          <w:p w:rsidR="00554171" w:rsidRPr="00332CC0" w:rsidRDefault="00554171" w:rsidP="00040D3F">
            <w:pPr>
              <w:pStyle w:val="ListParagraph"/>
              <w:tabs>
                <w:tab w:val="left" w:pos="4950"/>
              </w:tabs>
              <w:ind w:left="473"/>
              <w:cnfStyle w:val="000000100000" w:firstRow="0" w:lastRow="0" w:firstColumn="0" w:lastColumn="0" w:oddVBand="0" w:evenVBand="0" w:oddHBand="1" w:evenHBand="0" w:firstRowFirstColumn="0" w:firstRowLastColumn="0" w:lastRowFirstColumn="0" w:lastRowLastColumn="0"/>
            </w:pPr>
          </w:p>
        </w:tc>
        <w:tc>
          <w:tcPr>
            <w:tcW w:w="2209"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Data is recorded and analysed by the HRC</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18</w:t>
            </w:r>
          </w:p>
        </w:tc>
        <w:tc>
          <w:tcPr>
            <w:tcW w:w="2014" w:type="dxa"/>
          </w:tcPr>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r w:rsidRPr="00332CC0">
              <w:t>Flexible work opportunities</w:t>
            </w: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p>
        </w:tc>
        <w:tc>
          <w:tcPr>
            <w:tcW w:w="2424"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Quality of working life survey</w:t>
            </w: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c>
          <w:tcPr>
            <w:tcW w:w="2061"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Age</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Sex/Gender</w:t>
            </w: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Stats NZ 3-yearly survey (Dec 2011 is next due date)</w:t>
            </w: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p w:rsidR="00554171" w:rsidRPr="00332CC0" w:rsidRDefault="00554171" w:rsidP="00040D3F">
            <w:pPr>
              <w:tabs>
                <w:tab w:val="left" w:pos="4950"/>
              </w:tabs>
              <w:ind w:left="473" w:hanging="450"/>
              <w:cnfStyle w:val="000000000000" w:firstRow="0" w:lastRow="0" w:firstColumn="0" w:lastColumn="0" w:oddVBand="0" w:evenVBand="0" w:oddHBand="0" w:evenHBand="0" w:firstRowFirstColumn="0" w:firstRowLastColumn="0" w:lastRowFirstColumn="0" w:lastRowLastColumn="0"/>
            </w:pPr>
          </w:p>
        </w:tc>
      </w:tr>
      <w:tr w:rsidR="00554171" w:rsidRPr="00332CC0" w:rsidTr="00461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19</w:t>
            </w:r>
          </w:p>
        </w:tc>
        <w:tc>
          <w:tcPr>
            <w:tcW w:w="2014" w:type="dxa"/>
          </w:tcPr>
          <w:p w:rsidR="00554171" w:rsidRPr="00332CC0" w:rsidRDefault="00554171" w:rsidP="00040D3F">
            <w:pPr>
              <w:tabs>
                <w:tab w:val="left" w:pos="4950"/>
              </w:tabs>
              <w:cnfStyle w:val="000000100000" w:firstRow="0" w:lastRow="0" w:firstColumn="0" w:lastColumn="0" w:oddVBand="0" w:evenVBand="0" w:oddHBand="1" w:evenHBand="0" w:firstRowFirstColumn="0" w:firstRowLastColumn="0" w:lastRowFirstColumn="0" w:lastRowLastColumn="0"/>
            </w:pPr>
            <w:r w:rsidRPr="00332CC0">
              <w:t>Trade union membership</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Unionisation rate</w:t>
            </w:r>
          </w:p>
        </w:tc>
        <w:tc>
          <w:tcPr>
            <w:tcW w:w="2061" w:type="dxa"/>
          </w:tcPr>
          <w:p w:rsidR="00554171" w:rsidRPr="00332CC0" w:rsidRDefault="00554171" w:rsidP="00040D3F">
            <w:pPr>
              <w:pStyle w:val="ListParagraph"/>
              <w:numPr>
                <w:ilvl w:val="0"/>
                <w:numId w:val="1"/>
              </w:numPr>
              <w:tabs>
                <w:tab w:val="left" w:pos="4950"/>
              </w:tabs>
              <w:ind w:left="520" w:hanging="520"/>
              <w:cnfStyle w:val="000000100000" w:firstRow="0" w:lastRow="0" w:firstColumn="0" w:lastColumn="0" w:oddVBand="0" w:evenVBand="0" w:oddHBand="1" w:evenHBand="0" w:firstRowFirstColumn="0" w:firstRowLastColumn="0" w:lastRowFirstColumn="0" w:lastRowLastColumn="0"/>
            </w:pPr>
            <w:r w:rsidRPr="00332CC0">
              <w:t>Sex/Gender</w:t>
            </w:r>
          </w:p>
          <w:p w:rsidR="00554171" w:rsidRPr="00332CC0" w:rsidRDefault="00554171" w:rsidP="00040D3F">
            <w:pPr>
              <w:pStyle w:val="ListParagraph"/>
              <w:numPr>
                <w:ilvl w:val="0"/>
                <w:numId w:val="1"/>
              </w:numPr>
              <w:tabs>
                <w:tab w:val="left" w:pos="4950"/>
              </w:tabs>
              <w:ind w:left="520" w:hanging="520"/>
              <w:cnfStyle w:val="000000100000" w:firstRow="0" w:lastRow="0" w:firstColumn="0" w:lastColumn="0" w:oddVBand="0" w:evenVBand="0" w:oddHBand="1" w:evenHBand="0" w:firstRowFirstColumn="0" w:firstRowLastColumn="0" w:lastRowFirstColumn="0" w:lastRowLastColumn="0"/>
            </w:pPr>
            <w:r w:rsidRPr="00332CC0">
              <w:t>Ethnicity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firstRow="0" w:lastRow="0" w:firstColumn="0" w:lastColumn="0" w:oddVBand="0" w:evenVBand="0" w:oddHBand="1" w:evenHBand="0" w:firstRowFirstColumn="0" w:firstRowLastColumn="0" w:lastRowFirstColumn="0" w:lastRowLastColumn="0"/>
            </w:pPr>
            <w:r w:rsidRPr="00332CC0">
              <w:t>Dept of Labour Annual Union Membership Return Report</w:t>
            </w:r>
          </w:p>
        </w:tc>
      </w:tr>
      <w:tr w:rsidR="00554171" w:rsidRPr="00332CC0" w:rsidTr="00461F0D">
        <w:tc>
          <w:tcPr>
            <w:cnfStyle w:val="001000000000" w:firstRow="0" w:lastRow="0" w:firstColumn="1" w:lastColumn="0" w:oddVBand="0" w:evenVBand="0" w:oddHBand="0" w:evenHBand="0" w:firstRowFirstColumn="0" w:firstRowLastColumn="0" w:lastRowFirstColumn="0" w:lastRowLastColumn="0"/>
            <w:tcW w:w="534" w:type="dxa"/>
          </w:tcPr>
          <w:p w:rsidR="00554171" w:rsidRPr="00332CC0" w:rsidRDefault="00554171" w:rsidP="00040D3F">
            <w:pPr>
              <w:tabs>
                <w:tab w:val="left" w:pos="4950"/>
              </w:tabs>
            </w:pPr>
            <w:r w:rsidRPr="00332CC0">
              <w:t>20</w:t>
            </w:r>
          </w:p>
        </w:tc>
        <w:tc>
          <w:tcPr>
            <w:tcW w:w="2014" w:type="dxa"/>
          </w:tcPr>
          <w:p w:rsidR="00554171" w:rsidRPr="00332CC0" w:rsidRDefault="00554171" w:rsidP="00040D3F">
            <w:pPr>
              <w:tabs>
                <w:tab w:val="left" w:pos="4950"/>
              </w:tabs>
              <w:cnfStyle w:val="000000000000" w:firstRow="0" w:lastRow="0" w:firstColumn="0" w:lastColumn="0" w:oddVBand="0" w:evenVBand="0" w:oddHBand="0" w:evenHBand="0" w:firstRowFirstColumn="0" w:firstRowLastColumn="0" w:lastRowFirstColumn="0" w:lastRowLastColumn="0"/>
            </w:pPr>
            <w:r w:rsidRPr="00332CC0">
              <w:t>Transparency of pay rates (including starting rates)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Company websites include pay bands for each occupational group</w:t>
            </w:r>
          </w:p>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Companies report starting rates for each occupation</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Sex/Gender</w:t>
            </w:r>
          </w:p>
        </w:tc>
        <w:tc>
          <w:tcPr>
            <w:tcW w:w="2209" w:type="dxa"/>
          </w:tcPr>
          <w:p w:rsidR="00554171" w:rsidRPr="00332CC0" w:rsidRDefault="00554171" w:rsidP="00040D3F">
            <w:pPr>
              <w:pStyle w:val="ListParagraph"/>
              <w:numPr>
                <w:ilvl w:val="0"/>
                <w:numId w:val="1"/>
              </w:numPr>
              <w:tabs>
                <w:tab w:val="left" w:pos="4950"/>
              </w:tabs>
              <w:ind w:left="473" w:hanging="450"/>
              <w:cnfStyle w:val="000000000000" w:firstRow="0" w:lastRow="0" w:firstColumn="0" w:lastColumn="0" w:oddVBand="0" w:evenVBand="0" w:oddHBand="0" w:evenHBand="0" w:firstRowFirstColumn="0" w:firstRowLastColumn="0" w:lastRowFirstColumn="0" w:lastRowLastColumn="0"/>
            </w:pPr>
            <w:r w:rsidRPr="00332CC0">
              <w:t>Research required, not generally available currently</w:t>
            </w:r>
          </w:p>
        </w:tc>
      </w:tr>
    </w:tbl>
    <w:p w:rsidR="00ED601B" w:rsidRDefault="00ED601B" w:rsidP="00554171">
      <w:pPr>
        <w:tabs>
          <w:tab w:val="left" w:pos="4950"/>
        </w:tabs>
      </w:pPr>
    </w:p>
    <w:p w:rsidR="00ED601B" w:rsidRDefault="00ED601B">
      <w:pPr>
        <w:spacing w:after="200" w:line="276" w:lineRule="auto"/>
      </w:pPr>
      <w:r>
        <w:br w:type="page"/>
      </w:r>
    </w:p>
    <w:p w:rsidR="004E76D5" w:rsidRPr="00332CC0" w:rsidRDefault="004E76D5" w:rsidP="004E76D5">
      <w:pPr>
        <w:rPr>
          <w:rFonts w:asciiTheme="majorHAnsi" w:hAnsiTheme="majorHAnsi"/>
          <w:b/>
          <w:color w:val="00B0F0"/>
          <w:sz w:val="72"/>
          <w:szCs w:val="72"/>
        </w:rPr>
      </w:pPr>
      <w:r w:rsidRPr="00332CC0">
        <w:rPr>
          <w:rFonts w:asciiTheme="majorHAnsi" w:hAnsiTheme="majorHAnsi"/>
          <w:b/>
          <w:color w:val="00B0F0"/>
          <w:sz w:val="72"/>
          <w:szCs w:val="72"/>
        </w:rPr>
        <w:t>What next?</w:t>
      </w:r>
    </w:p>
    <w:p w:rsidR="004E76D5" w:rsidRPr="00332CC0" w:rsidRDefault="004E76D5" w:rsidP="004E76D5">
      <w:pPr>
        <w:jc w:val="both"/>
        <w:rPr>
          <w:rFonts w:cs="Arial"/>
          <w:sz w:val="22"/>
          <w:szCs w:val="22"/>
        </w:rPr>
      </w:pPr>
      <w:r w:rsidRPr="00332CC0">
        <w:rPr>
          <w:rFonts w:cs="Arial"/>
          <w:sz w:val="22"/>
          <w:szCs w:val="22"/>
        </w:rPr>
        <w:t xml:space="preserve">The Commission believes that to push on with equality in workplaces and to assist employers and employees, the following needs to happen.  These recommendations represent the top areas for action that will advance equal employment opportunities in New Zealand. </w:t>
      </w:r>
    </w:p>
    <w:p w:rsidR="004E76D5" w:rsidRPr="00332CC0" w:rsidRDefault="004E76D5" w:rsidP="004E76D5">
      <w:pPr>
        <w:jc w:val="both"/>
        <w:rPr>
          <w:rFonts w:cs="Arial"/>
          <w:sz w:val="22"/>
          <w:szCs w:val="22"/>
        </w:rPr>
      </w:pPr>
    </w:p>
    <w:p w:rsidR="004E76D5" w:rsidRPr="00332CC0" w:rsidRDefault="004E76D5" w:rsidP="004E76D5">
      <w:pPr>
        <w:rPr>
          <w:rFonts w:asciiTheme="majorHAnsi" w:hAnsiTheme="majorHAnsi" w:cs="Arial"/>
          <w:b/>
          <w:color w:val="00B0F0"/>
          <w:sz w:val="48"/>
          <w:szCs w:val="48"/>
        </w:rPr>
      </w:pPr>
      <w:r w:rsidRPr="00332CC0">
        <w:rPr>
          <w:rFonts w:asciiTheme="majorHAnsi" w:hAnsiTheme="majorHAnsi" w:cs="Arial"/>
          <w:b/>
          <w:color w:val="00B0F0"/>
          <w:sz w:val="48"/>
          <w:szCs w:val="48"/>
        </w:rPr>
        <w:t>For the Commission</w:t>
      </w:r>
    </w:p>
    <w:p w:rsidR="004E76D5" w:rsidRPr="00332CC0" w:rsidRDefault="004E76D5" w:rsidP="004E76D5">
      <w:pPr>
        <w:jc w:val="both"/>
        <w:rPr>
          <w:rFonts w:cs="Arial"/>
          <w:sz w:val="22"/>
          <w:szCs w:val="22"/>
        </w:rPr>
      </w:pPr>
      <w:r w:rsidRPr="00332CC0">
        <w:rPr>
          <w:rFonts w:cs="Arial"/>
          <w:b/>
          <w:sz w:val="28"/>
          <w:szCs w:val="28"/>
        </w:rPr>
        <w:t>Recommendation 1</w:t>
      </w:r>
      <w:r w:rsidRPr="00332CC0">
        <w:rPr>
          <w:rFonts w:cs="Arial"/>
          <w:b/>
          <w:sz w:val="22"/>
          <w:szCs w:val="22"/>
        </w:rPr>
        <w:t>:</w:t>
      </w:r>
      <w:r w:rsidRPr="00332CC0">
        <w:rPr>
          <w:rFonts w:cs="Arial"/>
          <w:sz w:val="22"/>
          <w:szCs w:val="22"/>
        </w:rPr>
        <w:t xml:space="preserve"> Monitor and report on the new equality indicators to track progress in achieving equality at work in New Zealand.</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2</w:t>
      </w:r>
      <w:r w:rsidRPr="00332CC0">
        <w:rPr>
          <w:rFonts w:cs="Arial"/>
          <w:b/>
          <w:sz w:val="22"/>
          <w:szCs w:val="22"/>
        </w:rPr>
        <w:t xml:space="preserve">:  </w:t>
      </w:r>
      <w:r w:rsidRPr="00332CC0">
        <w:rPr>
          <w:rFonts w:cs="Arial"/>
          <w:sz w:val="22"/>
          <w:szCs w:val="22"/>
        </w:rPr>
        <w:t xml:space="preserve">Promote the Pay Equality Bill with Government, other political parties, trade unions, employers and the broader public, and prompt political and public discussion about realising the right to gender equality in pay. </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3</w:t>
      </w:r>
      <w:r w:rsidRPr="00332CC0">
        <w:rPr>
          <w:rFonts w:cs="Arial"/>
          <w:b/>
          <w:sz w:val="22"/>
          <w:szCs w:val="22"/>
        </w:rPr>
        <w:t xml:space="preserve">:  </w:t>
      </w:r>
      <w:r w:rsidRPr="00332CC0">
        <w:rPr>
          <w:rFonts w:cs="Arial"/>
          <w:sz w:val="22"/>
          <w:szCs w:val="22"/>
        </w:rPr>
        <w:t>Promote the new equality framework with New Zealand businesses and employers to reinforce the case for greater equality, diversity and equal treatment at work.</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4</w:t>
      </w:r>
      <w:r w:rsidRPr="00332CC0">
        <w:rPr>
          <w:rFonts w:cs="Arial"/>
          <w:b/>
          <w:sz w:val="22"/>
          <w:szCs w:val="22"/>
        </w:rPr>
        <w:t xml:space="preserve">:  </w:t>
      </w:r>
      <w:r w:rsidRPr="00332CC0">
        <w:rPr>
          <w:rFonts w:cs="Arial"/>
          <w:sz w:val="22"/>
          <w:szCs w:val="22"/>
        </w:rPr>
        <w:t>Advocate for the promotion and protection of equality at work with trade unions and community/stakeholder groups</w:t>
      </w:r>
      <w:r>
        <w:rPr>
          <w:rFonts w:cs="Arial"/>
          <w:sz w:val="22"/>
          <w:szCs w:val="22"/>
        </w:rPr>
        <w:t>.</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5</w:t>
      </w:r>
      <w:r w:rsidRPr="00332CC0">
        <w:rPr>
          <w:rFonts w:cs="Arial"/>
          <w:b/>
          <w:sz w:val="22"/>
          <w:szCs w:val="22"/>
        </w:rPr>
        <w:t>:</w:t>
      </w:r>
      <w:r w:rsidRPr="00332CC0">
        <w:rPr>
          <w:rFonts w:cs="Arial"/>
          <w:sz w:val="22"/>
          <w:szCs w:val="22"/>
        </w:rPr>
        <w:t xml:space="preserve">  Continue efforts to eliminate discrimination and barriers to employment for disadvantaged groups through increased monitoring, further development of guidelines and tools, and advocacy to prevent complaints.</w:t>
      </w:r>
    </w:p>
    <w:p w:rsidR="004E76D5" w:rsidRPr="00332CC0" w:rsidRDefault="004E76D5" w:rsidP="004E76D5">
      <w:pPr>
        <w:jc w:val="both"/>
        <w:rPr>
          <w:rFonts w:cs="Arial"/>
          <w:sz w:val="22"/>
          <w:szCs w:val="22"/>
        </w:rPr>
      </w:pPr>
    </w:p>
    <w:p w:rsidR="004E76D5" w:rsidRPr="00332CC0" w:rsidRDefault="004E76D5" w:rsidP="004E76D5">
      <w:pPr>
        <w:rPr>
          <w:rFonts w:asciiTheme="majorHAnsi" w:hAnsiTheme="majorHAnsi" w:cs="Arial"/>
          <w:b/>
          <w:color w:val="00B0F0"/>
          <w:sz w:val="48"/>
          <w:szCs w:val="48"/>
        </w:rPr>
      </w:pPr>
      <w:r w:rsidRPr="00332CC0">
        <w:rPr>
          <w:rFonts w:asciiTheme="majorHAnsi" w:hAnsiTheme="majorHAnsi" w:cs="Arial"/>
          <w:b/>
          <w:color w:val="00B0F0"/>
          <w:sz w:val="48"/>
          <w:szCs w:val="48"/>
        </w:rPr>
        <w:t>For the Government</w:t>
      </w:r>
    </w:p>
    <w:p w:rsidR="004E76D5" w:rsidRPr="00332CC0" w:rsidRDefault="004E76D5" w:rsidP="004E76D5">
      <w:pPr>
        <w:jc w:val="both"/>
        <w:rPr>
          <w:rFonts w:cs="Arial"/>
          <w:sz w:val="22"/>
          <w:szCs w:val="22"/>
        </w:rPr>
      </w:pPr>
      <w:r w:rsidRPr="00332CC0">
        <w:rPr>
          <w:rFonts w:cs="Arial"/>
          <w:b/>
          <w:sz w:val="28"/>
          <w:szCs w:val="28"/>
        </w:rPr>
        <w:t>Recommendation 6</w:t>
      </w:r>
      <w:r w:rsidRPr="00332CC0">
        <w:rPr>
          <w:rFonts w:cs="Arial"/>
          <w:b/>
          <w:sz w:val="22"/>
          <w:szCs w:val="22"/>
        </w:rPr>
        <w:t xml:space="preserve">:  </w:t>
      </w:r>
      <w:r w:rsidRPr="00332CC0">
        <w:rPr>
          <w:rFonts w:cs="Arial"/>
          <w:sz w:val="22"/>
          <w:szCs w:val="22"/>
        </w:rPr>
        <w:t>Develop a national youth-to-work strategy that includes a plan for every young New Zealander that has cross-party support and sufficient long-term funding security.  The strategy must be responsive to the needs of Māori, Pacific and disabled youth.</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7</w:t>
      </w:r>
      <w:r w:rsidRPr="00332CC0">
        <w:rPr>
          <w:rFonts w:cs="Arial"/>
          <w:b/>
          <w:sz w:val="22"/>
          <w:szCs w:val="22"/>
        </w:rPr>
        <w:t>:</w:t>
      </w:r>
      <w:r w:rsidRPr="00332CC0">
        <w:rPr>
          <w:rFonts w:cs="Arial"/>
          <w:sz w:val="22"/>
          <w:szCs w:val="22"/>
        </w:rPr>
        <w:t xml:space="preserve">  Renew efforts to ensure that public sector departments exhibit exemplary EEO practice and are properly monitored.  Urgently review the role the State Services Commission plays in providing ‘good employer’ advice to Chief Executives and monitoring EEO in the public sector.</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8</w:t>
      </w:r>
      <w:r w:rsidRPr="00332CC0">
        <w:rPr>
          <w:rFonts w:cs="Arial"/>
          <w:b/>
          <w:sz w:val="22"/>
          <w:szCs w:val="22"/>
        </w:rPr>
        <w:t>:</w:t>
      </w:r>
      <w:r w:rsidRPr="00332CC0">
        <w:rPr>
          <w:rFonts w:cs="Arial"/>
          <w:sz w:val="22"/>
          <w:szCs w:val="22"/>
        </w:rPr>
        <w:t xml:space="preserve"> Amend the Employment Relations Act 2000 to include a positive duty to be a ‘good employer’ to the private sector, in addition to the statutory obligation in the public sector.</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9</w:t>
      </w:r>
      <w:r w:rsidRPr="00332CC0">
        <w:rPr>
          <w:rFonts w:cs="Arial"/>
          <w:b/>
          <w:sz w:val="22"/>
          <w:szCs w:val="22"/>
        </w:rPr>
        <w:t xml:space="preserve">: </w:t>
      </w:r>
      <w:r w:rsidRPr="00332CC0">
        <w:rPr>
          <w:rFonts w:cs="Arial"/>
          <w:sz w:val="22"/>
          <w:szCs w:val="22"/>
        </w:rPr>
        <w:t>Ratify the outstanding two core ILO standards 87 – Freedom of Association and Protection of the Right to Organise and 138 – Minimum Age; and support the development of new ILO standards including for domestic workers.</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10</w:t>
      </w:r>
      <w:r w:rsidRPr="00332CC0">
        <w:rPr>
          <w:rFonts w:cs="Arial"/>
          <w:b/>
          <w:sz w:val="22"/>
          <w:szCs w:val="22"/>
        </w:rPr>
        <w:t xml:space="preserve">:  </w:t>
      </w:r>
      <w:r w:rsidRPr="00332CC0">
        <w:rPr>
          <w:rFonts w:cs="Arial"/>
          <w:sz w:val="22"/>
          <w:szCs w:val="22"/>
        </w:rPr>
        <w:t>Improve labour market information at the regional and sub-regional level and the provision of labour market information for disabled people.</w:t>
      </w:r>
    </w:p>
    <w:p w:rsidR="0078171C" w:rsidRDefault="0078171C">
      <w:pPr>
        <w:spacing w:after="200" w:line="276" w:lineRule="auto"/>
        <w:rPr>
          <w:rFonts w:asciiTheme="majorHAnsi" w:hAnsiTheme="majorHAnsi" w:cs="Arial"/>
          <w:b/>
          <w:color w:val="00B0F0"/>
          <w:sz w:val="48"/>
          <w:szCs w:val="48"/>
        </w:rPr>
      </w:pPr>
      <w:r>
        <w:rPr>
          <w:rFonts w:asciiTheme="majorHAnsi" w:hAnsiTheme="majorHAnsi" w:cs="Arial"/>
          <w:b/>
          <w:color w:val="00B0F0"/>
          <w:sz w:val="48"/>
          <w:szCs w:val="48"/>
        </w:rPr>
        <w:br w:type="page"/>
      </w:r>
    </w:p>
    <w:p w:rsidR="00554171" w:rsidRPr="00332CC0" w:rsidRDefault="003A4AC4" w:rsidP="00A236CF">
      <w:pPr>
        <w:spacing w:after="200" w:line="276" w:lineRule="auto"/>
        <w:rPr>
          <w:rFonts w:asciiTheme="majorHAnsi" w:hAnsiTheme="majorHAnsi"/>
          <w:b/>
          <w:color w:val="00B0F0"/>
          <w:sz w:val="72"/>
          <w:szCs w:val="7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16510</wp:posOffset>
                </wp:positionH>
                <wp:positionV relativeFrom="paragraph">
                  <wp:posOffset>695325</wp:posOffset>
                </wp:positionV>
                <wp:extent cx="5199380" cy="8143875"/>
                <wp:effectExtent l="6985" t="9525" r="13335" b="2857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814387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C1116" w:rsidRPr="00947147" w:rsidRDefault="00BC1116" w:rsidP="00947147">
                            <w:pPr>
                              <w:jc w:val="both"/>
                              <w:rPr>
                                <w:b/>
                                <w:sz w:val="22"/>
                                <w:szCs w:val="22"/>
                              </w:rPr>
                            </w:pPr>
                            <w:r w:rsidRPr="00947147">
                              <w:rPr>
                                <w:sz w:val="22"/>
                                <w:szCs w:val="22"/>
                              </w:rPr>
                              <w:t xml:space="preserve">The Human Rights Commission has published a number of tool kits and other resources to encourage, promote and monitor EEO. These are available on-line at </w:t>
                            </w:r>
                            <w:hyperlink r:id="rId26" w:history="1">
                              <w:r w:rsidRPr="00947147">
                                <w:rPr>
                                  <w:rStyle w:val="Hyperlink"/>
                                  <w:rFonts w:eastAsiaTheme="majorEastAsia"/>
                                  <w:b/>
                                  <w:color w:val="auto"/>
                                  <w:sz w:val="22"/>
                                  <w:szCs w:val="22"/>
                                </w:rPr>
                                <w:t>www.neon.org.nz</w:t>
                              </w:r>
                            </w:hyperlink>
                            <w:r>
                              <w:rPr>
                                <w:sz w:val="22"/>
                                <w:szCs w:val="22"/>
                              </w:rPr>
                              <w:t xml:space="preserve"> and includes the comprehensive Tracking Equality at Work report available at </w:t>
                            </w:r>
                            <w:hyperlink r:id="rId27" w:history="1">
                              <w:r w:rsidRPr="00947147">
                                <w:rPr>
                                  <w:rStyle w:val="Hyperlink"/>
                                  <w:b/>
                                  <w:color w:val="auto"/>
                                  <w:sz w:val="22"/>
                                  <w:szCs w:val="22"/>
                                </w:rPr>
                                <w:t>www.neon.org.nz/trackingequalityatwork</w:t>
                              </w:r>
                            </w:hyperlink>
                            <w:r w:rsidRPr="00947147">
                              <w:rPr>
                                <w:b/>
                                <w:sz w:val="22"/>
                                <w:szCs w:val="22"/>
                              </w:rPr>
                              <w:t xml:space="preserve"> </w:t>
                            </w:r>
                            <w:r>
                              <w:rPr>
                                <w:b/>
                                <w:sz w:val="22"/>
                                <w:szCs w:val="22"/>
                              </w:rPr>
                              <w:t xml:space="preserve">  </w:t>
                            </w:r>
                          </w:p>
                          <w:p w:rsidR="00BC1116" w:rsidRDefault="00BC1116" w:rsidP="00554171">
                            <w:pPr>
                              <w:rPr>
                                <w:sz w:val="22"/>
                                <w:szCs w:val="22"/>
                              </w:rPr>
                            </w:pPr>
                            <w:r>
                              <w:rPr>
                                <w:sz w:val="22"/>
                                <w:szCs w:val="22"/>
                              </w:rPr>
                              <w:br/>
                              <w:t>Other disability resources are available at:</w:t>
                            </w:r>
                          </w:p>
                          <w:p w:rsidR="00BC1116" w:rsidRDefault="00BC1116" w:rsidP="00554171">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Human Rights Commission – </w:t>
                            </w:r>
                            <w:r w:rsidRPr="00947147">
                              <w:rPr>
                                <w:i/>
                                <w:sz w:val="22"/>
                                <w:szCs w:val="22"/>
                              </w:rPr>
                              <w:t>Disabled people</w:t>
                            </w:r>
                          </w:p>
                          <w:p w:rsidR="00BC1116" w:rsidRPr="00947147" w:rsidRDefault="003A4AC4" w:rsidP="00947147">
                            <w:pPr>
                              <w:ind w:left="360"/>
                              <w:rPr>
                                <w:sz w:val="22"/>
                                <w:szCs w:val="22"/>
                              </w:rPr>
                            </w:pPr>
                            <w:hyperlink r:id="rId28" w:history="1">
                              <w:r w:rsidR="00BC1116" w:rsidRPr="00947147">
                                <w:rPr>
                                  <w:rStyle w:val="Hyperlink"/>
                                  <w:color w:val="auto"/>
                                  <w:sz w:val="22"/>
                                  <w:szCs w:val="22"/>
                                </w:rPr>
                                <w:t>http://www.hrc.co.nz/disabled-people/</w:t>
                              </w:r>
                            </w:hyperlink>
                            <w:r w:rsidR="00BC1116" w:rsidRPr="00947147">
                              <w:rPr>
                                <w:sz w:val="22"/>
                                <w:szCs w:val="22"/>
                              </w:rPr>
                              <w:t xml:space="preserve"> </w:t>
                            </w:r>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Human Rights Commission – </w:t>
                            </w:r>
                            <w:r w:rsidRPr="00947147">
                              <w:rPr>
                                <w:i/>
                                <w:sz w:val="22"/>
                                <w:szCs w:val="22"/>
                              </w:rPr>
                              <w:t>The rights of disabled people</w:t>
                            </w:r>
                          </w:p>
                          <w:p w:rsidR="00BC1116" w:rsidRDefault="003A4AC4" w:rsidP="00947147">
                            <w:pPr>
                              <w:ind w:left="360"/>
                            </w:pPr>
                            <w:hyperlink r:id="rId29" w:history="1">
                              <w:r w:rsidR="00BC1116" w:rsidRPr="00947147">
                                <w:rPr>
                                  <w:rStyle w:val="Hyperlink"/>
                                  <w:i/>
                                  <w:color w:val="auto"/>
                                  <w:sz w:val="22"/>
                                  <w:szCs w:val="22"/>
                                </w:rPr>
                                <w:t>http://www.hrc.co.nz/hrc_new/hrc/cms/files/documents/15-Dec-2010_12-41-59_Chapter_17pp258-279.pdf</w:t>
                              </w:r>
                            </w:hyperlink>
                          </w:p>
                          <w:p w:rsidR="00BC1116" w:rsidRDefault="00BC1116" w:rsidP="00947147">
                            <w:pPr>
                              <w:ind w:left="360"/>
                            </w:pPr>
                          </w:p>
                          <w:p w:rsidR="00BC1116" w:rsidRPr="00947147" w:rsidRDefault="00BC1116" w:rsidP="00947147">
                            <w:pPr>
                              <w:pStyle w:val="ListParagraph"/>
                              <w:numPr>
                                <w:ilvl w:val="0"/>
                                <w:numId w:val="61"/>
                              </w:numPr>
                              <w:ind w:left="360"/>
                              <w:rPr>
                                <w:sz w:val="22"/>
                                <w:szCs w:val="22"/>
                              </w:rPr>
                            </w:pPr>
                            <w:r w:rsidRPr="00947147">
                              <w:rPr>
                                <w:sz w:val="22"/>
                                <w:szCs w:val="22"/>
                              </w:rPr>
                              <w:t>CCS disability action</w:t>
                            </w:r>
                          </w:p>
                          <w:p w:rsidR="00BC1116" w:rsidRPr="00947147" w:rsidRDefault="003A4AC4" w:rsidP="00947147">
                            <w:pPr>
                              <w:ind w:left="360"/>
                              <w:rPr>
                                <w:sz w:val="22"/>
                                <w:szCs w:val="22"/>
                              </w:rPr>
                            </w:pPr>
                            <w:hyperlink r:id="rId30" w:history="1">
                              <w:r w:rsidR="00BC1116" w:rsidRPr="00947147">
                                <w:rPr>
                                  <w:rStyle w:val="Hyperlink"/>
                                  <w:color w:val="auto"/>
                                  <w:sz w:val="22"/>
                                  <w:szCs w:val="22"/>
                                </w:rPr>
                                <w:t>http://www.ccsdisabilityaction.org.nz/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Pr>
                                <w:sz w:val="22"/>
                                <w:szCs w:val="22"/>
                              </w:rPr>
                              <w:t>Deaf Aotearoa New Zealand</w:t>
                            </w:r>
                          </w:p>
                          <w:p w:rsidR="00BC1116" w:rsidRPr="00947147" w:rsidRDefault="003A4AC4" w:rsidP="00947147">
                            <w:pPr>
                              <w:pStyle w:val="ListParagraph"/>
                              <w:ind w:left="360"/>
                              <w:rPr>
                                <w:i/>
                                <w:sz w:val="22"/>
                                <w:szCs w:val="22"/>
                              </w:rPr>
                            </w:pPr>
                            <w:hyperlink r:id="rId31" w:history="1">
                              <w:r w:rsidR="00BC1116" w:rsidRPr="00947147">
                                <w:rPr>
                                  <w:rStyle w:val="Hyperlink"/>
                                  <w:i/>
                                  <w:color w:val="auto"/>
                                  <w:sz w:val="22"/>
                                  <w:szCs w:val="22"/>
                                </w:rPr>
                                <w:t>http://www.deaf.co.nz/</w:t>
                              </w:r>
                            </w:hyperlink>
                            <w:r w:rsidR="00BC1116" w:rsidRPr="00947147">
                              <w:rPr>
                                <w:i/>
                                <w:sz w:val="22"/>
                                <w:szCs w:val="22"/>
                              </w:rPr>
                              <w:t xml:space="preserve">  </w:t>
                            </w:r>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Department of Labour – </w:t>
                            </w:r>
                            <w:r w:rsidRPr="00947147">
                              <w:rPr>
                                <w:i/>
                                <w:sz w:val="22"/>
                                <w:szCs w:val="22"/>
                              </w:rPr>
                              <w:t>Minimum wage exemptions</w:t>
                            </w:r>
                          </w:p>
                          <w:p w:rsidR="00BC1116" w:rsidRPr="00947147" w:rsidRDefault="003A4AC4" w:rsidP="00947147">
                            <w:pPr>
                              <w:ind w:left="360"/>
                              <w:rPr>
                                <w:i/>
                                <w:sz w:val="22"/>
                                <w:szCs w:val="22"/>
                              </w:rPr>
                            </w:pPr>
                            <w:hyperlink r:id="rId32" w:history="1">
                              <w:r w:rsidR="00BC1116" w:rsidRPr="00947147">
                                <w:rPr>
                                  <w:rStyle w:val="Hyperlink"/>
                                  <w:color w:val="auto"/>
                                  <w:sz w:val="22"/>
                                  <w:szCs w:val="22"/>
                                </w:rPr>
                                <w:t>http://www.dol.govt.nz/er/pay/exemptions/disabilitiesemployers.asp</w:t>
                              </w:r>
                            </w:hyperlink>
                          </w:p>
                          <w:p w:rsidR="00BC1116" w:rsidRPr="00947147"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Disability support network – </w:t>
                            </w:r>
                            <w:r w:rsidRPr="00947147">
                              <w:rPr>
                                <w:i/>
                                <w:sz w:val="22"/>
                                <w:szCs w:val="22"/>
                              </w:rPr>
                              <w:t>Disabled people in employment – The Way Forward</w:t>
                            </w:r>
                          </w:p>
                          <w:p w:rsidR="00BC1116" w:rsidRPr="00947147" w:rsidRDefault="003A4AC4" w:rsidP="00947147">
                            <w:pPr>
                              <w:ind w:left="360"/>
                              <w:rPr>
                                <w:sz w:val="22"/>
                                <w:szCs w:val="22"/>
                              </w:rPr>
                            </w:pPr>
                            <w:hyperlink r:id="rId33" w:history="1">
                              <w:r w:rsidR="00BC1116" w:rsidRPr="00947147">
                                <w:rPr>
                                  <w:rStyle w:val="Hyperlink"/>
                                  <w:color w:val="auto"/>
                                  <w:sz w:val="22"/>
                                  <w:szCs w:val="22"/>
                                </w:rPr>
                                <w:t>http://www.nzdsn.org.nz/Blogs/147/60/disabled-people-in-employment-paper-presents-the-way-forward/</w:t>
                              </w:r>
                            </w:hyperlink>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DPA – The national assembly of people with disabilities</w:t>
                            </w:r>
                          </w:p>
                          <w:p w:rsidR="00BC1116" w:rsidRDefault="003A4AC4" w:rsidP="00947147">
                            <w:pPr>
                              <w:ind w:left="360"/>
                            </w:pPr>
                            <w:hyperlink r:id="rId34" w:history="1">
                              <w:r w:rsidR="00BC1116" w:rsidRPr="00947147">
                                <w:rPr>
                                  <w:rStyle w:val="Hyperlink"/>
                                  <w:color w:val="auto"/>
                                  <w:sz w:val="22"/>
                                  <w:szCs w:val="22"/>
                                </w:rPr>
                                <w:t>http://www.dpa.org.nz/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EEO Trust – </w:t>
                            </w:r>
                            <w:r w:rsidRPr="00947147">
                              <w:rPr>
                                <w:i/>
                                <w:sz w:val="22"/>
                                <w:szCs w:val="22"/>
                              </w:rPr>
                              <w:t>Employing disabled people</w:t>
                            </w:r>
                          </w:p>
                          <w:p w:rsidR="00BC1116" w:rsidRPr="00947147" w:rsidRDefault="003A4AC4" w:rsidP="00947147">
                            <w:pPr>
                              <w:ind w:left="360"/>
                              <w:rPr>
                                <w:sz w:val="22"/>
                                <w:szCs w:val="22"/>
                              </w:rPr>
                            </w:pPr>
                            <w:hyperlink r:id="rId35" w:history="1">
                              <w:r w:rsidR="00BC1116" w:rsidRPr="00947147">
                                <w:rPr>
                                  <w:rStyle w:val="Hyperlink"/>
                                  <w:color w:val="auto"/>
                                  <w:sz w:val="22"/>
                                  <w:szCs w:val="22"/>
                                </w:rPr>
                                <w:t>http://www.eeotrust.org.nz/toolkits/disability.cfm</w:t>
                              </w:r>
                            </w:hyperlink>
                          </w:p>
                          <w:p w:rsidR="00BC1116" w:rsidRDefault="00BC1116" w:rsidP="00947147">
                            <w:pPr>
                              <w:ind w:left="360"/>
                            </w:pPr>
                          </w:p>
                          <w:p w:rsidR="00BC1116" w:rsidRDefault="00BC1116" w:rsidP="00947147">
                            <w:pPr>
                              <w:pStyle w:val="ListParagraph"/>
                              <w:numPr>
                                <w:ilvl w:val="0"/>
                                <w:numId w:val="61"/>
                              </w:numPr>
                              <w:ind w:left="360"/>
                              <w:rPr>
                                <w:sz w:val="22"/>
                                <w:szCs w:val="22"/>
                              </w:rPr>
                            </w:pPr>
                            <w:r>
                              <w:rPr>
                                <w:sz w:val="22"/>
                                <w:szCs w:val="22"/>
                              </w:rPr>
                              <w:t>Employers Disability Network</w:t>
                            </w:r>
                          </w:p>
                          <w:p w:rsidR="00BC1116" w:rsidRDefault="003A4AC4" w:rsidP="00947147">
                            <w:pPr>
                              <w:pStyle w:val="ListParagraph"/>
                              <w:ind w:left="360"/>
                              <w:rPr>
                                <w:sz w:val="22"/>
                                <w:szCs w:val="22"/>
                              </w:rPr>
                            </w:pPr>
                            <w:hyperlink r:id="rId36" w:history="1">
                              <w:r w:rsidR="00BC1116" w:rsidRPr="00947147">
                                <w:rPr>
                                  <w:rStyle w:val="Hyperlink"/>
                                  <w:color w:val="auto"/>
                                  <w:sz w:val="22"/>
                                  <w:szCs w:val="22"/>
                                </w:rPr>
                                <w:t>http://www.edn.org.nz/</w:t>
                              </w:r>
                            </w:hyperlink>
                            <w:r w:rsidR="00BC1116" w:rsidRPr="00947147">
                              <w:rPr>
                                <w:sz w:val="22"/>
                                <w:szCs w:val="22"/>
                              </w:rPr>
                              <w:t xml:space="preserve"> </w:t>
                            </w:r>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Ministry of Social Development – </w:t>
                            </w:r>
                            <w:r w:rsidRPr="00947147">
                              <w:rPr>
                                <w:i/>
                                <w:sz w:val="22"/>
                                <w:szCs w:val="22"/>
                              </w:rPr>
                              <w:t>Mainstream programme</w:t>
                            </w:r>
                          </w:p>
                          <w:p w:rsidR="00BC1116" w:rsidRPr="00947147" w:rsidRDefault="003A4AC4" w:rsidP="00947147">
                            <w:pPr>
                              <w:ind w:left="360"/>
                              <w:rPr>
                                <w:sz w:val="22"/>
                                <w:szCs w:val="22"/>
                              </w:rPr>
                            </w:pPr>
                            <w:hyperlink r:id="rId37" w:history="1">
                              <w:r w:rsidR="00BC1116" w:rsidRPr="00947147">
                                <w:rPr>
                                  <w:rStyle w:val="Hyperlink"/>
                                  <w:color w:val="auto"/>
                                  <w:sz w:val="22"/>
                                  <w:szCs w:val="22"/>
                                </w:rPr>
                                <w:t>http://www.msd.govt.nz/what-we-can-do/disability-services/mainstream/</w:t>
                              </w:r>
                            </w:hyperlink>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Office for </w:t>
                            </w:r>
                            <w:r>
                              <w:rPr>
                                <w:sz w:val="22"/>
                                <w:szCs w:val="22"/>
                              </w:rPr>
                              <w:t>Disability I</w:t>
                            </w:r>
                            <w:r w:rsidRPr="00947147">
                              <w:rPr>
                                <w:sz w:val="22"/>
                                <w:szCs w:val="22"/>
                              </w:rPr>
                              <w:t>ssues (ODI)</w:t>
                            </w:r>
                          </w:p>
                          <w:p w:rsidR="00BC1116" w:rsidRPr="00947147" w:rsidRDefault="003A4AC4" w:rsidP="00947147">
                            <w:pPr>
                              <w:ind w:left="360"/>
                              <w:rPr>
                                <w:sz w:val="22"/>
                                <w:szCs w:val="22"/>
                              </w:rPr>
                            </w:pPr>
                            <w:hyperlink r:id="rId38" w:history="1">
                              <w:r w:rsidR="00BC1116" w:rsidRPr="00947147">
                                <w:rPr>
                                  <w:rStyle w:val="Hyperlink"/>
                                  <w:color w:val="auto"/>
                                  <w:sz w:val="22"/>
                                  <w:szCs w:val="22"/>
                                </w:rPr>
                                <w:t>http://www.odi.govt.nz/about-us/index.html</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People First - </w:t>
                            </w:r>
                            <w:r w:rsidRPr="00947147">
                              <w:rPr>
                                <w:i/>
                                <w:sz w:val="22"/>
                                <w:szCs w:val="22"/>
                              </w:rPr>
                              <w:t xml:space="preserve"> Resources (including for employment)</w:t>
                            </w:r>
                          </w:p>
                          <w:p w:rsidR="00BC1116" w:rsidRPr="00947147" w:rsidRDefault="003A4AC4" w:rsidP="00947147">
                            <w:pPr>
                              <w:ind w:left="360"/>
                              <w:rPr>
                                <w:sz w:val="22"/>
                                <w:szCs w:val="22"/>
                              </w:rPr>
                            </w:pPr>
                            <w:hyperlink r:id="rId39" w:history="1">
                              <w:r w:rsidR="00BC1116" w:rsidRPr="00947147">
                                <w:rPr>
                                  <w:rStyle w:val="Hyperlink"/>
                                  <w:color w:val="auto"/>
                                  <w:sz w:val="22"/>
                                  <w:szCs w:val="22"/>
                                </w:rPr>
                                <w:t>http://www.peoplefirst.org.nz/Resources/tabid/81/Default.aspx</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Workbridge – </w:t>
                            </w:r>
                            <w:r w:rsidRPr="00947147">
                              <w:rPr>
                                <w:i/>
                                <w:sz w:val="22"/>
                                <w:szCs w:val="22"/>
                              </w:rPr>
                              <w:t>Why employ disabled persons?</w:t>
                            </w:r>
                          </w:p>
                          <w:p w:rsidR="00BC1116" w:rsidRPr="00947147" w:rsidRDefault="003A4AC4" w:rsidP="00947147">
                            <w:pPr>
                              <w:ind w:left="360"/>
                              <w:rPr>
                                <w:sz w:val="22"/>
                                <w:szCs w:val="22"/>
                              </w:rPr>
                            </w:pPr>
                            <w:hyperlink r:id="rId40" w:history="1">
                              <w:r w:rsidR="00BC1116" w:rsidRPr="00947147">
                                <w:rPr>
                                  <w:rStyle w:val="Hyperlink"/>
                                  <w:color w:val="auto"/>
                                  <w:sz w:val="22"/>
                                  <w:szCs w:val="22"/>
                                </w:rPr>
                                <w:t>http://www.workbridge.co.nz/?page=1331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28" type="#_x0000_t202" style="position:absolute;margin-left:1.3pt;margin-top:54.75pt;width:409.4pt;height:6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" fillcolor="#5deff6 [1942]" strokecolor="#0bd0d9 [3206]" strokeweight="1pt">
                <v:fill color2="#0bd0d9 [3206]" focus="50%" type="gradient"/>
                <v:shadow on="t" color="#05676b [1606]" offset="1pt"/>
                <v:textbox>
                  <w:txbxContent>
                    <w:p w:rsidR="00BC1116" w:rsidRPr="00947147" w:rsidRDefault="00BC1116" w:rsidP="00947147">
                      <w:pPr>
                        <w:jc w:val="both"/>
                        <w:rPr>
                          <w:b/>
                          <w:sz w:val="22"/>
                          <w:szCs w:val="22"/>
                        </w:rPr>
                      </w:pPr>
                      <w:r w:rsidRPr="00947147">
                        <w:rPr>
                          <w:sz w:val="22"/>
                          <w:szCs w:val="22"/>
                        </w:rPr>
                        <w:t xml:space="preserve">The Human Rights Commission has published a number of tool kits and other resources to encourage, promote and monitor EEO. These are available on-line at </w:t>
                      </w:r>
                      <w:hyperlink r:id="rId41" w:history="1">
                        <w:r w:rsidRPr="00947147">
                          <w:rPr>
                            <w:rStyle w:val="Hyperlink"/>
                            <w:rFonts w:eastAsiaTheme="majorEastAsia"/>
                            <w:b/>
                            <w:color w:val="auto"/>
                            <w:sz w:val="22"/>
                            <w:szCs w:val="22"/>
                          </w:rPr>
                          <w:t>www.neon.org.nz</w:t>
                        </w:r>
                      </w:hyperlink>
                      <w:r>
                        <w:rPr>
                          <w:sz w:val="22"/>
                          <w:szCs w:val="22"/>
                        </w:rPr>
                        <w:t xml:space="preserve"> and includes the comprehensive Tracking Equality at Work report available at </w:t>
                      </w:r>
                      <w:hyperlink r:id="rId42" w:history="1">
                        <w:r w:rsidRPr="00947147">
                          <w:rPr>
                            <w:rStyle w:val="Hyperlink"/>
                            <w:b/>
                            <w:color w:val="auto"/>
                            <w:sz w:val="22"/>
                            <w:szCs w:val="22"/>
                          </w:rPr>
                          <w:t>www.neon.org.nz/trackingequalityatwork</w:t>
                        </w:r>
                      </w:hyperlink>
                      <w:r w:rsidRPr="00947147">
                        <w:rPr>
                          <w:b/>
                          <w:sz w:val="22"/>
                          <w:szCs w:val="22"/>
                        </w:rPr>
                        <w:t xml:space="preserve"> </w:t>
                      </w:r>
                      <w:r>
                        <w:rPr>
                          <w:b/>
                          <w:sz w:val="22"/>
                          <w:szCs w:val="22"/>
                        </w:rPr>
                        <w:t xml:space="preserve">  </w:t>
                      </w:r>
                    </w:p>
                    <w:p w:rsidR="00BC1116" w:rsidRDefault="00BC1116" w:rsidP="00554171">
                      <w:pPr>
                        <w:rPr>
                          <w:sz w:val="22"/>
                          <w:szCs w:val="22"/>
                        </w:rPr>
                      </w:pPr>
                      <w:r>
                        <w:rPr>
                          <w:sz w:val="22"/>
                          <w:szCs w:val="22"/>
                        </w:rPr>
                        <w:br/>
                        <w:t>Other disability resources are available at:</w:t>
                      </w:r>
                    </w:p>
                    <w:p w:rsidR="00BC1116" w:rsidRDefault="00BC1116" w:rsidP="00554171">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Human Rights Commission – </w:t>
                      </w:r>
                      <w:r w:rsidRPr="00947147">
                        <w:rPr>
                          <w:i/>
                          <w:sz w:val="22"/>
                          <w:szCs w:val="22"/>
                        </w:rPr>
                        <w:t>Disabled people</w:t>
                      </w:r>
                    </w:p>
                    <w:p w:rsidR="00BC1116" w:rsidRPr="00947147" w:rsidRDefault="003A4AC4" w:rsidP="00947147">
                      <w:pPr>
                        <w:ind w:left="360"/>
                        <w:rPr>
                          <w:sz w:val="22"/>
                          <w:szCs w:val="22"/>
                        </w:rPr>
                      </w:pPr>
                      <w:hyperlink r:id="rId43" w:history="1">
                        <w:r w:rsidR="00BC1116" w:rsidRPr="00947147">
                          <w:rPr>
                            <w:rStyle w:val="Hyperlink"/>
                            <w:color w:val="auto"/>
                            <w:sz w:val="22"/>
                            <w:szCs w:val="22"/>
                          </w:rPr>
                          <w:t>http://www.hrc.co.nz/disabled-people/</w:t>
                        </w:r>
                      </w:hyperlink>
                      <w:r w:rsidR="00BC1116" w:rsidRPr="00947147">
                        <w:rPr>
                          <w:sz w:val="22"/>
                          <w:szCs w:val="22"/>
                        </w:rPr>
                        <w:t xml:space="preserve"> </w:t>
                      </w:r>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Human Rights Commission – </w:t>
                      </w:r>
                      <w:r w:rsidRPr="00947147">
                        <w:rPr>
                          <w:i/>
                          <w:sz w:val="22"/>
                          <w:szCs w:val="22"/>
                        </w:rPr>
                        <w:t>The rights of disabled people</w:t>
                      </w:r>
                    </w:p>
                    <w:p w:rsidR="00BC1116" w:rsidRDefault="003A4AC4" w:rsidP="00947147">
                      <w:pPr>
                        <w:ind w:left="360"/>
                      </w:pPr>
                      <w:hyperlink r:id="rId44" w:history="1">
                        <w:r w:rsidR="00BC1116" w:rsidRPr="00947147">
                          <w:rPr>
                            <w:rStyle w:val="Hyperlink"/>
                            <w:i/>
                            <w:color w:val="auto"/>
                            <w:sz w:val="22"/>
                            <w:szCs w:val="22"/>
                          </w:rPr>
                          <w:t>http://www.hrc.co.nz/hrc_new/hrc/cms/files/documents/15-Dec-2010_12-41-59_Chapter_17pp258-279.pdf</w:t>
                        </w:r>
                      </w:hyperlink>
                    </w:p>
                    <w:p w:rsidR="00BC1116" w:rsidRDefault="00BC1116" w:rsidP="00947147">
                      <w:pPr>
                        <w:ind w:left="360"/>
                      </w:pPr>
                    </w:p>
                    <w:p w:rsidR="00BC1116" w:rsidRPr="00947147" w:rsidRDefault="00BC1116" w:rsidP="00947147">
                      <w:pPr>
                        <w:pStyle w:val="ListParagraph"/>
                        <w:numPr>
                          <w:ilvl w:val="0"/>
                          <w:numId w:val="61"/>
                        </w:numPr>
                        <w:ind w:left="360"/>
                        <w:rPr>
                          <w:sz w:val="22"/>
                          <w:szCs w:val="22"/>
                        </w:rPr>
                      </w:pPr>
                      <w:r w:rsidRPr="00947147">
                        <w:rPr>
                          <w:sz w:val="22"/>
                          <w:szCs w:val="22"/>
                        </w:rPr>
                        <w:t>CCS disability action</w:t>
                      </w:r>
                    </w:p>
                    <w:p w:rsidR="00BC1116" w:rsidRPr="00947147" w:rsidRDefault="003A4AC4" w:rsidP="00947147">
                      <w:pPr>
                        <w:ind w:left="360"/>
                        <w:rPr>
                          <w:sz w:val="22"/>
                          <w:szCs w:val="22"/>
                        </w:rPr>
                      </w:pPr>
                      <w:hyperlink r:id="rId45" w:history="1">
                        <w:r w:rsidR="00BC1116" w:rsidRPr="00947147">
                          <w:rPr>
                            <w:rStyle w:val="Hyperlink"/>
                            <w:color w:val="auto"/>
                            <w:sz w:val="22"/>
                            <w:szCs w:val="22"/>
                          </w:rPr>
                          <w:t>http://www.ccsdisabilityaction.org.nz/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Pr>
                          <w:sz w:val="22"/>
                          <w:szCs w:val="22"/>
                        </w:rPr>
                        <w:t>Deaf Aotearoa New Zealand</w:t>
                      </w:r>
                    </w:p>
                    <w:p w:rsidR="00BC1116" w:rsidRPr="00947147" w:rsidRDefault="003A4AC4" w:rsidP="00947147">
                      <w:pPr>
                        <w:pStyle w:val="ListParagraph"/>
                        <w:ind w:left="360"/>
                        <w:rPr>
                          <w:i/>
                          <w:sz w:val="22"/>
                          <w:szCs w:val="22"/>
                        </w:rPr>
                      </w:pPr>
                      <w:hyperlink r:id="rId46" w:history="1">
                        <w:r w:rsidR="00BC1116" w:rsidRPr="00947147">
                          <w:rPr>
                            <w:rStyle w:val="Hyperlink"/>
                            <w:i/>
                            <w:color w:val="auto"/>
                            <w:sz w:val="22"/>
                            <w:szCs w:val="22"/>
                          </w:rPr>
                          <w:t>http://www.deaf.co.nz/</w:t>
                        </w:r>
                      </w:hyperlink>
                      <w:r w:rsidR="00BC1116" w:rsidRPr="00947147">
                        <w:rPr>
                          <w:i/>
                          <w:sz w:val="22"/>
                          <w:szCs w:val="22"/>
                        </w:rPr>
                        <w:t xml:space="preserve">  </w:t>
                      </w:r>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Department of Labour – </w:t>
                      </w:r>
                      <w:r w:rsidRPr="00947147">
                        <w:rPr>
                          <w:i/>
                          <w:sz w:val="22"/>
                          <w:szCs w:val="22"/>
                        </w:rPr>
                        <w:t>Minimum wage exemptions</w:t>
                      </w:r>
                    </w:p>
                    <w:p w:rsidR="00BC1116" w:rsidRPr="00947147" w:rsidRDefault="003A4AC4" w:rsidP="00947147">
                      <w:pPr>
                        <w:ind w:left="360"/>
                        <w:rPr>
                          <w:i/>
                          <w:sz w:val="22"/>
                          <w:szCs w:val="22"/>
                        </w:rPr>
                      </w:pPr>
                      <w:hyperlink r:id="rId47" w:history="1">
                        <w:r w:rsidR="00BC1116" w:rsidRPr="00947147">
                          <w:rPr>
                            <w:rStyle w:val="Hyperlink"/>
                            <w:color w:val="auto"/>
                            <w:sz w:val="22"/>
                            <w:szCs w:val="22"/>
                          </w:rPr>
                          <w:t>http://www.dol.govt.nz/er/pay/exemptions/disabilitiesemployers.asp</w:t>
                        </w:r>
                      </w:hyperlink>
                    </w:p>
                    <w:p w:rsidR="00BC1116" w:rsidRPr="00947147"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Disability support network – </w:t>
                      </w:r>
                      <w:r w:rsidRPr="00947147">
                        <w:rPr>
                          <w:i/>
                          <w:sz w:val="22"/>
                          <w:szCs w:val="22"/>
                        </w:rPr>
                        <w:t>Disabled people in employment – The Way Forward</w:t>
                      </w:r>
                    </w:p>
                    <w:p w:rsidR="00BC1116" w:rsidRPr="00947147" w:rsidRDefault="003A4AC4" w:rsidP="00947147">
                      <w:pPr>
                        <w:ind w:left="360"/>
                        <w:rPr>
                          <w:sz w:val="22"/>
                          <w:szCs w:val="22"/>
                        </w:rPr>
                      </w:pPr>
                      <w:hyperlink r:id="rId48" w:history="1">
                        <w:r w:rsidR="00BC1116" w:rsidRPr="00947147">
                          <w:rPr>
                            <w:rStyle w:val="Hyperlink"/>
                            <w:color w:val="auto"/>
                            <w:sz w:val="22"/>
                            <w:szCs w:val="22"/>
                          </w:rPr>
                          <w:t>http://www.nzdsn.org.nz/Blogs/147/60/disabled-people-in-employment-paper-presents-the-way-forward/</w:t>
                        </w:r>
                      </w:hyperlink>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DPA – The national assembly of people with disabilities</w:t>
                      </w:r>
                    </w:p>
                    <w:p w:rsidR="00BC1116" w:rsidRDefault="003A4AC4" w:rsidP="00947147">
                      <w:pPr>
                        <w:ind w:left="360"/>
                      </w:pPr>
                      <w:hyperlink r:id="rId49" w:history="1">
                        <w:r w:rsidR="00BC1116" w:rsidRPr="00947147">
                          <w:rPr>
                            <w:rStyle w:val="Hyperlink"/>
                            <w:color w:val="auto"/>
                            <w:sz w:val="22"/>
                            <w:szCs w:val="22"/>
                          </w:rPr>
                          <w:t>http://www.dpa.org.nz/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EEO Trust – </w:t>
                      </w:r>
                      <w:r w:rsidRPr="00947147">
                        <w:rPr>
                          <w:i/>
                          <w:sz w:val="22"/>
                          <w:szCs w:val="22"/>
                        </w:rPr>
                        <w:t>Employing disabled people</w:t>
                      </w:r>
                    </w:p>
                    <w:p w:rsidR="00BC1116" w:rsidRPr="00947147" w:rsidRDefault="003A4AC4" w:rsidP="00947147">
                      <w:pPr>
                        <w:ind w:left="360"/>
                        <w:rPr>
                          <w:sz w:val="22"/>
                          <w:szCs w:val="22"/>
                        </w:rPr>
                      </w:pPr>
                      <w:hyperlink r:id="rId50" w:history="1">
                        <w:r w:rsidR="00BC1116" w:rsidRPr="00947147">
                          <w:rPr>
                            <w:rStyle w:val="Hyperlink"/>
                            <w:color w:val="auto"/>
                            <w:sz w:val="22"/>
                            <w:szCs w:val="22"/>
                          </w:rPr>
                          <w:t>http://www.eeotrust.org.nz/toolkits/disability.cfm</w:t>
                        </w:r>
                      </w:hyperlink>
                    </w:p>
                    <w:p w:rsidR="00BC1116" w:rsidRDefault="00BC1116" w:rsidP="00947147">
                      <w:pPr>
                        <w:ind w:left="360"/>
                      </w:pPr>
                    </w:p>
                    <w:p w:rsidR="00BC1116" w:rsidRDefault="00BC1116" w:rsidP="00947147">
                      <w:pPr>
                        <w:pStyle w:val="ListParagraph"/>
                        <w:numPr>
                          <w:ilvl w:val="0"/>
                          <w:numId w:val="61"/>
                        </w:numPr>
                        <w:ind w:left="360"/>
                        <w:rPr>
                          <w:sz w:val="22"/>
                          <w:szCs w:val="22"/>
                        </w:rPr>
                      </w:pPr>
                      <w:r>
                        <w:rPr>
                          <w:sz w:val="22"/>
                          <w:szCs w:val="22"/>
                        </w:rPr>
                        <w:t>Employers Disability Network</w:t>
                      </w:r>
                    </w:p>
                    <w:p w:rsidR="00BC1116" w:rsidRDefault="003A4AC4" w:rsidP="00947147">
                      <w:pPr>
                        <w:pStyle w:val="ListParagraph"/>
                        <w:ind w:left="360"/>
                        <w:rPr>
                          <w:sz w:val="22"/>
                          <w:szCs w:val="22"/>
                        </w:rPr>
                      </w:pPr>
                      <w:hyperlink r:id="rId51" w:history="1">
                        <w:r w:rsidR="00BC1116" w:rsidRPr="00947147">
                          <w:rPr>
                            <w:rStyle w:val="Hyperlink"/>
                            <w:color w:val="auto"/>
                            <w:sz w:val="22"/>
                            <w:szCs w:val="22"/>
                          </w:rPr>
                          <w:t>http://www.edn.org.nz/</w:t>
                        </w:r>
                      </w:hyperlink>
                      <w:r w:rsidR="00BC1116" w:rsidRPr="00947147">
                        <w:rPr>
                          <w:sz w:val="22"/>
                          <w:szCs w:val="22"/>
                        </w:rPr>
                        <w:t xml:space="preserve"> </w:t>
                      </w:r>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Ministry of Social Development – </w:t>
                      </w:r>
                      <w:r w:rsidRPr="00947147">
                        <w:rPr>
                          <w:i/>
                          <w:sz w:val="22"/>
                          <w:szCs w:val="22"/>
                        </w:rPr>
                        <w:t>Mainstream programme</w:t>
                      </w:r>
                    </w:p>
                    <w:p w:rsidR="00BC1116" w:rsidRPr="00947147" w:rsidRDefault="003A4AC4" w:rsidP="00947147">
                      <w:pPr>
                        <w:ind w:left="360"/>
                        <w:rPr>
                          <w:sz w:val="22"/>
                          <w:szCs w:val="22"/>
                        </w:rPr>
                      </w:pPr>
                      <w:hyperlink r:id="rId52" w:history="1">
                        <w:r w:rsidR="00BC1116" w:rsidRPr="00947147">
                          <w:rPr>
                            <w:rStyle w:val="Hyperlink"/>
                            <w:color w:val="auto"/>
                            <w:sz w:val="22"/>
                            <w:szCs w:val="22"/>
                          </w:rPr>
                          <w:t>http://www.msd.govt.nz/what-we-can-do/disability-services/mainstream/</w:t>
                        </w:r>
                      </w:hyperlink>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Office for </w:t>
                      </w:r>
                      <w:r>
                        <w:rPr>
                          <w:sz w:val="22"/>
                          <w:szCs w:val="22"/>
                        </w:rPr>
                        <w:t>Disability I</w:t>
                      </w:r>
                      <w:r w:rsidRPr="00947147">
                        <w:rPr>
                          <w:sz w:val="22"/>
                          <w:szCs w:val="22"/>
                        </w:rPr>
                        <w:t>ssues (ODI)</w:t>
                      </w:r>
                    </w:p>
                    <w:p w:rsidR="00BC1116" w:rsidRPr="00947147" w:rsidRDefault="003A4AC4" w:rsidP="00947147">
                      <w:pPr>
                        <w:ind w:left="360"/>
                        <w:rPr>
                          <w:sz w:val="22"/>
                          <w:szCs w:val="22"/>
                        </w:rPr>
                      </w:pPr>
                      <w:hyperlink r:id="rId53" w:history="1">
                        <w:r w:rsidR="00BC1116" w:rsidRPr="00947147">
                          <w:rPr>
                            <w:rStyle w:val="Hyperlink"/>
                            <w:color w:val="auto"/>
                            <w:sz w:val="22"/>
                            <w:szCs w:val="22"/>
                          </w:rPr>
                          <w:t>http://www.odi.govt.nz/about-us/index.html</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People First - </w:t>
                      </w:r>
                      <w:r w:rsidRPr="00947147">
                        <w:rPr>
                          <w:i/>
                          <w:sz w:val="22"/>
                          <w:szCs w:val="22"/>
                        </w:rPr>
                        <w:t xml:space="preserve"> Resources (including for employment)</w:t>
                      </w:r>
                    </w:p>
                    <w:p w:rsidR="00BC1116" w:rsidRPr="00947147" w:rsidRDefault="003A4AC4" w:rsidP="00947147">
                      <w:pPr>
                        <w:ind w:left="360"/>
                        <w:rPr>
                          <w:sz w:val="22"/>
                          <w:szCs w:val="22"/>
                        </w:rPr>
                      </w:pPr>
                      <w:hyperlink r:id="rId54" w:history="1">
                        <w:r w:rsidR="00BC1116" w:rsidRPr="00947147">
                          <w:rPr>
                            <w:rStyle w:val="Hyperlink"/>
                            <w:color w:val="auto"/>
                            <w:sz w:val="22"/>
                            <w:szCs w:val="22"/>
                          </w:rPr>
                          <w:t>http://www.peoplefirst.org.nz/Resources/tabid/81/Default.aspx</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Workbridge – </w:t>
                      </w:r>
                      <w:r w:rsidRPr="00947147">
                        <w:rPr>
                          <w:i/>
                          <w:sz w:val="22"/>
                          <w:szCs w:val="22"/>
                        </w:rPr>
                        <w:t>Why employ disabled persons?</w:t>
                      </w:r>
                    </w:p>
                    <w:p w:rsidR="00BC1116" w:rsidRPr="00947147" w:rsidRDefault="003A4AC4" w:rsidP="00947147">
                      <w:pPr>
                        <w:ind w:left="360"/>
                        <w:rPr>
                          <w:sz w:val="22"/>
                          <w:szCs w:val="22"/>
                        </w:rPr>
                      </w:pPr>
                      <w:hyperlink r:id="rId55" w:history="1">
                        <w:r w:rsidR="00BC1116" w:rsidRPr="00947147">
                          <w:rPr>
                            <w:rStyle w:val="Hyperlink"/>
                            <w:color w:val="auto"/>
                            <w:sz w:val="22"/>
                            <w:szCs w:val="22"/>
                          </w:rPr>
                          <w:t>http://www.workbridge.co.nz/?page=1331</w:t>
                        </w:r>
                      </w:hyperlink>
                    </w:p>
                  </w:txbxContent>
                </v:textbox>
              </v:shape>
            </w:pict>
          </mc:Fallback>
        </mc:AlternateContent>
      </w:r>
      <w:r w:rsidR="00947147">
        <w:rPr>
          <w:rFonts w:asciiTheme="majorHAnsi" w:hAnsiTheme="majorHAnsi"/>
          <w:b/>
          <w:color w:val="00B0F0"/>
          <w:sz w:val="72"/>
          <w:szCs w:val="72"/>
        </w:rPr>
        <w:t>Other r</w:t>
      </w:r>
      <w:r w:rsidR="00554171">
        <w:rPr>
          <w:rFonts w:asciiTheme="majorHAnsi" w:hAnsiTheme="majorHAnsi"/>
          <w:b/>
          <w:color w:val="00B0F0"/>
          <w:sz w:val="72"/>
          <w:szCs w:val="72"/>
        </w:rPr>
        <w:t>esources</w:t>
      </w:r>
    </w:p>
    <w:p w:rsidR="00097524" w:rsidRDefault="00097524" w:rsidP="00554171">
      <w:pPr>
        <w:spacing w:after="200" w:line="276" w:lineRule="auto"/>
        <w:sectPr w:rsidR="00097524" w:rsidSect="00097524">
          <w:headerReference w:type="even" r:id="rId56"/>
          <w:headerReference w:type="default" r:id="rId57"/>
          <w:headerReference w:type="first" r:id="rId58"/>
          <w:pgSz w:w="11906" w:h="16838"/>
          <w:pgMar w:top="1440" w:right="1440" w:bottom="1440" w:left="1440" w:header="706" w:footer="706" w:gutter="0"/>
          <w:cols w:space="708"/>
          <w:titlePg/>
          <w:docGrid w:linePitch="360"/>
        </w:sectPr>
      </w:pPr>
    </w:p>
    <w:p w:rsidR="00D70C73" w:rsidRDefault="00D70C73">
      <w:pPr>
        <w:spacing w:after="200" w:line="276" w:lineRule="auto"/>
        <w:rPr>
          <w:rFonts w:asciiTheme="majorHAnsi" w:hAnsiTheme="majorHAnsi" w:cs="Arial"/>
          <w:b/>
          <w:color w:val="00B0F0"/>
          <w:sz w:val="72"/>
          <w:szCs w:val="72"/>
        </w:rPr>
      </w:pPr>
      <w:r>
        <w:rPr>
          <w:rFonts w:asciiTheme="majorHAnsi" w:hAnsiTheme="majorHAnsi" w:cs="Arial"/>
          <w:b/>
          <w:color w:val="00B0F0"/>
          <w:sz w:val="72"/>
          <w:szCs w:val="72"/>
        </w:rPr>
        <w:br w:type="page"/>
      </w:r>
    </w:p>
    <w:p w:rsidR="00523AAB" w:rsidRPr="00E021DB" w:rsidRDefault="00D70C73" w:rsidP="00097524">
      <w:pPr>
        <w:spacing w:after="200" w:line="276" w:lineRule="auto"/>
        <w:rPr>
          <w:rFonts w:asciiTheme="majorHAnsi" w:hAnsiTheme="majorHAnsi" w:cs="Arial"/>
          <w:b/>
          <w:color w:val="00B0F0"/>
          <w:sz w:val="72"/>
          <w:szCs w:val="72"/>
        </w:rPr>
      </w:pPr>
      <w:r>
        <w:rPr>
          <w:noProof/>
          <w:lang w:eastAsia="en-GB"/>
        </w:rPr>
        <w:drawing>
          <wp:inline distT="0" distB="0" distL="0" distR="0">
            <wp:extent cx="6296025" cy="8410575"/>
            <wp:effectExtent l="19050" t="0" r="9525" b="0"/>
            <wp:docPr id="10" name="6d9ce016-0aad-4042-8b1d-64ca02208a2e" descr="cid:4E102F70-8444-41FA-A7F5-628B9FEA1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9ce016-0aad-4042-8b1d-64ca02208a2e" descr="cid:4E102F70-8444-41FA-A7F5-628B9FEA11F5"/>
                    <pic:cNvPicPr>
                      <a:picLocks noChangeAspect="1" noChangeArrowheads="1"/>
                    </pic:cNvPicPr>
                  </pic:nvPicPr>
                  <pic:blipFill>
                    <a:blip r:embed="rId59" r:link="rId60" cstate="print"/>
                    <a:srcRect/>
                    <a:stretch>
                      <a:fillRect/>
                    </a:stretch>
                  </pic:blipFill>
                  <pic:spPr bwMode="auto">
                    <a:xfrm>
                      <a:off x="0" y="0"/>
                      <a:ext cx="6296025" cy="8410575"/>
                    </a:xfrm>
                    <a:prstGeom prst="rect">
                      <a:avLst/>
                    </a:prstGeom>
                    <a:noFill/>
                    <a:ln w="9525">
                      <a:noFill/>
                      <a:miter lim="800000"/>
                      <a:headEnd/>
                      <a:tailEnd/>
                    </a:ln>
                  </pic:spPr>
                </pic:pic>
              </a:graphicData>
            </a:graphic>
          </wp:inline>
        </w:drawing>
      </w:r>
    </w:p>
    <w:sectPr w:rsidR="00523AAB" w:rsidRPr="00E021DB" w:rsidSect="00097524">
      <w:type w:val="continuous"/>
      <w:pgSz w:w="11906" w:h="16838"/>
      <w:pgMar w:top="1440" w:right="1440" w:bottom="1440" w:left="1440" w:header="706" w:footer="706"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0D" w:rsidRDefault="00F5390D" w:rsidP="005323CF">
      <w:r>
        <w:separator/>
      </w:r>
    </w:p>
  </w:endnote>
  <w:endnote w:type="continuationSeparator" w:id="0">
    <w:p w:rsidR="00F5390D" w:rsidRDefault="00F5390D" w:rsidP="0053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XUSGUM+Interstate-LightCondense">
    <w:altName w:val="Interstate"/>
    <w:panose1 w:val="00000000000000000000"/>
    <w:charset w:val="00"/>
    <w:family w:val="swiss"/>
    <w:notTrueType/>
    <w:pitch w:val="default"/>
    <w:sig w:usb0="00000003" w:usb1="00000000" w:usb2="00000000" w:usb3="00000000" w:csb0="00000001" w:csb1="00000000"/>
  </w:font>
  <w:font w:name="WMIAGO+Interstate-BoldCondensed">
    <w:altName w:val="Interstate"/>
    <w:panose1 w:val="00000000000000000000"/>
    <w:charset w:val="00"/>
    <w:family w:val="swiss"/>
    <w:notTrueType/>
    <w:pitch w:val="default"/>
    <w:sig w:usb0="00000003" w:usb1="00000000" w:usb2="00000000" w:usb3="00000000" w:csb0="00000001" w:csb1="00000000"/>
  </w:font>
  <w:font w:name="OELEYE+Interstate-Light">
    <w:altName w:val="Interstate"/>
    <w:panose1 w:val="00000000000000000000"/>
    <w:charset w:val="00"/>
    <w:family w:val="swiss"/>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16" w:rsidRPr="00FD2516" w:rsidRDefault="00BC1116">
    <w:pPr>
      <w:pStyle w:val="Footer"/>
      <w:rPr>
        <w:sz w:val="20"/>
        <w:szCs w:val="20"/>
      </w:rPr>
    </w:pPr>
    <w:r w:rsidRPr="00FD2516">
      <w:rPr>
        <w:rFonts w:cs="Arial"/>
        <w:sz w:val="20"/>
        <w:szCs w:val="20"/>
      </w:rPr>
      <w:t>©</w:t>
    </w:r>
    <w:r w:rsidR="003A4AC4">
      <w:rPr>
        <w:noProof/>
        <w:sz w:val="20"/>
        <w:szCs w:val="20"/>
        <w:lang w:eastAsia="en-GB"/>
      </w:rPr>
      <mc:AlternateContent>
        <mc:Choice Requires="wpg">
          <w:drawing>
            <wp:anchor distT="0" distB="0" distL="114300" distR="114300" simplePos="0" relativeHeight="251664384" behindDoc="0" locked="0" layoutInCell="1" allowOverlap="1">
              <wp:simplePos x="0" y="0"/>
              <wp:positionH relativeFrom="page">
                <wp:posOffset>-13970</wp:posOffset>
              </wp:positionH>
              <wp:positionV relativeFrom="bottomMargin">
                <wp:posOffset>1270</wp:posOffset>
              </wp:positionV>
              <wp:extent cx="6846570" cy="673100"/>
              <wp:effectExtent l="5080" t="10795" r="6350" b="1143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73100"/>
                        <a:chOff x="15" y="14415"/>
                        <a:chExt cx="10658" cy="1060"/>
                      </a:xfrm>
                    </wpg:grpSpPr>
                    <wps:wsp>
                      <wps:cNvPr id="2" name="AutoShape 39"/>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40"/>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1"/>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2"/>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1116" w:rsidRPr="000E6856" w:rsidRDefault="00E27E09">
                            <w:pPr>
                              <w:pStyle w:val="Header"/>
                              <w:jc w:val="center"/>
                              <w:rPr>
                                <w:color w:val="FFFFFF" w:themeColor="background1"/>
                                <w:sz w:val="21"/>
                                <w:szCs w:val="21"/>
                              </w:rPr>
                            </w:pPr>
                            <w:r w:rsidRPr="000E6856">
                              <w:rPr>
                                <w:sz w:val="21"/>
                                <w:szCs w:val="21"/>
                              </w:rPr>
                              <w:fldChar w:fldCharType="begin"/>
                            </w:r>
                            <w:r w:rsidR="00BC1116" w:rsidRPr="000E6856">
                              <w:rPr>
                                <w:sz w:val="21"/>
                                <w:szCs w:val="21"/>
                              </w:rPr>
                              <w:instrText xml:space="preserve"> PAGE   \* MERGEFORMAT </w:instrText>
                            </w:r>
                            <w:r w:rsidRPr="000E6856">
                              <w:rPr>
                                <w:sz w:val="21"/>
                                <w:szCs w:val="21"/>
                              </w:rPr>
                              <w:fldChar w:fldCharType="separate"/>
                            </w:r>
                            <w:r w:rsidR="003A4AC4" w:rsidRPr="003A4AC4">
                              <w:rPr>
                                <w:noProof/>
                                <w:color w:val="FFFFFF" w:themeColor="background1"/>
                                <w:sz w:val="21"/>
                                <w:szCs w:val="21"/>
                              </w:rPr>
                              <w:t>3</w:t>
                            </w:r>
                            <w:r w:rsidRPr="000E6856">
                              <w:rPr>
                                <w:sz w:val="21"/>
                                <w:szCs w:val="2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margin-left:-1.1pt;margin-top:.1pt;width:539.1pt;height:53pt;z-index:251664384;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">
              <v:shapetype id="_x0000_t32" coordsize="21600,21600" o:spt="32" o:oned="t" path="m,l21600,21600e" filled="f">
                <v:path arrowok="t" fillok="f" o:connecttype="none"/>
                <o:lock v:ext="edit" shapetype="t"/>
              </v:shapetype>
              <v:shape id="AutoShape 39" o:spid="_x0000_s1030"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8fe3fb [1620]"/>
              <v:oval id="Oval 40" o:spid="_x0000_s1031"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8fe3fb [1620]" stroked="f"/>
              <v:oval id="Oval 41" o:spid="_x0000_s1032"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c7f1fd [820]" stroked="f"/>
              <v:oval id="Oval 42" o:spid="_x0000_s1033"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57d5f9 [2420]" stroked="f">
                <v:textbox>
                  <w:txbxContent>
                    <w:p w:rsidR="00BC1116" w:rsidRPr="000E6856" w:rsidRDefault="00E27E09">
                      <w:pPr>
                        <w:pStyle w:val="Header"/>
                        <w:jc w:val="center"/>
                        <w:rPr>
                          <w:color w:val="FFFFFF" w:themeColor="background1"/>
                          <w:sz w:val="21"/>
                          <w:szCs w:val="21"/>
                        </w:rPr>
                      </w:pPr>
                      <w:r w:rsidRPr="000E6856">
                        <w:rPr>
                          <w:sz w:val="21"/>
                          <w:szCs w:val="21"/>
                        </w:rPr>
                        <w:fldChar w:fldCharType="begin"/>
                      </w:r>
                      <w:r w:rsidR="00BC1116" w:rsidRPr="000E6856">
                        <w:rPr>
                          <w:sz w:val="21"/>
                          <w:szCs w:val="21"/>
                        </w:rPr>
                        <w:instrText xml:space="preserve"> PAGE   \* MERGEFORMAT </w:instrText>
                      </w:r>
                      <w:r w:rsidRPr="000E6856">
                        <w:rPr>
                          <w:sz w:val="21"/>
                          <w:szCs w:val="21"/>
                        </w:rPr>
                        <w:fldChar w:fldCharType="separate"/>
                      </w:r>
                      <w:r w:rsidR="003A4AC4" w:rsidRPr="003A4AC4">
                        <w:rPr>
                          <w:noProof/>
                          <w:color w:val="FFFFFF" w:themeColor="background1"/>
                          <w:sz w:val="21"/>
                          <w:szCs w:val="21"/>
                        </w:rPr>
                        <w:t>3</w:t>
                      </w:r>
                      <w:r w:rsidRPr="000E6856">
                        <w:rPr>
                          <w:sz w:val="21"/>
                          <w:szCs w:val="21"/>
                        </w:rPr>
                        <w:fldChar w:fldCharType="end"/>
                      </w:r>
                    </w:p>
                  </w:txbxContent>
                </v:textbox>
              </v:oval>
              <w10:wrap anchorx="page" anchory="margin"/>
            </v:group>
          </w:pict>
        </mc:Fallback>
      </mc:AlternateContent>
    </w:r>
    <w:r w:rsidRPr="00FD2516">
      <w:rPr>
        <w:sz w:val="20"/>
        <w:szCs w:val="20"/>
      </w:rPr>
      <w:t xml:space="preserve">  New Zealand Human Rights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0D" w:rsidRDefault="00F5390D" w:rsidP="005323CF">
      <w:r>
        <w:separator/>
      </w:r>
    </w:p>
  </w:footnote>
  <w:footnote w:type="continuationSeparator" w:id="0">
    <w:p w:rsidR="00F5390D" w:rsidRDefault="00F5390D" w:rsidP="005323CF">
      <w:r>
        <w:continuationSeparator/>
      </w:r>
    </w:p>
  </w:footnote>
  <w:footnote w:id="1">
    <w:p w:rsidR="00BC1116" w:rsidRDefault="00BC1116" w:rsidP="003E69E7">
      <w:pPr>
        <w:pStyle w:val="FootnoteText"/>
      </w:pPr>
      <w:r>
        <w:rPr>
          <w:rStyle w:val="FootnoteReference"/>
        </w:rPr>
        <w:footnoteRef/>
      </w:r>
      <w:r>
        <w:t xml:space="preserve"> P278 </w:t>
      </w:r>
      <w:r>
        <w:rPr>
          <w:i/>
        </w:rPr>
        <w:t xml:space="preserve">Rights of Disabled People </w:t>
      </w:r>
      <w:r>
        <w:t>Human Rights in New Zealand 2010. Human Rights Commission</w:t>
      </w:r>
    </w:p>
  </w:footnote>
  <w:footnote w:id="2">
    <w:p w:rsidR="00BC1116" w:rsidRDefault="00BC1116" w:rsidP="003E69E7">
      <w:pPr>
        <w:pStyle w:val="FootnoteText"/>
      </w:pPr>
      <w:r>
        <w:rPr>
          <w:rStyle w:val="FootnoteReference"/>
        </w:rPr>
        <w:footnoteRef/>
      </w:r>
      <w:r>
        <w:t xml:space="preserve"> CRPD Article 27 (1) g</w:t>
      </w:r>
    </w:p>
  </w:footnote>
  <w:footnote w:id="3">
    <w:p w:rsidR="00BC1116" w:rsidRPr="0078171C" w:rsidRDefault="00BC1116" w:rsidP="003E69E7">
      <w:pPr>
        <w:pStyle w:val="FootnoteText"/>
      </w:pPr>
      <w:r w:rsidRPr="0078171C">
        <w:rPr>
          <w:rStyle w:val="FootnoteReference"/>
        </w:rPr>
        <w:footnoteRef/>
      </w:r>
      <w:r w:rsidRPr="0078171C">
        <w:t xml:space="preserve"> </w:t>
      </w:r>
      <w:hyperlink r:id="rId1" w:history="1">
        <w:r w:rsidRPr="0078171C">
          <w:rPr>
            <w:rStyle w:val="Hyperlink"/>
            <w:color w:val="auto"/>
          </w:rPr>
          <w:t>http://www.ssc.govt.nz/upload/downloadable_files/Enabling-Ability.pdf</w:t>
        </w:r>
      </w:hyperlink>
      <w:r w:rsidRPr="0078171C">
        <w:t xml:space="preserve"> </w:t>
      </w:r>
    </w:p>
  </w:footnote>
  <w:footnote w:id="4">
    <w:p w:rsidR="00BC1116" w:rsidRPr="0078171C" w:rsidRDefault="00BC1116" w:rsidP="003E69E7">
      <w:pPr>
        <w:pStyle w:val="FootnoteText"/>
      </w:pPr>
      <w:r w:rsidRPr="0078171C">
        <w:rPr>
          <w:rStyle w:val="FootnoteReference"/>
        </w:rPr>
        <w:footnoteRef/>
      </w:r>
      <w:r w:rsidRPr="0078171C">
        <w:t xml:space="preserve"> </w:t>
      </w:r>
      <w:hyperlink r:id="rId2" w:history="1">
        <w:r w:rsidRPr="0078171C">
          <w:rPr>
            <w:rStyle w:val="Hyperlink"/>
            <w:color w:val="auto"/>
          </w:rPr>
          <w:t>http://edn.org.nz/</w:t>
        </w:r>
      </w:hyperlink>
    </w:p>
    <w:p w:rsidR="00BC1116" w:rsidRDefault="00BC1116" w:rsidP="003E69E7">
      <w:pPr>
        <w:pStyle w:val="FootnoteText"/>
      </w:pPr>
    </w:p>
  </w:footnote>
  <w:footnote w:id="5">
    <w:p w:rsidR="00BC1116" w:rsidRDefault="00BC1116" w:rsidP="003E69E7">
      <w:pPr>
        <w:pStyle w:val="FootnoteText"/>
      </w:pPr>
      <w:r w:rsidRPr="00C82F13">
        <w:rPr>
          <w:rStyle w:val="FootnoteReference"/>
        </w:rPr>
        <w:footnoteRef/>
      </w:r>
      <w:r w:rsidRPr="00C82F13">
        <w:t xml:space="preserve"> Data provided by Department of Labour March 2011</w:t>
      </w:r>
    </w:p>
  </w:footnote>
  <w:footnote w:id="6">
    <w:p w:rsidR="00BC1116" w:rsidRDefault="00BC1116" w:rsidP="003E69E7">
      <w:pPr>
        <w:pStyle w:val="FootnoteText"/>
      </w:pPr>
      <w:r>
        <w:rPr>
          <w:rStyle w:val="FootnoteReference"/>
        </w:rPr>
        <w:footnoteRef/>
      </w:r>
      <w:r>
        <w:t xml:space="preserve"> ibid</w:t>
      </w:r>
    </w:p>
  </w:footnote>
  <w:footnote w:id="7">
    <w:p w:rsidR="00BC1116" w:rsidRDefault="00BC1116" w:rsidP="003E69E7">
      <w:pPr>
        <w:pStyle w:val="FootnoteText"/>
      </w:pPr>
      <w:r>
        <w:rPr>
          <w:rStyle w:val="FootnoteReference"/>
        </w:rPr>
        <w:footnoteRef/>
      </w:r>
      <w:r>
        <w:t xml:space="preserve"> Some people have more than one exemption </w:t>
      </w:r>
    </w:p>
  </w:footnote>
  <w:footnote w:id="8">
    <w:p w:rsidR="00BC1116" w:rsidRDefault="00BC1116" w:rsidP="003E69E7">
      <w:pPr>
        <w:pStyle w:val="FootnoteText"/>
      </w:pPr>
      <w:r>
        <w:rPr>
          <w:rStyle w:val="FootnoteReference"/>
        </w:rPr>
        <w:footnoteRef/>
      </w:r>
      <w:r>
        <w:t xml:space="preserve"> See </w:t>
      </w:r>
      <w:r>
        <w:rPr>
          <w:i/>
        </w:rPr>
        <w:t>Manager’s Guide: A best practice approach to working with disabled employees</w:t>
      </w:r>
      <w:r w:rsidR="00A47974">
        <w:rPr>
          <w:i/>
        </w:rPr>
        <w:t xml:space="preserve">.  </w:t>
      </w:r>
      <w:r>
        <w:t xml:space="preserve">Employers Forum on Disability and Workbridge 2007.  This guide has been adapted for New Zealand and is available from Workbridge or Employers’ Disability Network. </w:t>
      </w:r>
    </w:p>
  </w:footnote>
  <w:footnote w:id="9">
    <w:p w:rsidR="00BC1116" w:rsidRDefault="00BC1116" w:rsidP="003E69E7">
      <w:pPr>
        <w:pStyle w:val="FootnoteText"/>
      </w:pPr>
      <w:r>
        <w:rPr>
          <w:rStyle w:val="FootnoteReference"/>
        </w:rPr>
        <w:footnoteRef/>
      </w:r>
      <w:r>
        <w:t xml:space="preserve"> Oakley Browne, M.  A., Wells, J.  E., &amp; Scotts, K. M.  (Eds).  (2006).  </w:t>
      </w:r>
      <w:hyperlink r:id="rId3" w:tgtFrame="_blank" w:history="1">
        <w:r>
          <w:rPr>
            <w:rStyle w:val="Emphasis"/>
            <w:color w:val="0000FF"/>
            <w:u w:val="single"/>
          </w:rPr>
          <w:t>Te Rau Hinengaro: The New Zealand Mental Health Survey</w:t>
        </w:r>
        <w:r>
          <w:rPr>
            <w:rStyle w:val="Hyperlink"/>
          </w:rPr>
          <w:t>.</w:t>
        </w:r>
      </w:hyperlink>
      <w:r>
        <w:t xml:space="preserve"> Wellington: Ministry of Health.</w:t>
      </w:r>
    </w:p>
  </w:footnote>
  <w:footnote w:id="10">
    <w:p w:rsidR="00BC1116" w:rsidRDefault="00BC1116" w:rsidP="003E69E7">
      <w:pPr>
        <w:pStyle w:val="FootnoteText"/>
      </w:pPr>
      <w:r>
        <w:rPr>
          <w:rStyle w:val="FootnoteReference"/>
        </w:rPr>
        <w:footnoteRef/>
      </w:r>
      <w:r>
        <w:t xml:space="preserve"> Ibid</w:t>
      </w:r>
    </w:p>
  </w:footnote>
  <w:footnote w:id="11">
    <w:p w:rsidR="00BC1116" w:rsidRDefault="00BC1116" w:rsidP="003E69E7">
      <w:pPr>
        <w:pStyle w:val="FootnoteText"/>
      </w:pPr>
      <w:r>
        <w:rPr>
          <w:rStyle w:val="FootnoteReference"/>
        </w:rPr>
        <w:footnoteRef/>
      </w:r>
      <w:r>
        <w:t xml:space="preserve"> </w:t>
      </w:r>
      <w:r>
        <w:rPr>
          <w:i/>
        </w:rPr>
        <w:t xml:space="preserve">Taking the first step: A guidebook for job seekers with experience of mental health issues.  </w:t>
      </w:r>
      <w:r>
        <w:t xml:space="preserve">LEAP Like Minds Employment Advocacy Project 2005 </w:t>
      </w:r>
    </w:p>
  </w:footnote>
  <w:footnote w:id="12">
    <w:p w:rsidR="00BC1116" w:rsidRDefault="00BC1116" w:rsidP="003E69E7">
      <w:pPr>
        <w:pStyle w:val="FootnoteText"/>
      </w:pPr>
      <w:r>
        <w:rPr>
          <w:rStyle w:val="FootnoteReference"/>
          <w:color w:val="0D0D0D" w:themeColor="text1" w:themeTint="F2"/>
        </w:rPr>
        <w:footnoteRef/>
      </w:r>
      <w:r>
        <w:rPr>
          <w:color w:val="0D0D0D" w:themeColor="text1" w:themeTint="F2"/>
        </w:rPr>
        <w:t xml:space="preserve"> </w:t>
      </w:r>
      <w:hyperlink r:id="rId4" w:history="1">
        <w:r>
          <w:rPr>
            <w:rStyle w:val="Hyperlink"/>
            <w:color w:val="0D0D0D" w:themeColor="text1" w:themeTint="F2"/>
          </w:rPr>
          <w:t>http://dol.govt.nz/er/solvingproblems/keyprinciples/goodfaith.asp</w:t>
        </w:r>
      </w:hyperlink>
    </w:p>
  </w:footnote>
  <w:footnote w:id="13">
    <w:p w:rsidR="00BC1116" w:rsidRDefault="00BC1116" w:rsidP="003E69E7">
      <w:pPr>
        <w:pStyle w:val="FootnoteText"/>
      </w:pPr>
      <w:r>
        <w:rPr>
          <w:rStyle w:val="FootnoteReference"/>
        </w:rPr>
        <w:footnoteRef/>
      </w:r>
      <w:r>
        <w:t xml:space="preserve"> Imperial Enterprises Ltd v. Attwood [2002] 2 ERNZ 740.</w:t>
      </w:r>
    </w:p>
  </w:footnote>
  <w:footnote w:id="14">
    <w:p w:rsidR="00BC1116" w:rsidRPr="0078171C" w:rsidRDefault="00BC1116" w:rsidP="003E69E7">
      <w:pPr>
        <w:pStyle w:val="FootnoteText"/>
      </w:pPr>
      <w:r w:rsidRPr="0078171C">
        <w:rPr>
          <w:rStyle w:val="FootnoteReference"/>
        </w:rPr>
        <w:footnoteRef/>
      </w:r>
      <w:r w:rsidRPr="0078171C">
        <w:t xml:space="preserve"> </w:t>
      </w:r>
      <w:r w:rsidRPr="0078171C">
        <w:rPr>
          <w:rStyle w:val="A3"/>
          <w:i/>
          <w:iCs/>
          <w:sz w:val="20"/>
          <w:szCs w:val="20"/>
        </w:rPr>
        <w:t xml:space="preserve">Atley v Southland District Health Board </w:t>
      </w:r>
      <w:r w:rsidRPr="0078171C">
        <w:rPr>
          <w:rStyle w:val="A3"/>
          <w:sz w:val="20"/>
          <w:szCs w:val="20"/>
        </w:rPr>
        <w:t>(2009) 8 HRNZ 888; (2010) 9 NZELC 93,427.</w:t>
      </w:r>
    </w:p>
  </w:footnote>
  <w:footnote w:id="15">
    <w:p w:rsidR="00BC1116" w:rsidRDefault="00BC1116" w:rsidP="003E69E7">
      <w:pPr>
        <w:pStyle w:val="FootnoteText"/>
      </w:pPr>
      <w:r>
        <w:rPr>
          <w:rStyle w:val="FootnoteReference"/>
        </w:rPr>
        <w:footnoteRef/>
      </w:r>
      <w:r>
        <w:t xml:space="preserve"> Lidiard v New Zealand Fire Service Commission ERA Christchurch CA51/10, 8 March 2010.</w:t>
      </w:r>
    </w:p>
  </w:footnote>
  <w:footnote w:id="16">
    <w:p w:rsidR="00BC1116" w:rsidRPr="0082407A" w:rsidRDefault="00BC1116" w:rsidP="00554171">
      <w:pPr>
        <w:pStyle w:val="FootnoteText"/>
      </w:pPr>
      <w:r>
        <w:rPr>
          <w:rStyle w:val="FootnoteReference"/>
        </w:rPr>
        <w:footnoteRef/>
      </w:r>
      <w:r>
        <w:t xml:space="preserve"> This work is based on/includes Statistics New Zealand’s data which are licensed by </w:t>
      </w:r>
      <w:r>
        <w:rPr>
          <w:color w:val="0000FF"/>
          <w:u w:val="single"/>
        </w:rPr>
        <w:t>Statistics New Zealand</w:t>
      </w:r>
      <w:r>
        <w:t xml:space="preserve"> for re-use under the </w:t>
      </w:r>
      <w:r>
        <w:rPr>
          <w:color w:val="0000FF"/>
          <w:u w:val="single"/>
        </w:rPr>
        <w:t>Creative Commons Attribution-Noncommercial 3.0 New Zealand licence</w:t>
      </w:r>
      <w:r>
        <w:t xml:space="preserve">. </w:t>
      </w:r>
      <w:r w:rsidRPr="0082407A">
        <w:t>The data is from the Household Labour Force Survey December 2010</w:t>
      </w:r>
    </w:p>
  </w:footnote>
  <w:footnote w:id="17">
    <w:p w:rsidR="00BC1116" w:rsidRDefault="00BC1116" w:rsidP="00554171">
      <w:pPr>
        <w:pStyle w:val="FootnoteText"/>
      </w:pPr>
      <w:r w:rsidRPr="0082407A">
        <w:rPr>
          <w:rStyle w:val="FootnoteReference"/>
        </w:rPr>
        <w:footnoteRef/>
      </w:r>
      <w:r w:rsidRPr="0082407A">
        <w:t xml:space="preserve"> Statistics New Zealand Household Labour Force Survey 2010 December quarter Technical</w:t>
      </w:r>
      <w:r>
        <w:t xml:space="preserve"> notes</w:t>
      </w:r>
    </w:p>
  </w:footnote>
  <w:footnote w:id="18">
    <w:p w:rsidR="00BC1116" w:rsidRDefault="00BC1116" w:rsidP="00554171">
      <w:pPr>
        <w:pStyle w:val="FootnoteText"/>
      </w:pPr>
      <w:r>
        <w:rPr>
          <w:rStyle w:val="FootnoteReference"/>
        </w:rPr>
        <w:footnoteRef/>
      </w:r>
      <w:r>
        <w:t xml:space="preserve"> Ibid</w:t>
      </w:r>
    </w:p>
  </w:footnote>
  <w:footnote w:id="19">
    <w:p w:rsidR="00BC1116" w:rsidRPr="00FB1046" w:rsidRDefault="00BC1116" w:rsidP="00554171">
      <w:pPr>
        <w:jc w:val="both"/>
        <w:rPr>
          <w:rFonts w:cs="Arial"/>
          <w:sz w:val="20"/>
          <w:szCs w:val="20"/>
        </w:rPr>
      </w:pPr>
      <w:r w:rsidRPr="00FB1046">
        <w:rPr>
          <w:rStyle w:val="FootnoteReference"/>
          <w:sz w:val="20"/>
          <w:szCs w:val="20"/>
        </w:rPr>
        <w:footnoteRef/>
      </w:r>
      <w:r w:rsidRPr="00FB1046">
        <w:rPr>
          <w:rFonts w:cs="Arial"/>
          <w:sz w:val="20"/>
          <w:szCs w:val="20"/>
        </w:rPr>
        <w:t xml:space="preserve">Reproduced from the Department of Labour report on the Household Labour Force Survey </w:t>
      </w:r>
    </w:p>
    <w:p w:rsidR="00BC1116" w:rsidRDefault="00BC1116" w:rsidP="00554171">
      <w:pPr>
        <w:pStyle w:val="FootnoteText"/>
      </w:pPr>
    </w:p>
  </w:footnote>
  <w:footnote w:id="20">
    <w:p w:rsidR="00BC1116" w:rsidRDefault="00BC1116" w:rsidP="003252C6">
      <w:pPr>
        <w:pStyle w:val="FootnoteText"/>
        <w:ind w:right="26"/>
      </w:pPr>
      <w:r w:rsidRPr="003252C6">
        <w:rPr>
          <w:rStyle w:val="FootnoteReference"/>
        </w:rPr>
        <w:footnoteRef/>
      </w:r>
      <w:r w:rsidRPr="003252C6">
        <w:t xml:space="preserve"> http://www.hrc.co.nz/hrc_new/hrc/cms/files/documents/02-Dec-2010_15-51-46_HRNZ_10_DisabilityCh5.html</w:t>
      </w:r>
    </w:p>
  </w:footnote>
  <w:footnote w:id="21">
    <w:p w:rsidR="00BC1116" w:rsidRDefault="00BC1116" w:rsidP="003252C6">
      <w:r w:rsidRPr="00420B0D">
        <w:rPr>
          <w:rStyle w:val="FootnoteReference"/>
          <w:sz w:val="20"/>
          <w:szCs w:val="20"/>
        </w:rPr>
        <w:footnoteRef/>
      </w:r>
      <w:r w:rsidRPr="00420B0D">
        <w:rPr>
          <w:sz w:val="20"/>
          <w:szCs w:val="20"/>
        </w:rPr>
        <w:t xml:space="preserve"> Regional data separated for age and ethnicity was made available from Statistics New Zealand based on the HLFS survey information December 2010. Regional data was available by Auckland, Wa</w:t>
      </w:r>
      <w:r>
        <w:rPr>
          <w:sz w:val="20"/>
          <w:szCs w:val="20"/>
        </w:rPr>
        <w:t xml:space="preserve">ikato, Wellington, the rest </w:t>
      </w:r>
      <w:r w:rsidRPr="00420B0D">
        <w:rPr>
          <w:sz w:val="20"/>
          <w:szCs w:val="20"/>
        </w:rPr>
        <w:t xml:space="preserve"> of the North Isla</w:t>
      </w:r>
      <w:r>
        <w:rPr>
          <w:sz w:val="20"/>
          <w:szCs w:val="20"/>
        </w:rPr>
        <w:t>nd, Canterbury and the rest</w:t>
      </w:r>
      <w:r w:rsidRPr="00420B0D">
        <w:rPr>
          <w:sz w:val="20"/>
          <w:szCs w:val="20"/>
        </w:rPr>
        <w:t xml:space="preserve"> of the South Island. </w:t>
      </w:r>
    </w:p>
  </w:footnote>
  <w:footnote w:id="22">
    <w:p w:rsidR="00BC1116" w:rsidRDefault="00BC1116" w:rsidP="003252C6">
      <w:pPr>
        <w:pStyle w:val="FootnoteText"/>
      </w:pPr>
      <w:r>
        <w:rPr>
          <w:rStyle w:val="FootnoteReference"/>
        </w:rPr>
        <w:footnoteRef/>
      </w:r>
      <w:r>
        <w:t xml:space="preserve"> Estimates less than 1000 are suppressed (..S) as they are subject to sampling errors too high for most practical purposes</w:t>
      </w:r>
    </w:p>
  </w:footnote>
  <w:footnote w:id="23">
    <w:p w:rsidR="00BC1116" w:rsidRPr="00420B0D" w:rsidRDefault="00BC1116" w:rsidP="00554171">
      <w:pPr>
        <w:pStyle w:val="FootnoteText"/>
      </w:pPr>
      <w:r w:rsidRPr="003252C6">
        <w:rPr>
          <w:rStyle w:val="FootnoteReference"/>
        </w:rPr>
        <w:footnoteRef/>
      </w:r>
      <w:r w:rsidRPr="003252C6">
        <w:t xml:space="preserve"> Middle Eastern, Latin American and African</w:t>
      </w:r>
    </w:p>
    <w:p w:rsidR="00BC1116" w:rsidRDefault="00BC1116" w:rsidP="00554171">
      <w:pPr>
        <w:pStyle w:val="FootnoteText"/>
      </w:pPr>
    </w:p>
  </w:footnote>
  <w:footnote w:id="24">
    <w:p w:rsidR="00BC1116" w:rsidRPr="00420B0D" w:rsidRDefault="00BC1116" w:rsidP="00554171">
      <w:pPr>
        <w:pStyle w:val="FootnoteText"/>
        <w:jc w:val="both"/>
      </w:pPr>
      <w:r w:rsidRPr="002127F2">
        <w:rPr>
          <w:rStyle w:val="FootnoteReference"/>
        </w:rPr>
        <w:footnoteRef/>
      </w:r>
      <w:r w:rsidRPr="002127F2">
        <w:t xml:space="preserve"> http://www.dol.govt.nz/publications/lmr/youth/in-the-labour-market/youth-2009_07.asp</w:t>
      </w:r>
    </w:p>
  </w:footnote>
  <w:footnote w:id="25">
    <w:p w:rsidR="00BC1116" w:rsidRPr="006F0CE3" w:rsidRDefault="00BC1116" w:rsidP="00554171">
      <w:pPr>
        <w:jc w:val="both"/>
        <w:rPr>
          <w:sz w:val="20"/>
          <w:szCs w:val="20"/>
        </w:rPr>
      </w:pPr>
      <w:r w:rsidRPr="006F0CE3">
        <w:rPr>
          <w:rStyle w:val="FootnoteReference"/>
          <w:sz w:val="20"/>
          <w:szCs w:val="20"/>
        </w:rPr>
        <w:footnoteRef/>
      </w:r>
      <w:r w:rsidRPr="006F0CE3">
        <w:rPr>
          <w:sz w:val="20"/>
          <w:szCs w:val="20"/>
        </w:rPr>
        <w:t xml:space="preserve">The annual Income Survey from Statistics in New Zealand (June 2010) provides the following comparative pay data. </w:t>
      </w:r>
    </w:p>
  </w:footnote>
  <w:footnote w:id="26">
    <w:p w:rsidR="00BC1116" w:rsidRDefault="00BC1116" w:rsidP="00554171">
      <w:pPr>
        <w:pStyle w:val="FootnoteText"/>
      </w:pPr>
      <w:r>
        <w:rPr>
          <w:rStyle w:val="FootnoteReference"/>
        </w:rPr>
        <w:footnoteRef/>
      </w:r>
      <w:r>
        <w:t xml:space="preserve"> Ibid</w:t>
      </w:r>
    </w:p>
  </w:footnote>
  <w:footnote w:id="27">
    <w:p w:rsidR="00BC1116" w:rsidRDefault="00BC1116" w:rsidP="00554171">
      <w:pPr>
        <w:pStyle w:val="FootnoteText"/>
      </w:pPr>
      <w:r>
        <w:rPr>
          <w:rStyle w:val="FootnoteReference"/>
        </w:rPr>
        <w:footnoteRef/>
      </w:r>
      <w:r>
        <w:t xml:space="preserve"> Calculated by multiplying the percentage unemployed by the participation rate. </w:t>
      </w:r>
    </w:p>
  </w:footnote>
  <w:footnote w:id="28">
    <w:p w:rsidR="00BC1116" w:rsidRDefault="00BC1116" w:rsidP="00554171">
      <w:pPr>
        <w:pStyle w:val="FootnoteText"/>
      </w:pPr>
      <w:r>
        <w:rPr>
          <w:rStyle w:val="FootnoteReference"/>
        </w:rPr>
        <w:footnoteRef/>
      </w:r>
      <w:r>
        <w:t xml:space="preserve"> Other factors such as age may be at play here, for example are Europeans with no qualifications older on average than Māori workers with no </w:t>
      </w:r>
      <w:r w:rsidRPr="00332CC0">
        <w:t>qualifications?  Sampling</w:t>
      </w:r>
      <w:r>
        <w:t xml:space="preserve"> errors may also account for the difference. The issue needs further investigation.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16" w:rsidRDefault="00E27E09" w:rsidP="00040D3F">
    <w:pPr>
      <w:pStyle w:val="Header"/>
      <w:framePr w:wrap="around" w:vAnchor="text" w:hAnchor="margin" w:xAlign="right" w:y="1"/>
      <w:rPr>
        <w:rStyle w:val="PageNumber"/>
        <w:rFonts w:eastAsiaTheme="majorEastAsia"/>
      </w:rPr>
    </w:pPr>
    <w:r>
      <w:rPr>
        <w:rStyle w:val="PageNumber"/>
        <w:rFonts w:eastAsiaTheme="majorEastAsia"/>
      </w:rPr>
      <w:fldChar w:fldCharType="begin"/>
    </w:r>
    <w:r w:rsidR="00BC1116">
      <w:rPr>
        <w:rStyle w:val="PageNumber"/>
        <w:rFonts w:eastAsiaTheme="majorEastAsia"/>
      </w:rPr>
      <w:instrText xml:space="preserve">PAGE  </w:instrText>
    </w:r>
    <w:r>
      <w:rPr>
        <w:rStyle w:val="PageNumber"/>
        <w:rFonts w:eastAsiaTheme="majorEastAsia"/>
      </w:rPr>
      <w:fldChar w:fldCharType="separate"/>
    </w:r>
    <w:r w:rsidR="00BC1116">
      <w:rPr>
        <w:rStyle w:val="PageNumber"/>
        <w:rFonts w:eastAsiaTheme="majorEastAsia"/>
        <w:noProof/>
      </w:rPr>
      <w:t>38</w:t>
    </w:r>
    <w:r>
      <w:rPr>
        <w:rStyle w:val="PageNumber"/>
        <w:rFonts w:eastAsiaTheme="majorEastAsia"/>
      </w:rPr>
      <w:fldChar w:fldCharType="end"/>
    </w:r>
  </w:p>
  <w:p w:rsidR="00BC1116" w:rsidRDefault="00BC1116" w:rsidP="00040D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16" w:rsidRDefault="00BC1116" w:rsidP="00040D3F">
    <w:pPr>
      <w:pStyle w:val="Header"/>
      <w:framePr w:wrap="around" w:vAnchor="text" w:hAnchor="margin" w:xAlign="right" w:y="1"/>
      <w:rPr>
        <w:rStyle w:val="PageNumber"/>
        <w:rFonts w:eastAsiaTheme="majorEastAsia"/>
      </w:rPr>
    </w:pPr>
  </w:p>
  <w:p w:rsidR="00BC1116" w:rsidRDefault="00BC1116" w:rsidP="00040D3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16" w:rsidRDefault="00BC1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8FA"/>
    <w:multiLevelType w:val="hybridMultilevel"/>
    <w:tmpl w:val="D974DDA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35" w:hanging="360"/>
      </w:pPr>
      <w:rPr>
        <w:rFonts w:ascii="Courier New" w:hAnsi="Courier New" w:cs="Courier New" w:hint="default"/>
      </w:rPr>
    </w:lvl>
    <w:lvl w:ilvl="2" w:tplc="14090005" w:tentative="1">
      <w:start w:val="1"/>
      <w:numFmt w:val="bullet"/>
      <w:lvlText w:val=""/>
      <w:lvlJc w:val="left"/>
      <w:pPr>
        <w:ind w:left="585" w:hanging="360"/>
      </w:pPr>
      <w:rPr>
        <w:rFonts w:ascii="Wingdings" w:hAnsi="Wingdings" w:hint="default"/>
      </w:rPr>
    </w:lvl>
    <w:lvl w:ilvl="3" w:tplc="14090001" w:tentative="1">
      <w:start w:val="1"/>
      <w:numFmt w:val="bullet"/>
      <w:lvlText w:val=""/>
      <w:lvlJc w:val="left"/>
      <w:pPr>
        <w:ind w:left="1305" w:hanging="360"/>
      </w:pPr>
      <w:rPr>
        <w:rFonts w:ascii="Symbol" w:hAnsi="Symbol" w:hint="default"/>
      </w:rPr>
    </w:lvl>
    <w:lvl w:ilvl="4" w:tplc="14090003" w:tentative="1">
      <w:start w:val="1"/>
      <w:numFmt w:val="bullet"/>
      <w:lvlText w:val="o"/>
      <w:lvlJc w:val="left"/>
      <w:pPr>
        <w:ind w:left="2025" w:hanging="360"/>
      </w:pPr>
      <w:rPr>
        <w:rFonts w:ascii="Courier New" w:hAnsi="Courier New" w:cs="Courier New" w:hint="default"/>
      </w:rPr>
    </w:lvl>
    <w:lvl w:ilvl="5" w:tplc="14090005" w:tentative="1">
      <w:start w:val="1"/>
      <w:numFmt w:val="bullet"/>
      <w:lvlText w:val=""/>
      <w:lvlJc w:val="left"/>
      <w:pPr>
        <w:ind w:left="2745" w:hanging="360"/>
      </w:pPr>
      <w:rPr>
        <w:rFonts w:ascii="Wingdings" w:hAnsi="Wingdings" w:hint="default"/>
      </w:rPr>
    </w:lvl>
    <w:lvl w:ilvl="6" w:tplc="14090001" w:tentative="1">
      <w:start w:val="1"/>
      <w:numFmt w:val="bullet"/>
      <w:lvlText w:val=""/>
      <w:lvlJc w:val="left"/>
      <w:pPr>
        <w:ind w:left="3465" w:hanging="360"/>
      </w:pPr>
      <w:rPr>
        <w:rFonts w:ascii="Symbol" w:hAnsi="Symbol" w:hint="default"/>
      </w:rPr>
    </w:lvl>
    <w:lvl w:ilvl="7" w:tplc="14090003" w:tentative="1">
      <w:start w:val="1"/>
      <w:numFmt w:val="bullet"/>
      <w:lvlText w:val="o"/>
      <w:lvlJc w:val="left"/>
      <w:pPr>
        <w:ind w:left="4185" w:hanging="360"/>
      </w:pPr>
      <w:rPr>
        <w:rFonts w:ascii="Courier New" w:hAnsi="Courier New" w:cs="Courier New" w:hint="default"/>
      </w:rPr>
    </w:lvl>
    <w:lvl w:ilvl="8" w:tplc="14090005" w:tentative="1">
      <w:start w:val="1"/>
      <w:numFmt w:val="bullet"/>
      <w:lvlText w:val=""/>
      <w:lvlJc w:val="left"/>
      <w:pPr>
        <w:ind w:left="4905" w:hanging="360"/>
      </w:pPr>
      <w:rPr>
        <w:rFonts w:ascii="Wingdings" w:hAnsi="Wingdings" w:hint="default"/>
      </w:rPr>
    </w:lvl>
  </w:abstractNum>
  <w:abstractNum w:abstractNumId="1">
    <w:nsid w:val="03F037DD"/>
    <w:multiLevelType w:val="hybridMultilevel"/>
    <w:tmpl w:val="CB4EF59E"/>
    <w:lvl w:ilvl="0" w:tplc="B2DA5CE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4509E3"/>
    <w:multiLevelType w:val="hybridMultilevel"/>
    <w:tmpl w:val="FC0630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7328FA"/>
    <w:multiLevelType w:val="hybridMultilevel"/>
    <w:tmpl w:val="910A8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BC37F5"/>
    <w:multiLevelType w:val="hybridMultilevel"/>
    <w:tmpl w:val="0A12BFE4"/>
    <w:lvl w:ilvl="0" w:tplc="8908B210">
      <w:start w:val="1"/>
      <w:numFmt w:val="decimal"/>
      <w:lvlText w:val="%1."/>
      <w:lvlJc w:val="left"/>
      <w:pPr>
        <w:tabs>
          <w:tab w:val="num" w:pos="360"/>
        </w:tabs>
        <w:ind w:left="360" w:hanging="360"/>
      </w:pPr>
      <w:rPr>
        <w:rFonts w:hint="default"/>
        <w:b/>
      </w:rPr>
    </w:lvl>
    <w:lvl w:ilvl="1" w:tplc="E9CCC598">
      <w:start w:val="1"/>
      <w:numFmt w:val="decimal"/>
      <w:lvlText w:val="(%2)"/>
      <w:lvlJc w:val="left"/>
      <w:pPr>
        <w:tabs>
          <w:tab w:val="num" w:pos="360"/>
        </w:tabs>
        <w:ind w:left="360" w:hanging="360"/>
      </w:pPr>
      <w:rPr>
        <w:rFonts w:hint="default"/>
      </w:rPr>
    </w:lvl>
    <w:lvl w:ilvl="2" w:tplc="4DA41530">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A7E2954"/>
    <w:multiLevelType w:val="hybridMultilevel"/>
    <w:tmpl w:val="6E1A5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B282ED1"/>
    <w:multiLevelType w:val="hybridMultilevel"/>
    <w:tmpl w:val="89982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763635"/>
    <w:multiLevelType w:val="hybridMultilevel"/>
    <w:tmpl w:val="E8B402F0"/>
    <w:lvl w:ilvl="0" w:tplc="40DEE90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931EC9"/>
    <w:multiLevelType w:val="hybridMultilevel"/>
    <w:tmpl w:val="B0B24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D2D26DF"/>
    <w:multiLevelType w:val="hybridMultilevel"/>
    <w:tmpl w:val="31E6C652"/>
    <w:lvl w:ilvl="0" w:tplc="14090001">
      <w:start w:val="1"/>
      <w:numFmt w:val="bullet"/>
      <w:lvlText w:val=""/>
      <w:lvlJc w:val="left"/>
      <w:pPr>
        <w:ind w:left="360" w:hanging="360"/>
      </w:pPr>
      <w:rPr>
        <w:rFonts w:ascii="Symbol" w:hAnsi="Symbol" w:hint="default"/>
      </w:rPr>
    </w:lvl>
    <w:lvl w:ilvl="1" w:tplc="08D08AD6">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E91002D"/>
    <w:multiLevelType w:val="hybridMultilevel"/>
    <w:tmpl w:val="01A6A47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0F1E2DEA"/>
    <w:multiLevelType w:val="hybridMultilevel"/>
    <w:tmpl w:val="DD243380"/>
    <w:lvl w:ilvl="0" w:tplc="006C9476">
      <w:start w:val="1"/>
      <w:numFmt w:val="bullet"/>
      <w:lvlText w:val=""/>
      <w:lvlJc w:val="left"/>
      <w:pPr>
        <w:ind w:left="360" w:hanging="360"/>
      </w:pPr>
      <w:rPr>
        <w:rFonts w:ascii="Wingdings" w:hAnsi="Wingdings" w:hint="default"/>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6C41D3C"/>
    <w:multiLevelType w:val="hybridMultilevel"/>
    <w:tmpl w:val="BB0EBB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8C15E32"/>
    <w:multiLevelType w:val="hybridMultilevel"/>
    <w:tmpl w:val="8E561BF2"/>
    <w:lvl w:ilvl="0" w:tplc="D59053D0">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5AD08F8"/>
    <w:multiLevelType w:val="hybridMultilevel"/>
    <w:tmpl w:val="934664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5B24DD0"/>
    <w:multiLevelType w:val="hybridMultilevel"/>
    <w:tmpl w:val="EFB49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6346244"/>
    <w:multiLevelType w:val="hybridMultilevel"/>
    <w:tmpl w:val="A2C6F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95A1BB2"/>
    <w:multiLevelType w:val="hybridMultilevel"/>
    <w:tmpl w:val="4B904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99E4B89"/>
    <w:multiLevelType w:val="hybridMultilevel"/>
    <w:tmpl w:val="F4D409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9F01327"/>
    <w:multiLevelType w:val="hybridMultilevel"/>
    <w:tmpl w:val="B2EC9656"/>
    <w:lvl w:ilvl="0" w:tplc="F174432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D4C6B90"/>
    <w:multiLevelType w:val="hybridMultilevel"/>
    <w:tmpl w:val="7AFED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DD15E42"/>
    <w:multiLevelType w:val="hybridMultilevel"/>
    <w:tmpl w:val="2D72EAFE"/>
    <w:lvl w:ilvl="0" w:tplc="AC4AFF10">
      <w:start w:val="1"/>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5000F0F"/>
    <w:multiLevelType w:val="hybridMultilevel"/>
    <w:tmpl w:val="44FCE032"/>
    <w:lvl w:ilvl="0" w:tplc="7C72A0BE">
      <w:start w:val="1"/>
      <w:numFmt w:val="bullet"/>
      <w:lvlText w:val=""/>
      <w:lvlJc w:val="left"/>
      <w:pPr>
        <w:ind w:left="360" w:hanging="360"/>
      </w:pPr>
      <w:rPr>
        <w:rFonts w:ascii="Wingdings" w:hAnsi="Wingdings" w:hint="default"/>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7B732D7"/>
    <w:multiLevelType w:val="hybridMultilevel"/>
    <w:tmpl w:val="4D6CA9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9621D49"/>
    <w:multiLevelType w:val="hybridMultilevel"/>
    <w:tmpl w:val="797AAA9E"/>
    <w:lvl w:ilvl="0" w:tplc="69425FF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9D84A30"/>
    <w:multiLevelType w:val="hybridMultilevel"/>
    <w:tmpl w:val="B930DA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A6442FF"/>
    <w:multiLevelType w:val="hybridMultilevel"/>
    <w:tmpl w:val="FCD07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C2F08EF"/>
    <w:multiLevelType w:val="hybridMultilevel"/>
    <w:tmpl w:val="14BEFF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C9A0FF1"/>
    <w:multiLevelType w:val="hybridMultilevel"/>
    <w:tmpl w:val="2766D358"/>
    <w:lvl w:ilvl="0" w:tplc="BC0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E2665FF"/>
    <w:multiLevelType w:val="hybridMultilevel"/>
    <w:tmpl w:val="4E547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2155EB0"/>
    <w:multiLevelType w:val="hybridMultilevel"/>
    <w:tmpl w:val="C04A8956"/>
    <w:lvl w:ilvl="0" w:tplc="D41C419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1">
    <w:nsid w:val="47C636FC"/>
    <w:multiLevelType w:val="hybridMultilevel"/>
    <w:tmpl w:val="37400A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BF24C1F"/>
    <w:multiLevelType w:val="hybridMultilevel"/>
    <w:tmpl w:val="4A0E5A28"/>
    <w:lvl w:ilvl="0" w:tplc="E0D87F2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4ED918C3"/>
    <w:multiLevelType w:val="hybridMultilevel"/>
    <w:tmpl w:val="A7F618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4EED32B0"/>
    <w:multiLevelType w:val="hybridMultilevel"/>
    <w:tmpl w:val="804A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2F0267"/>
    <w:multiLevelType w:val="hybridMultilevel"/>
    <w:tmpl w:val="B51228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05216D6"/>
    <w:multiLevelType w:val="hybridMultilevel"/>
    <w:tmpl w:val="59A2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9579FA"/>
    <w:multiLevelType w:val="hybridMultilevel"/>
    <w:tmpl w:val="1F2096C6"/>
    <w:lvl w:ilvl="0" w:tplc="F3F8044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537C7368"/>
    <w:multiLevelType w:val="hybridMultilevel"/>
    <w:tmpl w:val="7DACC9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5422762B"/>
    <w:multiLevelType w:val="hybridMultilevel"/>
    <w:tmpl w:val="462206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599032AE"/>
    <w:multiLevelType w:val="hybridMultilevel"/>
    <w:tmpl w:val="774C121E"/>
    <w:lvl w:ilvl="0" w:tplc="40DEE908">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5B3C5211"/>
    <w:multiLevelType w:val="hybridMultilevel"/>
    <w:tmpl w:val="0D2A6C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5D380A9F"/>
    <w:multiLevelType w:val="hybridMultilevel"/>
    <w:tmpl w:val="371CBE78"/>
    <w:lvl w:ilvl="0" w:tplc="9FC87C0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0014D0B"/>
    <w:multiLevelType w:val="hybridMultilevel"/>
    <w:tmpl w:val="E1C6F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60137AAB"/>
    <w:multiLevelType w:val="hybridMultilevel"/>
    <w:tmpl w:val="7CFC3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0253169"/>
    <w:multiLevelType w:val="hybridMultilevel"/>
    <w:tmpl w:val="7BF6F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644B6CD0"/>
    <w:multiLevelType w:val="hybridMultilevel"/>
    <w:tmpl w:val="7D14F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646B3241"/>
    <w:multiLevelType w:val="hybridMultilevel"/>
    <w:tmpl w:val="60503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659F5480"/>
    <w:multiLevelType w:val="hybridMultilevel"/>
    <w:tmpl w:val="8BB4E60E"/>
    <w:lvl w:ilvl="0" w:tplc="CAE683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665B0D41"/>
    <w:multiLevelType w:val="hybridMultilevel"/>
    <w:tmpl w:val="47F261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6CE02322"/>
    <w:multiLevelType w:val="hybridMultilevel"/>
    <w:tmpl w:val="CA247110"/>
    <w:lvl w:ilvl="0" w:tplc="4A88917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nsid w:val="6D2B50C0"/>
    <w:multiLevelType w:val="hybridMultilevel"/>
    <w:tmpl w:val="55562170"/>
    <w:lvl w:ilvl="0" w:tplc="1BE4CCA2">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2">
    <w:nsid w:val="718B228C"/>
    <w:multiLevelType w:val="hybridMultilevel"/>
    <w:tmpl w:val="0B087786"/>
    <w:lvl w:ilvl="0" w:tplc="5E385EA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721437CB"/>
    <w:multiLevelType w:val="hybridMultilevel"/>
    <w:tmpl w:val="39A02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nsid w:val="72FE58EB"/>
    <w:multiLevelType w:val="hybridMultilevel"/>
    <w:tmpl w:val="EABCE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nsid w:val="74EF5743"/>
    <w:multiLevelType w:val="hybridMultilevel"/>
    <w:tmpl w:val="35EADF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79AD3510"/>
    <w:multiLevelType w:val="hybridMultilevel"/>
    <w:tmpl w:val="E25A52D8"/>
    <w:lvl w:ilvl="0" w:tplc="7FC8C36E">
      <w:start w:val="15"/>
      <w:numFmt w:val="decimal"/>
      <w:lvlText w:val="%1."/>
      <w:lvlJc w:val="left"/>
      <w:pPr>
        <w:ind w:left="0" w:hanging="360"/>
      </w:pPr>
      <w:rPr>
        <w:rFonts w:hint="default"/>
        <w:b/>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7">
    <w:nsid w:val="7A074275"/>
    <w:multiLevelType w:val="multilevel"/>
    <w:tmpl w:val="9B9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EB178C"/>
    <w:multiLevelType w:val="hybridMultilevel"/>
    <w:tmpl w:val="07C695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7F8A2C80"/>
    <w:multiLevelType w:val="hybridMultilevel"/>
    <w:tmpl w:val="C016C14E"/>
    <w:lvl w:ilvl="0" w:tplc="14090001">
      <w:start w:val="1"/>
      <w:numFmt w:val="bullet"/>
      <w:lvlText w:val=""/>
      <w:lvlJc w:val="left"/>
      <w:pPr>
        <w:ind w:left="-305" w:hanging="360"/>
      </w:pPr>
      <w:rPr>
        <w:rFonts w:ascii="Symbol" w:hAnsi="Symbol" w:hint="default"/>
      </w:rPr>
    </w:lvl>
    <w:lvl w:ilvl="1" w:tplc="14090003" w:tentative="1">
      <w:start w:val="1"/>
      <w:numFmt w:val="bullet"/>
      <w:lvlText w:val="o"/>
      <w:lvlJc w:val="left"/>
      <w:pPr>
        <w:ind w:left="415" w:hanging="360"/>
      </w:pPr>
      <w:rPr>
        <w:rFonts w:ascii="Courier New" w:hAnsi="Courier New" w:cs="Courier New" w:hint="default"/>
      </w:rPr>
    </w:lvl>
    <w:lvl w:ilvl="2" w:tplc="14090005" w:tentative="1">
      <w:start w:val="1"/>
      <w:numFmt w:val="bullet"/>
      <w:lvlText w:val=""/>
      <w:lvlJc w:val="left"/>
      <w:pPr>
        <w:ind w:left="1135" w:hanging="360"/>
      </w:pPr>
      <w:rPr>
        <w:rFonts w:ascii="Wingdings" w:hAnsi="Wingdings" w:hint="default"/>
      </w:rPr>
    </w:lvl>
    <w:lvl w:ilvl="3" w:tplc="14090001" w:tentative="1">
      <w:start w:val="1"/>
      <w:numFmt w:val="bullet"/>
      <w:lvlText w:val=""/>
      <w:lvlJc w:val="left"/>
      <w:pPr>
        <w:ind w:left="1855" w:hanging="360"/>
      </w:pPr>
      <w:rPr>
        <w:rFonts w:ascii="Symbol" w:hAnsi="Symbol" w:hint="default"/>
      </w:rPr>
    </w:lvl>
    <w:lvl w:ilvl="4" w:tplc="14090003" w:tentative="1">
      <w:start w:val="1"/>
      <w:numFmt w:val="bullet"/>
      <w:lvlText w:val="o"/>
      <w:lvlJc w:val="left"/>
      <w:pPr>
        <w:ind w:left="2575" w:hanging="360"/>
      </w:pPr>
      <w:rPr>
        <w:rFonts w:ascii="Courier New" w:hAnsi="Courier New" w:cs="Courier New" w:hint="default"/>
      </w:rPr>
    </w:lvl>
    <w:lvl w:ilvl="5" w:tplc="14090005" w:tentative="1">
      <w:start w:val="1"/>
      <w:numFmt w:val="bullet"/>
      <w:lvlText w:val=""/>
      <w:lvlJc w:val="left"/>
      <w:pPr>
        <w:ind w:left="3295" w:hanging="360"/>
      </w:pPr>
      <w:rPr>
        <w:rFonts w:ascii="Wingdings" w:hAnsi="Wingdings" w:hint="default"/>
      </w:rPr>
    </w:lvl>
    <w:lvl w:ilvl="6" w:tplc="14090001" w:tentative="1">
      <w:start w:val="1"/>
      <w:numFmt w:val="bullet"/>
      <w:lvlText w:val=""/>
      <w:lvlJc w:val="left"/>
      <w:pPr>
        <w:ind w:left="4015" w:hanging="360"/>
      </w:pPr>
      <w:rPr>
        <w:rFonts w:ascii="Symbol" w:hAnsi="Symbol" w:hint="default"/>
      </w:rPr>
    </w:lvl>
    <w:lvl w:ilvl="7" w:tplc="14090003" w:tentative="1">
      <w:start w:val="1"/>
      <w:numFmt w:val="bullet"/>
      <w:lvlText w:val="o"/>
      <w:lvlJc w:val="left"/>
      <w:pPr>
        <w:ind w:left="4735" w:hanging="360"/>
      </w:pPr>
      <w:rPr>
        <w:rFonts w:ascii="Courier New" w:hAnsi="Courier New" w:cs="Courier New" w:hint="default"/>
      </w:rPr>
    </w:lvl>
    <w:lvl w:ilvl="8" w:tplc="14090005" w:tentative="1">
      <w:start w:val="1"/>
      <w:numFmt w:val="bullet"/>
      <w:lvlText w:val=""/>
      <w:lvlJc w:val="left"/>
      <w:pPr>
        <w:ind w:left="5455" w:hanging="360"/>
      </w:pPr>
      <w:rPr>
        <w:rFonts w:ascii="Wingdings" w:hAnsi="Wingdings" w:hint="default"/>
      </w:rPr>
    </w:lvl>
  </w:abstractNum>
  <w:abstractNum w:abstractNumId="60">
    <w:nsid w:val="7F9A155C"/>
    <w:multiLevelType w:val="hybridMultilevel"/>
    <w:tmpl w:val="3806C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7FAA6F8E"/>
    <w:multiLevelType w:val="multilevel"/>
    <w:tmpl w:val="D4F8DF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nsid w:val="7FB16E9C"/>
    <w:multiLevelType w:val="hybridMultilevel"/>
    <w:tmpl w:val="2A28C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9"/>
  </w:num>
  <w:num w:numId="4">
    <w:abstractNumId w:val="33"/>
  </w:num>
  <w:num w:numId="5">
    <w:abstractNumId w:val="34"/>
  </w:num>
  <w:num w:numId="6">
    <w:abstractNumId w:val="8"/>
  </w:num>
  <w:num w:numId="7">
    <w:abstractNumId w:val="44"/>
  </w:num>
  <w:num w:numId="8">
    <w:abstractNumId w:val="36"/>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53"/>
  </w:num>
  <w:num w:numId="12">
    <w:abstractNumId w:val="45"/>
  </w:num>
  <w:num w:numId="13">
    <w:abstractNumId w:val="16"/>
  </w:num>
  <w:num w:numId="14">
    <w:abstractNumId w:val="43"/>
  </w:num>
  <w:num w:numId="15">
    <w:abstractNumId w:val="49"/>
  </w:num>
  <w:num w:numId="16">
    <w:abstractNumId w:val="29"/>
  </w:num>
  <w:num w:numId="17">
    <w:abstractNumId w:val="2"/>
  </w:num>
  <w:num w:numId="18">
    <w:abstractNumId w:val="41"/>
  </w:num>
  <w:num w:numId="19">
    <w:abstractNumId w:val="39"/>
  </w:num>
  <w:num w:numId="20">
    <w:abstractNumId w:val="14"/>
  </w:num>
  <w:num w:numId="21">
    <w:abstractNumId w:val="47"/>
  </w:num>
  <w:num w:numId="22">
    <w:abstractNumId w:val="5"/>
  </w:num>
  <w:num w:numId="23">
    <w:abstractNumId w:val="10"/>
  </w:num>
  <w:num w:numId="24">
    <w:abstractNumId w:val="26"/>
  </w:num>
  <w:num w:numId="25">
    <w:abstractNumId w:val="11"/>
  </w:num>
  <w:num w:numId="26">
    <w:abstractNumId w:val="22"/>
  </w:num>
  <w:num w:numId="27">
    <w:abstractNumId w:val="0"/>
  </w:num>
  <w:num w:numId="28">
    <w:abstractNumId w:val="4"/>
  </w:num>
  <w:num w:numId="29">
    <w:abstractNumId w:val="30"/>
  </w:num>
  <w:num w:numId="30">
    <w:abstractNumId w:val="19"/>
  </w:num>
  <w:num w:numId="31">
    <w:abstractNumId w:val="1"/>
  </w:num>
  <w:num w:numId="32">
    <w:abstractNumId w:val="24"/>
  </w:num>
  <w:num w:numId="33">
    <w:abstractNumId w:val="50"/>
  </w:num>
  <w:num w:numId="34">
    <w:abstractNumId w:val="52"/>
  </w:num>
  <w:num w:numId="35">
    <w:abstractNumId w:val="42"/>
  </w:num>
  <w:num w:numId="36">
    <w:abstractNumId w:val="37"/>
  </w:num>
  <w:num w:numId="37">
    <w:abstractNumId w:val="32"/>
  </w:num>
  <w:num w:numId="38">
    <w:abstractNumId w:val="13"/>
  </w:num>
  <w:num w:numId="39">
    <w:abstractNumId w:val="21"/>
  </w:num>
  <w:num w:numId="40">
    <w:abstractNumId w:val="28"/>
  </w:num>
  <w:num w:numId="41">
    <w:abstractNumId w:val="51"/>
  </w:num>
  <w:num w:numId="42">
    <w:abstractNumId w:val="56"/>
  </w:num>
  <w:num w:numId="43">
    <w:abstractNumId w:val="17"/>
  </w:num>
  <w:num w:numId="44">
    <w:abstractNumId w:val="15"/>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2"/>
  </w:num>
  <w:num w:numId="54">
    <w:abstractNumId w:val="40"/>
  </w:num>
  <w:num w:numId="55">
    <w:abstractNumId w:val="38"/>
  </w:num>
  <w:num w:numId="56">
    <w:abstractNumId w:val="20"/>
  </w:num>
  <w:num w:numId="57">
    <w:abstractNumId w:val="23"/>
  </w:num>
  <w:num w:numId="58">
    <w:abstractNumId w:val="27"/>
  </w:num>
  <w:num w:numId="59">
    <w:abstractNumId w:val="57"/>
  </w:num>
  <w:num w:numId="60">
    <w:abstractNumId w:val="25"/>
  </w:num>
  <w:num w:numId="61">
    <w:abstractNumId w:val="3"/>
  </w:num>
  <w:num w:numId="62">
    <w:abstractNumId w:val="46"/>
  </w:num>
  <w:num w:numId="63">
    <w:abstractNumId w:val="54"/>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92">
      <o:colormenu v:ext="edit" strokecolor="none"/>
    </o:shapedefaults>
    <o:shapelayout v:ext="edit">
      <o:rules v:ext="edit">
        <o:r id="V:Rule2" type="connector" idref="#_x0000_s2087"/>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C8"/>
    <w:rsid w:val="0000586C"/>
    <w:rsid w:val="00005901"/>
    <w:rsid w:val="00016332"/>
    <w:rsid w:val="00022EE7"/>
    <w:rsid w:val="00033BBD"/>
    <w:rsid w:val="00033EA0"/>
    <w:rsid w:val="00040D3F"/>
    <w:rsid w:val="00046D13"/>
    <w:rsid w:val="00050566"/>
    <w:rsid w:val="00061B41"/>
    <w:rsid w:val="00064E1B"/>
    <w:rsid w:val="000730DB"/>
    <w:rsid w:val="00085BEB"/>
    <w:rsid w:val="0009685C"/>
    <w:rsid w:val="00097524"/>
    <w:rsid w:val="000B7BA0"/>
    <w:rsid w:val="000C2A0A"/>
    <w:rsid w:val="000D233D"/>
    <w:rsid w:val="000D518E"/>
    <w:rsid w:val="000E1190"/>
    <w:rsid w:val="000E6856"/>
    <w:rsid w:val="000F2061"/>
    <w:rsid w:val="000F2381"/>
    <w:rsid w:val="001125F7"/>
    <w:rsid w:val="00112CCE"/>
    <w:rsid w:val="00116B5A"/>
    <w:rsid w:val="0012092E"/>
    <w:rsid w:val="00122A7A"/>
    <w:rsid w:val="00136C7A"/>
    <w:rsid w:val="0014487C"/>
    <w:rsid w:val="00145507"/>
    <w:rsid w:val="00154A45"/>
    <w:rsid w:val="00162CD5"/>
    <w:rsid w:val="00163C51"/>
    <w:rsid w:val="0017024B"/>
    <w:rsid w:val="001A353E"/>
    <w:rsid w:val="001A36C6"/>
    <w:rsid w:val="001A6A31"/>
    <w:rsid w:val="001B0300"/>
    <w:rsid w:val="001B51AB"/>
    <w:rsid w:val="001B769E"/>
    <w:rsid w:val="001E236F"/>
    <w:rsid w:val="001E34CE"/>
    <w:rsid w:val="001F15A8"/>
    <w:rsid w:val="001F7212"/>
    <w:rsid w:val="00200B16"/>
    <w:rsid w:val="00204450"/>
    <w:rsid w:val="00207308"/>
    <w:rsid w:val="002127F2"/>
    <w:rsid w:val="002225F6"/>
    <w:rsid w:val="00223740"/>
    <w:rsid w:val="00223E25"/>
    <w:rsid w:val="0022685E"/>
    <w:rsid w:val="00232A28"/>
    <w:rsid w:val="002346DF"/>
    <w:rsid w:val="002368D0"/>
    <w:rsid w:val="00237C76"/>
    <w:rsid w:val="0024706A"/>
    <w:rsid w:val="00250980"/>
    <w:rsid w:val="00286635"/>
    <w:rsid w:val="00292FCB"/>
    <w:rsid w:val="00294200"/>
    <w:rsid w:val="00294202"/>
    <w:rsid w:val="002B3810"/>
    <w:rsid w:val="002D5BCE"/>
    <w:rsid w:val="002D6160"/>
    <w:rsid w:val="002E163B"/>
    <w:rsid w:val="002F1709"/>
    <w:rsid w:val="00304772"/>
    <w:rsid w:val="00311F07"/>
    <w:rsid w:val="0031511A"/>
    <w:rsid w:val="00324194"/>
    <w:rsid w:val="003252C6"/>
    <w:rsid w:val="00331F00"/>
    <w:rsid w:val="00347906"/>
    <w:rsid w:val="00356E0F"/>
    <w:rsid w:val="00364E8C"/>
    <w:rsid w:val="003671EF"/>
    <w:rsid w:val="00371EF6"/>
    <w:rsid w:val="00374FAC"/>
    <w:rsid w:val="00382E00"/>
    <w:rsid w:val="00385E71"/>
    <w:rsid w:val="00386766"/>
    <w:rsid w:val="00387BD2"/>
    <w:rsid w:val="003A4AC4"/>
    <w:rsid w:val="003B7271"/>
    <w:rsid w:val="003C1995"/>
    <w:rsid w:val="003C1C49"/>
    <w:rsid w:val="003E69E7"/>
    <w:rsid w:val="003E757D"/>
    <w:rsid w:val="003E7F1B"/>
    <w:rsid w:val="003F13AC"/>
    <w:rsid w:val="003F2CF4"/>
    <w:rsid w:val="003F6764"/>
    <w:rsid w:val="00400179"/>
    <w:rsid w:val="00407F24"/>
    <w:rsid w:val="00420B0D"/>
    <w:rsid w:val="00422C15"/>
    <w:rsid w:val="00425A22"/>
    <w:rsid w:val="00461F0D"/>
    <w:rsid w:val="00462B1D"/>
    <w:rsid w:val="00472B7F"/>
    <w:rsid w:val="004731D6"/>
    <w:rsid w:val="00475CE8"/>
    <w:rsid w:val="00486AE7"/>
    <w:rsid w:val="004A3257"/>
    <w:rsid w:val="004C07AE"/>
    <w:rsid w:val="004C2F6D"/>
    <w:rsid w:val="004D2DED"/>
    <w:rsid w:val="004D4FA2"/>
    <w:rsid w:val="004E3793"/>
    <w:rsid w:val="004E413D"/>
    <w:rsid w:val="004E5AF7"/>
    <w:rsid w:val="004E76D5"/>
    <w:rsid w:val="004F7950"/>
    <w:rsid w:val="00507CA5"/>
    <w:rsid w:val="005142C6"/>
    <w:rsid w:val="00523AAB"/>
    <w:rsid w:val="005323CF"/>
    <w:rsid w:val="00535476"/>
    <w:rsid w:val="005428D0"/>
    <w:rsid w:val="00554171"/>
    <w:rsid w:val="00566FA3"/>
    <w:rsid w:val="00583AA7"/>
    <w:rsid w:val="00585AF5"/>
    <w:rsid w:val="00585D41"/>
    <w:rsid w:val="00596ADE"/>
    <w:rsid w:val="00596FF9"/>
    <w:rsid w:val="00597450"/>
    <w:rsid w:val="005A69EA"/>
    <w:rsid w:val="005D2117"/>
    <w:rsid w:val="005D5F2C"/>
    <w:rsid w:val="005E207C"/>
    <w:rsid w:val="005E3E78"/>
    <w:rsid w:val="00605BE9"/>
    <w:rsid w:val="00611E8F"/>
    <w:rsid w:val="00626C63"/>
    <w:rsid w:val="0063258E"/>
    <w:rsid w:val="006410A8"/>
    <w:rsid w:val="00644C0B"/>
    <w:rsid w:val="00651381"/>
    <w:rsid w:val="006657F4"/>
    <w:rsid w:val="00666835"/>
    <w:rsid w:val="00672D9F"/>
    <w:rsid w:val="00680064"/>
    <w:rsid w:val="0068735E"/>
    <w:rsid w:val="00687574"/>
    <w:rsid w:val="006A08CB"/>
    <w:rsid w:val="006B52A7"/>
    <w:rsid w:val="006B58D2"/>
    <w:rsid w:val="006C2548"/>
    <w:rsid w:val="006C4C68"/>
    <w:rsid w:val="006D17BE"/>
    <w:rsid w:val="006D2A07"/>
    <w:rsid w:val="006D405D"/>
    <w:rsid w:val="006D5728"/>
    <w:rsid w:val="006E34F4"/>
    <w:rsid w:val="006F06F8"/>
    <w:rsid w:val="006F17C8"/>
    <w:rsid w:val="0070261F"/>
    <w:rsid w:val="00724D5C"/>
    <w:rsid w:val="00732414"/>
    <w:rsid w:val="00744E41"/>
    <w:rsid w:val="007474AB"/>
    <w:rsid w:val="00754BFB"/>
    <w:rsid w:val="00761E14"/>
    <w:rsid w:val="007672C3"/>
    <w:rsid w:val="0078171C"/>
    <w:rsid w:val="007A10CF"/>
    <w:rsid w:val="007A1A5B"/>
    <w:rsid w:val="007D4F08"/>
    <w:rsid w:val="007E2F39"/>
    <w:rsid w:val="007E7902"/>
    <w:rsid w:val="007F0B35"/>
    <w:rsid w:val="00815CC3"/>
    <w:rsid w:val="0082407A"/>
    <w:rsid w:val="008419D0"/>
    <w:rsid w:val="008457F0"/>
    <w:rsid w:val="00845A78"/>
    <w:rsid w:val="0085039D"/>
    <w:rsid w:val="0087697B"/>
    <w:rsid w:val="00881195"/>
    <w:rsid w:val="008B691A"/>
    <w:rsid w:val="008D2EB3"/>
    <w:rsid w:val="008D493E"/>
    <w:rsid w:val="008F2404"/>
    <w:rsid w:val="0090135C"/>
    <w:rsid w:val="00907C7B"/>
    <w:rsid w:val="00914921"/>
    <w:rsid w:val="00917818"/>
    <w:rsid w:val="0093419B"/>
    <w:rsid w:val="00947147"/>
    <w:rsid w:val="009512CA"/>
    <w:rsid w:val="00961FCE"/>
    <w:rsid w:val="009664A4"/>
    <w:rsid w:val="009732AF"/>
    <w:rsid w:val="00985113"/>
    <w:rsid w:val="0099177F"/>
    <w:rsid w:val="0099536C"/>
    <w:rsid w:val="00997B54"/>
    <w:rsid w:val="009A5612"/>
    <w:rsid w:val="009B12A0"/>
    <w:rsid w:val="009B324F"/>
    <w:rsid w:val="009B577C"/>
    <w:rsid w:val="009B7210"/>
    <w:rsid w:val="009E6FD2"/>
    <w:rsid w:val="009F03B2"/>
    <w:rsid w:val="009F1C6F"/>
    <w:rsid w:val="009F7EA7"/>
    <w:rsid w:val="00A020D9"/>
    <w:rsid w:val="00A12299"/>
    <w:rsid w:val="00A236CF"/>
    <w:rsid w:val="00A36AEE"/>
    <w:rsid w:val="00A377A0"/>
    <w:rsid w:val="00A47974"/>
    <w:rsid w:val="00A53524"/>
    <w:rsid w:val="00A55633"/>
    <w:rsid w:val="00A80D61"/>
    <w:rsid w:val="00A9099D"/>
    <w:rsid w:val="00A92F79"/>
    <w:rsid w:val="00AD1E7D"/>
    <w:rsid w:val="00AD745F"/>
    <w:rsid w:val="00AD788A"/>
    <w:rsid w:val="00AF2C8C"/>
    <w:rsid w:val="00AF30B5"/>
    <w:rsid w:val="00AF346D"/>
    <w:rsid w:val="00AF4C09"/>
    <w:rsid w:val="00B0113B"/>
    <w:rsid w:val="00B03EB4"/>
    <w:rsid w:val="00B22FCE"/>
    <w:rsid w:val="00B25D5D"/>
    <w:rsid w:val="00B37751"/>
    <w:rsid w:val="00B60DB9"/>
    <w:rsid w:val="00B61848"/>
    <w:rsid w:val="00B70A94"/>
    <w:rsid w:val="00B74F20"/>
    <w:rsid w:val="00B74FFB"/>
    <w:rsid w:val="00B839D1"/>
    <w:rsid w:val="00B94E0C"/>
    <w:rsid w:val="00BB6ED6"/>
    <w:rsid w:val="00BC1116"/>
    <w:rsid w:val="00BF0AEA"/>
    <w:rsid w:val="00C041CB"/>
    <w:rsid w:val="00C06D6A"/>
    <w:rsid w:val="00C1079B"/>
    <w:rsid w:val="00C17327"/>
    <w:rsid w:val="00C21A5A"/>
    <w:rsid w:val="00C230D7"/>
    <w:rsid w:val="00C24221"/>
    <w:rsid w:val="00C40154"/>
    <w:rsid w:val="00C4035F"/>
    <w:rsid w:val="00C55EB4"/>
    <w:rsid w:val="00C82F13"/>
    <w:rsid w:val="00C87BEA"/>
    <w:rsid w:val="00C918A4"/>
    <w:rsid w:val="00CB6549"/>
    <w:rsid w:val="00CC06AB"/>
    <w:rsid w:val="00CC264F"/>
    <w:rsid w:val="00CD2BD9"/>
    <w:rsid w:val="00CD352D"/>
    <w:rsid w:val="00CD7E8A"/>
    <w:rsid w:val="00CE7C72"/>
    <w:rsid w:val="00D14A47"/>
    <w:rsid w:val="00D151A1"/>
    <w:rsid w:val="00D2174C"/>
    <w:rsid w:val="00D31935"/>
    <w:rsid w:val="00D371F1"/>
    <w:rsid w:val="00D56F5C"/>
    <w:rsid w:val="00D57C88"/>
    <w:rsid w:val="00D62579"/>
    <w:rsid w:val="00D62735"/>
    <w:rsid w:val="00D640BA"/>
    <w:rsid w:val="00D7058E"/>
    <w:rsid w:val="00D70C73"/>
    <w:rsid w:val="00D91E11"/>
    <w:rsid w:val="00D9550A"/>
    <w:rsid w:val="00DA2BBB"/>
    <w:rsid w:val="00DB1409"/>
    <w:rsid w:val="00DC40BD"/>
    <w:rsid w:val="00DC65ED"/>
    <w:rsid w:val="00DD2C61"/>
    <w:rsid w:val="00DD69B2"/>
    <w:rsid w:val="00DE6153"/>
    <w:rsid w:val="00E00686"/>
    <w:rsid w:val="00E021DB"/>
    <w:rsid w:val="00E022D0"/>
    <w:rsid w:val="00E0286A"/>
    <w:rsid w:val="00E045F9"/>
    <w:rsid w:val="00E069D0"/>
    <w:rsid w:val="00E16461"/>
    <w:rsid w:val="00E27E09"/>
    <w:rsid w:val="00E46EC3"/>
    <w:rsid w:val="00E63DBF"/>
    <w:rsid w:val="00E678AA"/>
    <w:rsid w:val="00E72AE5"/>
    <w:rsid w:val="00E87628"/>
    <w:rsid w:val="00E907AB"/>
    <w:rsid w:val="00EA63CF"/>
    <w:rsid w:val="00EB04C6"/>
    <w:rsid w:val="00EB6320"/>
    <w:rsid w:val="00EB7830"/>
    <w:rsid w:val="00EC69B1"/>
    <w:rsid w:val="00ED4AE4"/>
    <w:rsid w:val="00ED601B"/>
    <w:rsid w:val="00EE2266"/>
    <w:rsid w:val="00EF2D73"/>
    <w:rsid w:val="00EF4BC8"/>
    <w:rsid w:val="00F0042A"/>
    <w:rsid w:val="00F065EE"/>
    <w:rsid w:val="00F26520"/>
    <w:rsid w:val="00F347E0"/>
    <w:rsid w:val="00F34980"/>
    <w:rsid w:val="00F50B41"/>
    <w:rsid w:val="00F5390D"/>
    <w:rsid w:val="00F53BD8"/>
    <w:rsid w:val="00F61963"/>
    <w:rsid w:val="00F65543"/>
    <w:rsid w:val="00F800B2"/>
    <w:rsid w:val="00FA7030"/>
    <w:rsid w:val="00FD0E92"/>
    <w:rsid w:val="00FD2516"/>
    <w:rsid w:val="00FD473C"/>
    <w:rsid w:val="00FD55B8"/>
    <w:rsid w:val="00FF5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9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C8"/>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B25D5D"/>
    <w:pPr>
      <w:keepNext/>
      <w:keepLines/>
      <w:spacing w:before="480"/>
      <w:outlineLvl w:val="0"/>
    </w:pPr>
    <w:rPr>
      <w:rFonts w:asciiTheme="majorHAnsi" w:eastAsiaTheme="majorEastAsia" w:hAnsiTheme="majorHAnsi" w:cstheme="majorBidi"/>
      <w:b/>
      <w:bCs/>
      <w:color w:val="079EC9" w:themeColor="accent1" w:themeShade="BF"/>
      <w:sz w:val="28"/>
      <w:szCs w:val="28"/>
    </w:rPr>
  </w:style>
  <w:style w:type="paragraph" w:styleId="Heading2">
    <w:name w:val="heading 2"/>
    <w:basedOn w:val="Normal"/>
    <w:next w:val="Normal"/>
    <w:link w:val="Heading2Char"/>
    <w:uiPriority w:val="9"/>
    <w:semiHidden/>
    <w:unhideWhenUsed/>
    <w:qFormat/>
    <w:rsid w:val="00D14A47"/>
    <w:pPr>
      <w:keepNext/>
      <w:keepLines/>
      <w:spacing w:before="200"/>
      <w:outlineLvl w:val="1"/>
    </w:pPr>
    <w:rPr>
      <w:rFonts w:asciiTheme="majorHAnsi" w:eastAsiaTheme="majorEastAsia" w:hAnsiTheme="majorHAnsi" w:cstheme="majorBidi"/>
      <w:b/>
      <w:bCs/>
      <w:color w:val="20C8F7" w:themeColor="accent1"/>
      <w:sz w:val="26"/>
      <w:szCs w:val="26"/>
    </w:rPr>
  </w:style>
  <w:style w:type="paragraph" w:styleId="Heading3">
    <w:name w:val="heading 3"/>
    <w:basedOn w:val="Normal"/>
    <w:next w:val="Normal"/>
    <w:link w:val="Heading3Char"/>
    <w:uiPriority w:val="9"/>
    <w:semiHidden/>
    <w:unhideWhenUsed/>
    <w:qFormat/>
    <w:rsid w:val="0078171C"/>
    <w:pPr>
      <w:keepNext/>
      <w:keepLines/>
      <w:spacing w:before="200"/>
      <w:outlineLvl w:val="2"/>
    </w:pPr>
    <w:rPr>
      <w:rFonts w:asciiTheme="majorHAnsi" w:eastAsiaTheme="majorEastAsia" w:hAnsiTheme="majorHAnsi" w:cstheme="majorBidi"/>
      <w:b/>
      <w:bCs/>
      <w:color w:val="20C8F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C8"/>
    <w:pPr>
      <w:ind w:left="720"/>
      <w:contextualSpacing/>
    </w:pPr>
  </w:style>
  <w:style w:type="character" w:customStyle="1" w:styleId="Heading1Char">
    <w:name w:val="Heading 1 Char"/>
    <w:basedOn w:val="DefaultParagraphFont"/>
    <w:link w:val="Heading1"/>
    <w:uiPriority w:val="9"/>
    <w:rsid w:val="00B25D5D"/>
    <w:rPr>
      <w:rFonts w:asciiTheme="majorHAnsi" w:eastAsiaTheme="majorEastAsia" w:hAnsiTheme="majorHAnsi" w:cstheme="majorBidi"/>
      <w:b/>
      <w:bCs/>
      <w:color w:val="079EC9" w:themeColor="accent1" w:themeShade="BF"/>
      <w:sz w:val="28"/>
      <w:szCs w:val="28"/>
      <w:lang w:val="en-GB"/>
    </w:rPr>
  </w:style>
  <w:style w:type="paragraph" w:styleId="TOCHeading">
    <w:name w:val="TOC Heading"/>
    <w:basedOn w:val="Heading1"/>
    <w:next w:val="Normal"/>
    <w:uiPriority w:val="39"/>
    <w:unhideWhenUsed/>
    <w:qFormat/>
    <w:rsid w:val="00B25D5D"/>
    <w:pPr>
      <w:spacing w:line="276" w:lineRule="auto"/>
      <w:outlineLvl w:val="9"/>
    </w:pPr>
    <w:rPr>
      <w:lang w:val="en-US"/>
    </w:rPr>
  </w:style>
  <w:style w:type="paragraph" w:styleId="TOC1">
    <w:name w:val="toc 1"/>
    <w:basedOn w:val="Normal"/>
    <w:next w:val="Normal"/>
    <w:autoRedefine/>
    <w:uiPriority w:val="39"/>
    <w:unhideWhenUsed/>
    <w:rsid w:val="00B25D5D"/>
    <w:pPr>
      <w:spacing w:after="100"/>
    </w:pPr>
  </w:style>
  <w:style w:type="character" w:styleId="Hyperlink">
    <w:name w:val="Hyperlink"/>
    <w:basedOn w:val="DefaultParagraphFont"/>
    <w:uiPriority w:val="99"/>
    <w:unhideWhenUsed/>
    <w:rsid w:val="00B25D5D"/>
    <w:rPr>
      <w:color w:val="E2D700" w:themeColor="hyperlink"/>
      <w:u w:val="single"/>
    </w:rPr>
  </w:style>
  <w:style w:type="table" w:styleId="MediumGrid3-Accent2">
    <w:name w:val="Medium Grid 3 Accent 2"/>
    <w:basedOn w:val="TableNormal"/>
    <w:uiPriority w:val="69"/>
    <w:rsid w:val="005323C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paragraph" w:styleId="Header">
    <w:name w:val="header"/>
    <w:basedOn w:val="Normal"/>
    <w:link w:val="HeaderChar"/>
    <w:uiPriority w:val="99"/>
    <w:unhideWhenUsed/>
    <w:rsid w:val="005323CF"/>
    <w:pPr>
      <w:tabs>
        <w:tab w:val="center" w:pos="4513"/>
        <w:tab w:val="right" w:pos="9026"/>
      </w:tabs>
    </w:pPr>
  </w:style>
  <w:style w:type="character" w:customStyle="1" w:styleId="HeaderChar">
    <w:name w:val="Header Char"/>
    <w:basedOn w:val="DefaultParagraphFont"/>
    <w:link w:val="Header"/>
    <w:uiPriority w:val="99"/>
    <w:rsid w:val="005323CF"/>
    <w:rPr>
      <w:rFonts w:ascii="Arial" w:eastAsia="Times New Roman" w:hAnsi="Arial" w:cs="Times New Roman"/>
      <w:sz w:val="24"/>
      <w:szCs w:val="24"/>
      <w:lang w:val="en-GB"/>
    </w:rPr>
  </w:style>
  <w:style w:type="paragraph" w:styleId="Footer">
    <w:name w:val="footer"/>
    <w:basedOn w:val="Normal"/>
    <w:link w:val="FooterChar"/>
    <w:unhideWhenUsed/>
    <w:rsid w:val="005323CF"/>
    <w:pPr>
      <w:tabs>
        <w:tab w:val="center" w:pos="4513"/>
        <w:tab w:val="right" w:pos="9026"/>
      </w:tabs>
    </w:pPr>
  </w:style>
  <w:style w:type="character" w:customStyle="1" w:styleId="FooterChar">
    <w:name w:val="Footer Char"/>
    <w:basedOn w:val="DefaultParagraphFont"/>
    <w:link w:val="Footer"/>
    <w:rsid w:val="005323CF"/>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5323CF"/>
    <w:rPr>
      <w:rFonts w:ascii="Tahoma" w:hAnsi="Tahoma" w:cs="Tahoma"/>
      <w:sz w:val="16"/>
      <w:szCs w:val="16"/>
    </w:rPr>
  </w:style>
  <w:style w:type="character" w:customStyle="1" w:styleId="BalloonTextChar">
    <w:name w:val="Balloon Text Char"/>
    <w:basedOn w:val="DefaultParagraphFont"/>
    <w:link w:val="BalloonText"/>
    <w:uiPriority w:val="99"/>
    <w:semiHidden/>
    <w:rsid w:val="005323CF"/>
    <w:rPr>
      <w:rFonts w:ascii="Tahoma" w:eastAsia="Times New Roman" w:hAnsi="Tahoma" w:cs="Tahoma"/>
      <w:sz w:val="16"/>
      <w:szCs w:val="16"/>
      <w:lang w:val="en-GB"/>
    </w:rPr>
  </w:style>
  <w:style w:type="paragraph" w:styleId="NoSpacing">
    <w:name w:val="No Spacing"/>
    <w:link w:val="NoSpacingChar"/>
    <w:uiPriority w:val="1"/>
    <w:qFormat/>
    <w:rsid w:val="005323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3CF"/>
    <w:rPr>
      <w:rFonts w:eastAsiaTheme="minorEastAsia"/>
      <w:lang w:val="en-US"/>
    </w:rPr>
  </w:style>
  <w:style w:type="paragraph" w:styleId="BodyText">
    <w:name w:val="Body Text"/>
    <w:basedOn w:val="Normal"/>
    <w:link w:val="BodyTextChar"/>
    <w:uiPriority w:val="99"/>
    <w:rsid w:val="00D14A47"/>
    <w:pPr>
      <w:spacing w:after="120"/>
      <w:jc w:val="both"/>
    </w:pPr>
    <w:rPr>
      <w:rFonts w:ascii="Times New Roman" w:hAnsi="Times New Roman"/>
      <w:lang w:val="en-NZ" w:eastAsia="en-NZ"/>
    </w:rPr>
  </w:style>
  <w:style w:type="character" w:customStyle="1" w:styleId="BodyTextChar">
    <w:name w:val="Body Text Char"/>
    <w:basedOn w:val="DefaultParagraphFont"/>
    <w:link w:val="BodyText"/>
    <w:uiPriority w:val="99"/>
    <w:rsid w:val="00D14A47"/>
    <w:rPr>
      <w:rFonts w:ascii="Times New Roman" w:eastAsia="Times New Roman" w:hAnsi="Times New Roman" w:cs="Times New Roman"/>
      <w:sz w:val="24"/>
      <w:szCs w:val="24"/>
      <w:lang w:eastAsia="en-NZ"/>
    </w:rPr>
  </w:style>
  <w:style w:type="paragraph" w:customStyle="1" w:styleId="Sectionheading">
    <w:name w:val="Section heading"/>
    <w:basedOn w:val="Heading2"/>
    <w:uiPriority w:val="99"/>
    <w:rsid w:val="00D14A47"/>
    <w:pPr>
      <w:keepLines w:val="0"/>
      <w:tabs>
        <w:tab w:val="num" w:pos="360"/>
      </w:tabs>
      <w:spacing w:before="240" w:after="60"/>
      <w:ind w:left="360" w:hanging="360"/>
    </w:pPr>
    <w:rPr>
      <w:rFonts w:ascii="Arial" w:eastAsia="Times New Roman" w:hAnsi="Arial" w:cs="Arial"/>
      <w:i/>
      <w:iCs/>
      <w:color w:val="auto"/>
      <w:lang w:val="en-NZ" w:eastAsia="en-NZ"/>
    </w:rPr>
  </w:style>
  <w:style w:type="character" w:customStyle="1" w:styleId="Heading2Char">
    <w:name w:val="Heading 2 Char"/>
    <w:basedOn w:val="DefaultParagraphFont"/>
    <w:link w:val="Heading2"/>
    <w:uiPriority w:val="9"/>
    <w:semiHidden/>
    <w:rsid w:val="00D14A47"/>
    <w:rPr>
      <w:rFonts w:asciiTheme="majorHAnsi" w:eastAsiaTheme="majorEastAsia" w:hAnsiTheme="majorHAnsi" w:cstheme="majorBidi"/>
      <w:b/>
      <w:bCs/>
      <w:color w:val="20C8F7" w:themeColor="accent1"/>
      <w:sz w:val="26"/>
      <w:szCs w:val="26"/>
      <w:lang w:val="en-GB"/>
    </w:rPr>
  </w:style>
  <w:style w:type="paragraph" w:styleId="FootnoteText">
    <w:name w:val="footnote text"/>
    <w:aliases w:val="Note de bas de page2,Текст сноски Знак"/>
    <w:basedOn w:val="Normal"/>
    <w:link w:val="FootnoteTextChar"/>
    <w:unhideWhenUsed/>
    <w:rsid w:val="00D14A47"/>
    <w:rPr>
      <w:rFonts w:eastAsiaTheme="minorHAnsi" w:cstheme="minorBidi"/>
      <w:sz w:val="20"/>
      <w:szCs w:val="20"/>
      <w:lang w:val="en-NZ"/>
    </w:rPr>
  </w:style>
  <w:style w:type="character" w:customStyle="1" w:styleId="FootnoteTextChar">
    <w:name w:val="Footnote Text Char"/>
    <w:aliases w:val="Note de bas de page2 Char,Текст сноски Знак Char"/>
    <w:basedOn w:val="DefaultParagraphFont"/>
    <w:link w:val="FootnoteText"/>
    <w:rsid w:val="00D14A47"/>
    <w:rPr>
      <w:rFonts w:ascii="Arial" w:hAnsi="Arial"/>
      <w:sz w:val="20"/>
      <w:szCs w:val="20"/>
    </w:rPr>
  </w:style>
  <w:style w:type="character" w:styleId="FootnoteReference">
    <w:name w:val="footnote reference"/>
    <w:basedOn w:val="DefaultParagraphFont"/>
    <w:uiPriority w:val="99"/>
    <w:unhideWhenUsed/>
    <w:rsid w:val="00D14A47"/>
    <w:rPr>
      <w:vertAlign w:val="superscript"/>
    </w:rPr>
  </w:style>
  <w:style w:type="table" w:styleId="TableGrid">
    <w:name w:val="Table Grid"/>
    <w:basedOn w:val="TableNormal"/>
    <w:uiPriority w:val="59"/>
    <w:rsid w:val="00D14A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A47"/>
    <w:pPr>
      <w:autoSpaceDE w:val="0"/>
      <w:autoSpaceDN w:val="0"/>
      <w:adjustRightInd w:val="0"/>
      <w:spacing w:after="0" w:line="240" w:lineRule="auto"/>
    </w:pPr>
    <w:rPr>
      <w:rFonts w:ascii="Verdana" w:hAnsi="Verdana" w:cs="Verdana"/>
      <w:color w:val="000000"/>
      <w:sz w:val="24"/>
      <w:szCs w:val="24"/>
    </w:rPr>
  </w:style>
  <w:style w:type="table" w:styleId="MediumGrid1-Accent1">
    <w:name w:val="Medium Grid 1 Accent 1"/>
    <w:basedOn w:val="TableNormal"/>
    <w:uiPriority w:val="67"/>
    <w:rsid w:val="00D14A47"/>
    <w:pPr>
      <w:spacing w:after="0" w:line="240" w:lineRule="auto"/>
    </w:p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insideV w:val="single" w:sz="8" w:space="0" w:color="57D5F9" w:themeColor="accent1" w:themeTint="BF"/>
      </w:tblBorders>
      <w:tblCellMar>
        <w:top w:w="0" w:type="dxa"/>
        <w:left w:w="108" w:type="dxa"/>
        <w:bottom w:w="0" w:type="dxa"/>
        <w:right w:w="108" w:type="dxa"/>
      </w:tblCellMar>
    </w:tblPr>
    <w:tcPr>
      <w:shd w:val="clear" w:color="auto" w:fill="C7F1FD" w:themeFill="accent1" w:themeFillTint="3F"/>
    </w:tcPr>
    <w:tblStylePr w:type="firstRow">
      <w:rPr>
        <w:b/>
        <w:bCs/>
      </w:rPr>
    </w:tblStylePr>
    <w:tblStylePr w:type="lastRow">
      <w:rPr>
        <w:b/>
        <w:bCs/>
      </w:rPr>
      <w:tblPr/>
      <w:tcPr>
        <w:tcBorders>
          <w:top w:val="single" w:sz="18" w:space="0" w:color="57D5F9" w:themeColor="accent1" w:themeTint="BF"/>
        </w:tcBorders>
      </w:tcPr>
    </w:tblStylePr>
    <w:tblStylePr w:type="firstCol">
      <w:rPr>
        <w:b/>
        <w:bCs/>
      </w:rPr>
    </w:tblStylePr>
    <w:tblStylePr w:type="lastCol">
      <w:rPr>
        <w:b/>
        <w:bCs/>
      </w:rPr>
    </w:tblStylePr>
    <w:tblStylePr w:type="band1Vert">
      <w:tblPr/>
      <w:tcPr>
        <w:shd w:val="clear" w:color="auto" w:fill="8FE3FB" w:themeFill="accent1" w:themeFillTint="7F"/>
      </w:tcPr>
    </w:tblStylePr>
    <w:tblStylePr w:type="band1Horz">
      <w:tblPr/>
      <w:tcPr>
        <w:shd w:val="clear" w:color="auto" w:fill="8FE3FB" w:themeFill="accent1" w:themeFillTint="7F"/>
      </w:tcPr>
    </w:tblStylePr>
  </w:style>
  <w:style w:type="paragraph" w:styleId="NormalWeb">
    <w:name w:val="Normal (Web)"/>
    <w:basedOn w:val="Normal"/>
    <w:uiPriority w:val="99"/>
    <w:rsid w:val="00D14A47"/>
    <w:pPr>
      <w:spacing w:before="100" w:beforeAutospacing="1" w:after="100" w:afterAutospacing="1"/>
    </w:pPr>
    <w:rPr>
      <w:rFonts w:ascii="Times New Roman" w:hAnsi="Times New Roman"/>
      <w:color w:val="000000"/>
      <w:lang w:eastAsia="en-GB"/>
    </w:rPr>
  </w:style>
  <w:style w:type="paragraph" w:styleId="PlainText">
    <w:name w:val="Plain Text"/>
    <w:basedOn w:val="Normal"/>
    <w:link w:val="PlainTextChar"/>
    <w:uiPriority w:val="99"/>
    <w:unhideWhenUsed/>
    <w:rsid w:val="00D14A47"/>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D14A47"/>
    <w:rPr>
      <w:rFonts w:ascii="Consolas" w:hAnsi="Consolas"/>
      <w:sz w:val="21"/>
      <w:szCs w:val="21"/>
    </w:rPr>
  </w:style>
  <w:style w:type="character" w:customStyle="1" w:styleId="A3">
    <w:name w:val="A3"/>
    <w:uiPriority w:val="99"/>
    <w:rsid w:val="006410A8"/>
    <w:rPr>
      <w:rFonts w:cs="Adobe Caslon Pro"/>
      <w:color w:val="000000"/>
      <w:sz w:val="12"/>
      <w:szCs w:val="12"/>
    </w:rPr>
  </w:style>
  <w:style w:type="table" w:styleId="MediumShading1-Accent5">
    <w:name w:val="Medium Shading 1 Accent 5"/>
    <w:basedOn w:val="TableNormal"/>
    <w:uiPriority w:val="63"/>
    <w:rsid w:val="006410A8"/>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410A8"/>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EB04C6"/>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CellMar>
        <w:top w:w="0" w:type="dxa"/>
        <w:left w:w="108" w:type="dxa"/>
        <w:bottom w:w="0" w:type="dxa"/>
        <w:right w:w="108" w:type="dxa"/>
      </w:tblCellMar>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3">
    <w:name w:val="Medium Grid 1 Accent 3"/>
    <w:basedOn w:val="TableNormal"/>
    <w:uiPriority w:val="67"/>
    <w:rsid w:val="00EB04C6"/>
    <w:pPr>
      <w:spacing w:after="0" w:line="240" w:lineRule="auto"/>
    </w:pPr>
    <w:tblPr>
      <w:tblStyleRowBandSize w:val="1"/>
      <w:tblStyleColBandSize w:val="1"/>
      <w:tblInd w:w="0" w:type="dxa"/>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CellMar>
        <w:top w:w="0" w:type="dxa"/>
        <w:left w:w="108" w:type="dxa"/>
        <w:bottom w:w="0" w:type="dxa"/>
        <w:right w:w="108" w:type="dxa"/>
      </w:tblCellMar>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2">
    <w:name w:val="Medium Grid 1 Accent 2"/>
    <w:basedOn w:val="TableNormal"/>
    <w:uiPriority w:val="67"/>
    <w:rsid w:val="00EB04C6"/>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character" w:customStyle="1" w:styleId="highlightedsearchterm">
    <w:name w:val="highlightedsearchterm"/>
    <w:basedOn w:val="DefaultParagraphFont"/>
    <w:rsid w:val="0000586C"/>
  </w:style>
  <w:style w:type="paragraph" w:customStyle="1" w:styleId="Pa14">
    <w:name w:val="Pa14"/>
    <w:basedOn w:val="Default"/>
    <w:next w:val="Default"/>
    <w:rsid w:val="00523AAB"/>
    <w:pPr>
      <w:spacing w:after="440" w:line="171" w:lineRule="atLeast"/>
    </w:pPr>
    <w:rPr>
      <w:rFonts w:ascii="XUSGUM+Interstate-LightCondense" w:eastAsia="Times New Roman" w:hAnsi="XUSGUM+Interstate-LightCondense" w:cs="Times New Roman"/>
      <w:color w:val="auto"/>
      <w:lang w:val="en-GB" w:eastAsia="en-GB"/>
    </w:rPr>
  </w:style>
  <w:style w:type="character" w:customStyle="1" w:styleId="A23">
    <w:name w:val="A23"/>
    <w:rsid w:val="00523AAB"/>
    <w:rPr>
      <w:rFonts w:ascii="WMIAGO+Interstate-BoldCondensed" w:hAnsi="WMIAGO+Interstate-BoldCondensed" w:cs="WMIAGO+Interstate-BoldCondensed"/>
      <w:color w:val="000000"/>
    </w:rPr>
  </w:style>
  <w:style w:type="character" w:customStyle="1" w:styleId="A24">
    <w:name w:val="A24"/>
    <w:rsid w:val="00523AAB"/>
    <w:rPr>
      <w:rFonts w:cs="XUSGUM+Interstate-LightCondense"/>
      <w:color w:val="000000"/>
      <w:sz w:val="57"/>
      <w:szCs w:val="57"/>
    </w:rPr>
  </w:style>
  <w:style w:type="character" w:customStyle="1" w:styleId="A25">
    <w:name w:val="A25"/>
    <w:rsid w:val="00523AAB"/>
    <w:rPr>
      <w:rFonts w:ascii="OELEYE+Interstate-Light" w:hAnsi="OELEYE+Interstate-Light" w:cs="OELEYE+Interstate-Light"/>
      <w:color w:val="000000"/>
    </w:rPr>
  </w:style>
  <w:style w:type="paragraph" w:customStyle="1" w:styleId="Pa17">
    <w:name w:val="Pa17"/>
    <w:basedOn w:val="Default"/>
    <w:next w:val="Default"/>
    <w:rsid w:val="00523AAB"/>
    <w:pPr>
      <w:spacing w:after="200" w:line="171" w:lineRule="atLeast"/>
    </w:pPr>
    <w:rPr>
      <w:rFonts w:ascii="XUSGUM+Interstate-LightCondense" w:eastAsia="Times New Roman" w:hAnsi="XUSGUM+Interstate-LightCondense" w:cs="Times New Roman"/>
      <w:color w:val="auto"/>
      <w:lang w:val="en-GB" w:eastAsia="en-GB"/>
    </w:rPr>
  </w:style>
  <w:style w:type="table" w:styleId="MediumGrid3-Accent1">
    <w:name w:val="Medium Grid 3 Accent 1"/>
    <w:basedOn w:val="TableNormal"/>
    <w:uiPriority w:val="69"/>
    <w:rsid w:val="00B70A94"/>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F1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C8F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C8F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C8F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C8F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3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3FB" w:themeFill="accent1" w:themeFillTint="7F"/>
      </w:tcPr>
    </w:tblStylePr>
  </w:style>
  <w:style w:type="character" w:styleId="IntenseEmphasis">
    <w:name w:val="Intense Emphasis"/>
    <w:basedOn w:val="DefaultParagraphFont"/>
    <w:uiPriority w:val="21"/>
    <w:qFormat/>
    <w:rsid w:val="00B70A94"/>
    <w:rPr>
      <w:b/>
      <w:bCs/>
      <w:i/>
      <w:iCs/>
      <w:color w:val="20C8F7" w:themeColor="accent1"/>
    </w:rPr>
  </w:style>
  <w:style w:type="table" w:customStyle="1" w:styleId="MediumShading1-Accent11">
    <w:name w:val="Medium Shading 1 - Accent 11"/>
    <w:basedOn w:val="TableNormal"/>
    <w:uiPriority w:val="63"/>
    <w:rsid w:val="00BB6ED6"/>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D5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294202"/>
  </w:style>
  <w:style w:type="character" w:customStyle="1" w:styleId="Heading3Char">
    <w:name w:val="Heading 3 Char"/>
    <w:basedOn w:val="DefaultParagraphFont"/>
    <w:link w:val="Heading3"/>
    <w:uiPriority w:val="9"/>
    <w:semiHidden/>
    <w:rsid w:val="0078171C"/>
    <w:rPr>
      <w:rFonts w:asciiTheme="majorHAnsi" w:eastAsiaTheme="majorEastAsia" w:hAnsiTheme="majorHAnsi" w:cstheme="majorBidi"/>
      <w:b/>
      <w:bCs/>
      <w:color w:val="20C8F7" w:themeColor="accent1"/>
      <w:sz w:val="24"/>
      <w:szCs w:val="24"/>
      <w:lang w:val="en-GB"/>
    </w:rPr>
  </w:style>
  <w:style w:type="character" w:styleId="Emphasis">
    <w:name w:val="Emphasis"/>
    <w:basedOn w:val="DefaultParagraphFont"/>
    <w:uiPriority w:val="20"/>
    <w:qFormat/>
    <w:rsid w:val="0078171C"/>
    <w:rPr>
      <w:i/>
      <w:iCs/>
    </w:rPr>
  </w:style>
  <w:style w:type="table" w:customStyle="1" w:styleId="MediumShading1-Accent110">
    <w:name w:val="Medium Shading 1 - Accent 11"/>
    <w:basedOn w:val="TableNormal"/>
    <w:uiPriority w:val="63"/>
    <w:rsid w:val="00061B41"/>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46D13"/>
    <w:rPr>
      <w:color w:val="85DFD0" w:themeColor="followedHyperlink"/>
      <w:u w:val="single"/>
    </w:rPr>
  </w:style>
  <w:style w:type="character" w:styleId="Strong">
    <w:name w:val="Strong"/>
    <w:basedOn w:val="DefaultParagraphFont"/>
    <w:qFormat/>
    <w:rsid w:val="00651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C8"/>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B25D5D"/>
    <w:pPr>
      <w:keepNext/>
      <w:keepLines/>
      <w:spacing w:before="480"/>
      <w:outlineLvl w:val="0"/>
    </w:pPr>
    <w:rPr>
      <w:rFonts w:asciiTheme="majorHAnsi" w:eastAsiaTheme="majorEastAsia" w:hAnsiTheme="majorHAnsi" w:cstheme="majorBidi"/>
      <w:b/>
      <w:bCs/>
      <w:color w:val="079EC9" w:themeColor="accent1" w:themeShade="BF"/>
      <w:sz w:val="28"/>
      <w:szCs w:val="28"/>
    </w:rPr>
  </w:style>
  <w:style w:type="paragraph" w:styleId="Heading2">
    <w:name w:val="heading 2"/>
    <w:basedOn w:val="Normal"/>
    <w:next w:val="Normal"/>
    <w:link w:val="Heading2Char"/>
    <w:uiPriority w:val="9"/>
    <w:semiHidden/>
    <w:unhideWhenUsed/>
    <w:qFormat/>
    <w:rsid w:val="00D14A47"/>
    <w:pPr>
      <w:keepNext/>
      <w:keepLines/>
      <w:spacing w:before="200"/>
      <w:outlineLvl w:val="1"/>
    </w:pPr>
    <w:rPr>
      <w:rFonts w:asciiTheme="majorHAnsi" w:eastAsiaTheme="majorEastAsia" w:hAnsiTheme="majorHAnsi" w:cstheme="majorBidi"/>
      <w:b/>
      <w:bCs/>
      <w:color w:val="20C8F7" w:themeColor="accent1"/>
      <w:sz w:val="26"/>
      <w:szCs w:val="26"/>
    </w:rPr>
  </w:style>
  <w:style w:type="paragraph" w:styleId="Heading3">
    <w:name w:val="heading 3"/>
    <w:basedOn w:val="Normal"/>
    <w:next w:val="Normal"/>
    <w:link w:val="Heading3Char"/>
    <w:uiPriority w:val="9"/>
    <w:semiHidden/>
    <w:unhideWhenUsed/>
    <w:qFormat/>
    <w:rsid w:val="0078171C"/>
    <w:pPr>
      <w:keepNext/>
      <w:keepLines/>
      <w:spacing w:before="200"/>
      <w:outlineLvl w:val="2"/>
    </w:pPr>
    <w:rPr>
      <w:rFonts w:asciiTheme="majorHAnsi" w:eastAsiaTheme="majorEastAsia" w:hAnsiTheme="majorHAnsi" w:cstheme="majorBidi"/>
      <w:b/>
      <w:bCs/>
      <w:color w:val="20C8F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C8"/>
    <w:pPr>
      <w:ind w:left="720"/>
      <w:contextualSpacing/>
    </w:pPr>
  </w:style>
  <w:style w:type="character" w:customStyle="1" w:styleId="Heading1Char">
    <w:name w:val="Heading 1 Char"/>
    <w:basedOn w:val="DefaultParagraphFont"/>
    <w:link w:val="Heading1"/>
    <w:uiPriority w:val="9"/>
    <w:rsid w:val="00B25D5D"/>
    <w:rPr>
      <w:rFonts w:asciiTheme="majorHAnsi" w:eastAsiaTheme="majorEastAsia" w:hAnsiTheme="majorHAnsi" w:cstheme="majorBidi"/>
      <w:b/>
      <w:bCs/>
      <w:color w:val="079EC9" w:themeColor="accent1" w:themeShade="BF"/>
      <w:sz w:val="28"/>
      <w:szCs w:val="28"/>
      <w:lang w:val="en-GB"/>
    </w:rPr>
  </w:style>
  <w:style w:type="paragraph" w:styleId="TOCHeading">
    <w:name w:val="TOC Heading"/>
    <w:basedOn w:val="Heading1"/>
    <w:next w:val="Normal"/>
    <w:uiPriority w:val="39"/>
    <w:unhideWhenUsed/>
    <w:qFormat/>
    <w:rsid w:val="00B25D5D"/>
    <w:pPr>
      <w:spacing w:line="276" w:lineRule="auto"/>
      <w:outlineLvl w:val="9"/>
    </w:pPr>
    <w:rPr>
      <w:lang w:val="en-US"/>
    </w:rPr>
  </w:style>
  <w:style w:type="paragraph" w:styleId="TOC1">
    <w:name w:val="toc 1"/>
    <w:basedOn w:val="Normal"/>
    <w:next w:val="Normal"/>
    <w:autoRedefine/>
    <w:uiPriority w:val="39"/>
    <w:unhideWhenUsed/>
    <w:rsid w:val="00B25D5D"/>
    <w:pPr>
      <w:spacing w:after="100"/>
    </w:pPr>
  </w:style>
  <w:style w:type="character" w:styleId="Hyperlink">
    <w:name w:val="Hyperlink"/>
    <w:basedOn w:val="DefaultParagraphFont"/>
    <w:uiPriority w:val="99"/>
    <w:unhideWhenUsed/>
    <w:rsid w:val="00B25D5D"/>
    <w:rPr>
      <w:color w:val="E2D700" w:themeColor="hyperlink"/>
      <w:u w:val="single"/>
    </w:rPr>
  </w:style>
  <w:style w:type="table" w:styleId="MediumGrid3-Accent2">
    <w:name w:val="Medium Grid 3 Accent 2"/>
    <w:basedOn w:val="TableNormal"/>
    <w:uiPriority w:val="69"/>
    <w:rsid w:val="005323C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paragraph" w:styleId="Header">
    <w:name w:val="header"/>
    <w:basedOn w:val="Normal"/>
    <w:link w:val="HeaderChar"/>
    <w:uiPriority w:val="99"/>
    <w:unhideWhenUsed/>
    <w:rsid w:val="005323CF"/>
    <w:pPr>
      <w:tabs>
        <w:tab w:val="center" w:pos="4513"/>
        <w:tab w:val="right" w:pos="9026"/>
      </w:tabs>
    </w:pPr>
  </w:style>
  <w:style w:type="character" w:customStyle="1" w:styleId="HeaderChar">
    <w:name w:val="Header Char"/>
    <w:basedOn w:val="DefaultParagraphFont"/>
    <w:link w:val="Header"/>
    <w:uiPriority w:val="99"/>
    <w:rsid w:val="005323CF"/>
    <w:rPr>
      <w:rFonts w:ascii="Arial" w:eastAsia="Times New Roman" w:hAnsi="Arial" w:cs="Times New Roman"/>
      <w:sz w:val="24"/>
      <w:szCs w:val="24"/>
      <w:lang w:val="en-GB"/>
    </w:rPr>
  </w:style>
  <w:style w:type="paragraph" w:styleId="Footer">
    <w:name w:val="footer"/>
    <w:basedOn w:val="Normal"/>
    <w:link w:val="FooterChar"/>
    <w:unhideWhenUsed/>
    <w:rsid w:val="005323CF"/>
    <w:pPr>
      <w:tabs>
        <w:tab w:val="center" w:pos="4513"/>
        <w:tab w:val="right" w:pos="9026"/>
      </w:tabs>
    </w:pPr>
  </w:style>
  <w:style w:type="character" w:customStyle="1" w:styleId="FooterChar">
    <w:name w:val="Footer Char"/>
    <w:basedOn w:val="DefaultParagraphFont"/>
    <w:link w:val="Footer"/>
    <w:rsid w:val="005323CF"/>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5323CF"/>
    <w:rPr>
      <w:rFonts w:ascii="Tahoma" w:hAnsi="Tahoma" w:cs="Tahoma"/>
      <w:sz w:val="16"/>
      <w:szCs w:val="16"/>
    </w:rPr>
  </w:style>
  <w:style w:type="character" w:customStyle="1" w:styleId="BalloonTextChar">
    <w:name w:val="Balloon Text Char"/>
    <w:basedOn w:val="DefaultParagraphFont"/>
    <w:link w:val="BalloonText"/>
    <w:uiPriority w:val="99"/>
    <w:semiHidden/>
    <w:rsid w:val="005323CF"/>
    <w:rPr>
      <w:rFonts w:ascii="Tahoma" w:eastAsia="Times New Roman" w:hAnsi="Tahoma" w:cs="Tahoma"/>
      <w:sz w:val="16"/>
      <w:szCs w:val="16"/>
      <w:lang w:val="en-GB"/>
    </w:rPr>
  </w:style>
  <w:style w:type="paragraph" w:styleId="NoSpacing">
    <w:name w:val="No Spacing"/>
    <w:link w:val="NoSpacingChar"/>
    <w:uiPriority w:val="1"/>
    <w:qFormat/>
    <w:rsid w:val="005323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3CF"/>
    <w:rPr>
      <w:rFonts w:eastAsiaTheme="minorEastAsia"/>
      <w:lang w:val="en-US"/>
    </w:rPr>
  </w:style>
  <w:style w:type="paragraph" w:styleId="BodyText">
    <w:name w:val="Body Text"/>
    <w:basedOn w:val="Normal"/>
    <w:link w:val="BodyTextChar"/>
    <w:uiPriority w:val="99"/>
    <w:rsid w:val="00D14A47"/>
    <w:pPr>
      <w:spacing w:after="120"/>
      <w:jc w:val="both"/>
    </w:pPr>
    <w:rPr>
      <w:rFonts w:ascii="Times New Roman" w:hAnsi="Times New Roman"/>
      <w:lang w:val="en-NZ" w:eastAsia="en-NZ"/>
    </w:rPr>
  </w:style>
  <w:style w:type="character" w:customStyle="1" w:styleId="BodyTextChar">
    <w:name w:val="Body Text Char"/>
    <w:basedOn w:val="DefaultParagraphFont"/>
    <w:link w:val="BodyText"/>
    <w:uiPriority w:val="99"/>
    <w:rsid w:val="00D14A47"/>
    <w:rPr>
      <w:rFonts w:ascii="Times New Roman" w:eastAsia="Times New Roman" w:hAnsi="Times New Roman" w:cs="Times New Roman"/>
      <w:sz w:val="24"/>
      <w:szCs w:val="24"/>
      <w:lang w:eastAsia="en-NZ"/>
    </w:rPr>
  </w:style>
  <w:style w:type="paragraph" w:customStyle="1" w:styleId="Sectionheading">
    <w:name w:val="Section heading"/>
    <w:basedOn w:val="Heading2"/>
    <w:uiPriority w:val="99"/>
    <w:rsid w:val="00D14A47"/>
    <w:pPr>
      <w:keepLines w:val="0"/>
      <w:tabs>
        <w:tab w:val="num" w:pos="360"/>
      </w:tabs>
      <w:spacing w:before="240" w:after="60"/>
      <w:ind w:left="360" w:hanging="360"/>
    </w:pPr>
    <w:rPr>
      <w:rFonts w:ascii="Arial" w:eastAsia="Times New Roman" w:hAnsi="Arial" w:cs="Arial"/>
      <w:i/>
      <w:iCs/>
      <w:color w:val="auto"/>
      <w:lang w:val="en-NZ" w:eastAsia="en-NZ"/>
    </w:rPr>
  </w:style>
  <w:style w:type="character" w:customStyle="1" w:styleId="Heading2Char">
    <w:name w:val="Heading 2 Char"/>
    <w:basedOn w:val="DefaultParagraphFont"/>
    <w:link w:val="Heading2"/>
    <w:uiPriority w:val="9"/>
    <w:semiHidden/>
    <w:rsid w:val="00D14A47"/>
    <w:rPr>
      <w:rFonts w:asciiTheme="majorHAnsi" w:eastAsiaTheme="majorEastAsia" w:hAnsiTheme="majorHAnsi" w:cstheme="majorBidi"/>
      <w:b/>
      <w:bCs/>
      <w:color w:val="20C8F7" w:themeColor="accent1"/>
      <w:sz w:val="26"/>
      <w:szCs w:val="26"/>
      <w:lang w:val="en-GB"/>
    </w:rPr>
  </w:style>
  <w:style w:type="paragraph" w:styleId="FootnoteText">
    <w:name w:val="footnote text"/>
    <w:aliases w:val="Note de bas de page2,Текст сноски Знак"/>
    <w:basedOn w:val="Normal"/>
    <w:link w:val="FootnoteTextChar"/>
    <w:unhideWhenUsed/>
    <w:rsid w:val="00D14A47"/>
    <w:rPr>
      <w:rFonts w:eastAsiaTheme="minorHAnsi" w:cstheme="minorBidi"/>
      <w:sz w:val="20"/>
      <w:szCs w:val="20"/>
      <w:lang w:val="en-NZ"/>
    </w:rPr>
  </w:style>
  <w:style w:type="character" w:customStyle="1" w:styleId="FootnoteTextChar">
    <w:name w:val="Footnote Text Char"/>
    <w:aliases w:val="Note de bas de page2 Char,Текст сноски Знак Char"/>
    <w:basedOn w:val="DefaultParagraphFont"/>
    <w:link w:val="FootnoteText"/>
    <w:rsid w:val="00D14A47"/>
    <w:rPr>
      <w:rFonts w:ascii="Arial" w:hAnsi="Arial"/>
      <w:sz w:val="20"/>
      <w:szCs w:val="20"/>
    </w:rPr>
  </w:style>
  <w:style w:type="character" w:styleId="FootnoteReference">
    <w:name w:val="footnote reference"/>
    <w:basedOn w:val="DefaultParagraphFont"/>
    <w:uiPriority w:val="99"/>
    <w:unhideWhenUsed/>
    <w:rsid w:val="00D14A47"/>
    <w:rPr>
      <w:vertAlign w:val="superscript"/>
    </w:rPr>
  </w:style>
  <w:style w:type="table" w:styleId="TableGrid">
    <w:name w:val="Table Grid"/>
    <w:basedOn w:val="TableNormal"/>
    <w:uiPriority w:val="59"/>
    <w:rsid w:val="00D14A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A47"/>
    <w:pPr>
      <w:autoSpaceDE w:val="0"/>
      <w:autoSpaceDN w:val="0"/>
      <w:adjustRightInd w:val="0"/>
      <w:spacing w:after="0" w:line="240" w:lineRule="auto"/>
    </w:pPr>
    <w:rPr>
      <w:rFonts w:ascii="Verdana" w:hAnsi="Verdana" w:cs="Verdana"/>
      <w:color w:val="000000"/>
      <w:sz w:val="24"/>
      <w:szCs w:val="24"/>
    </w:rPr>
  </w:style>
  <w:style w:type="table" w:styleId="MediumGrid1-Accent1">
    <w:name w:val="Medium Grid 1 Accent 1"/>
    <w:basedOn w:val="TableNormal"/>
    <w:uiPriority w:val="67"/>
    <w:rsid w:val="00D14A47"/>
    <w:pPr>
      <w:spacing w:after="0" w:line="240" w:lineRule="auto"/>
    </w:p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insideV w:val="single" w:sz="8" w:space="0" w:color="57D5F9" w:themeColor="accent1" w:themeTint="BF"/>
      </w:tblBorders>
      <w:tblCellMar>
        <w:top w:w="0" w:type="dxa"/>
        <w:left w:w="108" w:type="dxa"/>
        <w:bottom w:w="0" w:type="dxa"/>
        <w:right w:w="108" w:type="dxa"/>
      </w:tblCellMar>
    </w:tblPr>
    <w:tcPr>
      <w:shd w:val="clear" w:color="auto" w:fill="C7F1FD" w:themeFill="accent1" w:themeFillTint="3F"/>
    </w:tcPr>
    <w:tblStylePr w:type="firstRow">
      <w:rPr>
        <w:b/>
        <w:bCs/>
      </w:rPr>
    </w:tblStylePr>
    <w:tblStylePr w:type="lastRow">
      <w:rPr>
        <w:b/>
        <w:bCs/>
      </w:rPr>
      <w:tblPr/>
      <w:tcPr>
        <w:tcBorders>
          <w:top w:val="single" w:sz="18" w:space="0" w:color="57D5F9" w:themeColor="accent1" w:themeTint="BF"/>
        </w:tcBorders>
      </w:tcPr>
    </w:tblStylePr>
    <w:tblStylePr w:type="firstCol">
      <w:rPr>
        <w:b/>
        <w:bCs/>
      </w:rPr>
    </w:tblStylePr>
    <w:tblStylePr w:type="lastCol">
      <w:rPr>
        <w:b/>
        <w:bCs/>
      </w:rPr>
    </w:tblStylePr>
    <w:tblStylePr w:type="band1Vert">
      <w:tblPr/>
      <w:tcPr>
        <w:shd w:val="clear" w:color="auto" w:fill="8FE3FB" w:themeFill="accent1" w:themeFillTint="7F"/>
      </w:tcPr>
    </w:tblStylePr>
    <w:tblStylePr w:type="band1Horz">
      <w:tblPr/>
      <w:tcPr>
        <w:shd w:val="clear" w:color="auto" w:fill="8FE3FB" w:themeFill="accent1" w:themeFillTint="7F"/>
      </w:tcPr>
    </w:tblStylePr>
  </w:style>
  <w:style w:type="paragraph" w:styleId="NormalWeb">
    <w:name w:val="Normal (Web)"/>
    <w:basedOn w:val="Normal"/>
    <w:uiPriority w:val="99"/>
    <w:rsid w:val="00D14A47"/>
    <w:pPr>
      <w:spacing w:before="100" w:beforeAutospacing="1" w:after="100" w:afterAutospacing="1"/>
    </w:pPr>
    <w:rPr>
      <w:rFonts w:ascii="Times New Roman" w:hAnsi="Times New Roman"/>
      <w:color w:val="000000"/>
      <w:lang w:eastAsia="en-GB"/>
    </w:rPr>
  </w:style>
  <w:style w:type="paragraph" w:styleId="PlainText">
    <w:name w:val="Plain Text"/>
    <w:basedOn w:val="Normal"/>
    <w:link w:val="PlainTextChar"/>
    <w:uiPriority w:val="99"/>
    <w:unhideWhenUsed/>
    <w:rsid w:val="00D14A47"/>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D14A47"/>
    <w:rPr>
      <w:rFonts w:ascii="Consolas" w:hAnsi="Consolas"/>
      <w:sz w:val="21"/>
      <w:szCs w:val="21"/>
    </w:rPr>
  </w:style>
  <w:style w:type="character" w:customStyle="1" w:styleId="A3">
    <w:name w:val="A3"/>
    <w:uiPriority w:val="99"/>
    <w:rsid w:val="006410A8"/>
    <w:rPr>
      <w:rFonts w:cs="Adobe Caslon Pro"/>
      <w:color w:val="000000"/>
      <w:sz w:val="12"/>
      <w:szCs w:val="12"/>
    </w:rPr>
  </w:style>
  <w:style w:type="table" w:styleId="MediumShading1-Accent5">
    <w:name w:val="Medium Shading 1 Accent 5"/>
    <w:basedOn w:val="TableNormal"/>
    <w:uiPriority w:val="63"/>
    <w:rsid w:val="006410A8"/>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410A8"/>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EB04C6"/>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CellMar>
        <w:top w:w="0" w:type="dxa"/>
        <w:left w:w="108" w:type="dxa"/>
        <w:bottom w:w="0" w:type="dxa"/>
        <w:right w:w="108" w:type="dxa"/>
      </w:tblCellMar>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3">
    <w:name w:val="Medium Grid 1 Accent 3"/>
    <w:basedOn w:val="TableNormal"/>
    <w:uiPriority w:val="67"/>
    <w:rsid w:val="00EB04C6"/>
    <w:pPr>
      <w:spacing w:after="0" w:line="240" w:lineRule="auto"/>
    </w:pPr>
    <w:tblPr>
      <w:tblStyleRowBandSize w:val="1"/>
      <w:tblStyleColBandSize w:val="1"/>
      <w:tblInd w:w="0" w:type="dxa"/>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CellMar>
        <w:top w:w="0" w:type="dxa"/>
        <w:left w:w="108" w:type="dxa"/>
        <w:bottom w:w="0" w:type="dxa"/>
        <w:right w:w="108" w:type="dxa"/>
      </w:tblCellMar>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2">
    <w:name w:val="Medium Grid 1 Accent 2"/>
    <w:basedOn w:val="TableNormal"/>
    <w:uiPriority w:val="67"/>
    <w:rsid w:val="00EB04C6"/>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character" w:customStyle="1" w:styleId="highlightedsearchterm">
    <w:name w:val="highlightedsearchterm"/>
    <w:basedOn w:val="DefaultParagraphFont"/>
    <w:rsid w:val="0000586C"/>
  </w:style>
  <w:style w:type="paragraph" w:customStyle="1" w:styleId="Pa14">
    <w:name w:val="Pa14"/>
    <w:basedOn w:val="Default"/>
    <w:next w:val="Default"/>
    <w:rsid w:val="00523AAB"/>
    <w:pPr>
      <w:spacing w:after="440" w:line="171" w:lineRule="atLeast"/>
    </w:pPr>
    <w:rPr>
      <w:rFonts w:ascii="XUSGUM+Interstate-LightCondense" w:eastAsia="Times New Roman" w:hAnsi="XUSGUM+Interstate-LightCondense" w:cs="Times New Roman"/>
      <w:color w:val="auto"/>
      <w:lang w:val="en-GB" w:eastAsia="en-GB"/>
    </w:rPr>
  </w:style>
  <w:style w:type="character" w:customStyle="1" w:styleId="A23">
    <w:name w:val="A23"/>
    <w:rsid w:val="00523AAB"/>
    <w:rPr>
      <w:rFonts w:ascii="WMIAGO+Interstate-BoldCondensed" w:hAnsi="WMIAGO+Interstate-BoldCondensed" w:cs="WMIAGO+Interstate-BoldCondensed"/>
      <w:color w:val="000000"/>
    </w:rPr>
  </w:style>
  <w:style w:type="character" w:customStyle="1" w:styleId="A24">
    <w:name w:val="A24"/>
    <w:rsid w:val="00523AAB"/>
    <w:rPr>
      <w:rFonts w:cs="XUSGUM+Interstate-LightCondense"/>
      <w:color w:val="000000"/>
      <w:sz w:val="57"/>
      <w:szCs w:val="57"/>
    </w:rPr>
  </w:style>
  <w:style w:type="character" w:customStyle="1" w:styleId="A25">
    <w:name w:val="A25"/>
    <w:rsid w:val="00523AAB"/>
    <w:rPr>
      <w:rFonts w:ascii="OELEYE+Interstate-Light" w:hAnsi="OELEYE+Interstate-Light" w:cs="OELEYE+Interstate-Light"/>
      <w:color w:val="000000"/>
    </w:rPr>
  </w:style>
  <w:style w:type="paragraph" w:customStyle="1" w:styleId="Pa17">
    <w:name w:val="Pa17"/>
    <w:basedOn w:val="Default"/>
    <w:next w:val="Default"/>
    <w:rsid w:val="00523AAB"/>
    <w:pPr>
      <w:spacing w:after="200" w:line="171" w:lineRule="atLeast"/>
    </w:pPr>
    <w:rPr>
      <w:rFonts w:ascii="XUSGUM+Interstate-LightCondense" w:eastAsia="Times New Roman" w:hAnsi="XUSGUM+Interstate-LightCondense" w:cs="Times New Roman"/>
      <w:color w:val="auto"/>
      <w:lang w:val="en-GB" w:eastAsia="en-GB"/>
    </w:rPr>
  </w:style>
  <w:style w:type="table" w:styleId="MediumGrid3-Accent1">
    <w:name w:val="Medium Grid 3 Accent 1"/>
    <w:basedOn w:val="TableNormal"/>
    <w:uiPriority w:val="69"/>
    <w:rsid w:val="00B70A94"/>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F1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C8F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C8F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C8F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C8F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3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3FB" w:themeFill="accent1" w:themeFillTint="7F"/>
      </w:tcPr>
    </w:tblStylePr>
  </w:style>
  <w:style w:type="character" w:styleId="IntenseEmphasis">
    <w:name w:val="Intense Emphasis"/>
    <w:basedOn w:val="DefaultParagraphFont"/>
    <w:uiPriority w:val="21"/>
    <w:qFormat/>
    <w:rsid w:val="00B70A94"/>
    <w:rPr>
      <w:b/>
      <w:bCs/>
      <w:i/>
      <w:iCs/>
      <w:color w:val="20C8F7" w:themeColor="accent1"/>
    </w:rPr>
  </w:style>
  <w:style w:type="table" w:customStyle="1" w:styleId="MediumShading1-Accent11">
    <w:name w:val="Medium Shading 1 - Accent 11"/>
    <w:basedOn w:val="TableNormal"/>
    <w:uiPriority w:val="63"/>
    <w:rsid w:val="00BB6ED6"/>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D5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294202"/>
  </w:style>
  <w:style w:type="character" w:customStyle="1" w:styleId="Heading3Char">
    <w:name w:val="Heading 3 Char"/>
    <w:basedOn w:val="DefaultParagraphFont"/>
    <w:link w:val="Heading3"/>
    <w:uiPriority w:val="9"/>
    <w:semiHidden/>
    <w:rsid w:val="0078171C"/>
    <w:rPr>
      <w:rFonts w:asciiTheme="majorHAnsi" w:eastAsiaTheme="majorEastAsia" w:hAnsiTheme="majorHAnsi" w:cstheme="majorBidi"/>
      <w:b/>
      <w:bCs/>
      <w:color w:val="20C8F7" w:themeColor="accent1"/>
      <w:sz w:val="24"/>
      <w:szCs w:val="24"/>
      <w:lang w:val="en-GB"/>
    </w:rPr>
  </w:style>
  <w:style w:type="character" w:styleId="Emphasis">
    <w:name w:val="Emphasis"/>
    <w:basedOn w:val="DefaultParagraphFont"/>
    <w:uiPriority w:val="20"/>
    <w:qFormat/>
    <w:rsid w:val="0078171C"/>
    <w:rPr>
      <w:i/>
      <w:iCs/>
    </w:rPr>
  </w:style>
  <w:style w:type="table" w:customStyle="1" w:styleId="MediumShading1-Accent110">
    <w:name w:val="Medium Shading 1 - Accent 11"/>
    <w:basedOn w:val="TableNormal"/>
    <w:uiPriority w:val="63"/>
    <w:rsid w:val="00061B41"/>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46D13"/>
    <w:rPr>
      <w:color w:val="85DFD0" w:themeColor="followedHyperlink"/>
      <w:u w:val="single"/>
    </w:rPr>
  </w:style>
  <w:style w:type="character" w:styleId="Strong">
    <w:name w:val="Strong"/>
    <w:basedOn w:val="DefaultParagraphFont"/>
    <w:qFormat/>
    <w:rsid w:val="00651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2990">
      <w:bodyDiv w:val="1"/>
      <w:marLeft w:val="0"/>
      <w:marRight w:val="0"/>
      <w:marTop w:val="0"/>
      <w:marBottom w:val="0"/>
      <w:divBdr>
        <w:top w:val="none" w:sz="0" w:space="0" w:color="auto"/>
        <w:left w:val="none" w:sz="0" w:space="0" w:color="auto"/>
        <w:bottom w:val="none" w:sz="0" w:space="0" w:color="auto"/>
        <w:right w:val="none" w:sz="0" w:space="0" w:color="auto"/>
      </w:divBdr>
      <w:divsChild>
        <w:div w:id="171723628">
          <w:marLeft w:val="0"/>
          <w:marRight w:val="0"/>
          <w:marTop w:val="100"/>
          <w:marBottom w:val="100"/>
          <w:divBdr>
            <w:top w:val="none" w:sz="0" w:space="0" w:color="auto"/>
            <w:left w:val="none" w:sz="0" w:space="0" w:color="auto"/>
            <w:bottom w:val="none" w:sz="0" w:space="0" w:color="auto"/>
            <w:right w:val="none" w:sz="0" w:space="0" w:color="auto"/>
          </w:divBdr>
          <w:divsChild>
            <w:div w:id="737481676">
              <w:marLeft w:val="0"/>
              <w:marRight w:val="0"/>
              <w:marTop w:val="0"/>
              <w:marBottom w:val="0"/>
              <w:divBdr>
                <w:top w:val="none" w:sz="0" w:space="0" w:color="auto"/>
                <w:left w:val="none" w:sz="0" w:space="0" w:color="auto"/>
                <w:bottom w:val="none" w:sz="0" w:space="0" w:color="auto"/>
                <w:right w:val="none" w:sz="0" w:space="0" w:color="auto"/>
              </w:divBdr>
              <w:divsChild>
                <w:div w:id="673799135">
                  <w:marLeft w:val="0"/>
                  <w:marRight w:val="0"/>
                  <w:marTop w:val="0"/>
                  <w:marBottom w:val="0"/>
                  <w:divBdr>
                    <w:top w:val="none" w:sz="0" w:space="0" w:color="auto"/>
                    <w:left w:val="none" w:sz="0" w:space="0" w:color="auto"/>
                    <w:bottom w:val="none" w:sz="0" w:space="0" w:color="auto"/>
                    <w:right w:val="none" w:sz="0" w:space="0" w:color="auto"/>
                  </w:divBdr>
                  <w:divsChild>
                    <w:div w:id="1753237703">
                      <w:marLeft w:val="0"/>
                      <w:marRight w:val="0"/>
                      <w:marTop w:val="0"/>
                      <w:marBottom w:val="0"/>
                      <w:divBdr>
                        <w:top w:val="none" w:sz="0" w:space="0" w:color="auto"/>
                        <w:left w:val="none" w:sz="0" w:space="0" w:color="auto"/>
                        <w:bottom w:val="none" w:sz="0" w:space="0" w:color="auto"/>
                        <w:right w:val="none" w:sz="0" w:space="0" w:color="auto"/>
                      </w:divBdr>
                      <w:divsChild>
                        <w:div w:id="1080448782">
                          <w:marLeft w:val="0"/>
                          <w:marRight w:val="0"/>
                          <w:marTop w:val="0"/>
                          <w:marBottom w:val="0"/>
                          <w:divBdr>
                            <w:top w:val="none" w:sz="0" w:space="0" w:color="auto"/>
                            <w:left w:val="none" w:sz="0" w:space="0" w:color="auto"/>
                            <w:bottom w:val="none" w:sz="0" w:space="0" w:color="auto"/>
                            <w:right w:val="none" w:sz="0" w:space="0" w:color="auto"/>
                          </w:divBdr>
                          <w:divsChild>
                            <w:div w:id="2081443564">
                              <w:marLeft w:val="0"/>
                              <w:marRight w:val="0"/>
                              <w:marTop w:val="0"/>
                              <w:marBottom w:val="0"/>
                              <w:divBdr>
                                <w:top w:val="none" w:sz="0" w:space="0" w:color="auto"/>
                                <w:left w:val="none" w:sz="0" w:space="0" w:color="auto"/>
                                <w:bottom w:val="none" w:sz="0" w:space="0" w:color="auto"/>
                                <w:right w:val="none" w:sz="0" w:space="0" w:color="auto"/>
                              </w:divBdr>
                              <w:divsChild>
                                <w:div w:id="99950481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58676">
      <w:bodyDiv w:val="1"/>
      <w:marLeft w:val="0"/>
      <w:marRight w:val="0"/>
      <w:marTop w:val="0"/>
      <w:marBottom w:val="0"/>
      <w:divBdr>
        <w:top w:val="none" w:sz="0" w:space="0" w:color="auto"/>
        <w:left w:val="none" w:sz="0" w:space="0" w:color="auto"/>
        <w:bottom w:val="none" w:sz="0" w:space="0" w:color="auto"/>
        <w:right w:val="none" w:sz="0" w:space="0" w:color="auto"/>
      </w:divBdr>
      <w:divsChild>
        <w:div w:id="2129274303">
          <w:marLeft w:val="0"/>
          <w:marRight w:val="0"/>
          <w:marTop w:val="0"/>
          <w:marBottom w:val="0"/>
          <w:divBdr>
            <w:top w:val="none" w:sz="0" w:space="0" w:color="auto"/>
            <w:left w:val="none" w:sz="0" w:space="0" w:color="auto"/>
            <w:bottom w:val="none" w:sz="0" w:space="0" w:color="auto"/>
            <w:right w:val="none" w:sz="0" w:space="0" w:color="auto"/>
          </w:divBdr>
          <w:divsChild>
            <w:div w:id="1712344436">
              <w:marLeft w:val="0"/>
              <w:marRight w:val="0"/>
              <w:marTop w:val="0"/>
              <w:marBottom w:val="0"/>
              <w:divBdr>
                <w:top w:val="none" w:sz="0" w:space="0" w:color="auto"/>
                <w:left w:val="none" w:sz="0" w:space="0" w:color="auto"/>
                <w:bottom w:val="none" w:sz="0" w:space="0" w:color="auto"/>
                <w:right w:val="none" w:sz="0" w:space="0" w:color="auto"/>
              </w:divBdr>
              <w:divsChild>
                <w:div w:id="515995706">
                  <w:marLeft w:val="0"/>
                  <w:marRight w:val="0"/>
                  <w:marTop w:val="0"/>
                  <w:marBottom w:val="0"/>
                  <w:divBdr>
                    <w:top w:val="none" w:sz="0" w:space="0" w:color="auto"/>
                    <w:left w:val="none" w:sz="0" w:space="0" w:color="auto"/>
                    <w:bottom w:val="none" w:sz="0" w:space="0" w:color="auto"/>
                    <w:right w:val="none" w:sz="0" w:space="0" w:color="auto"/>
                  </w:divBdr>
                  <w:divsChild>
                    <w:div w:id="1815217052">
                      <w:marLeft w:val="0"/>
                      <w:marRight w:val="0"/>
                      <w:marTop w:val="0"/>
                      <w:marBottom w:val="0"/>
                      <w:divBdr>
                        <w:top w:val="none" w:sz="0" w:space="0" w:color="auto"/>
                        <w:left w:val="none" w:sz="0" w:space="0" w:color="auto"/>
                        <w:bottom w:val="none" w:sz="0" w:space="0" w:color="auto"/>
                        <w:right w:val="none" w:sz="0" w:space="0" w:color="auto"/>
                      </w:divBdr>
                    </w:div>
                    <w:div w:id="221868176">
                      <w:marLeft w:val="0"/>
                      <w:marRight w:val="0"/>
                      <w:marTop w:val="0"/>
                      <w:marBottom w:val="0"/>
                      <w:divBdr>
                        <w:top w:val="none" w:sz="0" w:space="0" w:color="auto"/>
                        <w:left w:val="none" w:sz="0" w:space="0" w:color="auto"/>
                        <w:bottom w:val="none" w:sz="0" w:space="0" w:color="auto"/>
                        <w:right w:val="none" w:sz="0" w:space="0" w:color="auto"/>
                      </w:divBdr>
                    </w:div>
                    <w:div w:id="2091002541">
                      <w:marLeft w:val="0"/>
                      <w:marRight w:val="0"/>
                      <w:marTop w:val="0"/>
                      <w:marBottom w:val="0"/>
                      <w:divBdr>
                        <w:top w:val="none" w:sz="0" w:space="0" w:color="auto"/>
                        <w:left w:val="none" w:sz="0" w:space="0" w:color="auto"/>
                        <w:bottom w:val="none" w:sz="0" w:space="0" w:color="auto"/>
                        <w:right w:val="none" w:sz="0" w:space="0" w:color="auto"/>
                      </w:divBdr>
                    </w:div>
                    <w:div w:id="915473640">
                      <w:marLeft w:val="0"/>
                      <w:marRight w:val="0"/>
                      <w:marTop w:val="0"/>
                      <w:marBottom w:val="0"/>
                      <w:divBdr>
                        <w:top w:val="none" w:sz="0" w:space="0" w:color="auto"/>
                        <w:left w:val="none" w:sz="0" w:space="0" w:color="auto"/>
                        <w:bottom w:val="none" w:sz="0" w:space="0" w:color="auto"/>
                        <w:right w:val="none" w:sz="0" w:space="0" w:color="auto"/>
                      </w:divBdr>
                    </w:div>
                    <w:div w:id="941647451">
                      <w:marLeft w:val="0"/>
                      <w:marRight w:val="0"/>
                      <w:marTop w:val="0"/>
                      <w:marBottom w:val="0"/>
                      <w:divBdr>
                        <w:top w:val="none" w:sz="0" w:space="0" w:color="auto"/>
                        <w:left w:val="none" w:sz="0" w:space="0" w:color="auto"/>
                        <w:bottom w:val="none" w:sz="0" w:space="0" w:color="auto"/>
                        <w:right w:val="none" w:sz="0" w:space="0" w:color="auto"/>
                      </w:divBdr>
                    </w:div>
                    <w:div w:id="1685479513">
                      <w:marLeft w:val="0"/>
                      <w:marRight w:val="0"/>
                      <w:marTop w:val="0"/>
                      <w:marBottom w:val="0"/>
                      <w:divBdr>
                        <w:top w:val="none" w:sz="0" w:space="0" w:color="auto"/>
                        <w:left w:val="none" w:sz="0" w:space="0" w:color="auto"/>
                        <w:bottom w:val="none" w:sz="0" w:space="0" w:color="auto"/>
                        <w:right w:val="none" w:sz="0" w:space="0" w:color="auto"/>
                      </w:divBdr>
                    </w:div>
                    <w:div w:id="12168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4934">
      <w:bodyDiv w:val="1"/>
      <w:marLeft w:val="0"/>
      <w:marRight w:val="0"/>
      <w:marTop w:val="0"/>
      <w:marBottom w:val="0"/>
      <w:divBdr>
        <w:top w:val="none" w:sz="0" w:space="0" w:color="auto"/>
        <w:left w:val="none" w:sz="0" w:space="0" w:color="auto"/>
        <w:bottom w:val="none" w:sz="0" w:space="0" w:color="auto"/>
        <w:right w:val="none" w:sz="0" w:space="0" w:color="auto"/>
      </w:divBdr>
      <w:divsChild>
        <w:div w:id="857424878">
          <w:marLeft w:val="0"/>
          <w:marRight w:val="0"/>
          <w:marTop w:val="0"/>
          <w:marBottom w:val="0"/>
          <w:divBdr>
            <w:top w:val="none" w:sz="0" w:space="0" w:color="auto"/>
            <w:left w:val="none" w:sz="0" w:space="0" w:color="auto"/>
            <w:bottom w:val="none" w:sz="0" w:space="0" w:color="auto"/>
            <w:right w:val="none" w:sz="0" w:space="0" w:color="auto"/>
          </w:divBdr>
          <w:divsChild>
            <w:div w:id="1069570039">
              <w:marLeft w:val="0"/>
              <w:marRight w:val="0"/>
              <w:marTop w:val="0"/>
              <w:marBottom w:val="0"/>
              <w:divBdr>
                <w:top w:val="none" w:sz="0" w:space="0" w:color="auto"/>
                <w:left w:val="none" w:sz="0" w:space="0" w:color="auto"/>
                <w:bottom w:val="none" w:sz="0" w:space="0" w:color="auto"/>
                <w:right w:val="none" w:sz="0" w:space="0" w:color="auto"/>
              </w:divBdr>
              <w:divsChild>
                <w:div w:id="564609434">
                  <w:marLeft w:val="0"/>
                  <w:marRight w:val="0"/>
                  <w:marTop w:val="0"/>
                  <w:marBottom w:val="0"/>
                  <w:divBdr>
                    <w:top w:val="none" w:sz="0" w:space="0" w:color="auto"/>
                    <w:left w:val="none" w:sz="0" w:space="0" w:color="auto"/>
                    <w:bottom w:val="none" w:sz="0" w:space="0" w:color="auto"/>
                    <w:right w:val="none" w:sz="0" w:space="0" w:color="auto"/>
                  </w:divBdr>
                  <w:divsChild>
                    <w:div w:id="2005430331">
                      <w:marLeft w:val="0"/>
                      <w:marRight w:val="0"/>
                      <w:marTop w:val="0"/>
                      <w:marBottom w:val="0"/>
                      <w:divBdr>
                        <w:top w:val="none" w:sz="0" w:space="0" w:color="auto"/>
                        <w:left w:val="none" w:sz="0" w:space="0" w:color="auto"/>
                        <w:bottom w:val="none" w:sz="0" w:space="0" w:color="auto"/>
                        <w:right w:val="none" w:sz="0" w:space="0" w:color="auto"/>
                      </w:divBdr>
                      <w:divsChild>
                        <w:div w:id="260114499">
                          <w:marLeft w:val="0"/>
                          <w:marRight w:val="0"/>
                          <w:marTop w:val="0"/>
                          <w:marBottom w:val="0"/>
                          <w:divBdr>
                            <w:top w:val="none" w:sz="0" w:space="0" w:color="auto"/>
                            <w:left w:val="none" w:sz="0" w:space="0" w:color="auto"/>
                            <w:bottom w:val="none" w:sz="0" w:space="0" w:color="auto"/>
                            <w:right w:val="none" w:sz="0" w:space="0" w:color="auto"/>
                          </w:divBdr>
                          <w:divsChild>
                            <w:div w:id="30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1116">
      <w:bodyDiv w:val="1"/>
      <w:marLeft w:val="0"/>
      <w:marRight w:val="0"/>
      <w:marTop w:val="0"/>
      <w:marBottom w:val="0"/>
      <w:divBdr>
        <w:top w:val="none" w:sz="0" w:space="0" w:color="auto"/>
        <w:left w:val="none" w:sz="0" w:space="0" w:color="auto"/>
        <w:bottom w:val="none" w:sz="0" w:space="0" w:color="auto"/>
        <w:right w:val="none" w:sz="0" w:space="0" w:color="auto"/>
      </w:divBdr>
      <w:divsChild>
        <w:div w:id="1466661330">
          <w:marLeft w:val="0"/>
          <w:marRight w:val="0"/>
          <w:marTop w:val="0"/>
          <w:marBottom w:val="0"/>
          <w:divBdr>
            <w:top w:val="none" w:sz="0" w:space="0" w:color="auto"/>
            <w:left w:val="none" w:sz="0" w:space="0" w:color="auto"/>
            <w:bottom w:val="none" w:sz="0" w:space="0" w:color="auto"/>
            <w:right w:val="none" w:sz="0" w:space="0" w:color="auto"/>
          </w:divBdr>
          <w:divsChild>
            <w:div w:id="257833810">
              <w:marLeft w:val="0"/>
              <w:marRight w:val="0"/>
              <w:marTop w:val="0"/>
              <w:marBottom w:val="0"/>
              <w:divBdr>
                <w:top w:val="none" w:sz="0" w:space="0" w:color="auto"/>
                <w:left w:val="none" w:sz="0" w:space="0" w:color="auto"/>
                <w:bottom w:val="none" w:sz="0" w:space="0" w:color="auto"/>
                <w:right w:val="none" w:sz="0" w:space="0" w:color="auto"/>
              </w:divBdr>
              <w:divsChild>
                <w:div w:id="566383265">
                  <w:marLeft w:val="0"/>
                  <w:marRight w:val="0"/>
                  <w:marTop w:val="0"/>
                  <w:marBottom w:val="0"/>
                  <w:divBdr>
                    <w:top w:val="none" w:sz="0" w:space="0" w:color="auto"/>
                    <w:left w:val="none" w:sz="0" w:space="0" w:color="auto"/>
                    <w:bottom w:val="none" w:sz="0" w:space="0" w:color="auto"/>
                    <w:right w:val="none" w:sz="0" w:space="0" w:color="auto"/>
                  </w:divBdr>
                  <w:divsChild>
                    <w:div w:id="965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9040">
      <w:bodyDiv w:val="1"/>
      <w:marLeft w:val="0"/>
      <w:marRight w:val="0"/>
      <w:marTop w:val="0"/>
      <w:marBottom w:val="0"/>
      <w:divBdr>
        <w:top w:val="none" w:sz="0" w:space="0" w:color="auto"/>
        <w:left w:val="none" w:sz="0" w:space="0" w:color="auto"/>
        <w:bottom w:val="none" w:sz="0" w:space="0" w:color="auto"/>
        <w:right w:val="none" w:sz="0" w:space="0" w:color="auto"/>
      </w:divBdr>
      <w:divsChild>
        <w:div w:id="1306159793">
          <w:marLeft w:val="0"/>
          <w:marRight w:val="0"/>
          <w:marTop w:val="0"/>
          <w:marBottom w:val="0"/>
          <w:divBdr>
            <w:top w:val="none" w:sz="0" w:space="0" w:color="auto"/>
            <w:left w:val="none" w:sz="0" w:space="0" w:color="auto"/>
            <w:bottom w:val="none" w:sz="0" w:space="0" w:color="auto"/>
            <w:right w:val="none" w:sz="0" w:space="0" w:color="auto"/>
          </w:divBdr>
          <w:divsChild>
            <w:div w:id="1750350133">
              <w:marLeft w:val="0"/>
              <w:marRight w:val="0"/>
              <w:marTop w:val="0"/>
              <w:marBottom w:val="0"/>
              <w:divBdr>
                <w:top w:val="none" w:sz="0" w:space="0" w:color="auto"/>
                <w:left w:val="none" w:sz="0" w:space="0" w:color="auto"/>
                <w:bottom w:val="none" w:sz="0" w:space="0" w:color="auto"/>
                <w:right w:val="none" w:sz="0" w:space="0" w:color="auto"/>
              </w:divBdr>
              <w:divsChild>
                <w:div w:id="1768188197">
                  <w:marLeft w:val="0"/>
                  <w:marRight w:val="0"/>
                  <w:marTop w:val="0"/>
                  <w:marBottom w:val="0"/>
                  <w:divBdr>
                    <w:top w:val="none" w:sz="0" w:space="0" w:color="auto"/>
                    <w:left w:val="none" w:sz="0" w:space="0" w:color="auto"/>
                    <w:bottom w:val="none" w:sz="0" w:space="0" w:color="auto"/>
                    <w:right w:val="none" w:sz="0" w:space="0" w:color="auto"/>
                  </w:divBdr>
                  <w:divsChild>
                    <w:div w:id="1235582831">
                      <w:marLeft w:val="0"/>
                      <w:marRight w:val="0"/>
                      <w:marTop w:val="0"/>
                      <w:marBottom w:val="0"/>
                      <w:divBdr>
                        <w:top w:val="none" w:sz="0" w:space="0" w:color="auto"/>
                        <w:left w:val="none" w:sz="0" w:space="0" w:color="auto"/>
                        <w:bottom w:val="none" w:sz="0" w:space="0" w:color="auto"/>
                        <w:right w:val="none" w:sz="0" w:space="0" w:color="auto"/>
                      </w:divBdr>
                      <w:divsChild>
                        <w:div w:id="4276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1389">
      <w:bodyDiv w:val="1"/>
      <w:marLeft w:val="0"/>
      <w:marRight w:val="0"/>
      <w:marTop w:val="0"/>
      <w:marBottom w:val="0"/>
      <w:divBdr>
        <w:top w:val="none" w:sz="0" w:space="0" w:color="auto"/>
        <w:left w:val="none" w:sz="0" w:space="0" w:color="auto"/>
        <w:bottom w:val="none" w:sz="0" w:space="0" w:color="auto"/>
        <w:right w:val="none" w:sz="0" w:space="0" w:color="auto"/>
      </w:divBdr>
    </w:div>
    <w:div w:id="915088173">
      <w:bodyDiv w:val="1"/>
      <w:marLeft w:val="0"/>
      <w:marRight w:val="0"/>
      <w:marTop w:val="0"/>
      <w:marBottom w:val="0"/>
      <w:divBdr>
        <w:top w:val="none" w:sz="0" w:space="0" w:color="auto"/>
        <w:left w:val="none" w:sz="0" w:space="0" w:color="auto"/>
        <w:bottom w:val="none" w:sz="0" w:space="0" w:color="auto"/>
        <w:right w:val="none" w:sz="0" w:space="0" w:color="auto"/>
      </w:divBdr>
    </w:div>
    <w:div w:id="1073241467">
      <w:bodyDiv w:val="1"/>
      <w:marLeft w:val="0"/>
      <w:marRight w:val="0"/>
      <w:marTop w:val="0"/>
      <w:marBottom w:val="0"/>
      <w:divBdr>
        <w:top w:val="none" w:sz="0" w:space="0" w:color="auto"/>
        <w:left w:val="none" w:sz="0" w:space="0" w:color="auto"/>
        <w:bottom w:val="none" w:sz="0" w:space="0" w:color="auto"/>
        <w:right w:val="none" w:sz="0" w:space="0" w:color="auto"/>
      </w:divBdr>
    </w:div>
    <w:div w:id="1328052441">
      <w:bodyDiv w:val="1"/>
      <w:marLeft w:val="0"/>
      <w:marRight w:val="0"/>
      <w:marTop w:val="0"/>
      <w:marBottom w:val="0"/>
      <w:divBdr>
        <w:top w:val="none" w:sz="0" w:space="0" w:color="auto"/>
        <w:left w:val="none" w:sz="0" w:space="0" w:color="auto"/>
        <w:bottom w:val="none" w:sz="0" w:space="0" w:color="auto"/>
        <w:right w:val="none" w:sz="0" w:space="0" w:color="auto"/>
      </w:divBdr>
    </w:div>
    <w:div w:id="1537500283">
      <w:bodyDiv w:val="1"/>
      <w:marLeft w:val="0"/>
      <w:marRight w:val="0"/>
      <w:marTop w:val="0"/>
      <w:marBottom w:val="0"/>
      <w:divBdr>
        <w:top w:val="none" w:sz="0" w:space="0" w:color="auto"/>
        <w:left w:val="none" w:sz="0" w:space="0" w:color="auto"/>
        <w:bottom w:val="none" w:sz="0" w:space="0" w:color="auto"/>
        <w:right w:val="none" w:sz="0" w:space="0" w:color="auto"/>
      </w:divBdr>
    </w:div>
    <w:div w:id="2011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eon.org.nz" TargetMode="External"/><Relationship Id="rId21" Type="http://schemas.openxmlformats.org/officeDocument/2006/relationships/diagramData" Target="diagrams/data1.xml"/><Relationship Id="rId34" Type="http://schemas.openxmlformats.org/officeDocument/2006/relationships/hyperlink" Target="http://www.dpa.org.nz/" TargetMode="External"/><Relationship Id="rId42" Type="http://schemas.openxmlformats.org/officeDocument/2006/relationships/hyperlink" Target="http://www.neon.org.nz/trackingequalityatwork" TargetMode="External"/><Relationship Id="rId47" Type="http://schemas.openxmlformats.org/officeDocument/2006/relationships/hyperlink" Target="http://www.dol.govt.nz/er/pay/exemptions/disabilitiesemployers.asp" TargetMode="External"/><Relationship Id="rId50" Type="http://schemas.openxmlformats.org/officeDocument/2006/relationships/hyperlink" Target="http://www.eeotrust.org.nz/toolkits/disability.cfm" TargetMode="External"/><Relationship Id="rId55" Type="http://schemas.openxmlformats.org/officeDocument/2006/relationships/hyperlink" Target="http://www.workbridge.co.nz/?page=1331" TargetMode="External"/><Relationship Id="rId6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udym@hrc.co.nz" TargetMode="External"/><Relationship Id="rId29" Type="http://schemas.openxmlformats.org/officeDocument/2006/relationships/hyperlink" Target="http://www.hrc.co.nz/hrc_new/hrc/cms/files/documents/15-Dec-2010_12-41-59_Chapter_17pp258-279.pdf" TargetMode="External"/><Relationship Id="rId11" Type="http://schemas.openxmlformats.org/officeDocument/2006/relationships/hyperlink" Target="http://www.hrc.co.nz" TargetMode="External"/><Relationship Id="rId24" Type="http://schemas.openxmlformats.org/officeDocument/2006/relationships/diagramColors" Target="diagrams/colors1.xml"/><Relationship Id="rId32" Type="http://schemas.openxmlformats.org/officeDocument/2006/relationships/hyperlink" Target="http://www.dol.govt.nz/er/pay/exemptions/disabilitiesemployers.asp" TargetMode="External"/><Relationship Id="rId37" Type="http://schemas.openxmlformats.org/officeDocument/2006/relationships/hyperlink" Target="http://www.msd.govt.nz/what-we-can-do/disability-services/mainstream/" TargetMode="External"/><Relationship Id="rId40" Type="http://schemas.openxmlformats.org/officeDocument/2006/relationships/hyperlink" Target="http://www.workbridge.co.nz/?page=1331" TargetMode="External"/><Relationship Id="rId45" Type="http://schemas.openxmlformats.org/officeDocument/2006/relationships/hyperlink" Target="http://www.ccsdisabilityaction.org.nz/" TargetMode="External"/><Relationship Id="rId53" Type="http://schemas.openxmlformats.org/officeDocument/2006/relationships/hyperlink" Target="http://www.odi.govt.nz/about-us/index.html" TargetMode="External"/><Relationship Id="rId58"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mailto:moanae@hrc.co.nz" TargetMode="External"/><Relationship Id="rId14" Type="http://schemas.openxmlformats.org/officeDocument/2006/relationships/hyperlink" Target="http://www.neon.org.nz" TargetMode="External"/><Relationship Id="rId22" Type="http://schemas.openxmlformats.org/officeDocument/2006/relationships/diagramLayout" Target="diagrams/layout1.xml"/><Relationship Id="rId27" Type="http://schemas.openxmlformats.org/officeDocument/2006/relationships/hyperlink" Target="http://www.neon.org.nz/trackingequalityatwork" TargetMode="External"/><Relationship Id="rId30" Type="http://schemas.openxmlformats.org/officeDocument/2006/relationships/hyperlink" Target="http://www.ccsdisabilityaction.org.nz/" TargetMode="External"/><Relationship Id="rId35" Type="http://schemas.openxmlformats.org/officeDocument/2006/relationships/hyperlink" Target="http://www.eeotrust.org.nz/toolkits/disability.cfm" TargetMode="External"/><Relationship Id="rId43" Type="http://schemas.openxmlformats.org/officeDocument/2006/relationships/hyperlink" Target="http://www.hrc.co.nz/disabled-people/" TargetMode="External"/><Relationship Id="rId48" Type="http://schemas.openxmlformats.org/officeDocument/2006/relationships/hyperlink" Target="http://www.nzdsn.org.nz/Blogs/147/60/disabled-people-in-employment-paper-presents-the-way-forward/" TargetMode="External"/><Relationship Id="rId56" Type="http://schemas.openxmlformats.org/officeDocument/2006/relationships/header" Target="header1.xm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edn.org.n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milias@hrc.co.nz" TargetMode="External"/><Relationship Id="rId25" Type="http://schemas.microsoft.com/office/2007/relationships/diagramDrawing" Target="diagrams/drawing1.xml"/><Relationship Id="rId33" Type="http://schemas.openxmlformats.org/officeDocument/2006/relationships/hyperlink" Target="http://www.nzdsn.org.nz/Blogs/147/60/disabled-people-in-employment-paper-presents-the-way-forward/" TargetMode="External"/><Relationship Id="rId38" Type="http://schemas.openxmlformats.org/officeDocument/2006/relationships/hyperlink" Target="http://www.odi.govt.nz/about-us/index.html" TargetMode="External"/><Relationship Id="rId46" Type="http://schemas.openxmlformats.org/officeDocument/2006/relationships/hyperlink" Target="http://www.deaf.co.nz/" TargetMode="External"/><Relationship Id="rId59" Type="http://schemas.openxmlformats.org/officeDocument/2006/relationships/image" Target="media/image4.jpeg"/><Relationship Id="rId20" Type="http://schemas.openxmlformats.org/officeDocument/2006/relationships/image" Target="media/image3.jpeg"/><Relationship Id="rId41" Type="http://schemas.openxmlformats.org/officeDocument/2006/relationships/hyperlink" Target="http://www.neon.org.nz" TargetMode="External"/><Relationship Id="rId54" Type="http://schemas.openxmlformats.org/officeDocument/2006/relationships/hyperlink" Target="http://www.peoplefirst.org.nz/Resources/tabid/81/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on.org.nz/trackingequalityatwork/" TargetMode="External"/><Relationship Id="rId23" Type="http://schemas.openxmlformats.org/officeDocument/2006/relationships/diagramQuickStyle" Target="diagrams/quickStyle1.xml"/><Relationship Id="rId28" Type="http://schemas.openxmlformats.org/officeDocument/2006/relationships/hyperlink" Target="http://www.hrc.co.nz/disabled-people/" TargetMode="External"/><Relationship Id="rId36" Type="http://schemas.openxmlformats.org/officeDocument/2006/relationships/hyperlink" Target="http://www.edn.org.nz/" TargetMode="External"/><Relationship Id="rId49" Type="http://schemas.openxmlformats.org/officeDocument/2006/relationships/hyperlink" Target="http://www.dpa.org.nz/" TargetMode="External"/><Relationship Id="rId57" Type="http://schemas.openxmlformats.org/officeDocument/2006/relationships/header" Target="header2.xml"/><Relationship Id="rId10" Type="http://schemas.openxmlformats.org/officeDocument/2006/relationships/image" Target="cid:582853A3-81DB-4F2B-AEA3-356062689CF0" TargetMode="External"/><Relationship Id="rId31" Type="http://schemas.openxmlformats.org/officeDocument/2006/relationships/hyperlink" Target="http://www.deaf.co.nz/" TargetMode="External"/><Relationship Id="rId44" Type="http://schemas.openxmlformats.org/officeDocument/2006/relationships/hyperlink" Target="http://www.hrc.co.nz/hrc_new/hrc/cms/files/documents/15-Dec-2010_12-41-59_Chapter_17pp258-279.pdf" TargetMode="External"/><Relationship Id="rId52" Type="http://schemas.openxmlformats.org/officeDocument/2006/relationships/hyperlink" Target="http://www.msd.govt.nz/what-we-can-do/disability-services/mainstream/" TargetMode="External"/><Relationship Id="rId60" Type="http://schemas.openxmlformats.org/officeDocument/2006/relationships/image" Target="cid:4E102F70-8444-41FA-A7F5-628B9FEA11F5" TargetMode="External"/><Relationship Id="rId65"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mailto:sueo@hrc.co.nz" TargetMode="External"/><Relationship Id="rId39" Type="http://schemas.openxmlformats.org/officeDocument/2006/relationships/hyperlink" Target="http://www.peoplefirst.org.nz/Resources/tabid/81/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h.govt.nz/moh.nsf/0be8e7db8a296549cc25706c0082ec0d/4b07b735bdad91f4cc2571e800720015?OpenDocument" TargetMode="External"/><Relationship Id="rId2" Type="http://schemas.openxmlformats.org/officeDocument/2006/relationships/hyperlink" Target="http://edn.org.nz/" TargetMode="External"/><Relationship Id="rId1" Type="http://schemas.openxmlformats.org/officeDocument/2006/relationships/hyperlink" Target="http://www.ssc.govt.nz/upload/downloadable_files/Enabling-Ability.pdf" TargetMode="External"/><Relationship Id="rId4" Type="http://schemas.openxmlformats.org/officeDocument/2006/relationships/hyperlink" Target="http://dol.govt.nz/er/solvingproblems/keyprinciples/goodfaith.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272CF-9320-4F81-9524-5B618E24B99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NZ"/>
        </a:p>
      </dgm:t>
    </dgm:pt>
    <dgm:pt modelId="{89ACAF8F-365A-4E85-8AE2-88E5E528D662}">
      <dgm:prSet phldrT="[Text]"/>
      <dgm:spPr/>
      <dgm:t>
        <a:bodyPr/>
        <a:lstStyle/>
        <a:p>
          <a:r>
            <a:rPr lang="en-NZ"/>
            <a:t>Working age population 3,457,600* </a:t>
          </a:r>
        </a:p>
        <a:p>
          <a:r>
            <a:rPr lang="en-NZ"/>
            <a:t>15 years and over</a:t>
          </a:r>
        </a:p>
      </dgm:t>
    </dgm:pt>
    <dgm:pt modelId="{C5E33A67-1599-436F-9305-0E1F942F9EF5}" type="parTrans" cxnId="{08745F19-D898-414C-8C35-DD671F49BB94}">
      <dgm:prSet/>
      <dgm:spPr/>
      <dgm:t>
        <a:bodyPr/>
        <a:lstStyle/>
        <a:p>
          <a:endParaRPr lang="en-NZ"/>
        </a:p>
      </dgm:t>
    </dgm:pt>
    <dgm:pt modelId="{AB1C07C3-F5EA-4C7E-91A9-8CAD62EF68F5}" type="sibTrans" cxnId="{08745F19-D898-414C-8C35-DD671F49BB94}">
      <dgm:prSet/>
      <dgm:spPr/>
      <dgm:t>
        <a:bodyPr/>
        <a:lstStyle/>
        <a:p>
          <a:endParaRPr lang="en-NZ"/>
        </a:p>
      </dgm:t>
    </dgm:pt>
    <dgm:pt modelId="{B044BA07-A385-4BED-820F-FC4DF5E0BF56}">
      <dgm:prSet phldrT="[Text]"/>
      <dgm:spPr/>
      <dgm:t>
        <a:bodyPr/>
        <a:lstStyle/>
        <a:p>
          <a:r>
            <a:rPr lang="en-NZ"/>
            <a:t>Labour force</a:t>
          </a:r>
        </a:p>
        <a:p>
          <a:r>
            <a:rPr lang="en-NZ"/>
            <a:t>2,369,000</a:t>
          </a:r>
        </a:p>
        <a:p>
          <a:r>
            <a:rPr lang="en-NZ"/>
            <a:t>68.7%</a:t>
          </a:r>
        </a:p>
      </dgm:t>
    </dgm:pt>
    <dgm:pt modelId="{CC780FB3-51FC-4370-B520-D47C84578133}" type="parTrans" cxnId="{61408829-149F-466D-BBCB-2B5F7CA0E8AE}">
      <dgm:prSet/>
      <dgm:spPr/>
      <dgm:t>
        <a:bodyPr/>
        <a:lstStyle/>
        <a:p>
          <a:endParaRPr lang="en-NZ"/>
        </a:p>
      </dgm:t>
    </dgm:pt>
    <dgm:pt modelId="{57FC8830-17D6-4BBB-ACB7-9E823875830E}" type="sibTrans" cxnId="{61408829-149F-466D-BBCB-2B5F7CA0E8AE}">
      <dgm:prSet/>
      <dgm:spPr/>
      <dgm:t>
        <a:bodyPr/>
        <a:lstStyle/>
        <a:p>
          <a:endParaRPr lang="en-NZ"/>
        </a:p>
      </dgm:t>
    </dgm:pt>
    <dgm:pt modelId="{E5681BA6-6463-4DC8-B1D6-501F858D289C}">
      <dgm:prSet phldrT="[Text]"/>
      <dgm:spPr/>
      <dgm:t>
        <a:bodyPr/>
        <a:lstStyle/>
        <a:p>
          <a:r>
            <a:rPr lang="en-NZ"/>
            <a:t>Employed</a:t>
          </a:r>
        </a:p>
        <a:p>
          <a:r>
            <a:rPr lang="en-NZ"/>
            <a:t>2,214,000</a:t>
          </a:r>
        </a:p>
        <a:p>
          <a:r>
            <a:rPr lang="en-NZ"/>
            <a:t>93.5%</a:t>
          </a:r>
        </a:p>
      </dgm:t>
    </dgm:pt>
    <dgm:pt modelId="{77936E3C-CA53-4E5E-BC72-3C56E468D755}" type="parTrans" cxnId="{95AF788F-8D88-4A2B-9D86-C38E89FD46A4}">
      <dgm:prSet/>
      <dgm:spPr/>
      <dgm:t>
        <a:bodyPr/>
        <a:lstStyle/>
        <a:p>
          <a:endParaRPr lang="en-NZ"/>
        </a:p>
      </dgm:t>
    </dgm:pt>
    <dgm:pt modelId="{133087D0-A65E-4B7A-8FD1-B1688331DA49}" type="sibTrans" cxnId="{95AF788F-8D88-4A2B-9D86-C38E89FD46A4}">
      <dgm:prSet/>
      <dgm:spPr/>
      <dgm:t>
        <a:bodyPr/>
        <a:lstStyle/>
        <a:p>
          <a:endParaRPr lang="en-NZ"/>
        </a:p>
      </dgm:t>
    </dgm:pt>
    <dgm:pt modelId="{AFF18947-2C5B-470B-9C05-78E4BB5E1304}">
      <dgm:prSet phldrT="[Text]"/>
      <dgm:spPr/>
      <dgm:t>
        <a:bodyPr/>
        <a:lstStyle/>
        <a:p>
          <a:r>
            <a:rPr lang="en-NZ"/>
            <a:t>Unemployed</a:t>
          </a:r>
        </a:p>
        <a:p>
          <a:r>
            <a:rPr lang="en-NZ"/>
            <a:t>155,000</a:t>
          </a:r>
        </a:p>
        <a:p>
          <a:r>
            <a:rPr lang="en-NZ"/>
            <a:t>6.6%</a:t>
          </a:r>
        </a:p>
      </dgm:t>
    </dgm:pt>
    <dgm:pt modelId="{89DF629A-57C6-4C51-9F6A-E5FFE302C8FF}" type="parTrans" cxnId="{97B41C2D-5D84-481E-8568-E707B00693FC}">
      <dgm:prSet/>
      <dgm:spPr/>
      <dgm:t>
        <a:bodyPr/>
        <a:lstStyle/>
        <a:p>
          <a:endParaRPr lang="en-NZ"/>
        </a:p>
      </dgm:t>
    </dgm:pt>
    <dgm:pt modelId="{8A14543E-3C76-4BF2-A5D5-0086D2E61480}" type="sibTrans" cxnId="{97B41C2D-5D84-481E-8568-E707B00693FC}">
      <dgm:prSet/>
      <dgm:spPr/>
      <dgm:t>
        <a:bodyPr/>
        <a:lstStyle/>
        <a:p>
          <a:endParaRPr lang="en-NZ"/>
        </a:p>
      </dgm:t>
    </dgm:pt>
    <dgm:pt modelId="{F1F0F355-BA4D-4C92-895C-51B94B408437}">
      <dgm:prSet phldrT="[Text]"/>
      <dgm:spPr/>
      <dgm:t>
        <a:bodyPr/>
        <a:lstStyle/>
        <a:p>
          <a:r>
            <a:rPr lang="en-NZ"/>
            <a:t>Not in the labour force</a:t>
          </a:r>
        </a:p>
        <a:p>
          <a:r>
            <a:rPr lang="en-NZ"/>
            <a:t>1,081,000</a:t>
          </a:r>
        </a:p>
        <a:p>
          <a:r>
            <a:rPr lang="en-NZ"/>
            <a:t>31.3%</a:t>
          </a:r>
        </a:p>
      </dgm:t>
    </dgm:pt>
    <dgm:pt modelId="{BDA52518-0890-4DE4-B2AF-7A1902CD9A4A}" type="parTrans" cxnId="{EBE22922-C686-489B-A504-D4E93BF9864F}">
      <dgm:prSet/>
      <dgm:spPr/>
      <dgm:t>
        <a:bodyPr/>
        <a:lstStyle/>
        <a:p>
          <a:endParaRPr lang="en-NZ"/>
        </a:p>
      </dgm:t>
    </dgm:pt>
    <dgm:pt modelId="{1C27C697-953D-4CC3-9BD2-92E636778C35}" type="sibTrans" cxnId="{EBE22922-C686-489B-A504-D4E93BF9864F}">
      <dgm:prSet/>
      <dgm:spPr/>
      <dgm:t>
        <a:bodyPr/>
        <a:lstStyle/>
        <a:p>
          <a:endParaRPr lang="en-NZ"/>
        </a:p>
      </dgm:t>
    </dgm:pt>
    <dgm:pt modelId="{AF0204BF-EC52-4554-BF3E-19B891759722}">
      <dgm:prSet/>
      <dgm:spPr/>
      <dgm:t>
        <a:bodyPr/>
        <a:lstStyle/>
        <a:p>
          <a:r>
            <a:rPr lang="en-NZ"/>
            <a:t>Full-time</a:t>
          </a:r>
        </a:p>
        <a:p>
          <a:r>
            <a:rPr lang="en-NZ"/>
            <a:t>1,707,000</a:t>
          </a:r>
        </a:p>
        <a:p>
          <a:r>
            <a:rPr lang="en-NZ"/>
            <a:t>77.2%</a:t>
          </a:r>
        </a:p>
      </dgm:t>
    </dgm:pt>
    <dgm:pt modelId="{720DFEA0-8D33-4208-8F0F-5468C8807A11}" type="parTrans" cxnId="{FD5ED015-DD6F-4CDB-850C-C1FD5C293CB9}">
      <dgm:prSet/>
      <dgm:spPr/>
      <dgm:t>
        <a:bodyPr/>
        <a:lstStyle/>
        <a:p>
          <a:endParaRPr lang="en-NZ"/>
        </a:p>
      </dgm:t>
    </dgm:pt>
    <dgm:pt modelId="{06C9E12F-1DB6-4D9A-B524-FA95CD9FD34D}" type="sibTrans" cxnId="{FD5ED015-DD6F-4CDB-850C-C1FD5C293CB9}">
      <dgm:prSet/>
      <dgm:spPr/>
      <dgm:t>
        <a:bodyPr/>
        <a:lstStyle/>
        <a:p>
          <a:endParaRPr lang="en-NZ"/>
        </a:p>
      </dgm:t>
    </dgm:pt>
    <dgm:pt modelId="{A48C3574-09C5-4146-8533-980AA7C53A36}">
      <dgm:prSet/>
      <dgm:spPr/>
      <dgm:t>
        <a:bodyPr/>
        <a:lstStyle/>
        <a:p>
          <a:r>
            <a:rPr lang="en-NZ"/>
            <a:t>Part-time</a:t>
          </a:r>
        </a:p>
        <a:p>
          <a:r>
            <a:rPr lang="en-NZ"/>
            <a:t>505,000</a:t>
          </a:r>
        </a:p>
        <a:p>
          <a:r>
            <a:rPr lang="en-NZ"/>
            <a:t>22.8%</a:t>
          </a:r>
        </a:p>
      </dgm:t>
    </dgm:pt>
    <dgm:pt modelId="{9359658C-BFFE-430D-8C1B-EC418F5BC6C3}" type="parTrans" cxnId="{97704D5D-F397-4AFD-A4C8-31BBA9E77DC8}">
      <dgm:prSet/>
      <dgm:spPr/>
      <dgm:t>
        <a:bodyPr/>
        <a:lstStyle/>
        <a:p>
          <a:endParaRPr lang="en-NZ"/>
        </a:p>
      </dgm:t>
    </dgm:pt>
    <dgm:pt modelId="{B76AEC29-9730-41EC-8910-13E2E9A2CD38}" type="sibTrans" cxnId="{97704D5D-F397-4AFD-A4C8-31BBA9E77DC8}">
      <dgm:prSet/>
      <dgm:spPr/>
      <dgm:t>
        <a:bodyPr/>
        <a:lstStyle/>
        <a:p>
          <a:endParaRPr lang="en-NZ"/>
        </a:p>
      </dgm:t>
    </dgm:pt>
    <dgm:pt modelId="{55D2D48F-5742-4CAB-875A-7B1A754DFC64}" type="pres">
      <dgm:prSet presAssocID="{34F272CF-9320-4F81-9524-5B618E24B99B}" presName="hierChild1" presStyleCnt="0">
        <dgm:presLayoutVars>
          <dgm:chPref val="1"/>
          <dgm:dir/>
          <dgm:animOne val="branch"/>
          <dgm:animLvl val="lvl"/>
          <dgm:resizeHandles/>
        </dgm:presLayoutVars>
      </dgm:prSet>
      <dgm:spPr/>
      <dgm:t>
        <a:bodyPr/>
        <a:lstStyle/>
        <a:p>
          <a:endParaRPr lang="en-NZ"/>
        </a:p>
      </dgm:t>
    </dgm:pt>
    <dgm:pt modelId="{0AAF4152-6F37-4491-94E3-488E7D7D9C0B}" type="pres">
      <dgm:prSet presAssocID="{89ACAF8F-365A-4E85-8AE2-88E5E528D662}" presName="hierRoot1" presStyleCnt="0"/>
      <dgm:spPr/>
    </dgm:pt>
    <dgm:pt modelId="{9C5292F9-8A29-48C0-8913-04A9EE0D6D50}" type="pres">
      <dgm:prSet presAssocID="{89ACAF8F-365A-4E85-8AE2-88E5E528D662}" presName="composite" presStyleCnt="0"/>
      <dgm:spPr/>
    </dgm:pt>
    <dgm:pt modelId="{8062C0B2-CE42-4FD4-82DF-C4ED939848E2}" type="pres">
      <dgm:prSet presAssocID="{89ACAF8F-365A-4E85-8AE2-88E5E528D662}" presName="background" presStyleLbl="node0" presStyleIdx="0" presStyleCnt="1"/>
      <dgm:spPr/>
    </dgm:pt>
    <dgm:pt modelId="{79765AC4-AD39-451A-A9DE-81888EEC2F5C}" type="pres">
      <dgm:prSet presAssocID="{89ACAF8F-365A-4E85-8AE2-88E5E528D662}" presName="text" presStyleLbl="fgAcc0" presStyleIdx="0" presStyleCnt="1">
        <dgm:presLayoutVars>
          <dgm:chPref val="3"/>
        </dgm:presLayoutVars>
      </dgm:prSet>
      <dgm:spPr/>
      <dgm:t>
        <a:bodyPr/>
        <a:lstStyle/>
        <a:p>
          <a:endParaRPr lang="en-NZ"/>
        </a:p>
      </dgm:t>
    </dgm:pt>
    <dgm:pt modelId="{3BB081C5-C12D-4C3F-8325-C6478DE844FA}" type="pres">
      <dgm:prSet presAssocID="{89ACAF8F-365A-4E85-8AE2-88E5E528D662}" presName="hierChild2" presStyleCnt="0"/>
      <dgm:spPr/>
    </dgm:pt>
    <dgm:pt modelId="{A3E04A09-4917-44EB-B83C-09A436281391}" type="pres">
      <dgm:prSet presAssocID="{CC780FB3-51FC-4370-B520-D47C84578133}" presName="Name10" presStyleLbl="parChTrans1D2" presStyleIdx="0" presStyleCnt="2"/>
      <dgm:spPr/>
      <dgm:t>
        <a:bodyPr/>
        <a:lstStyle/>
        <a:p>
          <a:endParaRPr lang="en-NZ"/>
        </a:p>
      </dgm:t>
    </dgm:pt>
    <dgm:pt modelId="{A9456D78-5E9D-4404-9C02-9A46F059BBE0}" type="pres">
      <dgm:prSet presAssocID="{B044BA07-A385-4BED-820F-FC4DF5E0BF56}" presName="hierRoot2" presStyleCnt="0"/>
      <dgm:spPr/>
    </dgm:pt>
    <dgm:pt modelId="{5C3D51D8-E6C5-42BC-9F98-50ED837D9928}" type="pres">
      <dgm:prSet presAssocID="{B044BA07-A385-4BED-820F-FC4DF5E0BF56}" presName="composite2" presStyleCnt="0"/>
      <dgm:spPr/>
    </dgm:pt>
    <dgm:pt modelId="{A63794EE-28E1-4C1A-A871-B9D89E4C1A8E}" type="pres">
      <dgm:prSet presAssocID="{B044BA07-A385-4BED-820F-FC4DF5E0BF56}" presName="background2" presStyleLbl="node2" presStyleIdx="0" presStyleCnt="2"/>
      <dgm:spPr/>
    </dgm:pt>
    <dgm:pt modelId="{938E1C2A-BE8C-4EBC-B727-D815DB3CA410}" type="pres">
      <dgm:prSet presAssocID="{B044BA07-A385-4BED-820F-FC4DF5E0BF56}" presName="text2" presStyleLbl="fgAcc2" presStyleIdx="0" presStyleCnt="2">
        <dgm:presLayoutVars>
          <dgm:chPref val="3"/>
        </dgm:presLayoutVars>
      </dgm:prSet>
      <dgm:spPr/>
      <dgm:t>
        <a:bodyPr/>
        <a:lstStyle/>
        <a:p>
          <a:endParaRPr lang="en-NZ"/>
        </a:p>
      </dgm:t>
    </dgm:pt>
    <dgm:pt modelId="{C5CA40ED-3B0E-4C8E-9C20-8E1276133188}" type="pres">
      <dgm:prSet presAssocID="{B044BA07-A385-4BED-820F-FC4DF5E0BF56}" presName="hierChild3" presStyleCnt="0"/>
      <dgm:spPr/>
    </dgm:pt>
    <dgm:pt modelId="{D0D6D336-685C-4830-A121-7D9E5C697D30}" type="pres">
      <dgm:prSet presAssocID="{77936E3C-CA53-4E5E-BC72-3C56E468D755}" presName="Name17" presStyleLbl="parChTrans1D3" presStyleIdx="0" presStyleCnt="2"/>
      <dgm:spPr/>
      <dgm:t>
        <a:bodyPr/>
        <a:lstStyle/>
        <a:p>
          <a:endParaRPr lang="en-NZ"/>
        </a:p>
      </dgm:t>
    </dgm:pt>
    <dgm:pt modelId="{7F90F61E-C026-4F4F-BA08-A7F194A3F08F}" type="pres">
      <dgm:prSet presAssocID="{E5681BA6-6463-4DC8-B1D6-501F858D289C}" presName="hierRoot3" presStyleCnt="0"/>
      <dgm:spPr/>
    </dgm:pt>
    <dgm:pt modelId="{BC2229C7-8904-448A-8536-21AEE9AD764C}" type="pres">
      <dgm:prSet presAssocID="{E5681BA6-6463-4DC8-B1D6-501F858D289C}" presName="composite3" presStyleCnt="0"/>
      <dgm:spPr/>
    </dgm:pt>
    <dgm:pt modelId="{E9CFD844-E414-41BC-BF4E-09529A9FD7BC}" type="pres">
      <dgm:prSet presAssocID="{E5681BA6-6463-4DC8-B1D6-501F858D289C}" presName="background3" presStyleLbl="node3" presStyleIdx="0" presStyleCnt="2"/>
      <dgm:spPr/>
    </dgm:pt>
    <dgm:pt modelId="{63C2C476-57E1-4C86-BD0B-F12A0E072AB2}" type="pres">
      <dgm:prSet presAssocID="{E5681BA6-6463-4DC8-B1D6-501F858D289C}" presName="text3" presStyleLbl="fgAcc3" presStyleIdx="0" presStyleCnt="2" custLinFactNeighborY="29">
        <dgm:presLayoutVars>
          <dgm:chPref val="3"/>
        </dgm:presLayoutVars>
      </dgm:prSet>
      <dgm:spPr/>
      <dgm:t>
        <a:bodyPr/>
        <a:lstStyle/>
        <a:p>
          <a:endParaRPr lang="en-NZ"/>
        </a:p>
      </dgm:t>
    </dgm:pt>
    <dgm:pt modelId="{F76F3E19-E8BE-4B30-94D4-DF3F7440CFE9}" type="pres">
      <dgm:prSet presAssocID="{E5681BA6-6463-4DC8-B1D6-501F858D289C}" presName="hierChild4" presStyleCnt="0"/>
      <dgm:spPr/>
    </dgm:pt>
    <dgm:pt modelId="{6F9459BE-859F-43B0-85E7-8624D62F83FF}" type="pres">
      <dgm:prSet presAssocID="{720DFEA0-8D33-4208-8F0F-5468C8807A11}" presName="Name23" presStyleLbl="parChTrans1D4" presStyleIdx="0" presStyleCnt="2"/>
      <dgm:spPr/>
      <dgm:t>
        <a:bodyPr/>
        <a:lstStyle/>
        <a:p>
          <a:endParaRPr lang="en-NZ"/>
        </a:p>
      </dgm:t>
    </dgm:pt>
    <dgm:pt modelId="{8A9C0103-59A4-455A-9003-2D4E724B82CF}" type="pres">
      <dgm:prSet presAssocID="{AF0204BF-EC52-4554-BF3E-19B891759722}" presName="hierRoot4" presStyleCnt="0"/>
      <dgm:spPr/>
    </dgm:pt>
    <dgm:pt modelId="{DCFA1DB3-97D8-453A-8C51-4F25CD5B3BD6}" type="pres">
      <dgm:prSet presAssocID="{AF0204BF-EC52-4554-BF3E-19B891759722}" presName="composite4" presStyleCnt="0"/>
      <dgm:spPr/>
    </dgm:pt>
    <dgm:pt modelId="{AC6D87F6-208F-44F7-BABD-DB2D6F2C1606}" type="pres">
      <dgm:prSet presAssocID="{AF0204BF-EC52-4554-BF3E-19B891759722}" presName="background4" presStyleLbl="node4" presStyleIdx="0" presStyleCnt="2"/>
      <dgm:spPr/>
    </dgm:pt>
    <dgm:pt modelId="{0631D942-1C1A-406D-AE7E-F67979E3B66F}" type="pres">
      <dgm:prSet presAssocID="{AF0204BF-EC52-4554-BF3E-19B891759722}" presName="text4" presStyleLbl="fgAcc4" presStyleIdx="0" presStyleCnt="2" custLinFactNeighborY="99">
        <dgm:presLayoutVars>
          <dgm:chPref val="3"/>
        </dgm:presLayoutVars>
      </dgm:prSet>
      <dgm:spPr/>
      <dgm:t>
        <a:bodyPr/>
        <a:lstStyle/>
        <a:p>
          <a:endParaRPr lang="en-NZ"/>
        </a:p>
      </dgm:t>
    </dgm:pt>
    <dgm:pt modelId="{E2D3D4E7-B3D6-4BB8-BDD1-90AC53FC399B}" type="pres">
      <dgm:prSet presAssocID="{AF0204BF-EC52-4554-BF3E-19B891759722}" presName="hierChild5" presStyleCnt="0"/>
      <dgm:spPr/>
    </dgm:pt>
    <dgm:pt modelId="{37EC6DD3-8976-44B2-98C8-F16C9DB3C974}" type="pres">
      <dgm:prSet presAssocID="{9359658C-BFFE-430D-8C1B-EC418F5BC6C3}" presName="Name23" presStyleLbl="parChTrans1D4" presStyleIdx="1" presStyleCnt="2"/>
      <dgm:spPr/>
      <dgm:t>
        <a:bodyPr/>
        <a:lstStyle/>
        <a:p>
          <a:endParaRPr lang="en-NZ"/>
        </a:p>
      </dgm:t>
    </dgm:pt>
    <dgm:pt modelId="{CADC005F-A694-491C-A0DE-491A248B5174}" type="pres">
      <dgm:prSet presAssocID="{A48C3574-09C5-4146-8533-980AA7C53A36}" presName="hierRoot4" presStyleCnt="0"/>
      <dgm:spPr/>
    </dgm:pt>
    <dgm:pt modelId="{12102131-9460-4DBC-AAE6-A6ED53287A90}" type="pres">
      <dgm:prSet presAssocID="{A48C3574-09C5-4146-8533-980AA7C53A36}" presName="composite4" presStyleCnt="0"/>
      <dgm:spPr/>
    </dgm:pt>
    <dgm:pt modelId="{D617858E-B49C-448F-8BA3-21D4BC5F4A5E}" type="pres">
      <dgm:prSet presAssocID="{A48C3574-09C5-4146-8533-980AA7C53A36}" presName="background4" presStyleLbl="node4" presStyleIdx="1" presStyleCnt="2"/>
      <dgm:spPr/>
      <dgm:t>
        <a:bodyPr/>
        <a:lstStyle/>
        <a:p>
          <a:endParaRPr lang="en-NZ"/>
        </a:p>
      </dgm:t>
    </dgm:pt>
    <dgm:pt modelId="{29B1894D-267C-4AC3-A29B-9F061F00A64F}" type="pres">
      <dgm:prSet presAssocID="{A48C3574-09C5-4146-8533-980AA7C53A36}" presName="text4" presStyleLbl="fgAcc4" presStyleIdx="1" presStyleCnt="2">
        <dgm:presLayoutVars>
          <dgm:chPref val="3"/>
        </dgm:presLayoutVars>
      </dgm:prSet>
      <dgm:spPr/>
      <dgm:t>
        <a:bodyPr/>
        <a:lstStyle/>
        <a:p>
          <a:endParaRPr lang="en-NZ"/>
        </a:p>
      </dgm:t>
    </dgm:pt>
    <dgm:pt modelId="{BEB94559-84AE-4970-A8EB-B592AB3A71B3}" type="pres">
      <dgm:prSet presAssocID="{A48C3574-09C5-4146-8533-980AA7C53A36}" presName="hierChild5" presStyleCnt="0"/>
      <dgm:spPr/>
    </dgm:pt>
    <dgm:pt modelId="{D160B837-CE4C-4F69-AEDC-EB1C4997EEC1}" type="pres">
      <dgm:prSet presAssocID="{89DF629A-57C6-4C51-9F6A-E5FFE302C8FF}" presName="Name17" presStyleLbl="parChTrans1D3" presStyleIdx="1" presStyleCnt="2"/>
      <dgm:spPr/>
      <dgm:t>
        <a:bodyPr/>
        <a:lstStyle/>
        <a:p>
          <a:endParaRPr lang="en-NZ"/>
        </a:p>
      </dgm:t>
    </dgm:pt>
    <dgm:pt modelId="{44F09470-ECC6-4C41-9C63-03678B5D7502}" type="pres">
      <dgm:prSet presAssocID="{AFF18947-2C5B-470B-9C05-78E4BB5E1304}" presName="hierRoot3" presStyleCnt="0"/>
      <dgm:spPr/>
    </dgm:pt>
    <dgm:pt modelId="{A6F76675-6B3C-4B03-A33A-7847E3FE810A}" type="pres">
      <dgm:prSet presAssocID="{AFF18947-2C5B-470B-9C05-78E4BB5E1304}" presName="composite3" presStyleCnt="0"/>
      <dgm:spPr/>
    </dgm:pt>
    <dgm:pt modelId="{9F30B526-1087-4E81-AA87-2968201A967D}" type="pres">
      <dgm:prSet presAssocID="{AFF18947-2C5B-470B-9C05-78E4BB5E1304}" presName="background3" presStyleLbl="node3" presStyleIdx="1" presStyleCnt="2"/>
      <dgm:spPr/>
    </dgm:pt>
    <dgm:pt modelId="{DA91F7E1-10CC-4DAC-A0B8-E2A277E1C5E6}" type="pres">
      <dgm:prSet presAssocID="{AFF18947-2C5B-470B-9C05-78E4BB5E1304}" presName="text3" presStyleLbl="fgAcc3" presStyleIdx="1" presStyleCnt="2">
        <dgm:presLayoutVars>
          <dgm:chPref val="3"/>
        </dgm:presLayoutVars>
      </dgm:prSet>
      <dgm:spPr/>
      <dgm:t>
        <a:bodyPr/>
        <a:lstStyle/>
        <a:p>
          <a:endParaRPr lang="en-NZ"/>
        </a:p>
      </dgm:t>
    </dgm:pt>
    <dgm:pt modelId="{6AD66CFB-4C02-4288-990D-27111A8DCF6A}" type="pres">
      <dgm:prSet presAssocID="{AFF18947-2C5B-470B-9C05-78E4BB5E1304}" presName="hierChild4" presStyleCnt="0"/>
      <dgm:spPr/>
    </dgm:pt>
    <dgm:pt modelId="{3C1FB154-5385-4FBB-BB2E-259E4A7D52B8}" type="pres">
      <dgm:prSet presAssocID="{BDA52518-0890-4DE4-B2AF-7A1902CD9A4A}" presName="Name10" presStyleLbl="parChTrans1D2" presStyleIdx="1" presStyleCnt="2"/>
      <dgm:spPr/>
      <dgm:t>
        <a:bodyPr/>
        <a:lstStyle/>
        <a:p>
          <a:endParaRPr lang="en-NZ"/>
        </a:p>
      </dgm:t>
    </dgm:pt>
    <dgm:pt modelId="{B3C5FC24-2CB8-4807-9F0D-4CEB48925491}" type="pres">
      <dgm:prSet presAssocID="{F1F0F355-BA4D-4C92-895C-51B94B408437}" presName="hierRoot2" presStyleCnt="0"/>
      <dgm:spPr/>
    </dgm:pt>
    <dgm:pt modelId="{5A63EE19-21F5-48F4-8D29-C7AC15A22C4E}" type="pres">
      <dgm:prSet presAssocID="{F1F0F355-BA4D-4C92-895C-51B94B408437}" presName="composite2" presStyleCnt="0"/>
      <dgm:spPr/>
    </dgm:pt>
    <dgm:pt modelId="{BF4762E1-7DC9-4896-9420-06DA3B25D6DB}" type="pres">
      <dgm:prSet presAssocID="{F1F0F355-BA4D-4C92-895C-51B94B408437}" presName="background2" presStyleLbl="node2" presStyleIdx="1" presStyleCnt="2"/>
      <dgm:spPr/>
    </dgm:pt>
    <dgm:pt modelId="{BFBDCB10-6290-4FA6-B505-282892AD2299}" type="pres">
      <dgm:prSet presAssocID="{F1F0F355-BA4D-4C92-895C-51B94B408437}" presName="text2" presStyleLbl="fgAcc2" presStyleIdx="1" presStyleCnt="2">
        <dgm:presLayoutVars>
          <dgm:chPref val="3"/>
        </dgm:presLayoutVars>
      </dgm:prSet>
      <dgm:spPr/>
      <dgm:t>
        <a:bodyPr/>
        <a:lstStyle/>
        <a:p>
          <a:endParaRPr lang="en-NZ"/>
        </a:p>
      </dgm:t>
    </dgm:pt>
    <dgm:pt modelId="{B3BBDC7E-4D6B-4AAC-91B6-8EE8E22A7B9C}" type="pres">
      <dgm:prSet presAssocID="{F1F0F355-BA4D-4C92-895C-51B94B408437}" presName="hierChild3" presStyleCnt="0"/>
      <dgm:spPr/>
    </dgm:pt>
  </dgm:ptLst>
  <dgm:cxnLst>
    <dgm:cxn modelId="{97704D5D-F397-4AFD-A4C8-31BBA9E77DC8}" srcId="{E5681BA6-6463-4DC8-B1D6-501F858D289C}" destId="{A48C3574-09C5-4146-8533-980AA7C53A36}" srcOrd="1" destOrd="0" parTransId="{9359658C-BFFE-430D-8C1B-EC418F5BC6C3}" sibTransId="{B76AEC29-9730-41EC-8910-13E2E9A2CD38}"/>
    <dgm:cxn modelId="{B219722D-B6C0-4CFC-850C-12410F92A7A4}" type="presOf" srcId="{AFF18947-2C5B-470B-9C05-78E4BB5E1304}" destId="{DA91F7E1-10CC-4DAC-A0B8-E2A277E1C5E6}" srcOrd="0" destOrd="0" presId="urn:microsoft.com/office/officeart/2005/8/layout/hierarchy1"/>
    <dgm:cxn modelId="{B0B44169-F905-4818-A219-C74B9658C95E}" type="presOf" srcId="{CC780FB3-51FC-4370-B520-D47C84578133}" destId="{A3E04A09-4917-44EB-B83C-09A436281391}" srcOrd="0" destOrd="0" presId="urn:microsoft.com/office/officeart/2005/8/layout/hierarchy1"/>
    <dgm:cxn modelId="{C0421F3C-200E-4AE6-85CC-83B452914C93}" type="presOf" srcId="{89DF629A-57C6-4C51-9F6A-E5FFE302C8FF}" destId="{D160B837-CE4C-4F69-AEDC-EB1C4997EEC1}" srcOrd="0" destOrd="0" presId="urn:microsoft.com/office/officeart/2005/8/layout/hierarchy1"/>
    <dgm:cxn modelId="{132DD468-907A-4019-A718-0C8198081BCC}" type="presOf" srcId="{F1F0F355-BA4D-4C92-895C-51B94B408437}" destId="{BFBDCB10-6290-4FA6-B505-282892AD2299}" srcOrd="0" destOrd="0" presId="urn:microsoft.com/office/officeart/2005/8/layout/hierarchy1"/>
    <dgm:cxn modelId="{08745F19-D898-414C-8C35-DD671F49BB94}" srcId="{34F272CF-9320-4F81-9524-5B618E24B99B}" destId="{89ACAF8F-365A-4E85-8AE2-88E5E528D662}" srcOrd="0" destOrd="0" parTransId="{C5E33A67-1599-436F-9305-0E1F942F9EF5}" sibTransId="{AB1C07C3-F5EA-4C7E-91A9-8CAD62EF68F5}"/>
    <dgm:cxn modelId="{1E302A19-79BE-40E5-B0FB-991468177754}" type="presOf" srcId="{A48C3574-09C5-4146-8533-980AA7C53A36}" destId="{29B1894D-267C-4AC3-A29B-9F061F00A64F}" srcOrd="0" destOrd="0" presId="urn:microsoft.com/office/officeart/2005/8/layout/hierarchy1"/>
    <dgm:cxn modelId="{EEBAC083-C517-4406-A830-B4E975E0372A}" type="presOf" srcId="{720DFEA0-8D33-4208-8F0F-5468C8807A11}" destId="{6F9459BE-859F-43B0-85E7-8624D62F83FF}" srcOrd="0" destOrd="0" presId="urn:microsoft.com/office/officeart/2005/8/layout/hierarchy1"/>
    <dgm:cxn modelId="{0002C9FF-7787-4C98-8161-C52D27C90FD3}" type="presOf" srcId="{34F272CF-9320-4F81-9524-5B618E24B99B}" destId="{55D2D48F-5742-4CAB-875A-7B1A754DFC64}" srcOrd="0" destOrd="0" presId="urn:microsoft.com/office/officeart/2005/8/layout/hierarchy1"/>
    <dgm:cxn modelId="{C619F93E-0B20-4DBF-B262-C646AB95CF6A}" type="presOf" srcId="{AF0204BF-EC52-4554-BF3E-19B891759722}" destId="{0631D942-1C1A-406D-AE7E-F67979E3B66F}" srcOrd="0" destOrd="0" presId="urn:microsoft.com/office/officeart/2005/8/layout/hierarchy1"/>
    <dgm:cxn modelId="{8A238608-6ACE-4A3E-AB6A-00BB946497A7}" type="presOf" srcId="{BDA52518-0890-4DE4-B2AF-7A1902CD9A4A}" destId="{3C1FB154-5385-4FBB-BB2E-259E4A7D52B8}" srcOrd="0" destOrd="0" presId="urn:microsoft.com/office/officeart/2005/8/layout/hierarchy1"/>
    <dgm:cxn modelId="{97B41C2D-5D84-481E-8568-E707B00693FC}" srcId="{B044BA07-A385-4BED-820F-FC4DF5E0BF56}" destId="{AFF18947-2C5B-470B-9C05-78E4BB5E1304}" srcOrd="1" destOrd="0" parTransId="{89DF629A-57C6-4C51-9F6A-E5FFE302C8FF}" sibTransId="{8A14543E-3C76-4BF2-A5D5-0086D2E61480}"/>
    <dgm:cxn modelId="{4B591118-AA6B-4072-9520-2BF24C89A28E}" type="presOf" srcId="{E5681BA6-6463-4DC8-B1D6-501F858D289C}" destId="{63C2C476-57E1-4C86-BD0B-F12A0E072AB2}" srcOrd="0" destOrd="0" presId="urn:microsoft.com/office/officeart/2005/8/layout/hierarchy1"/>
    <dgm:cxn modelId="{B21BBF23-35CE-453F-9DDE-9778FFC7C0E8}" type="presOf" srcId="{77936E3C-CA53-4E5E-BC72-3C56E468D755}" destId="{D0D6D336-685C-4830-A121-7D9E5C697D30}" srcOrd="0" destOrd="0" presId="urn:microsoft.com/office/officeart/2005/8/layout/hierarchy1"/>
    <dgm:cxn modelId="{95AF788F-8D88-4A2B-9D86-C38E89FD46A4}" srcId="{B044BA07-A385-4BED-820F-FC4DF5E0BF56}" destId="{E5681BA6-6463-4DC8-B1D6-501F858D289C}" srcOrd="0" destOrd="0" parTransId="{77936E3C-CA53-4E5E-BC72-3C56E468D755}" sibTransId="{133087D0-A65E-4B7A-8FD1-B1688331DA49}"/>
    <dgm:cxn modelId="{EBE22922-C686-489B-A504-D4E93BF9864F}" srcId="{89ACAF8F-365A-4E85-8AE2-88E5E528D662}" destId="{F1F0F355-BA4D-4C92-895C-51B94B408437}" srcOrd="1" destOrd="0" parTransId="{BDA52518-0890-4DE4-B2AF-7A1902CD9A4A}" sibTransId="{1C27C697-953D-4CC3-9BD2-92E636778C35}"/>
    <dgm:cxn modelId="{58294068-F529-4C9F-BB1E-B1023E6F6AC5}" type="presOf" srcId="{89ACAF8F-365A-4E85-8AE2-88E5E528D662}" destId="{79765AC4-AD39-451A-A9DE-81888EEC2F5C}" srcOrd="0" destOrd="0" presId="urn:microsoft.com/office/officeart/2005/8/layout/hierarchy1"/>
    <dgm:cxn modelId="{C0AD74F6-4617-446F-9E99-5650C56E9E30}" type="presOf" srcId="{9359658C-BFFE-430D-8C1B-EC418F5BC6C3}" destId="{37EC6DD3-8976-44B2-98C8-F16C9DB3C974}" srcOrd="0" destOrd="0" presId="urn:microsoft.com/office/officeart/2005/8/layout/hierarchy1"/>
    <dgm:cxn modelId="{61408829-149F-466D-BBCB-2B5F7CA0E8AE}" srcId="{89ACAF8F-365A-4E85-8AE2-88E5E528D662}" destId="{B044BA07-A385-4BED-820F-FC4DF5E0BF56}" srcOrd="0" destOrd="0" parTransId="{CC780FB3-51FC-4370-B520-D47C84578133}" sibTransId="{57FC8830-17D6-4BBB-ACB7-9E823875830E}"/>
    <dgm:cxn modelId="{FD5ED015-DD6F-4CDB-850C-C1FD5C293CB9}" srcId="{E5681BA6-6463-4DC8-B1D6-501F858D289C}" destId="{AF0204BF-EC52-4554-BF3E-19B891759722}" srcOrd="0" destOrd="0" parTransId="{720DFEA0-8D33-4208-8F0F-5468C8807A11}" sibTransId="{06C9E12F-1DB6-4D9A-B524-FA95CD9FD34D}"/>
    <dgm:cxn modelId="{ABBDDA57-9A5B-4EC0-B215-1A5B0EDCEDBB}" type="presOf" srcId="{B044BA07-A385-4BED-820F-FC4DF5E0BF56}" destId="{938E1C2A-BE8C-4EBC-B727-D815DB3CA410}" srcOrd="0" destOrd="0" presId="urn:microsoft.com/office/officeart/2005/8/layout/hierarchy1"/>
    <dgm:cxn modelId="{12DEB46A-7D03-433C-94A4-5C9A6CDE7654}" type="presParOf" srcId="{55D2D48F-5742-4CAB-875A-7B1A754DFC64}" destId="{0AAF4152-6F37-4491-94E3-488E7D7D9C0B}" srcOrd="0" destOrd="0" presId="urn:microsoft.com/office/officeart/2005/8/layout/hierarchy1"/>
    <dgm:cxn modelId="{B00179C0-B167-4ADC-B551-72BBDD0D3F1F}" type="presParOf" srcId="{0AAF4152-6F37-4491-94E3-488E7D7D9C0B}" destId="{9C5292F9-8A29-48C0-8913-04A9EE0D6D50}" srcOrd="0" destOrd="0" presId="urn:microsoft.com/office/officeart/2005/8/layout/hierarchy1"/>
    <dgm:cxn modelId="{889F55DF-C2D4-48D2-9F08-3B2FAFC8A76B}" type="presParOf" srcId="{9C5292F9-8A29-48C0-8913-04A9EE0D6D50}" destId="{8062C0B2-CE42-4FD4-82DF-C4ED939848E2}" srcOrd="0" destOrd="0" presId="urn:microsoft.com/office/officeart/2005/8/layout/hierarchy1"/>
    <dgm:cxn modelId="{3BD31CD3-0263-4842-AE48-6933E88C359A}" type="presParOf" srcId="{9C5292F9-8A29-48C0-8913-04A9EE0D6D50}" destId="{79765AC4-AD39-451A-A9DE-81888EEC2F5C}" srcOrd="1" destOrd="0" presId="urn:microsoft.com/office/officeart/2005/8/layout/hierarchy1"/>
    <dgm:cxn modelId="{EC0D8FC6-27E3-49E2-B59B-FAB8A3BA7823}" type="presParOf" srcId="{0AAF4152-6F37-4491-94E3-488E7D7D9C0B}" destId="{3BB081C5-C12D-4C3F-8325-C6478DE844FA}" srcOrd="1" destOrd="0" presId="urn:microsoft.com/office/officeart/2005/8/layout/hierarchy1"/>
    <dgm:cxn modelId="{77380590-B3B7-47AC-AF62-9C4041334B1C}" type="presParOf" srcId="{3BB081C5-C12D-4C3F-8325-C6478DE844FA}" destId="{A3E04A09-4917-44EB-B83C-09A436281391}" srcOrd="0" destOrd="0" presId="urn:microsoft.com/office/officeart/2005/8/layout/hierarchy1"/>
    <dgm:cxn modelId="{2AD3DEF7-C8DE-4AC4-8FB3-03551388ACD3}" type="presParOf" srcId="{3BB081C5-C12D-4C3F-8325-C6478DE844FA}" destId="{A9456D78-5E9D-4404-9C02-9A46F059BBE0}" srcOrd="1" destOrd="0" presId="urn:microsoft.com/office/officeart/2005/8/layout/hierarchy1"/>
    <dgm:cxn modelId="{EDAFAE0F-EEE8-424B-9443-624887491BF5}" type="presParOf" srcId="{A9456D78-5E9D-4404-9C02-9A46F059BBE0}" destId="{5C3D51D8-E6C5-42BC-9F98-50ED837D9928}" srcOrd="0" destOrd="0" presId="urn:microsoft.com/office/officeart/2005/8/layout/hierarchy1"/>
    <dgm:cxn modelId="{79C114A9-D159-439E-B1C9-29F8C01EA41C}" type="presParOf" srcId="{5C3D51D8-E6C5-42BC-9F98-50ED837D9928}" destId="{A63794EE-28E1-4C1A-A871-B9D89E4C1A8E}" srcOrd="0" destOrd="0" presId="urn:microsoft.com/office/officeart/2005/8/layout/hierarchy1"/>
    <dgm:cxn modelId="{40A6DF10-100C-4214-9171-ED8352FFFFDD}" type="presParOf" srcId="{5C3D51D8-E6C5-42BC-9F98-50ED837D9928}" destId="{938E1C2A-BE8C-4EBC-B727-D815DB3CA410}" srcOrd="1" destOrd="0" presId="urn:microsoft.com/office/officeart/2005/8/layout/hierarchy1"/>
    <dgm:cxn modelId="{F7F7C2D7-9E26-469A-BCC0-22032910B477}" type="presParOf" srcId="{A9456D78-5E9D-4404-9C02-9A46F059BBE0}" destId="{C5CA40ED-3B0E-4C8E-9C20-8E1276133188}" srcOrd="1" destOrd="0" presId="urn:microsoft.com/office/officeart/2005/8/layout/hierarchy1"/>
    <dgm:cxn modelId="{B7761298-866C-45A0-8D4E-BF7F62E9ABDF}" type="presParOf" srcId="{C5CA40ED-3B0E-4C8E-9C20-8E1276133188}" destId="{D0D6D336-685C-4830-A121-7D9E5C697D30}" srcOrd="0" destOrd="0" presId="urn:microsoft.com/office/officeart/2005/8/layout/hierarchy1"/>
    <dgm:cxn modelId="{DCD5A04A-344C-4412-B896-304C0808C6AC}" type="presParOf" srcId="{C5CA40ED-3B0E-4C8E-9C20-8E1276133188}" destId="{7F90F61E-C026-4F4F-BA08-A7F194A3F08F}" srcOrd="1" destOrd="0" presId="urn:microsoft.com/office/officeart/2005/8/layout/hierarchy1"/>
    <dgm:cxn modelId="{81AC747F-1868-4726-BA5F-D19777558D76}" type="presParOf" srcId="{7F90F61E-C026-4F4F-BA08-A7F194A3F08F}" destId="{BC2229C7-8904-448A-8536-21AEE9AD764C}" srcOrd="0" destOrd="0" presId="urn:microsoft.com/office/officeart/2005/8/layout/hierarchy1"/>
    <dgm:cxn modelId="{098DD696-220A-4626-B11F-343C45993A36}" type="presParOf" srcId="{BC2229C7-8904-448A-8536-21AEE9AD764C}" destId="{E9CFD844-E414-41BC-BF4E-09529A9FD7BC}" srcOrd="0" destOrd="0" presId="urn:microsoft.com/office/officeart/2005/8/layout/hierarchy1"/>
    <dgm:cxn modelId="{41796AD5-B1FC-49B0-815C-C1A861603B11}" type="presParOf" srcId="{BC2229C7-8904-448A-8536-21AEE9AD764C}" destId="{63C2C476-57E1-4C86-BD0B-F12A0E072AB2}" srcOrd="1" destOrd="0" presId="urn:microsoft.com/office/officeart/2005/8/layout/hierarchy1"/>
    <dgm:cxn modelId="{27F8159D-56EF-47D3-8DF0-80912D32A395}" type="presParOf" srcId="{7F90F61E-C026-4F4F-BA08-A7F194A3F08F}" destId="{F76F3E19-E8BE-4B30-94D4-DF3F7440CFE9}" srcOrd="1" destOrd="0" presId="urn:microsoft.com/office/officeart/2005/8/layout/hierarchy1"/>
    <dgm:cxn modelId="{E5A5AE39-A0EA-44F7-AA8A-ED841484D5BA}" type="presParOf" srcId="{F76F3E19-E8BE-4B30-94D4-DF3F7440CFE9}" destId="{6F9459BE-859F-43B0-85E7-8624D62F83FF}" srcOrd="0" destOrd="0" presId="urn:microsoft.com/office/officeart/2005/8/layout/hierarchy1"/>
    <dgm:cxn modelId="{C544B189-487E-4B72-BCD3-08857C9F9AA1}" type="presParOf" srcId="{F76F3E19-E8BE-4B30-94D4-DF3F7440CFE9}" destId="{8A9C0103-59A4-455A-9003-2D4E724B82CF}" srcOrd="1" destOrd="0" presId="urn:microsoft.com/office/officeart/2005/8/layout/hierarchy1"/>
    <dgm:cxn modelId="{C2B5375C-4220-47BB-BBB7-DE4D1DCAB19B}" type="presParOf" srcId="{8A9C0103-59A4-455A-9003-2D4E724B82CF}" destId="{DCFA1DB3-97D8-453A-8C51-4F25CD5B3BD6}" srcOrd="0" destOrd="0" presId="urn:microsoft.com/office/officeart/2005/8/layout/hierarchy1"/>
    <dgm:cxn modelId="{5B954E9F-D450-4110-944E-DC25B2B3E89E}" type="presParOf" srcId="{DCFA1DB3-97D8-453A-8C51-4F25CD5B3BD6}" destId="{AC6D87F6-208F-44F7-BABD-DB2D6F2C1606}" srcOrd="0" destOrd="0" presId="urn:microsoft.com/office/officeart/2005/8/layout/hierarchy1"/>
    <dgm:cxn modelId="{86606AAA-C8A9-4F78-B7E2-BE939C80F5F2}" type="presParOf" srcId="{DCFA1DB3-97D8-453A-8C51-4F25CD5B3BD6}" destId="{0631D942-1C1A-406D-AE7E-F67979E3B66F}" srcOrd="1" destOrd="0" presId="urn:microsoft.com/office/officeart/2005/8/layout/hierarchy1"/>
    <dgm:cxn modelId="{2A1C559D-F85A-4254-ABF2-56BD206D9602}" type="presParOf" srcId="{8A9C0103-59A4-455A-9003-2D4E724B82CF}" destId="{E2D3D4E7-B3D6-4BB8-BDD1-90AC53FC399B}" srcOrd="1" destOrd="0" presId="urn:microsoft.com/office/officeart/2005/8/layout/hierarchy1"/>
    <dgm:cxn modelId="{EE7A9979-8DD8-4022-B173-B0808AB98E7E}" type="presParOf" srcId="{F76F3E19-E8BE-4B30-94D4-DF3F7440CFE9}" destId="{37EC6DD3-8976-44B2-98C8-F16C9DB3C974}" srcOrd="2" destOrd="0" presId="urn:microsoft.com/office/officeart/2005/8/layout/hierarchy1"/>
    <dgm:cxn modelId="{B6014703-A153-4FC5-919B-96E4F3A81CF7}" type="presParOf" srcId="{F76F3E19-E8BE-4B30-94D4-DF3F7440CFE9}" destId="{CADC005F-A694-491C-A0DE-491A248B5174}" srcOrd="3" destOrd="0" presId="urn:microsoft.com/office/officeart/2005/8/layout/hierarchy1"/>
    <dgm:cxn modelId="{C61E24FF-C781-4FD2-B9A9-79769080393A}" type="presParOf" srcId="{CADC005F-A694-491C-A0DE-491A248B5174}" destId="{12102131-9460-4DBC-AAE6-A6ED53287A90}" srcOrd="0" destOrd="0" presId="urn:microsoft.com/office/officeart/2005/8/layout/hierarchy1"/>
    <dgm:cxn modelId="{CB7899F6-EA74-4F00-B4DD-8B8E9FC6190E}" type="presParOf" srcId="{12102131-9460-4DBC-AAE6-A6ED53287A90}" destId="{D617858E-B49C-448F-8BA3-21D4BC5F4A5E}" srcOrd="0" destOrd="0" presId="urn:microsoft.com/office/officeart/2005/8/layout/hierarchy1"/>
    <dgm:cxn modelId="{8322382F-A5B0-442B-B707-22A2C4F7970D}" type="presParOf" srcId="{12102131-9460-4DBC-AAE6-A6ED53287A90}" destId="{29B1894D-267C-4AC3-A29B-9F061F00A64F}" srcOrd="1" destOrd="0" presId="urn:microsoft.com/office/officeart/2005/8/layout/hierarchy1"/>
    <dgm:cxn modelId="{C6F8B75E-6A25-44A7-BA1D-688E4FD7504C}" type="presParOf" srcId="{CADC005F-A694-491C-A0DE-491A248B5174}" destId="{BEB94559-84AE-4970-A8EB-B592AB3A71B3}" srcOrd="1" destOrd="0" presId="urn:microsoft.com/office/officeart/2005/8/layout/hierarchy1"/>
    <dgm:cxn modelId="{571AC8AD-86CA-4D72-9E23-3A6E04E3E30B}" type="presParOf" srcId="{C5CA40ED-3B0E-4C8E-9C20-8E1276133188}" destId="{D160B837-CE4C-4F69-AEDC-EB1C4997EEC1}" srcOrd="2" destOrd="0" presId="urn:microsoft.com/office/officeart/2005/8/layout/hierarchy1"/>
    <dgm:cxn modelId="{4E3B72FB-BA5B-41B9-8491-7E940EDBBACD}" type="presParOf" srcId="{C5CA40ED-3B0E-4C8E-9C20-8E1276133188}" destId="{44F09470-ECC6-4C41-9C63-03678B5D7502}" srcOrd="3" destOrd="0" presId="urn:microsoft.com/office/officeart/2005/8/layout/hierarchy1"/>
    <dgm:cxn modelId="{971F8853-7179-4107-9C28-9433F8B66898}" type="presParOf" srcId="{44F09470-ECC6-4C41-9C63-03678B5D7502}" destId="{A6F76675-6B3C-4B03-A33A-7847E3FE810A}" srcOrd="0" destOrd="0" presId="urn:microsoft.com/office/officeart/2005/8/layout/hierarchy1"/>
    <dgm:cxn modelId="{025496AD-C934-4BCB-9CB9-B14888498055}" type="presParOf" srcId="{A6F76675-6B3C-4B03-A33A-7847E3FE810A}" destId="{9F30B526-1087-4E81-AA87-2968201A967D}" srcOrd="0" destOrd="0" presId="urn:microsoft.com/office/officeart/2005/8/layout/hierarchy1"/>
    <dgm:cxn modelId="{63E074FF-D31F-46BA-BD0B-BD69002D900D}" type="presParOf" srcId="{A6F76675-6B3C-4B03-A33A-7847E3FE810A}" destId="{DA91F7E1-10CC-4DAC-A0B8-E2A277E1C5E6}" srcOrd="1" destOrd="0" presId="urn:microsoft.com/office/officeart/2005/8/layout/hierarchy1"/>
    <dgm:cxn modelId="{6AE3797C-7992-425C-846E-871F492ECD4D}" type="presParOf" srcId="{44F09470-ECC6-4C41-9C63-03678B5D7502}" destId="{6AD66CFB-4C02-4288-990D-27111A8DCF6A}" srcOrd="1" destOrd="0" presId="urn:microsoft.com/office/officeart/2005/8/layout/hierarchy1"/>
    <dgm:cxn modelId="{680EE9EC-A4B3-41DF-8F60-82F396A4110B}" type="presParOf" srcId="{3BB081C5-C12D-4C3F-8325-C6478DE844FA}" destId="{3C1FB154-5385-4FBB-BB2E-259E4A7D52B8}" srcOrd="2" destOrd="0" presId="urn:microsoft.com/office/officeart/2005/8/layout/hierarchy1"/>
    <dgm:cxn modelId="{B1BF2103-A274-408D-83AB-EAC463723910}" type="presParOf" srcId="{3BB081C5-C12D-4C3F-8325-C6478DE844FA}" destId="{B3C5FC24-2CB8-4807-9F0D-4CEB48925491}" srcOrd="3" destOrd="0" presId="urn:microsoft.com/office/officeart/2005/8/layout/hierarchy1"/>
    <dgm:cxn modelId="{31E7CFC5-B9F1-4E7F-8000-241673F77668}" type="presParOf" srcId="{B3C5FC24-2CB8-4807-9F0D-4CEB48925491}" destId="{5A63EE19-21F5-48F4-8D29-C7AC15A22C4E}" srcOrd="0" destOrd="0" presId="urn:microsoft.com/office/officeart/2005/8/layout/hierarchy1"/>
    <dgm:cxn modelId="{2BF22179-C6FD-46BD-B4F7-FBE41EB1AE7D}" type="presParOf" srcId="{5A63EE19-21F5-48F4-8D29-C7AC15A22C4E}" destId="{BF4762E1-7DC9-4896-9420-06DA3B25D6DB}" srcOrd="0" destOrd="0" presId="urn:microsoft.com/office/officeart/2005/8/layout/hierarchy1"/>
    <dgm:cxn modelId="{9E264286-DD40-4B1A-8525-34502F3C4901}" type="presParOf" srcId="{5A63EE19-21F5-48F4-8D29-C7AC15A22C4E}" destId="{BFBDCB10-6290-4FA6-B505-282892AD2299}" srcOrd="1" destOrd="0" presId="urn:microsoft.com/office/officeart/2005/8/layout/hierarchy1"/>
    <dgm:cxn modelId="{2771D403-F4E4-4146-BFBE-47E7EA13B0B9}" type="presParOf" srcId="{B3C5FC24-2CB8-4807-9F0D-4CEB48925491}" destId="{B3BBDC7E-4D6B-4AAC-91B6-8EE8E22A7B9C}"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FB154-5385-4FBB-BB2E-259E4A7D52B8}">
      <dsp:nvSpPr>
        <dsp:cNvPr id="0" name=""/>
        <dsp:cNvSpPr/>
      </dsp:nvSpPr>
      <dsp:spPr>
        <a:xfrm>
          <a:off x="3900487" y="1638933"/>
          <a:ext cx="1021556" cy="486167"/>
        </a:xfrm>
        <a:custGeom>
          <a:avLst/>
          <a:gdLst/>
          <a:ahLst/>
          <a:cxnLst/>
          <a:rect l="0" t="0" r="0" b="0"/>
          <a:pathLst>
            <a:path>
              <a:moveTo>
                <a:pt x="0" y="0"/>
              </a:moveTo>
              <a:lnTo>
                <a:pt x="0" y="331309"/>
              </a:lnTo>
              <a:lnTo>
                <a:pt x="1021556" y="331309"/>
              </a:lnTo>
              <a:lnTo>
                <a:pt x="1021556" y="486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0B837-CE4C-4F69-AEDC-EB1C4997EEC1}">
      <dsp:nvSpPr>
        <dsp:cNvPr id="0" name=""/>
        <dsp:cNvSpPr/>
      </dsp:nvSpPr>
      <dsp:spPr>
        <a:xfrm>
          <a:off x="2878931" y="3186590"/>
          <a:ext cx="1021556" cy="486167"/>
        </a:xfrm>
        <a:custGeom>
          <a:avLst/>
          <a:gdLst/>
          <a:ahLst/>
          <a:cxnLst/>
          <a:rect l="0" t="0" r="0" b="0"/>
          <a:pathLst>
            <a:path>
              <a:moveTo>
                <a:pt x="0" y="0"/>
              </a:moveTo>
              <a:lnTo>
                <a:pt x="0" y="331309"/>
              </a:lnTo>
              <a:lnTo>
                <a:pt x="1021556" y="331309"/>
              </a:lnTo>
              <a:lnTo>
                <a:pt x="1021556" y="486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C6DD3-8976-44B2-98C8-F16C9DB3C974}">
      <dsp:nvSpPr>
        <dsp:cNvPr id="0" name=""/>
        <dsp:cNvSpPr/>
      </dsp:nvSpPr>
      <dsp:spPr>
        <a:xfrm>
          <a:off x="1857375" y="4734556"/>
          <a:ext cx="1021556" cy="485860"/>
        </a:xfrm>
        <a:custGeom>
          <a:avLst/>
          <a:gdLst/>
          <a:ahLst/>
          <a:cxnLst/>
          <a:rect l="0" t="0" r="0" b="0"/>
          <a:pathLst>
            <a:path>
              <a:moveTo>
                <a:pt x="0" y="0"/>
              </a:moveTo>
              <a:lnTo>
                <a:pt x="0" y="331001"/>
              </a:lnTo>
              <a:lnTo>
                <a:pt x="1021556" y="331001"/>
              </a:lnTo>
              <a:lnTo>
                <a:pt x="1021556" y="485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459BE-859F-43B0-85E7-8624D62F83FF}">
      <dsp:nvSpPr>
        <dsp:cNvPr id="0" name=""/>
        <dsp:cNvSpPr/>
      </dsp:nvSpPr>
      <dsp:spPr>
        <a:xfrm>
          <a:off x="835818" y="4734556"/>
          <a:ext cx="1021556" cy="486910"/>
        </a:xfrm>
        <a:custGeom>
          <a:avLst/>
          <a:gdLst/>
          <a:ahLst/>
          <a:cxnLst/>
          <a:rect l="0" t="0" r="0" b="0"/>
          <a:pathLst>
            <a:path>
              <a:moveTo>
                <a:pt x="1021556" y="0"/>
              </a:moveTo>
              <a:lnTo>
                <a:pt x="1021556" y="332052"/>
              </a:lnTo>
              <a:lnTo>
                <a:pt x="0" y="332052"/>
              </a:lnTo>
              <a:lnTo>
                <a:pt x="0" y="4869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6D336-685C-4830-A121-7D9E5C697D30}">
      <dsp:nvSpPr>
        <dsp:cNvPr id="0" name=""/>
        <dsp:cNvSpPr/>
      </dsp:nvSpPr>
      <dsp:spPr>
        <a:xfrm>
          <a:off x="1857375" y="3186590"/>
          <a:ext cx="1021556" cy="486475"/>
        </a:xfrm>
        <a:custGeom>
          <a:avLst/>
          <a:gdLst/>
          <a:ahLst/>
          <a:cxnLst/>
          <a:rect l="0" t="0" r="0" b="0"/>
          <a:pathLst>
            <a:path>
              <a:moveTo>
                <a:pt x="1021556" y="0"/>
              </a:moveTo>
              <a:lnTo>
                <a:pt x="1021556" y="331617"/>
              </a:lnTo>
              <a:lnTo>
                <a:pt x="0" y="331617"/>
              </a:lnTo>
              <a:lnTo>
                <a:pt x="0" y="4864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04A09-4917-44EB-B83C-09A436281391}">
      <dsp:nvSpPr>
        <dsp:cNvPr id="0" name=""/>
        <dsp:cNvSpPr/>
      </dsp:nvSpPr>
      <dsp:spPr>
        <a:xfrm>
          <a:off x="2878931" y="1638933"/>
          <a:ext cx="1021556" cy="486167"/>
        </a:xfrm>
        <a:custGeom>
          <a:avLst/>
          <a:gdLst/>
          <a:ahLst/>
          <a:cxnLst/>
          <a:rect l="0" t="0" r="0" b="0"/>
          <a:pathLst>
            <a:path>
              <a:moveTo>
                <a:pt x="1021556" y="0"/>
              </a:moveTo>
              <a:lnTo>
                <a:pt x="1021556" y="331309"/>
              </a:lnTo>
              <a:lnTo>
                <a:pt x="0" y="331309"/>
              </a:lnTo>
              <a:lnTo>
                <a:pt x="0" y="486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2C0B2-CE42-4FD4-82DF-C4ED939848E2}">
      <dsp:nvSpPr>
        <dsp:cNvPr id="0" name=""/>
        <dsp:cNvSpPr/>
      </dsp:nvSpPr>
      <dsp:spPr>
        <a:xfrm>
          <a:off x="3064668" y="577443"/>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65AC4-AD39-451A-A9DE-81888EEC2F5C}">
      <dsp:nvSpPr>
        <dsp:cNvPr id="0" name=""/>
        <dsp:cNvSpPr/>
      </dsp:nvSpPr>
      <dsp:spPr>
        <a:xfrm>
          <a:off x="3250406" y="753893"/>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Working age population 3,457,600* </a:t>
          </a:r>
        </a:p>
        <a:p>
          <a:pPr lvl="0" algn="ctr" defTabSz="577850">
            <a:lnSpc>
              <a:spcPct val="90000"/>
            </a:lnSpc>
            <a:spcBef>
              <a:spcPct val="0"/>
            </a:spcBef>
            <a:spcAft>
              <a:spcPct val="35000"/>
            </a:spcAft>
          </a:pPr>
          <a:r>
            <a:rPr lang="en-NZ" sz="1300" kern="1200"/>
            <a:t>15 years and over</a:t>
          </a:r>
        </a:p>
      </dsp:txBody>
      <dsp:txXfrm>
        <a:off x="3281496" y="784983"/>
        <a:ext cx="1609457" cy="999309"/>
      </dsp:txXfrm>
    </dsp:sp>
    <dsp:sp modelId="{A63794EE-28E1-4C1A-A871-B9D89E4C1A8E}">
      <dsp:nvSpPr>
        <dsp:cNvPr id="0" name=""/>
        <dsp:cNvSpPr/>
      </dsp:nvSpPr>
      <dsp:spPr>
        <a:xfrm>
          <a:off x="2043112" y="2125100"/>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8E1C2A-BE8C-4EBC-B727-D815DB3CA410}">
      <dsp:nvSpPr>
        <dsp:cNvPr id="0" name=""/>
        <dsp:cNvSpPr/>
      </dsp:nvSpPr>
      <dsp:spPr>
        <a:xfrm>
          <a:off x="2228850" y="2301551"/>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Labour force</a:t>
          </a:r>
        </a:p>
        <a:p>
          <a:pPr lvl="0" algn="ctr" defTabSz="577850">
            <a:lnSpc>
              <a:spcPct val="90000"/>
            </a:lnSpc>
            <a:spcBef>
              <a:spcPct val="0"/>
            </a:spcBef>
            <a:spcAft>
              <a:spcPct val="35000"/>
            </a:spcAft>
          </a:pPr>
          <a:r>
            <a:rPr lang="en-NZ" sz="1300" kern="1200"/>
            <a:t>2,369,000</a:t>
          </a:r>
        </a:p>
        <a:p>
          <a:pPr lvl="0" algn="ctr" defTabSz="577850">
            <a:lnSpc>
              <a:spcPct val="90000"/>
            </a:lnSpc>
            <a:spcBef>
              <a:spcPct val="0"/>
            </a:spcBef>
            <a:spcAft>
              <a:spcPct val="35000"/>
            </a:spcAft>
          </a:pPr>
          <a:r>
            <a:rPr lang="en-NZ" sz="1300" kern="1200"/>
            <a:t>68.7%</a:t>
          </a:r>
        </a:p>
      </dsp:txBody>
      <dsp:txXfrm>
        <a:off x="2259940" y="2332641"/>
        <a:ext cx="1609457" cy="999309"/>
      </dsp:txXfrm>
    </dsp:sp>
    <dsp:sp modelId="{E9CFD844-E414-41BC-BF4E-09529A9FD7BC}">
      <dsp:nvSpPr>
        <dsp:cNvPr id="0" name=""/>
        <dsp:cNvSpPr/>
      </dsp:nvSpPr>
      <dsp:spPr>
        <a:xfrm>
          <a:off x="1021556" y="3673066"/>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C2C476-57E1-4C86-BD0B-F12A0E072AB2}">
      <dsp:nvSpPr>
        <dsp:cNvPr id="0" name=""/>
        <dsp:cNvSpPr/>
      </dsp:nvSpPr>
      <dsp:spPr>
        <a:xfrm>
          <a:off x="1207293" y="3849517"/>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Employed</a:t>
          </a:r>
        </a:p>
        <a:p>
          <a:pPr lvl="0" algn="ctr" defTabSz="577850">
            <a:lnSpc>
              <a:spcPct val="90000"/>
            </a:lnSpc>
            <a:spcBef>
              <a:spcPct val="0"/>
            </a:spcBef>
            <a:spcAft>
              <a:spcPct val="35000"/>
            </a:spcAft>
          </a:pPr>
          <a:r>
            <a:rPr lang="en-NZ" sz="1300" kern="1200"/>
            <a:t>2,214,000</a:t>
          </a:r>
        </a:p>
        <a:p>
          <a:pPr lvl="0" algn="ctr" defTabSz="577850">
            <a:lnSpc>
              <a:spcPct val="90000"/>
            </a:lnSpc>
            <a:spcBef>
              <a:spcPct val="0"/>
            </a:spcBef>
            <a:spcAft>
              <a:spcPct val="35000"/>
            </a:spcAft>
          </a:pPr>
          <a:r>
            <a:rPr lang="en-NZ" sz="1300" kern="1200"/>
            <a:t>93.5%</a:t>
          </a:r>
        </a:p>
      </dsp:txBody>
      <dsp:txXfrm>
        <a:off x="1238383" y="3880607"/>
        <a:ext cx="1609457" cy="999309"/>
      </dsp:txXfrm>
    </dsp:sp>
    <dsp:sp modelId="{AC6D87F6-208F-44F7-BABD-DB2D6F2C1606}">
      <dsp:nvSpPr>
        <dsp:cNvPr id="0" name=""/>
        <dsp:cNvSpPr/>
      </dsp:nvSpPr>
      <dsp:spPr>
        <a:xfrm>
          <a:off x="0" y="5221467"/>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31D942-1C1A-406D-AE7E-F67979E3B66F}">
      <dsp:nvSpPr>
        <dsp:cNvPr id="0" name=""/>
        <dsp:cNvSpPr/>
      </dsp:nvSpPr>
      <dsp:spPr>
        <a:xfrm>
          <a:off x="185737" y="5397917"/>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Full-time</a:t>
          </a:r>
        </a:p>
        <a:p>
          <a:pPr lvl="0" algn="ctr" defTabSz="577850">
            <a:lnSpc>
              <a:spcPct val="90000"/>
            </a:lnSpc>
            <a:spcBef>
              <a:spcPct val="0"/>
            </a:spcBef>
            <a:spcAft>
              <a:spcPct val="35000"/>
            </a:spcAft>
          </a:pPr>
          <a:r>
            <a:rPr lang="en-NZ" sz="1300" kern="1200"/>
            <a:t>1,707,000</a:t>
          </a:r>
        </a:p>
        <a:p>
          <a:pPr lvl="0" algn="ctr" defTabSz="577850">
            <a:lnSpc>
              <a:spcPct val="90000"/>
            </a:lnSpc>
            <a:spcBef>
              <a:spcPct val="0"/>
            </a:spcBef>
            <a:spcAft>
              <a:spcPct val="35000"/>
            </a:spcAft>
          </a:pPr>
          <a:r>
            <a:rPr lang="en-NZ" sz="1300" kern="1200"/>
            <a:t>77.2%</a:t>
          </a:r>
        </a:p>
      </dsp:txBody>
      <dsp:txXfrm>
        <a:off x="216827" y="5429007"/>
        <a:ext cx="1609457" cy="999309"/>
      </dsp:txXfrm>
    </dsp:sp>
    <dsp:sp modelId="{D617858E-B49C-448F-8BA3-21D4BC5F4A5E}">
      <dsp:nvSpPr>
        <dsp:cNvPr id="0" name=""/>
        <dsp:cNvSpPr/>
      </dsp:nvSpPr>
      <dsp:spPr>
        <a:xfrm>
          <a:off x="2043112" y="5220416"/>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B1894D-267C-4AC3-A29B-9F061F00A64F}">
      <dsp:nvSpPr>
        <dsp:cNvPr id="0" name=""/>
        <dsp:cNvSpPr/>
      </dsp:nvSpPr>
      <dsp:spPr>
        <a:xfrm>
          <a:off x="2228850" y="5396866"/>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Part-time</a:t>
          </a:r>
        </a:p>
        <a:p>
          <a:pPr lvl="0" algn="ctr" defTabSz="577850">
            <a:lnSpc>
              <a:spcPct val="90000"/>
            </a:lnSpc>
            <a:spcBef>
              <a:spcPct val="0"/>
            </a:spcBef>
            <a:spcAft>
              <a:spcPct val="35000"/>
            </a:spcAft>
          </a:pPr>
          <a:r>
            <a:rPr lang="en-NZ" sz="1300" kern="1200"/>
            <a:t>505,000</a:t>
          </a:r>
        </a:p>
        <a:p>
          <a:pPr lvl="0" algn="ctr" defTabSz="577850">
            <a:lnSpc>
              <a:spcPct val="90000"/>
            </a:lnSpc>
            <a:spcBef>
              <a:spcPct val="0"/>
            </a:spcBef>
            <a:spcAft>
              <a:spcPct val="35000"/>
            </a:spcAft>
          </a:pPr>
          <a:r>
            <a:rPr lang="en-NZ" sz="1300" kern="1200"/>
            <a:t>22.8%</a:t>
          </a:r>
        </a:p>
      </dsp:txBody>
      <dsp:txXfrm>
        <a:off x="2259940" y="5427956"/>
        <a:ext cx="1609457" cy="999309"/>
      </dsp:txXfrm>
    </dsp:sp>
    <dsp:sp modelId="{9F30B526-1087-4E81-AA87-2968201A967D}">
      <dsp:nvSpPr>
        <dsp:cNvPr id="0" name=""/>
        <dsp:cNvSpPr/>
      </dsp:nvSpPr>
      <dsp:spPr>
        <a:xfrm>
          <a:off x="3064668" y="3672758"/>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91F7E1-10CC-4DAC-A0B8-E2A277E1C5E6}">
      <dsp:nvSpPr>
        <dsp:cNvPr id="0" name=""/>
        <dsp:cNvSpPr/>
      </dsp:nvSpPr>
      <dsp:spPr>
        <a:xfrm>
          <a:off x="3250406" y="3849209"/>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Unemployed</a:t>
          </a:r>
        </a:p>
        <a:p>
          <a:pPr lvl="0" algn="ctr" defTabSz="577850">
            <a:lnSpc>
              <a:spcPct val="90000"/>
            </a:lnSpc>
            <a:spcBef>
              <a:spcPct val="0"/>
            </a:spcBef>
            <a:spcAft>
              <a:spcPct val="35000"/>
            </a:spcAft>
          </a:pPr>
          <a:r>
            <a:rPr lang="en-NZ" sz="1300" kern="1200"/>
            <a:t>155,000</a:t>
          </a:r>
        </a:p>
        <a:p>
          <a:pPr lvl="0" algn="ctr" defTabSz="577850">
            <a:lnSpc>
              <a:spcPct val="90000"/>
            </a:lnSpc>
            <a:spcBef>
              <a:spcPct val="0"/>
            </a:spcBef>
            <a:spcAft>
              <a:spcPct val="35000"/>
            </a:spcAft>
          </a:pPr>
          <a:r>
            <a:rPr lang="en-NZ" sz="1300" kern="1200"/>
            <a:t>6.6%</a:t>
          </a:r>
        </a:p>
      </dsp:txBody>
      <dsp:txXfrm>
        <a:off x="3281496" y="3880299"/>
        <a:ext cx="1609457" cy="999309"/>
      </dsp:txXfrm>
    </dsp:sp>
    <dsp:sp modelId="{BF4762E1-7DC9-4896-9420-06DA3B25D6DB}">
      <dsp:nvSpPr>
        <dsp:cNvPr id="0" name=""/>
        <dsp:cNvSpPr/>
      </dsp:nvSpPr>
      <dsp:spPr>
        <a:xfrm>
          <a:off x="4086224" y="2125100"/>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BDCB10-6290-4FA6-B505-282892AD2299}">
      <dsp:nvSpPr>
        <dsp:cNvPr id="0" name=""/>
        <dsp:cNvSpPr/>
      </dsp:nvSpPr>
      <dsp:spPr>
        <a:xfrm>
          <a:off x="4271962" y="2301551"/>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Not in the labour force</a:t>
          </a:r>
        </a:p>
        <a:p>
          <a:pPr lvl="0" algn="ctr" defTabSz="577850">
            <a:lnSpc>
              <a:spcPct val="90000"/>
            </a:lnSpc>
            <a:spcBef>
              <a:spcPct val="0"/>
            </a:spcBef>
            <a:spcAft>
              <a:spcPct val="35000"/>
            </a:spcAft>
          </a:pPr>
          <a:r>
            <a:rPr lang="en-NZ" sz="1300" kern="1200"/>
            <a:t>1,081,000</a:t>
          </a:r>
        </a:p>
        <a:p>
          <a:pPr lvl="0" algn="ctr" defTabSz="577850">
            <a:lnSpc>
              <a:spcPct val="90000"/>
            </a:lnSpc>
            <a:spcBef>
              <a:spcPct val="0"/>
            </a:spcBef>
            <a:spcAft>
              <a:spcPct val="35000"/>
            </a:spcAft>
          </a:pPr>
          <a:r>
            <a:rPr lang="en-NZ" sz="1300" kern="1200"/>
            <a:t>31.3%</a:t>
          </a:r>
        </a:p>
      </dsp:txBody>
      <dsp:txXfrm>
        <a:off x="4303052" y="2332641"/>
        <a:ext cx="1609457" cy="9993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a:dk1>
        <a:sysClr val="windowText" lastClr="000000"/>
      </a:dk1>
      <a:lt1>
        <a:sysClr val="window" lastClr="FFFFFF"/>
      </a:lt1>
      <a:dk2>
        <a:srgbClr val="04617B"/>
      </a:dk2>
      <a:lt2>
        <a:srgbClr val="DBF5F9"/>
      </a:lt2>
      <a:accent1>
        <a:srgbClr val="20C8F7"/>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37F63-DF86-40F2-BAB9-BE63F557958F}"/>
</file>

<file path=customXml/itemProps2.xml><?xml version="1.0" encoding="utf-8"?>
<ds:datastoreItem xmlns:ds="http://schemas.openxmlformats.org/officeDocument/2006/customXml" ds:itemID="{E18ACE2E-E172-4D0C-B37D-FCA44BF80452}"/>
</file>

<file path=customXml/itemProps3.xml><?xml version="1.0" encoding="utf-8"?>
<ds:datastoreItem xmlns:ds="http://schemas.openxmlformats.org/officeDocument/2006/customXml" ds:itemID="{F12750A3-F9A4-497E-896C-3857D20FA932}"/>
</file>

<file path=customXml/itemProps4.xml><?xml version="1.0" encoding="utf-8"?>
<ds:datastoreItem xmlns:ds="http://schemas.openxmlformats.org/officeDocument/2006/customXml" ds:itemID="{103C1122-F0E1-415A-980A-DEC7B76BDC5E}"/>
</file>

<file path=docProps/app.xml><?xml version="1.0" encoding="utf-8"?>
<Properties xmlns="http://schemas.openxmlformats.org/officeDocument/2006/extended-properties" xmlns:vt="http://schemas.openxmlformats.org/officeDocument/2006/docPropsVTypes">
  <Template>Normal</Template>
  <TotalTime>1</TotalTime>
  <Pages>25</Pages>
  <Words>12928</Words>
  <Characters>73695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Appendices</vt:lpstr>
    </vt:vector>
  </TitlesOfParts>
  <Company>NZ Human Rights Commission</Company>
  <LinksUpToDate>false</LinksUpToDate>
  <CharactersWithSpaces>86451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Emilia Don Silva</dc:creator>
  <cp:lastModifiedBy>Krista Maria Orama</cp:lastModifiedBy>
  <cp:revision>2</cp:revision>
  <cp:lastPrinted>2011-07-20T04:46:00Z</cp:lastPrinted>
  <dcterms:created xsi:type="dcterms:W3CDTF">2012-10-08T13:23:00Z</dcterms:created>
  <dcterms:modified xsi:type="dcterms:W3CDTF">2012-10-08T13:23:00Z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