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rsidRPr="00CF6110" w14:paraId="0096F73F" w14:textId="77777777">
        <w:trPr>
          <w:trHeight w:val="851"/>
        </w:trPr>
        <w:tc>
          <w:tcPr>
            <w:tcW w:w="1259" w:type="dxa"/>
            <w:tcBorders>
              <w:top w:val="nil"/>
              <w:left w:val="nil"/>
              <w:bottom w:val="single" w:sz="4" w:space="0" w:color="auto"/>
              <w:right w:val="nil"/>
            </w:tcBorders>
          </w:tcPr>
          <w:p w14:paraId="59B7223F" w14:textId="77777777" w:rsidR="00E52109" w:rsidRPr="00CF6110" w:rsidRDefault="00E52109" w:rsidP="002A32CB">
            <w:pPr>
              <w:pStyle w:val="HMG"/>
            </w:pPr>
          </w:p>
        </w:tc>
        <w:tc>
          <w:tcPr>
            <w:tcW w:w="2236" w:type="dxa"/>
            <w:tcBorders>
              <w:top w:val="nil"/>
              <w:left w:val="nil"/>
              <w:bottom w:val="single" w:sz="4" w:space="0" w:color="auto"/>
              <w:right w:val="nil"/>
            </w:tcBorders>
            <w:vAlign w:val="bottom"/>
          </w:tcPr>
          <w:p w14:paraId="61A9A480" w14:textId="77777777" w:rsidR="00E52109" w:rsidRPr="00CF6110" w:rsidRDefault="00E52109" w:rsidP="002810DE">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4418A5A1" w14:textId="77777777" w:rsidR="00E52109" w:rsidRPr="00CF6110" w:rsidRDefault="00AF4876" w:rsidP="00E6192A">
            <w:pPr>
              <w:suppressAutoHyphens w:val="0"/>
              <w:spacing w:after="20"/>
              <w:jc w:val="right"/>
            </w:pPr>
            <w:r w:rsidRPr="00CF6110">
              <w:rPr>
                <w:sz w:val="40"/>
              </w:rPr>
              <w:t>A</w:t>
            </w:r>
            <w:r w:rsidRPr="00CF6110">
              <w:t>/HRC/</w:t>
            </w:r>
            <w:r w:rsidR="00020694" w:rsidRPr="00CF6110">
              <w:t>3</w:t>
            </w:r>
            <w:r w:rsidR="00E6192A" w:rsidRPr="00CF6110">
              <w:t>2</w:t>
            </w:r>
            <w:r w:rsidRPr="00CF6110">
              <w:t>/</w:t>
            </w:r>
            <w:r w:rsidR="00E6192A" w:rsidRPr="00CF6110">
              <w:t>39</w:t>
            </w:r>
            <w:r w:rsidRPr="00CF6110">
              <w:t>/Add.</w:t>
            </w:r>
            <w:r w:rsidR="00E6192A" w:rsidRPr="00CF6110">
              <w:t>4</w:t>
            </w:r>
          </w:p>
        </w:tc>
      </w:tr>
      <w:tr w:rsidR="00E52109" w:rsidRPr="00CF6110" w14:paraId="2BCD8587" w14:textId="77777777">
        <w:trPr>
          <w:trHeight w:val="2835"/>
        </w:trPr>
        <w:tc>
          <w:tcPr>
            <w:tcW w:w="1259" w:type="dxa"/>
            <w:tcBorders>
              <w:top w:val="single" w:sz="4" w:space="0" w:color="auto"/>
              <w:left w:val="nil"/>
              <w:bottom w:val="single" w:sz="12" w:space="0" w:color="auto"/>
              <w:right w:val="nil"/>
            </w:tcBorders>
          </w:tcPr>
          <w:p w14:paraId="3A97D2A0" w14:textId="77777777" w:rsidR="00E52109" w:rsidRPr="00CF6110" w:rsidRDefault="00E52109" w:rsidP="002810DE">
            <w:pPr>
              <w:spacing w:before="120"/>
              <w:jc w:val="center"/>
            </w:pPr>
          </w:p>
        </w:tc>
        <w:tc>
          <w:tcPr>
            <w:tcW w:w="5450" w:type="dxa"/>
            <w:gridSpan w:val="2"/>
            <w:tcBorders>
              <w:top w:val="single" w:sz="4" w:space="0" w:color="auto"/>
              <w:left w:val="nil"/>
              <w:bottom w:val="single" w:sz="12" w:space="0" w:color="auto"/>
              <w:right w:val="nil"/>
            </w:tcBorders>
          </w:tcPr>
          <w:p w14:paraId="6D781A71" w14:textId="77777777" w:rsidR="00E52109" w:rsidRPr="00CF6110" w:rsidRDefault="00E6192A" w:rsidP="002810DE">
            <w:pPr>
              <w:spacing w:before="120" w:line="420" w:lineRule="exact"/>
              <w:rPr>
                <w:b/>
                <w:sz w:val="40"/>
                <w:szCs w:val="40"/>
              </w:rPr>
            </w:pPr>
            <w:r w:rsidRPr="00CF6110">
              <w:rPr>
                <w:b/>
                <w:sz w:val="40"/>
                <w:szCs w:val="40"/>
              </w:rPr>
              <w:t>Advance Unedited Version</w:t>
            </w:r>
          </w:p>
        </w:tc>
        <w:tc>
          <w:tcPr>
            <w:tcW w:w="2930" w:type="dxa"/>
            <w:tcBorders>
              <w:top w:val="single" w:sz="4" w:space="0" w:color="auto"/>
              <w:left w:val="nil"/>
              <w:bottom w:val="single" w:sz="12" w:space="0" w:color="auto"/>
              <w:right w:val="nil"/>
            </w:tcBorders>
          </w:tcPr>
          <w:p w14:paraId="339B4FF2" w14:textId="77777777" w:rsidR="00E52109" w:rsidRPr="00CF6110" w:rsidRDefault="00AF4876" w:rsidP="00AF4876">
            <w:pPr>
              <w:suppressAutoHyphens w:val="0"/>
              <w:spacing w:before="240" w:line="240" w:lineRule="exact"/>
            </w:pPr>
            <w:r w:rsidRPr="00CF6110">
              <w:t>Distr.:</w:t>
            </w:r>
            <w:r w:rsidR="008D3B3A" w:rsidRPr="00CF6110">
              <w:t xml:space="preserve"> </w:t>
            </w:r>
            <w:r w:rsidRPr="00CF6110">
              <w:t>General</w:t>
            </w:r>
          </w:p>
          <w:p w14:paraId="6856CA28" w14:textId="501B4BBB" w:rsidR="00AF4876" w:rsidRPr="00CF6110" w:rsidRDefault="00E6192A" w:rsidP="00AF4876">
            <w:pPr>
              <w:suppressAutoHyphens w:val="0"/>
            </w:pPr>
            <w:r w:rsidRPr="00CF6110">
              <w:t>xx</w:t>
            </w:r>
            <w:r w:rsidR="00D9427B" w:rsidRPr="00CF6110">
              <w:t xml:space="preserve"> </w:t>
            </w:r>
            <w:r w:rsidR="00CB5A56" w:rsidRPr="00CF6110">
              <w:t>June</w:t>
            </w:r>
            <w:r w:rsidR="00CA7D5C" w:rsidRPr="00CF6110">
              <w:t xml:space="preserve"> </w:t>
            </w:r>
            <w:r w:rsidR="00AF4876" w:rsidRPr="00CF6110">
              <w:t>201</w:t>
            </w:r>
            <w:r w:rsidRPr="00CF6110">
              <w:t>6</w:t>
            </w:r>
          </w:p>
          <w:p w14:paraId="6496592A" w14:textId="77777777" w:rsidR="00020694" w:rsidRPr="00CF6110" w:rsidRDefault="00020694" w:rsidP="00020694">
            <w:pPr>
              <w:suppressAutoHyphens w:val="0"/>
            </w:pPr>
          </w:p>
          <w:p w14:paraId="76E78B07" w14:textId="77777777" w:rsidR="00AF4876" w:rsidRPr="00CF6110" w:rsidRDefault="00AF4876" w:rsidP="00020694">
            <w:pPr>
              <w:suppressAutoHyphens w:val="0"/>
            </w:pPr>
            <w:r w:rsidRPr="00CF6110">
              <w:t>Original:</w:t>
            </w:r>
            <w:r w:rsidR="008D3B3A" w:rsidRPr="00CF6110">
              <w:t xml:space="preserve"> </w:t>
            </w:r>
            <w:r w:rsidR="00020694" w:rsidRPr="00CF6110">
              <w:t>English</w:t>
            </w:r>
          </w:p>
        </w:tc>
      </w:tr>
    </w:tbl>
    <w:p w14:paraId="06885ACC" w14:textId="77777777" w:rsidR="007268F9" w:rsidRPr="00CF6110" w:rsidRDefault="00AF4876" w:rsidP="00AF4876">
      <w:pPr>
        <w:spacing w:before="120"/>
        <w:rPr>
          <w:b/>
          <w:bCs/>
          <w:sz w:val="24"/>
          <w:szCs w:val="24"/>
        </w:rPr>
      </w:pPr>
      <w:r w:rsidRPr="00CF6110">
        <w:rPr>
          <w:b/>
          <w:bCs/>
          <w:sz w:val="24"/>
          <w:szCs w:val="24"/>
        </w:rPr>
        <w:t>Human</w:t>
      </w:r>
      <w:r w:rsidR="008D3B3A" w:rsidRPr="00CF6110">
        <w:rPr>
          <w:b/>
          <w:bCs/>
          <w:sz w:val="24"/>
          <w:szCs w:val="24"/>
        </w:rPr>
        <w:t xml:space="preserve"> </w:t>
      </w:r>
      <w:r w:rsidRPr="00CF6110">
        <w:rPr>
          <w:b/>
          <w:bCs/>
          <w:sz w:val="24"/>
          <w:szCs w:val="24"/>
        </w:rPr>
        <w:t>Rights</w:t>
      </w:r>
      <w:r w:rsidR="008D3B3A" w:rsidRPr="00CF6110">
        <w:rPr>
          <w:b/>
          <w:bCs/>
          <w:sz w:val="24"/>
          <w:szCs w:val="24"/>
        </w:rPr>
        <w:t xml:space="preserve"> </w:t>
      </w:r>
      <w:r w:rsidRPr="00CF6110">
        <w:rPr>
          <w:b/>
          <w:bCs/>
          <w:sz w:val="24"/>
          <w:szCs w:val="24"/>
        </w:rPr>
        <w:t>Council</w:t>
      </w:r>
    </w:p>
    <w:p w14:paraId="380FF3EA" w14:textId="77777777" w:rsidR="00AF4876" w:rsidRPr="00CF6110" w:rsidRDefault="00AF4876" w:rsidP="005E716E">
      <w:pPr>
        <w:rPr>
          <w:b/>
          <w:bCs/>
        </w:rPr>
      </w:pPr>
      <w:r w:rsidRPr="00CF6110">
        <w:rPr>
          <w:b/>
          <w:bCs/>
        </w:rPr>
        <w:t>T</w:t>
      </w:r>
      <w:r w:rsidR="00020694" w:rsidRPr="00CF6110">
        <w:rPr>
          <w:b/>
          <w:bCs/>
        </w:rPr>
        <w:t>hirty-first</w:t>
      </w:r>
      <w:r w:rsidR="00B40D2D" w:rsidRPr="00CF6110">
        <w:rPr>
          <w:b/>
          <w:bCs/>
        </w:rPr>
        <w:t xml:space="preserve"> </w:t>
      </w:r>
      <w:proofErr w:type="gramStart"/>
      <w:r w:rsidRPr="00CF6110">
        <w:rPr>
          <w:b/>
          <w:bCs/>
        </w:rPr>
        <w:t>session</w:t>
      </w:r>
      <w:proofErr w:type="gramEnd"/>
    </w:p>
    <w:p w14:paraId="570D2D80" w14:textId="77777777" w:rsidR="00AF4876" w:rsidRPr="00CF6110" w:rsidRDefault="00AF4876" w:rsidP="005E716E">
      <w:r w:rsidRPr="00CF6110">
        <w:t>Agenda</w:t>
      </w:r>
      <w:r w:rsidR="008D3B3A" w:rsidRPr="00CF6110">
        <w:t xml:space="preserve"> </w:t>
      </w:r>
      <w:r w:rsidRPr="00CF6110">
        <w:t>item</w:t>
      </w:r>
      <w:r w:rsidR="008D3B3A" w:rsidRPr="00CF6110">
        <w:t xml:space="preserve"> </w:t>
      </w:r>
      <w:r w:rsidRPr="00CF6110">
        <w:t>3</w:t>
      </w:r>
    </w:p>
    <w:p w14:paraId="2F976B02" w14:textId="77777777" w:rsidR="00AF4876" w:rsidRPr="00CF6110" w:rsidRDefault="00AF4876" w:rsidP="00AF4876">
      <w:pPr>
        <w:rPr>
          <w:b/>
          <w:bCs/>
        </w:rPr>
      </w:pPr>
      <w:r w:rsidRPr="00CF6110">
        <w:rPr>
          <w:b/>
          <w:bCs/>
        </w:rPr>
        <w:t>Promotion</w:t>
      </w:r>
      <w:r w:rsidR="008D3B3A" w:rsidRPr="00CF6110">
        <w:rPr>
          <w:b/>
          <w:bCs/>
        </w:rPr>
        <w:t xml:space="preserve"> </w:t>
      </w:r>
      <w:r w:rsidRPr="00CF6110">
        <w:rPr>
          <w:b/>
          <w:bCs/>
        </w:rPr>
        <w:t>and</w:t>
      </w:r>
      <w:r w:rsidR="008D3B3A" w:rsidRPr="00CF6110">
        <w:rPr>
          <w:b/>
          <w:bCs/>
        </w:rPr>
        <w:t xml:space="preserve"> </w:t>
      </w:r>
      <w:r w:rsidRPr="00CF6110">
        <w:rPr>
          <w:b/>
          <w:bCs/>
        </w:rPr>
        <w:t>protection</w:t>
      </w:r>
      <w:r w:rsidR="008D3B3A" w:rsidRPr="00CF6110">
        <w:rPr>
          <w:b/>
          <w:bCs/>
        </w:rPr>
        <w:t xml:space="preserve"> </w:t>
      </w:r>
      <w:r w:rsidRPr="00CF6110">
        <w:rPr>
          <w:b/>
          <w:bCs/>
        </w:rPr>
        <w:t>of</w:t>
      </w:r>
      <w:r w:rsidR="008D3B3A" w:rsidRPr="00CF6110">
        <w:rPr>
          <w:b/>
          <w:bCs/>
        </w:rPr>
        <w:t xml:space="preserve"> </w:t>
      </w:r>
      <w:r w:rsidRPr="00CF6110">
        <w:rPr>
          <w:b/>
          <w:bCs/>
        </w:rPr>
        <w:t>all</w:t>
      </w:r>
      <w:r w:rsidR="008D3B3A" w:rsidRPr="00CF6110">
        <w:rPr>
          <w:b/>
          <w:bCs/>
        </w:rPr>
        <w:t xml:space="preserve"> </w:t>
      </w:r>
      <w:r w:rsidRPr="00CF6110">
        <w:rPr>
          <w:b/>
          <w:bCs/>
        </w:rPr>
        <w:t>human</w:t>
      </w:r>
      <w:r w:rsidR="008D3B3A" w:rsidRPr="00CF6110">
        <w:rPr>
          <w:b/>
          <w:bCs/>
        </w:rPr>
        <w:t xml:space="preserve"> </w:t>
      </w:r>
      <w:r w:rsidRPr="00CF6110">
        <w:rPr>
          <w:b/>
          <w:bCs/>
        </w:rPr>
        <w:t>rights,</w:t>
      </w:r>
      <w:r w:rsidR="008D3B3A" w:rsidRPr="00CF6110">
        <w:rPr>
          <w:b/>
          <w:bCs/>
        </w:rPr>
        <w:t xml:space="preserve"> </w:t>
      </w:r>
      <w:r w:rsidRPr="00CF6110">
        <w:rPr>
          <w:b/>
          <w:bCs/>
        </w:rPr>
        <w:t>civil</w:t>
      </w:r>
      <w:proofErr w:type="gramStart"/>
      <w:r w:rsidRPr="00CF6110">
        <w:rPr>
          <w:b/>
          <w:bCs/>
        </w:rPr>
        <w:t>,</w:t>
      </w:r>
      <w:proofErr w:type="gramEnd"/>
      <w:r w:rsidRPr="00CF6110">
        <w:rPr>
          <w:b/>
          <w:bCs/>
        </w:rPr>
        <w:br/>
        <w:t>political,</w:t>
      </w:r>
      <w:r w:rsidR="008D3B3A" w:rsidRPr="00CF6110">
        <w:rPr>
          <w:b/>
          <w:bCs/>
        </w:rPr>
        <w:t xml:space="preserve"> </w:t>
      </w:r>
      <w:r w:rsidRPr="00CF6110">
        <w:rPr>
          <w:b/>
          <w:bCs/>
        </w:rPr>
        <w:t>economic,</w:t>
      </w:r>
      <w:r w:rsidR="008D3B3A" w:rsidRPr="00CF6110">
        <w:rPr>
          <w:b/>
          <w:bCs/>
        </w:rPr>
        <w:t xml:space="preserve"> </w:t>
      </w:r>
      <w:r w:rsidRPr="00CF6110">
        <w:rPr>
          <w:b/>
          <w:bCs/>
        </w:rPr>
        <w:t>social</w:t>
      </w:r>
      <w:r w:rsidR="008D3B3A" w:rsidRPr="00CF6110">
        <w:rPr>
          <w:b/>
          <w:bCs/>
        </w:rPr>
        <w:t xml:space="preserve"> </w:t>
      </w:r>
      <w:r w:rsidRPr="00CF6110">
        <w:rPr>
          <w:b/>
          <w:bCs/>
        </w:rPr>
        <w:t>and</w:t>
      </w:r>
      <w:r w:rsidR="008D3B3A" w:rsidRPr="00CF6110">
        <w:rPr>
          <w:b/>
          <w:bCs/>
        </w:rPr>
        <w:t xml:space="preserve"> </w:t>
      </w:r>
      <w:r w:rsidRPr="00CF6110">
        <w:rPr>
          <w:b/>
          <w:bCs/>
        </w:rPr>
        <w:t>cultural</w:t>
      </w:r>
      <w:r w:rsidR="008D3B3A" w:rsidRPr="00CF6110">
        <w:rPr>
          <w:b/>
          <w:bCs/>
        </w:rPr>
        <w:t xml:space="preserve"> </w:t>
      </w:r>
      <w:r w:rsidRPr="00CF6110">
        <w:rPr>
          <w:b/>
          <w:bCs/>
        </w:rPr>
        <w:t>rights,</w:t>
      </w:r>
      <w:r w:rsidRPr="00CF6110">
        <w:rPr>
          <w:b/>
          <w:bCs/>
        </w:rPr>
        <w:br/>
        <w:t>including</w:t>
      </w:r>
      <w:r w:rsidR="008D3B3A" w:rsidRPr="00CF6110">
        <w:rPr>
          <w:b/>
          <w:bCs/>
        </w:rPr>
        <w:t xml:space="preserve"> </w:t>
      </w:r>
      <w:r w:rsidRPr="00CF6110">
        <w:rPr>
          <w:b/>
          <w:bCs/>
        </w:rPr>
        <w:t>the</w:t>
      </w:r>
      <w:r w:rsidR="008D3B3A" w:rsidRPr="00CF6110">
        <w:rPr>
          <w:b/>
          <w:bCs/>
        </w:rPr>
        <w:t xml:space="preserve"> </w:t>
      </w:r>
      <w:r w:rsidRPr="00CF6110">
        <w:rPr>
          <w:b/>
          <w:bCs/>
        </w:rPr>
        <w:t>right</w:t>
      </w:r>
      <w:r w:rsidR="008D3B3A" w:rsidRPr="00CF6110">
        <w:rPr>
          <w:b/>
          <w:bCs/>
        </w:rPr>
        <w:t xml:space="preserve"> </w:t>
      </w:r>
      <w:r w:rsidRPr="00CF6110">
        <w:rPr>
          <w:b/>
          <w:bCs/>
        </w:rPr>
        <w:t>to</w:t>
      </w:r>
      <w:r w:rsidR="008D3B3A" w:rsidRPr="00CF6110">
        <w:rPr>
          <w:b/>
          <w:bCs/>
        </w:rPr>
        <w:t xml:space="preserve"> </w:t>
      </w:r>
      <w:r w:rsidRPr="00CF6110">
        <w:rPr>
          <w:b/>
          <w:bCs/>
        </w:rPr>
        <w:t>development</w:t>
      </w:r>
    </w:p>
    <w:p w14:paraId="5EF0E798" w14:textId="77777777" w:rsidR="00C73FFE" w:rsidRPr="00CF6110" w:rsidRDefault="00AF4876" w:rsidP="00E64C64">
      <w:pPr>
        <w:pStyle w:val="HChG"/>
      </w:pPr>
      <w:r w:rsidRPr="00CF6110">
        <w:tab/>
      </w:r>
      <w:r w:rsidRPr="00CF6110">
        <w:tab/>
      </w:r>
      <w:r w:rsidRPr="00CF6110">
        <w:rPr>
          <w:szCs w:val="28"/>
        </w:rPr>
        <w:t>Report</w:t>
      </w:r>
      <w:r w:rsidR="008D3B3A" w:rsidRPr="00CF6110">
        <w:rPr>
          <w:szCs w:val="28"/>
        </w:rPr>
        <w:t xml:space="preserve"> </w:t>
      </w:r>
      <w:r w:rsidRPr="00CF6110">
        <w:rPr>
          <w:szCs w:val="28"/>
        </w:rPr>
        <w:t>of</w:t>
      </w:r>
      <w:r w:rsidR="008D3B3A" w:rsidRPr="00CF6110">
        <w:rPr>
          <w:szCs w:val="28"/>
        </w:rPr>
        <w:t xml:space="preserve"> </w:t>
      </w:r>
      <w:r w:rsidRPr="00CF6110">
        <w:rPr>
          <w:szCs w:val="28"/>
        </w:rPr>
        <w:t>the</w:t>
      </w:r>
      <w:r w:rsidR="008D3B3A" w:rsidRPr="00CF6110">
        <w:rPr>
          <w:szCs w:val="28"/>
        </w:rPr>
        <w:t xml:space="preserve"> </w:t>
      </w:r>
      <w:r w:rsidRPr="00CF6110">
        <w:rPr>
          <w:szCs w:val="28"/>
        </w:rPr>
        <w:t>Special</w:t>
      </w:r>
      <w:r w:rsidR="008D3B3A" w:rsidRPr="00CF6110">
        <w:rPr>
          <w:szCs w:val="28"/>
        </w:rPr>
        <w:t xml:space="preserve"> </w:t>
      </w:r>
      <w:r w:rsidRPr="00CF6110">
        <w:rPr>
          <w:szCs w:val="28"/>
        </w:rPr>
        <w:t>Rapporteur</w:t>
      </w:r>
      <w:r w:rsidR="008D3B3A" w:rsidRPr="00CF6110">
        <w:rPr>
          <w:szCs w:val="28"/>
        </w:rPr>
        <w:t xml:space="preserve"> </w:t>
      </w:r>
      <w:r w:rsidRPr="00CF6110">
        <w:rPr>
          <w:szCs w:val="28"/>
        </w:rPr>
        <w:t>on</w:t>
      </w:r>
      <w:r w:rsidR="008D3B3A" w:rsidRPr="00CF6110">
        <w:rPr>
          <w:szCs w:val="28"/>
        </w:rPr>
        <w:t xml:space="preserve"> </w:t>
      </w:r>
      <w:r w:rsidR="006E3333" w:rsidRPr="00CF6110">
        <w:rPr>
          <w:szCs w:val="28"/>
        </w:rPr>
        <w:t>extrajudicial, summary or arbitrary executions</w:t>
      </w:r>
      <w:r w:rsidR="00C73FFE" w:rsidRPr="00CF6110">
        <w:t xml:space="preserve"> </w:t>
      </w:r>
    </w:p>
    <w:p w14:paraId="5AF19114" w14:textId="77777777" w:rsidR="00521360" w:rsidRPr="00CF6110" w:rsidRDefault="00C73FFE" w:rsidP="00E64C64">
      <w:pPr>
        <w:pStyle w:val="HChG"/>
        <w:rPr>
          <w:szCs w:val="28"/>
        </w:rPr>
      </w:pPr>
      <w:r w:rsidRPr="00CF6110">
        <w:tab/>
      </w:r>
      <w:r w:rsidRPr="00CF6110">
        <w:tab/>
        <w:t>The Minnesota Protocol on the Investigation of Potentially Unlawful Deaths: The Revised United Nations Manual on the Effective Prevention and Investigation of Extra-legal, Arbitrary and Summary Executions</w:t>
      </w:r>
    </w:p>
    <w:p w14:paraId="00578476" w14:textId="77777777" w:rsidR="00AF4876" w:rsidRPr="00CF6110" w:rsidRDefault="0055611D" w:rsidP="00E64C64">
      <w:pPr>
        <w:pStyle w:val="HChG"/>
        <w:rPr>
          <w:bCs/>
          <w:szCs w:val="24"/>
        </w:rPr>
      </w:pPr>
      <w:r w:rsidRPr="00CF6110">
        <w:rPr>
          <w:sz w:val="24"/>
          <w:szCs w:val="24"/>
        </w:rPr>
        <w:tab/>
      </w:r>
      <w:r w:rsidRPr="00CF6110">
        <w:rPr>
          <w:sz w:val="24"/>
          <w:szCs w:val="24"/>
        </w:rPr>
        <w:tab/>
      </w:r>
      <w:r w:rsidR="001D2671" w:rsidRPr="00CF6110">
        <w:rPr>
          <w:sz w:val="24"/>
          <w:szCs w:val="24"/>
        </w:rPr>
        <w:t>Note by the Secretar</w:t>
      </w:r>
      <w:r w:rsidRPr="00CF6110">
        <w:rPr>
          <w:sz w:val="24"/>
          <w:szCs w:val="24"/>
        </w:rPr>
        <w:t>iat</w:t>
      </w:r>
    </w:p>
    <w:p w14:paraId="38814E54" w14:textId="77777777" w:rsidR="0055611D" w:rsidRPr="00CF6110" w:rsidRDefault="00B65E6E" w:rsidP="0055611D">
      <w:pPr>
        <w:ind w:left="1134" w:right="1134" w:firstLine="567"/>
        <w:jc w:val="both"/>
      </w:pPr>
      <w:r w:rsidRPr="00CF6110">
        <w:t>In collaboration with the Office of the High Commissioner for Human Rights, and with a high-level Advisory Panel of experts (including from the UN Office of Drugs and Crime), the Special Rapporteur on extrajudicial, summary or arbitrary executions has undertaken a revision of the UN Manual on the Effective Prevention and Investigation of Extra-Legal, Arbitrary and Summary Executions</w:t>
      </w:r>
      <w:r w:rsidR="0055611D" w:rsidRPr="00CF6110">
        <w:t xml:space="preserve">. </w:t>
      </w:r>
    </w:p>
    <w:p w14:paraId="146B15B1" w14:textId="77777777" w:rsidR="00803053" w:rsidRPr="00CF6110" w:rsidRDefault="00803053" w:rsidP="0055611D">
      <w:pPr>
        <w:ind w:left="1134" w:right="1134" w:firstLine="567"/>
        <w:jc w:val="both"/>
      </w:pPr>
    </w:p>
    <w:p w14:paraId="6B2BEABC" w14:textId="7124CDF2" w:rsidR="00803053" w:rsidRPr="00CF6110" w:rsidRDefault="00803053" w:rsidP="00803053">
      <w:pPr>
        <w:ind w:left="1701" w:right="1134" w:hanging="567"/>
        <w:jc w:val="both"/>
        <w:rPr>
          <w:b/>
        </w:rPr>
      </w:pPr>
      <w:r w:rsidRPr="00CF6110">
        <w:rPr>
          <w:b/>
        </w:rPr>
        <w:t>Please note: it is proposed to delete the sources in the footnotes in the final version.</w:t>
      </w:r>
    </w:p>
    <w:p w14:paraId="53A6AD7B" w14:textId="42353361" w:rsidR="0055611D" w:rsidRPr="00CF6110" w:rsidRDefault="0055611D" w:rsidP="0055611D">
      <w:pPr>
        <w:ind w:left="1134" w:right="1134" w:firstLine="567"/>
        <w:jc w:val="both"/>
      </w:pPr>
    </w:p>
    <w:p w14:paraId="3C5A1C0E" w14:textId="77777777" w:rsidR="0086210D" w:rsidRPr="00CF6110" w:rsidRDefault="0055611D" w:rsidP="0086210D">
      <w:pPr>
        <w:ind w:left="1134" w:right="1134" w:firstLine="567"/>
        <w:jc w:val="both"/>
      </w:pPr>
      <w:r w:rsidRPr="00CF6110">
        <w:t>.</w:t>
      </w:r>
      <w:r w:rsidR="0086210D" w:rsidRPr="00CF6110">
        <w:t xml:space="preserve"> </w:t>
      </w:r>
    </w:p>
    <w:p w14:paraId="67F30CCA" w14:textId="77777777" w:rsidR="00AF4876" w:rsidRPr="00CF6110" w:rsidRDefault="00AF4876" w:rsidP="0086210D">
      <w:pPr>
        <w:ind w:left="1134" w:right="1134" w:firstLine="567"/>
        <w:jc w:val="both"/>
      </w:pPr>
      <w:r w:rsidRPr="00CF6110">
        <w:br w:type="page"/>
      </w:r>
    </w:p>
    <w:p w14:paraId="723E9B10" w14:textId="77777777" w:rsidR="00AF4876" w:rsidRPr="00CF6110" w:rsidRDefault="00AF4876" w:rsidP="006E3333">
      <w:pPr>
        <w:pStyle w:val="HChG"/>
      </w:pPr>
      <w:r w:rsidRPr="00CF6110">
        <w:lastRenderedPageBreak/>
        <w:tab/>
      </w:r>
      <w:r w:rsidRPr="00CF6110">
        <w:tab/>
      </w:r>
      <w:r w:rsidR="006E3333" w:rsidRPr="00CF6110">
        <w:t xml:space="preserve">The Minnesota Protocol on the Investigation of Potentially Unlawful Deaths: The Revised United Nations Manual on the Effective Prevention and Investigation of Extra-legal, Arbitrary and Summary Executions </w:t>
      </w:r>
      <w:r w:rsidR="00F24F0D" w:rsidRPr="00CF6110">
        <w:rPr>
          <w:rStyle w:val="Appelnotedebasdep"/>
          <w:bCs/>
          <w:sz w:val="24"/>
          <w:szCs w:val="24"/>
        </w:rPr>
        <w:footnoteReference w:customMarkFollows="1" w:id="2"/>
        <w:t>*</w:t>
      </w:r>
    </w:p>
    <w:p w14:paraId="66CFB46A" w14:textId="77777777" w:rsidR="00AF4876" w:rsidRPr="00CF6110" w:rsidRDefault="00AF4876" w:rsidP="00AF4876">
      <w:pPr>
        <w:spacing w:after="120"/>
        <w:rPr>
          <w:sz w:val="28"/>
        </w:rPr>
      </w:pPr>
      <w:r w:rsidRPr="00CF6110">
        <w:rPr>
          <w:sz w:val="28"/>
        </w:rPr>
        <w:t>Contents</w:t>
      </w:r>
    </w:p>
    <w:p w14:paraId="49492D3C" w14:textId="77777777" w:rsidR="00AF4876" w:rsidRPr="00CF6110" w:rsidRDefault="00AF4876" w:rsidP="00AF4876">
      <w:pPr>
        <w:tabs>
          <w:tab w:val="right" w:pos="8929"/>
          <w:tab w:val="right" w:pos="9638"/>
        </w:tabs>
        <w:spacing w:after="120"/>
        <w:ind w:left="283"/>
      </w:pPr>
      <w:r w:rsidRPr="00CF6110">
        <w:rPr>
          <w:i/>
          <w:sz w:val="18"/>
        </w:rPr>
        <w:tab/>
      </w:r>
      <w:r w:rsidR="00CA7D5C" w:rsidRPr="00CF6110">
        <w:rPr>
          <w:i/>
          <w:sz w:val="18"/>
        </w:rPr>
        <w:tab/>
      </w:r>
      <w:r w:rsidRPr="00CF6110">
        <w:rPr>
          <w:i/>
          <w:sz w:val="18"/>
        </w:rPr>
        <w:t>Page</w:t>
      </w:r>
    </w:p>
    <w:p w14:paraId="175931C3"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t>I.</w:t>
      </w:r>
      <w:r w:rsidRPr="00CF6110">
        <w:rPr>
          <w:rFonts w:eastAsia="Times New Roman"/>
        </w:rPr>
        <w:tab/>
        <w:t>Introduction</w:t>
      </w:r>
      <w:r w:rsidRPr="00CF6110">
        <w:rPr>
          <w:rFonts w:eastAsia="Times New Roman"/>
        </w:rPr>
        <w:tab/>
      </w:r>
      <w:r w:rsidRPr="00CF6110">
        <w:rPr>
          <w:rFonts w:eastAsia="Times New Roman"/>
        </w:rPr>
        <w:tab/>
      </w:r>
      <w:r w:rsidR="00B65E6E" w:rsidRPr="00CF6110">
        <w:rPr>
          <w:rFonts w:eastAsia="Times New Roman"/>
        </w:rPr>
        <w:t>4</w:t>
      </w:r>
    </w:p>
    <w:p w14:paraId="53D6CCF2" w14:textId="77777777" w:rsidR="00E6192A" w:rsidRPr="00CF6110" w:rsidRDefault="00E6192A" w:rsidP="00E6192A">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w:t>
      </w:r>
      <w:r w:rsidRPr="00CF6110">
        <w:rPr>
          <w:rFonts w:eastAsia="Times New Roman"/>
        </w:rPr>
        <w:tab/>
        <w:t>Aims of the Minnesota Protocol</w:t>
      </w:r>
      <w:r w:rsidRPr="00CF6110">
        <w:rPr>
          <w:rFonts w:eastAsia="Times New Roman"/>
        </w:rPr>
        <w:tab/>
      </w:r>
      <w:r w:rsidRPr="00CF6110">
        <w:rPr>
          <w:rFonts w:eastAsia="Times New Roman"/>
        </w:rPr>
        <w:tab/>
        <w:t>4</w:t>
      </w:r>
    </w:p>
    <w:p w14:paraId="72814836" w14:textId="77777777" w:rsidR="00E6192A" w:rsidRPr="00CF6110" w:rsidRDefault="00E6192A" w:rsidP="00E6192A">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B.</w:t>
      </w:r>
      <w:r w:rsidRPr="00CF6110">
        <w:rPr>
          <w:rFonts w:eastAsia="Times New Roman"/>
        </w:rPr>
        <w:tab/>
      </w:r>
      <w:r w:rsidR="006622D2" w:rsidRPr="00CF6110">
        <w:rPr>
          <w:rFonts w:eastAsia="Times New Roman"/>
        </w:rPr>
        <w:t>Background</w:t>
      </w:r>
      <w:r w:rsidRPr="00CF6110">
        <w:rPr>
          <w:rFonts w:eastAsia="Times New Roman"/>
        </w:rPr>
        <w:tab/>
      </w:r>
      <w:r w:rsidRPr="00CF6110">
        <w:rPr>
          <w:rFonts w:eastAsia="Times New Roman"/>
        </w:rPr>
        <w:tab/>
        <w:t>4</w:t>
      </w:r>
    </w:p>
    <w:p w14:paraId="64BC39D3"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t>II.</w:t>
      </w:r>
      <w:r w:rsidRPr="00CF6110">
        <w:rPr>
          <w:rFonts w:eastAsia="Times New Roman"/>
        </w:rPr>
        <w:tab/>
      </w:r>
      <w:r w:rsidR="006622D2" w:rsidRPr="00CF6110">
        <w:rPr>
          <w:rFonts w:eastAsia="Times New Roman"/>
        </w:rPr>
        <w:t xml:space="preserve">International </w:t>
      </w:r>
      <w:r w:rsidRPr="00CF6110">
        <w:rPr>
          <w:rFonts w:eastAsia="Times New Roman"/>
        </w:rPr>
        <w:t>Legal</w:t>
      </w:r>
      <w:r w:rsidR="008D3B3A" w:rsidRPr="00CF6110">
        <w:rPr>
          <w:rFonts w:eastAsia="Times New Roman"/>
        </w:rPr>
        <w:t xml:space="preserve"> </w:t>
      </w:r>
      <w:r w:rsidRPr="00CF6110">
        <w:rPr>
          <w:rFonts w:eastAsia="Times New Roman"/>
        </w:rPr>
        <w:t>framework</w:t>
      </w:r>
      <w:r w:rsidRPr="00CF6110">
        <w:rPr>
          <w:rFonts w:eastAsia="Times New Roman"/>
        </w:rPr>
        <w:tab/>
      </w:r>
      <w:r w:rsidRPr="00CF6110">
        <w:rPr>
          <w:rFonts w:eastAsia="Times New Roman"/>
        </w:rPr>
        <w:tab/>
      </w:r>
      <w:r w:rsidR="00B65E6E" w:rsidRPr="00CF6110">
        <w:rPr>
          <w:rFonts w:eastAsia="Times New Roman"/>
        </w:rPr>
        <w:t>5</w:t>
      </w:r>
    </w:p>
    <w:p w14:paraId="24033762"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w:t>
      </w:r>
      <w:r w:rsidRPr="00CF6110">
        <w:rPr>
          <w:rFonts w:eastAsia="Times New Roman"/>
        </w:rPr>
        <w:tab/>
        <w:t>International Principles and Codes</w:t>
      </w:r>
      <w:r w:rsidRPr="00CF6110">
        <w:rPr>
          <w:rFonts w:eastAsia="Times New Roman"/>
        </w:rPr>
        <w:tab/>
      </w:r>
      <w:r w:rsidRPr="00CF6110">
        <w:rPr>
          <w:rFonts w:eastAsia="Times New Roman"/>
        </w:rPr>
        <w:tab/>
      </w:r>
      <w:r w:rsidR="00B65E6E" w:rsidRPr="00CF6110">
        <w:rPr>
          <w:rFonts w:eastAsia="Times New Roman"/>
        </w:rPr>
        <w:t>5</w:t>
      </w:r>
    </w:p>
    <w:p w14:paraId="2A707B60"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B.</w:t>
      </w:r>
      <w:r w:rsidRPr="00CF6110">
        <w:rPr>
          <w:rFonts w:eastAsia="Times New Roman"/>
        </w:rPr>
        <w:tab/>
      </w:r>
      <w:r w:rsidR="006622D2" w:rsidRPr="00CF6110">
        <w:rPr>
          <w:rFonts w:eastAsia="Times New Roman"/>
        </w:rPr>
        <w:t>The Right to Life</w:t>
      </w:r>
      <w:r w:rsidRPr="00CF6110">
        <w:rPr>
          <w:rFonts w:eastAsia="Times New Roman"/>
        </w:rPr>
        <w:tab/>
      </w:r>
      <w:r w:rsidRPr="00CF6110">
        <w:rPr>
          <w:rFonts w:eastAsia="Times New Roman"/>
        </w:rPr>
        <w:tab/>
      </w:r>
      <w:r w:rsidR="00B65E6E" w:rsidRPr="00CF6110">
        <w:rPr>
          <w:rFonts w:eastAsia="Times New Roman"/>
        </w:rPr>
        <w:t>6</w:t>
      </w:r>
    </w:p>
    <w:p w14:paraId="3839E45F"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C.</w:t>
      </w:r>
      <w:r w:rsidRPr="00CF6110">
        <w:rPr>
          <w:rFonts w:eastAsia="Times New Roman"/>
        </w:rPr>
        <w:tab/>
      </w:r>
      <w:r w:rsidR="006E3333" w:rsidRPr="00CF6110">
        <w:rPr>
          <w:rFonts w:eastAsia="Times New Roman"/>
        </w:rPr>
        <w:t>Accountability and Remedy</w:t>
      </w:r>
      <w:r w:rsidRPr="00CF6110">
        <w:rPr>
          <w:rFonts w:eastAsia="Times New Roman"/>
        </w:rPr>
        <w:tab/>
      </w:r>
      <w:r w:rsidRPr="00CF6110">
        <w:rPr>
          <w:rFonts w:eastAsia="Times New Roman"/>
        </w:rPr>
        <w:tab/>
      </w:r>
      <w:r w:rsidR="00B65E6E" w:rsidRPr="00CF6110">
        <w:rPr>
          <w:rFonts w:eastAsia="Times New Roman"/>
        </w:rPr>
        <w:t>7</w:t>
      </w:r>
    </w:p>
    <w:p w14:paraId="1FFAE9D4" w14:textId="6F06A4D3"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D.</w:t>
      </w:r>
      <w:r w:rsidRPr="00CF6110">
        <w:rPr>
          <w:rFonts w:eastAsia="Times New Roman"/>
        </w:rPr>
        <w:tab/>
        <w:t>The Duty to Investigate</w:t>
      </w:r>
      <w:r w:rsidRPr="00CF6110">
        <w:rPr>
          <w:rFonts w:eastAsia="Times New Roman"/>
        </w:rPr>
        <w:tab/>
      </w:r>
      <w:r w:rsidRPr="00CF6110">
        <w:rPr>
          <w:rFonts w:eastAsia="Times New Roman"/>
        </w:rPr>
        <w:tab/>
      </w:r>
      <w:r w:rsidR="005F2CD1">
        <w:rPr>
          <w:rFonts w:eastAsia="Times New Roman"/>
        </w:rPr>
        <w:t>9</w:t>
      </w:r>
    </w:p>
    <w:p w14:paraId="77E93145" w14:textId="19D11FAA"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t>III.</w:t>
      </w:r>
      <w:r w:rsidRPr="00CF6110">
        <w:rPr>
          <w:rFonts w:eastAsia="Times New Roman"/>
        </w:rPr>
        <w:tab/>
      </w:r>
      <w:r w:rsidR="006E3333" w:rsidRPr="00CF6110">
        <w:rPr>
          <w:rFonts w:eastAsia="Times New Roman"/>
        </w:rPr>
        <w:t>Professional Ethics</w:t>
      </w:r>
      <w:r w:rsidRPr="00CF6110">
        <w:rPr>
          <w:rFonts w:eastAsia="Times New Roman"/>
        </w:rPr>
        <w:tab/>
      </w:r>
      <w:r w:rsidRPr="00CF6110">
        <w:rPr>
          <w:rFonts w:eastAsia="Times New Roman"/>
        </w:rPr>
        <w:tab/>
      </w:r>
      <w:r w:rsidR="00B65E6E" w:rsidRPr="00CF6110">
        <w:rPr>
          <w:rFonts w:eastAsia="Times New Roman"/>
        </w:rPr>
        <w:t>1</w:t>
      </w:r>
      <w:r w:rsidR="005F2CD1">
        <w:rPr>
          <w:rFonts w:eastAsia="Times New Roman"/>
        </w:rPr>
        <w:t>6</w:t>
      </w:r>
    </w:p>
    <w:p w14:paraId="48141A4E"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t>IV.</w:t>
      </w:r>
      <w:r w:rsidRPr="00CF6110">
        <w:rPr>
          <w:rFonts w:eastAsia="Times New Roman"/>
        </w:rPr>
        <w:tab/>
        <w:t>Investigation</w:t>
      </w:r>
      <w:r w:rsidRPr="00CF6110">
        <w:rPr>
          <w:rFonts w:eastAsia="Times New Roman"/>
        </w:rPr>
        <w:tab/>
      </w:r>
      <w:r w:rsidRPr="00CF6110">
        <w:rPr>
          <w:rFonts w:eastAsia="Times New Roman"/>
        </w:rPr>
        <w:tab/>
      </w:r>
      <w:r w:rsidR="00B65E6E" w:rsidRPr="00CF6110">
        <w:rPr>
          <w:rFonts w:eastAsia="Times New Roman"/>
        </w:rPr>
        <w:t>1</w:t>
      </w:r>
      <w:r w:rsidRPr="00CF6110">
        <w:rPr>
          <w:rFonts w:eastAsia="Times New Roman"/>
        </w:rPr>
        <w:t>6</w:t>
      </w:r>
    </w:p>
    <w:p w14:paraId="4641EE17"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w:t>
      </w:r>
      <w:r w:rsidRPr="00CF6110">
        <w:rPr>
          <w:rFonts w:eastAsia="Times New Roman"/>
        </w:rPr>
        <w:tab/>
      </w:r>
      <w:r w:rsidR="006E3333" w:rsidRPr="00CF6110">
        <w:rPr>
          <w:rFonts w:eastAsia="Times New Roman"/>
        </w:rPr>
        <w:t>General Principles of Investigations</w:t>
      </w:r>
      <w:r w:rsidRPr="00CF6110">
        <w:rPr>
          <w:rFonts w:eastAsia="Times New Roman"/>
        </w:rPr>
        <w:tab/>
      </w:r>
      <w:r w:rsidRPr="00CF6110">
        <w:rPr>
          <w:rFonts w:eastAsia="Times New Roman"/>
        </w:rPr>
        <w:tab/>
      </w:r>
      <w:r w:rsidR="00B65E6E" w:rsidRPr="00CF6110">
        <w:rPr>
          <w:rFonts w:eastAsia="Times New Roman"/>
        </w:rPr>
        <w:t>16</w:t>
      </w:r>
    </w:p>
    <w:p w14:paraId="6A57B455"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B.</w:t>
      </w:r>
      <w:r w:rsidRPr="00CF6110">
        <w:rPr>
          <w:rFonts w:eastAsia="Times New Roman"/>
        </w:rPr>
        <w:tab/>
      </w:r>
      <w:r w:rsidR="006E3333" w:rsidRPr="00CF6110">
        <w:rPr>
          <w:rFonts w:eastAsia="Times New Roman"/>
        </w:rPr>
        <w:t>Investigation Process</w:t>
      </w:r>
      <w:r w:rsidRPr="00CF6110">
        <w:rPr>
          <w:rFonts w:eastAsia="Times New Roman"/>
        </w:rPr>
        <w:tab/>
      </w:r>
      <w:r w:rsidRPr="00CF6110">
        <w:rPr>
          <w:rFonts w:eastAsia="Times New Roman"/>
        </w:rPr>
        <w:tab/>
      </w:r>
      <w:r w:rsidR="00B65E6E" w:rsidRPr="00CF6110">
        <w:rPr>
          <w:rFonts w:eastAsia="Times New Roman"/>
        </w:rPr>
        <w:t>17</w:t>
      </w:r>
    </w:p>
    <w:p w14:paraId="41AE01C3"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r>
      <w:r w:rsidR="0087626C" w:rsidRPr="00CF6110">
        <w:rPr>
          <w:rFonts w:eastAsia="Times New Roman"/>
        </w:rPr>
        <w:t>C</w:t>
      </w:r>
      <w:r w:rsidRPr="00CF6110">
        <w:rPr>
          <w:rFonts w:eastAsia="Times New Roman"/>
        </w:rPr>
        <w:t>.</w:t>
      </w:r>
      <w:r w:rsidRPr="00CF6110">
        <w:rPr>
          <w:rFonts w:eastAsia="Times New Roman"/>
        </w:rPr>
        <w:tab/>
      </w:r>
      <w:r w:rsidR="006E3333" w:rsidRPr="00CF6110">
        <w:rPr>
          <w:rFonts w:eastAsia="Times New Roman"/>
        </w:rPr>
        <w:t>Interviews and Witness Protection</w:t>
      </w:r>
      <w:r w:rsidRPr="00CF6110">
        <w:rPr>
          <w:rFonts w:eastAsia="Times New Roman"/>
        </w:rPr>
        <w:tab/>
      </w:r>
      <w:r w:rsidRPr="00CF6110">
        <w:rPr>
          <w:rFonts w:eastAsia="Times New Roman"/>
        </w:rPr>
        <w:tab/>
      </w:r>
      <w:r w:rsidR="00B65E6E" w:rsidRPr="00CF6110">
        <w:rPr>
          <w:rFonts w:eastAsia="Times New Roman"/>
        </w:rPr>
        <w:t>23</w:t>
      </w:r>
    </w:p>
    <w:p w14:paraId="4B866A5C"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D.</w:t>
      </w:r>
      <w:r w:rsidRPr="00CF6110">
        <w:rPr>
          <w:rFonts w:eastAsia="Times New Roman"/>
        </w:rPr>
        <w:tab/>
        <w:t>Recovery of Human Remains</w:t>
      </w:r>
      <w:r w:rsidRPr="00CF6110">
        <w:rPr>
          <w:rFonts w:eastAsia="Times New Roman"/>
        </w:rPr>
        <w:tab/>
      </w:r>
      <w:r w:rsidRPr="00CF6110">
        <w:rPr>
          <w:rFonts w:eastAsia="Times New Roman"/>
        </w:rPr>
        <w:tab/>
      </w:r>
      <w:r w:rsidR="00B65E6E" w:rsidRPr="00CF6110">
        <w:rPr>
          <w:rFonts w:eastAsia="Times New Roman"/>
        </w:rPr>
        <w:t>24</w:t>
      </w:r>
    </w:p>
    <w:p w14:paraId="7EAB2110"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E.</w:t>
      </w:r>
      <w:r w:rsidRPr="00CF6110">
        <w:rPr>
          <w:rFonts w:eastAsia="Times New Roman"/>
        </w:rPr>
        <w:tab/>
        <w:t>Identification of Dead Bodies</w:t>
      </w:r>
      <w:r w:rsidRPr="00CF6110">
        <w:rPr>
          <w:rFonts w:eastAsia="Times New Roman"/>
        </w:rPr>
        <w:tab/>
      </w:r>
      <w:r w:rsidRPr="00CF6110">
        <w:rPr>
          <w:rFonts w:eastAsia="Times New Roman"/>
        </w:rPr>
        <w:tab/>
      </w:r>
      <w:r w:rsidR="00B65E6E" w:rsidRPr="00CF6110">
        <w:rPr>
          <w:rFonts w:eastAsia="Times New Roman"/>
        </w:rPr>
        <w:t>27</w:t>
      </w:r>
    </w:p>
    <w:p w14:paraId="06205442" w14:textId="0852D69F"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F.</w:t>
      </w:r>
      <w:r w:rsidRPr="00CF6110">
        <w:rPr>
          <w:rFonts w:eastAsia="Times New Roman"/>
        </w:rPr>
        <w:tab/>
        <w:t>Types of Evidence and Sampling</w:t>
      </w:r>
      <w:r w:rsidRPr="00CF6110">
        <w:rPr>
          <w:rFonts w:eastAsia="Times New Roman"/>
        </w:rPr>
        <w:tab/>
      </w:r>
      <w:r w:rsidRPr="00CF6110">
        <w:rPr>
          <w:rFonts w:eastAsia="Times New Roman"/>
        </w:rPr>
        <w:tab/>
      </w:r>
      <w:r w:rsidR="00B65E6E" w:rsidRPr="00CF6110">
        <w:rPr>
          <w:rFonts w:eastAsia="Times New Roman"/>
        </w:rPr>
        <w:t>3</w:t>
      </w:r>
      <w:r w:rsidR="005F2CD1">
        <w:rPr>
          <w:rFonts w:eastAsia="Times New Roman"/>
        </w:rPr>
        <w:t>1</w:t>
      </w:r>
    </w:p>
    <w:p w14:paraId="214D1BC1" w14:textId="3DE30D0A"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G.</w:t>
      </w:r>
      <w:r w:rsidRPr="00CF6110">
        <w:rPr>
          <w:rFonts w:eastAsia="Times New Roman"/>
        </w:rPr>
        <w:tab/>
        <w:t>Autopsy</w:t>
      </w:r>
      <w:r w:rsidRPr="00CF6110">
        <w:rPr>
          <w:rFonts w:eastAsia="Times New Roman"/>
        </w:rPr>
        <w:tab/>
      </w:r>
      <w:r w:rsidRPr="00CF6110">
        <w:rPr>
          <w:rFonts w:eastAsia="Times New Roman"/>
        </w:rPr>
        <w:tab/>
      </w:r>
      <w:r w:rsidR="00B65E6E" w:rsidRPr="00CF6110">
        <w:rPr>
          <w:rFonts w:eastAsia="Times New Roman"/>
        </w:rPr>
        <w:t>3</w:t>
      </w:r>
      <w:r w:rsidR="005F2CD1">
        <w:rPr>
          <w:rFonts w:eastAsia="Times New Roman"/>
        </w:rPr>
        <w:t>4</w:t>
      </w:r>
    </w:p>
    <w:p w14:paraId="262E824C"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H.</w:t>
      </w:r>
      <w:r w:rsidRPr="00CF6110">
        <w:rPr>
          <w:rFonts w:eastAsia="Times New Roman"/>
        </w:rPr>
        <w:tab/>
        <w:t>Analysis of Skeletal Remains</w:t>
      </w:r>
      <w:r w:rsidRPr="00CF6110">
        <w:rPr>
          <w:rFonts w:eastAsia="Times New Roman"/>
        </w:rPr>
        <w:tab/>
      </w:r>
      <w:r w:rsidRPr="00CF6110">
        <w:rPr>
          <w:rFonts w:eastAsia="Times New Roman"/>
        </w:rPr>
        <w:tab/>
      </w:r>
      <w:r w:rsidR="00B65E6E" w:rsidRPr="00CF6110">
        <w:rPr>
          <w:rFonts w:eastAsia="Times New Roman"/>
        </w:rPr>
        <w:t>36</w:t>
      </w:r>
    </w:p>
    <w:p w14:paraId="61496683" w14:textId="77DFCF8A"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t>V.</w:t>
      </w:r>
      <w:r w:rsidRPr="00CF6110">
        <w:rPr>
          <w:rFonts w:eastAsia="Times New Roman"/>
        </w:rPr>
        <w:tab/>
        <w:t>Detailed Guidelines</w:t>
      </w:r>
      <w:r w:rsidRPr="00CF6110">
        <w:rPr>
          <w:rFonts w:eastAsia="Times New Roman"/>
        </w:rPr>
        <w:tab/>
      </w:r>
      <w:r w:rsidRPr="00CF6110">
        <w:rPr>
          <w:rFonts w:eastAsia="Times New Roman"/>
        </w:rPr>
        <w:tab/>
      </w:r>
      <w:r w:rsidR="00B65E6E" w:rsidRPr="00CF6110">
        <w:rPr>
          <w:rFonts w:eastAsia="Times New Roman"/>
        </w:rPr>
        <w:t>3</w:t>
      </w:r>
      <w:r w:rsidR="005F2CD1">
        <w:rPr>
          <w:rFonts w:eastAsia="Times New Roman"/>
        </w:rPr>
        <w:t>7</w:t>
      </w:r>
    </w:p>
    <w:p w14:paraId="57EEA5AD" w14:textId="057F28BD"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w:t>
      </w:r>
      <w:r w:rsidRPr="00CF6110">
        <w:rPr>
          <w:rFonts w:eastAsia="Times New Roman"/>
        </w:rPr>
        <w:tab/>
        <w:t>Detailed Guidelines on Crime-Scene Investigation</w:t>
      </w:r>
      <w:r w:rsidRPr="00CF6110">
        <w:rPr>
          <w:rFonts w:eastAsia="Times New Roman"/>
        </w:rPr>
        <w:tab/>
      </w:r>
      <w:r w:rsidRPr="00CF6110">
        <w:rPr>
          <w:rFonts w:eastAsia="Times New Roman"/>
        </w:rPr>
        <w:tab/>
      </w:r>
      <w:r w:rsidR="005F2CD1">
        <w:rPr>
          <w:rFonts w:eastAsia="Times New Roman"/>
        </w:rPr>
        <w:t>37</w:t>
      </w:r>
    </w:p>
    <w:p w14:paraId="7956C1E0" w14:textId="795FFEC9"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B.</w:t>
      </w:r>
      <w:r w:rsidRPr="00CF6110">
        <w:rPr>
          <w:rFonts w:eastAsia="Times New Roman"/>
        </w:rPr>
        <w:tab/>
        <w:t>Detailed Guidelines on Interviews</w:t>
      </w:r>
      <w:r w:rsidRPr="00CF6110">
        <w:rPr>
          <w:rFonts w:eastAsia="Times New Roman"/>
        </w:rPr>
        <w:tab/>
      </w:r>
      <w:r w:rsidRPr="00CF6110">
        <w:rPr>
          <w:rFonts w:eastAsia="Times New Roman"/>
        </w:rPr>
        <w:tab/>
      </w:r>
      <w:r w:rsidR="005F2CD1">
        <w:rPr>
          <w:rFonts w:eastAsia="Times New Roman"/>
        </w:rPr>
        <w:t>40</w:t>
      </w:r>
    </w:p>
    <w:p w14:paraId="10589B06"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C.</w:t>
      </w:r>
      <w:r w:rsidRPr="00CF6110">
        <w:rPr>
          <w:rFonts w:eastAsia="Times New Roman"/>
        </w:rPr>
        <w:tab/>
        <w:t>Detailed Guidelines on the Excavation of Graves</w:t>
      </w:r>
      <w:r w:rsidRPr="00CF6110">
        <w:rPr>
          <w:rFonts w:eastAsia="Times New Roman"/>
        </w:rPr>
        <w:tab/>
      </w:r>
      <w:r w:rsidRPr="00CF6110">
        <w:rPr>
          <w:rFonts w:eastAsia="Times New Roman"/>
        </w:rPr>
        <w:tab/>
      </w:r>
      <w:r w:rsidR="00B65E6E" w:rsidRPr="00CF6110">
        <w:rPr>
          <w:rFonts w:eastAsia="Times New Roman"/>
        </w:rPr>
        <w:t>44</w:t>
      </w:r>
    </w:p>
    <w:p w14:paraId="323FF758" w14:textId="2BFB2C52"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D.</w:t>
      </w:r>
      <w:r w:rsidRPr="00CF6110">
        <w:rPr>
          <w:rFonts w:eastAsia="Times New Roman"/>
        </w:rPr>
        <w:tab/>
        <w:t>Detailed Guidelines on Autopsy</w:t>
      </w:r>
      <w:r w:rsidRPr="00CF6110">
        <w:rPr>
          <w:rFonts w:eastAsia="Times New Roman"/>
        </w:rPr>
        <w:tab/>
      </w:r>
      <w:r w:rsidRPr="00CF6110">
        <w:rPr>
          <w:rFonts w:eastAsia="Times New Roman"/>
        </w:rPr>
        <w:tab/>
      </w:r>
      <w:r w:rsidR="00B65E6E" w:rsidRPr="00CF6110">
        <w:rPr>
          <w:rFonts w:eastAsia="Times New Roman"/>
        </w:rPr>
        <w:t>4</w:t>
      </w:r>
      <w:r w:rsidR="005F2CD1">
        <w:rPr>
          <w:rFonts w:eastAsia="Times New Roman"/>
        </w:rPr>
        <w:t>6</w:t>
      </w:r>
    </w:p>
    <w:p w14:paraId="5B00AD5B" w14:textId="1E66C48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r>
      <w:r w:rsidR="00E85D19" w:rsidRPr="00CF6110">
        <w:rPr>
          <w:rFonts w:eastAsia="Times New Roman"/>
        </w:rPr>
        <w:t>E</w:t>
      </w:r>
      <w:r w:rsidRPr="00CF6110">
        <w:rPr>
          <w:rFonts w:eastAsia="Times New Roman"/>
        </w:rPr>
        <w:t>.</w:t>
      </w:r>
      <w:r w:rsidRPr="00CF6110">
        <w:rPr>
          <w:rFonts w:eastAsia="Times New Roman"/>
        </w:rPr>
        <w:tab/>
        <w:t>Detailed Guidelines on Analysis of Skeletal Remains</w:t>
      </w:r>
      <w:r w:rsidRPr="00CF6110">
        <w:rPr>
          <w:rFonts w:eastAsia="Times New Roman"/>
        </w:rPr>
        <w:tab/>
      </w:r>
      <w:r w:rsidRPr="00CF6110">
        <w:rPr>
          <w:rFonts w:eastAsia="Times New Roman"/>
        </w:rPr>
        <w:tab/>
      </w:r>
      <w:r w:rsidR="00B65E6E" w:rsidRPr="00CF6110">
        <w:rPr>
          <w:rFonts w:eastAsia="Times New Roman"/>
        </w:rPr>
        <w:t>59</w:t>
      </w:r>
    </w:p>
    <w:p w14:paraId="4407535A" w14:textId="292563EE" w:rsidR="00AF4876" w:rsidRPr="00CF6110" w:rsidRDefault="00E85D19"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00AF4876" w:rsidRPr="00CF6110">
        <w:rPr>
          <w:rFonts w:eastAsia="Times New Roman"/>
        </w:rPr>
        <w:t>V</w:t>
      </w:r>
      <w:r w:rsidRPr="00CF6110">
        <w:rPr>
          <w:rFonts w:eastAsia="Times New Roman"/>
        </w:rPr>
        <w:t>I</w:t>
      </w:r>
      <w:r w:rsidR="00AF4876" w:rsidRPr="00CF6110">
        <w:rPr>
          <w:rFonts w:eastAsia="Times New Roman"/>
        </w:rPr>
        <w:t>.</w:t>
      </w:r>
      <w:r w:rsidR="00AF4876" w:rsidRPr="00CF6110">
        <w:rPr>
          <w:rFonts w:eastAsia="Times New Roman"/>
        </w:rPr>
        <w:tab/>
      </w:r>
      <w:r w:rsidR="006E3333" w:rsidRPr="00CF6110">
        <w:rPr>
          <w:rFonts w:eastAsia="Times New Roman"/>
        </w:rPr>
        <w:t>Glossary</w:t>
      </w:r>
      <w:r w:rsidR="006E3333" w:rsidRPr="00CF6110">
        <w:rPr>
          <w:rFonts w:eastAsia="Times New Roman"/>
        </w:rPr>
        <w:tab/>
      </w:r>
      <w:r w:rsidR="00AF4876" w:rsidRPr="00CF6110">
        <w:rPr>
          <w:rFonts w:eastAsia="Times New Roman"/>
        </w:rPr>
        <w:tab/>
      </w:r>
      <w:r w:rsidR="00AF4876" w:rsidRPr="00CF6110">
        <w:rPr>
          <w:rFonts w:eastAsia="Times New Roman"/>
        </w:rPr>
        <w:tab/>
      </w:r>
      <w:r w:rsidR="00B65E6E" w:rsidRPr="00CF6110">
        <w:rPr>
          <w:rFonts w:eastAsia="Times New Roman"/>
        </w:rPr>
        <w:t>63</w:t>
      </w:r>
    </w:p>
    <w:p w14:paraId="68156E9F" w14:textId="28AC0A65" w:rsidR="006E3333" w:rsidRPr="00CF6110" w:rsidRDefault="00E85D19"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006E3333" w:rsidRPr="00CF6110">
        <w:rPr>
          <w:rFonts w:eastAsia="Times New Roman"/>
        </w:rPr>
        <w:t>V</w:t>
      </w:r>
      <w:r w:rsidRPr="00CF6110">
        <w:rPr>
          <w:rFonts w:eastAsia="Times New Roman"/>
        </w:rPr>
        <w:t>II</w:t>
      </w:r>
      <w:r w:rsidR="006E3333" w:rsidRPr="00CF6110">
        <w:rPr>
          <w:rFonts w:eastAsia="Times New Roman"/>
        </w:rPr>
        <w:t>.</w:t>
      </w:r>
      <w:r w:rsidR="006E3333" w:rsidRPr="00CF6110">
        <w:rPr>
          <w:rFonts w:eastAsia="Times New Roman"/>
        </w:rPr>
        <w:tab/>
        <w:t>Annexes</w:t>
      </w:r>
      <w:r w:rsidR="006E3333" w:rsidRPr="00CF6110">
        <w:rPr>
          <w:rFonts w:eastAsia="Times New Roman"/>
        </w:rPr>
        <w:tab/>
      </w:r>
      <w:r w:rsidR="006E3333" w:rsidRPr="00CF6110">
        <w:rPr>
          <w:rFonts w:eastAsia="Times New Roman"/>
        </w:rPr>
        <w:tab/>
      </w:r>
      <w:r w:rsidR="006E3333" w:rsidRPr="00CF6110">
        <w:rPr>
          <w:rFonts w:eastAsia="Times New Roman"/>
        </w:rPr>
        <w:tab/>
      </w:r>
      <w:r w:rsidR="00B65E6E" w:rsidRPr="00CF6110">
        <w:rPr>
          <w:rFonts w:eastAsia="Times New Roman"/>
        </w:rPr>
        <w:t>68</w:t>
      </w:r>
    </w:p>
    <w:p w14:paraId="1941BC2E"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w:t>
      </w:r>
      <w:r w:rsidR="006E3333" w:rsidRPr="00CF6110">
        <w:rPr>
          <w:rFonts w:eastAsia="Times New Roman"/>
        </w:rPr>
        <w:t>nnex 1</w:t>
      </w:r>
      <w:r w:rsidRPr="00CF6110">
        <w:rPr>
          <w:rFonts w:eastAsia="Times New Roman"/>
        </w:rPr>
        <w:t>.</w:t>
      </w:r>
      <w:r w:rsidRPr="00CF6110">
        <w:rPr>
          <w:rFonts w:eastAsia="Times New Roman"/>
        </w:rPr>
        <w:tab/>
      </w:r>
      <w:r w:rsidR="006E3333" w:rsidRPr="00CF6110">
        <w:rPr>
          <w:rFonts w:eastAsia="Times New Roman"/>
        </w:rPr>
        <w:t>Anatomical Sketches</w:t>
      </w:r>
      <w:r w:rsidRPr="00CF6110">
        <w:rPr>
          <w:rFonts w:eastAsia="Times New Roman"/>
        </w:rPr>
        <w:tab/>
      </w:r>
      <w:r w:rsidRPr="00CF6110">
        <w:rPr>
          <w:rFonts w:eastAsia="Times New Roman"/>
        </w:rPr>
        <w:tab/>
      </w:r>
      <w:r w:rsidR="00B65E6E" w:rsidRPr="00CF6110">
        <w:rPr>
          <w:rFonts w:eastAsia="Times New Roman"/>
        </w:rPr>
        <w:t>68</w:t>
      </w:r>
    </w:p>
    <w:p w14:paraId="09DCF234"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bookmarkStart w:id="0" w:name="_GoBack"/>
      <w:bookmarkEnd w:id="0"/>
      <w:r w:rsidRPr="00CF6110">
        <w:rPr>
          <w:rFonts w:eastAsia="Times New Roman"/>
        </w:rPr>
        <w:lastRenderedPageBreak/>
        <w:tab/>
      </w:r>
      <w:r w:rsidRPr="00CF6110">
        <w:rPr>
          <w:rFonts w:eastAsia="Times New Roman"/>
        </w:rPr>
        <w:tab/>
        <w:t>Annex 2.</w:t>
      </w:r>
      <w:r w:rsidRPr="00CF6110">
        <w:rPr>
          <w:rFonts w:eastAsia="Times New Roman"/>
        </w:rPr>
        <w:tab/>
        <w:t>Case Details Form</w:t>
      </w:r>
      <w:r w:rsidRPr="00CF6110">
        <w:rPr>
          <w:rFonts w:eastAsia="Times New Roman"/>
        </w:rPr>
        <w:tab/>
      </w:r>
      <w:r w:rsidRPr="00CF6110">
        <w:rPr>
          <w:rFonts w:eastAsia="Times New Roman"/>
        </w:rPr>
        <w:tab/>
      </w:r>
      <w:r w:rsidR="00B65E6E" w:rsidRPr="00CF6110">
        <w:rPr>
          <w:rFonts w:eastAsia="Times New Roman"/>
        </w:rPr>
        <w:t>92</w:t>
      </w:r>
    </w:p>
    <w:p w14:paraId="7C445EEC"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Annex 3.</w:t>
      </w:r>
      <w:r w:rsidRPr="00CF6110">
        <w:rPr>
          <w:rFonts w:eastAsia="Times New Roman"/>
        </w:rPr>
        <w:tab/>
        <w:t>Firearm Wound Chart</w:t>
      </w:r>
      <w:r w:rsidRPr="00CF6110">
        <w:rPr>
          <w:rFonts w:eastAsia="Times New Roman"/>
        </w:rPr>
        <w:tab/>
      </w:r>
      <w:r w:rsidRPr="00CF6110">
        <w:rPr>
          <w:rFonts w:eastAsia="Times New Roman"/>
        </w:rPr>
        <w:tab/>
      </w:r>
      <w:r w:rsidR="00B65E6E" w:rsidRPr="00CF6110">
        <w:rPr>
          <w:rFonts w:eastAsia="Times New Roman"/>
        </w:rPr>
        <w:t>94</w:t>
      </w:r>
    </w:p>
    <w:p w14:paraId="65FA801D" w14:textId="0B014B76"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Annex 4.</w:t>
      </w:r>
      <w:r w:rsidRPr="00CF6110">
        <w:rPr>
          <w:rFonts w:eastAsia="Times New Roman"/>
        </w:rPr>
        <w:tab/>
      </w:r>
      <w:r w:rsidR="005F2CD1">
        <w:rPr>
          <w:rFonts w:eastAsia="Times New Roman"/>
        </w:rPr>
        <w:t>Stab Wound/</w:t>
      </w:r>
      <w:r w:rsidRPr="00CF6110">
        <w:rPr>
          <w:rFonts w:eastAsia="Times New Roman"/>
        </w:rPr>
        <w:t>Laceration Chart</w:t>
      </w:r>
      <w:r w:rsidRPr="00CF6110">
        <w:rPr>
          <w:rFonts w:eastAsia="Times New Roman"/>
        </w:rPr>
        <w:tab/>
      </w:r>
      <w:r w:rsidRPr="00CF6110">
        <w:rPr>
          <w:rFonts w:eastAsia="Times New Roman"/>
        </w:rPr>
        <w:tab/>
      </w:r>
      <w:r w:rsidR="00B65E6E" w:rsidRPr="00CF6110">
        <w:rPr>
          <w:rFonts w:eastAsia="Times New Roman"/>
        </w:rPr>
        <w:t>95</w:t>
      </w:r>
    </w:p>
    <w:p w14:paraId="5611C674" w14:textId="77777777" w:rsidR="006E3333" w:rsidRPr="00CF6110" w:rsidRDefault="006E3333" w:rsidP="006E3333">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r w:rsidRPr="00CF6110">
        <w:rPr>
          <w:rFonts w:eastAsia="Times New Roman"/>
        </w:rPr>
        <w:tab/>
      </w:r>
      <w:r w:rsidRPr="00CF6110">
        <w:rPr>
          <w:rFonts w:eastAsia="Times New Roman"/>
        </w:rPr>
        <w:tab/>
        <w:t>Annex 5.</w:t>
      </w:r>
      <w:r w:rsidRPr="00CF6110">
        <w:rPr>
          <w:rFonts w:eastAsia="Times New Roman"/>
        </w:rPr>
        <w:tab/>
        <w:t>Dental Chart</w:t>
      </w:r>
      <w:r w:rsidRPr="00CF6110">
        <w:rPr>
          <w:rFonts w:eastAsia="Times New Roman"/>
        </w:rPr>
        <w:tab/>
      </w:r>
      <w:r w:rsidRPr="00CF6110">
        <w:rPr>
          <w:rFonts w:eastAsia="Times New Roman"/>
        </w:rPr>
        <w:tab/>
      </w:r>
      <w:r w:rsidR="00B65E6E" w:rsidRPr="00CF6110">
        <w:rPr>
          <w:rFonts w:eastAsia="Times New Roman"/>
        </w:rPr>
        <w:t>96</w:t>
      </w:r>
    </w:p>
    <w:p w14:paraId="02F73BE4" w14:textId="77777777" w:rsidR="00AF4876" w:rsidRPr="00CF6110" w:rsidRDefault="00AF4876" w:rsidP="00CA7D5C">
      <w:pPr>
        <w:tabs>
          <w:tab w:val="right" w:pos="850"/>
          <w:tab w:val="left" w:pos="1134"/>
          <w:tab w:val="left" w:pos="1559"/>
          <w:tab w:val="left" w:pos="1984"/>
          <w:tab w:val="left" w:leader="dot" w:pos="8929"/>
          <w:tab w:val="right" w:pos="9638"/>
        </w:tabs>
        <w:kinsoku/>
        <w:overflowPunct/>
        <w:autoSpaceDE/>
        <w:autoSpaceDN/>
        <w:adjustRightInd/>
        <w:snapToGrid/>
        <w:spacing w:after="120"/>
        <w:rPr>
          <w:rFonts w:eastAsia="Times New Roman"/>
        </w:rPr>
      </w:pPr>
    </w:p>
    <w:p w14:paraId="61C154F2" w14:textId="77777777" w:rsidR="00AF4876" w:rsidRPr="00CF6110" w:rsidRDefault="00AF4876" w:rsidP="00CA7D5C">
      <w:pPr>
        <w:pStyle w:val="HChG"/>
      </w:pPr>
      <w:r w:rsidRPr="00CF6110">
        <w:br w:type="page"/>
      </w:r>
      <w:r w:rsidRPr="00CF6110">
        <w:lastRenderedPageBreak/>
        <w:tab/>
        <w:t>I.</w:t>
      </w:r>
      <w:r w:rsidRPr="00CF6110">
        <w:tab/>
        <w:t>Introduction</w:t>
      </w:r>
    </w:p>
    <w:p w14:paraId="50E4ADD1" w14:textId="77777777" w:rsidR="00FF2EB1" w:rsidRPr="00CF6110" w:rsidRDefault="00FF2EB1" w:rsidP="00FF2EB1">
      <w:pPr>
        <w:pStyle w:val="H1G"/>
        <w:spacing w:line="240" w:lineRule="atLeast"/>
      </w:pPr>
      <w:r w:rsidRPr="00CF6110">
        <w:tab/>
        <w:t xml:space="preserve">A. </w:t>
      </w:r>
      <w:r w:rsidRPr="00CF6110">
        <w:tab/>
        <w:t>The Aims of the Minnesota Protocol</w:t>
      </w:r>
    </w:p>
    <w:p w14:paraId="6FED1CF7" w14:textId="6C87FF48" w:rsidR="00FF2EB1" w:rsidRPr="00CF6110" w:rsidRDefault="00FF2EB1" w:rsidP="00FF2EB1">
      <w:pPr>
        <w:pStyle w:val="SingleTxtG"/>
      </w:pPr>
      <w:r w:rsidRPr="00CF6110">
        <w:t>1.</w:t>
      </w:r>
      <w:r w:rsidRPr="00CF6110">
        <w:tab/>
        <w:t>The Minnesota Protocol ai</w:t>
      </w:r>
      <w:r w:rsidR="00101D2C" w:rsidRPr="00CF6110">
        <w:t>ms to protect the right to life and</w:t>
      </w:r>
      <w:r w:rsidRPr="00CF6110">
        <w:t xml:space="preserve"> </w:t>
      </w:r>
      <w:r w:rsidR="00101D2C" w:rsidRPr="00CF6110">
        <w:t xml:space="preserve">advance </w:t>
      </w:r>
      <w:r w:rsidRPr="00CF6110">
        <w:t>justice</w:t>
      </w:r>
      <w:r w:rsidR="00101D2C" w:rsidRPr="00CF6110">
        <w:t>,</w:t>
      </w:r>
      <w:r w:rsidRPr="00CF6110">
        <w:t xml:space="preserve"> accountability, and </w:t>
      </w:r>
      <w:r w:rsidR="00101D2C" w:rsidRPr="00CF6110">
        <w:t>the right to a remedy</w:t>
      </w:r>
      <w:r w:rsidRPr="00CF6110">
        <w:t xml:space="preserve">, by promoting effective investigation of potentially unlawful death. The Protocol serves as a common standard of achievement and a shared set of principles and guidelines for States, as well as for institutions and individuals who play a role in investigating deaths. </w:t>
      </w:r>
    </w:p>
    <w:p w14:paraId="767D1B1A" w14:textId="7CB42EA9" w:rsidR="00FF2EB1" w:rsidRPr="00CF6110" w:rsidRDefault="00FF2EB1" w:rsidP="00FF2EB1">
      <w:pPr>
        <w:pStyle w:val="SingleTxtG"/>
      </w:pPr>
      <w:r w:rsidRPr="00CF6110">
        <w:t>2.</w:t>
      </w:r>
      <w:r w:rsidRPr="00CF6110">
        <w:tab/>
        <w:t xml:space="preserve">The Protocol sets out and clarifies States’ international legal obligations to investigate potentially unlawful deaths (Section II). It outlines the duty of any individual involved in an investigation to observe the highest standards of professional ethics (Section III). It provides guidelines and good practices applicable to all those involved in the investigative process, including police and other investigators, medical and legal professionals, and members of fact-finding mechanisms and procedures (Section IV). While the Protocol is not a comprehensive manual of all aspects of investigations, it also contains </w:t>
      </w:r>
      <w:r w:rsidR="00101D2C" w:rsidRPr="00CF6110">
        <w:t>a set of d</w:t>
      </w:r>
      <w:r w:rsidRPr="00CF6110">
        <w:t xml:space="preserve">etailed </w:t>
      </w:r>
      <w:r w:rsidR="00101D2C" w:rsidRPr="00CF6110">
        <w:t>g</w:t>
      </w:r>
      <w:r w:rsidRPr="00CF6110">
        <w:t>uidelines on key aspects of the investigation (Section V). A glossary is included (Section VI). Annexes (Section VII) contain anatomical sketches and forms for use during autopsies.</w:t>
      </w:r>
    </w:p>
    <w:p w14:paraId="38859986" w14:textId="77777777" w:rsidR="00FF2EB1" w:rsidRPr="00CF6110" w:rsidRDefault="00FF2EB1" w:rsidP="00FF2EB1">
      <w:pPr>
        <w:pStyle w:val="SingleTxtG"/>
      </w:pPr>
      <w:r w:rsidRPr="00CF6110">
        <w:t>3.</w:t>
      </w:r>
      <w:r w:rsidRPr="00CF6110">
        <w:tab/>
        <w:t>States should take steps to incorporate Protocol standards into their domestic legal systems and promote its use among relevant departments and personnel, including prosecutors, defence lawyers, judges, law enforcement, prison and military personnel, and forensic and health professionals.</w:t>
      </w:r>
    </w:p>
    <w:p w14:paraId="785F84DD" w14:textId="486B8EC6" w:rsidR="00FF2EB1" w:rsidRPr="00CF6110" w:rsidRDefault="00FF2EB1" w:rsidP="00FF2EB1">
      <w:pPr>
        <w:pStyle w:val="SingleTxtG"/>
      </w:pPr>
      <w:r w:rsidRPr="00CF6110">
        <w:t>4.</w:t>
      </w:r>
      <w:r w:rsidRPr="00CF6110">
        <w:tab/>
        <w:t>The Protocol is also relevant to cases where the United Nations, armed non-State groups exercising State or quasi-State authority,</w:t>
      </w:r>
      <w:r w:rsidRPr="00CF6110">
        <w:rPr>
          <w:rStyle w:val="Appelnotedebasdep"/>
        </w:rPr>
        <w:footnoteReference w:id="3"/>
      </w:r>
      <w:r w:rsidRPr="00CF6110">
        <w:t xml:space="preserve"> or business entities</w:t>
      </w:r>
      <w:r w:rsidR="00101D2C" w:rsidRPr="00CF6110">
        <w:rPr>
          <w:rStyle w:val="Appelnotedebasdep"/>
        </w:rPr>
        <w:footnoteReference w:id="4"/>
      </w:r>
      <w:r w:rsidRPr="00CF6110">
        <w:t xml:space="preserve"> have responsibilities to respect the right to life and to remedy abuses which they cause or to which they contribute.</w:t>
      </w:r>
      <w:r w:rsidRPr="00CF6110">
        <w:rPr>
          <w:rStyle w:val="Appelnotedebasdep"/>
        </w:rPr>
        <w:footnoteReference w:id="5"/>
      </w:r>
      <w:r w:rsidRPr="00CF6110">
        <w:t xml:space="preserve"> The Protocol can also guide the monitoring of investigations by the UN, by regional organisations and institutions, by civil society, and by victims’ families, and can aid teaching and training on death investigations.</w:t>
      </w:r>
    </w:p>
    <w:p w14:paraId="037914AA" w14:textId="77777777" w:rsidR="00FF2EB1" w:rsidRPr="00CF6110" w:rsidRDefault="00FF2EB1" w:rsidP="00FF2EB1">
      <w:pPr>
        <w:pStyle w:val="SingleTxtG"/>
      </w:pPr>
      <w:r w:rsidRPr="00CF6110">
        <w:t>5.</w:t>
      </w:r>
      <w:r w:rsidRPr="00CF6110">
        <w:tab/>
        <w:t>To ensure the Protocol remains a living document, it should be updated and supplemented as the need arises.</w:t>
      </w:r>
    </w:p>
    <w:p w14:paraId="571A7355" w14:textId="77777777" w:rsidR="00FF2EB1" w:rsidRPr="00CF6110" w:rsidRDefault="00FF2EB1" w:rsidP="00FF2EB1">
      <w:pPr>
        <w:pStyle w:val="H1G"/>
        <w:spacing w:line="240" w:lineRule="atLeast"/>
      </w:pPr>
      <w:r w:rsidRPr="00CF6110">
        <w:tab/>
        <w:t xml:space="preserve">B. </w:t>
      </w:r>
      <w:r w:rsidRPr="00CF6110">
        <w:tab/>
        <w:t>Background</w:t>
      </w:r>
    </w:p>
    <w:p w14:paraId="2CC758D9" w14:textId="77777777" w:rsidR="002D208A" w:rsidRPr="00CF6110" w:rsidRDefault="002D208A" w:rsidP="002D208A">
      <w:pPr>
        <w:pStyle w:val="SingleTxtG"/>
      </w:pPr>
      <w:r w:rsidRPr="00CF6110">
        <w:t>6.</w:t>
      </w:r>
      <w:r w:rsidRPr="00CF6110">
        <w:tab/>
        <w:t xml:space="preserve">The Protocol (formally titled the UN Manual on the Effective Prevention of Extra-legal, Arbitrary and Summary Executions, and, through widespread usage, known as the Minnesota Protocol) was created in 1991. The Protocol supplements the UN Principles on the Effective Prevention and Investigation of Extra-legal, Arbitrary and Summary Executions (the UN Principles). The UN Principles, which set out international legal </w:t>
      </w:r>
      <w:r w:rsidRPr="00CF6110">
        <w:lastRenderedPageBreak/>
        <w:t>standards for the prevention of unlawful deaths and the investigation of potentially unlawful deaths, were adopted by the UN Economic and Social Council in 1989 after an intergovernmental process,</w:t>
      </w:r>
      <w:r w:rsidRPr="00CF6110">
        <w:rPr>
          <w:vertAlign w:val="superscript"/>
        </w:rPr>
        <w:footnoteReference w:id="6"/>
      </w:r>
      <w:r w:rsidRPr="00CF6110">
        <w:t xml:space="preserve"> and endorsed by the UN General Assembly the same year.</w:t>
      </w:r>
      <w:r w:rsidRPr="00CF6110">
        <w:rPr>
          <w:vertAlign w:val="superscript"/>
        </w:rPr>
        <w:footnoteReference w:id="7"/>
      </w:r>
      <w:r w:rsidRPr="00CF6110">
        <w:t xml:space="preserve"> </w:t>
      </w:r>
    </w:p>
    <w:p w14:paraId="76A855EB" w14:textId="77777777" w:rsidR="002D208A" w:rsidRPr="00CF6110" w:rsidRDefault="002D208A" w:rsidP="002D208A">
      <w:pPr>
        <w:pStyle w:val="SingleTxtG"/>
      </w:pPr>
      <w:r w:rsidRPr="00CF6110">
        <w:t>7.</w:t>
      </w:r>
      <w:r w:rsidRPr="00CF6110">
        <w:tab/>
        <w:t xml:space="preserve">The preparation of the Protocol in its first iteration was facilitated from 1983 to 1991 by the Minnesota International Lawyers Committee for Human Rights (now The Advocates for Human Rights), in collaboration with the Science and Human Rights Program of the American Association for the Advancement of Science. It was adopted by the Crime Prevention and Criminal Justice Branch of the UN Centre for Social Development and Humanitarian Affairs in 1991. It has since been used by national, regional, and international courts, commissions, and committees, such as the UN Human Rights Committee and the African Commission on Human and Peoples’ Rights. The Principles and the Protocol have also been used by States, international organizations, and non-governmental organizations (NGOs) around the world, becoming an influential touchstone for death investigations. </w:t>
      </w:r>
    </w:p>
    <w:p w14:paraId="32F51773" w14:textId="77777777" w:rsidR="002D208A" w:rsidRPr="00CF6110" w:rsidRDefault="002D208A" w:rsidP="002D208A">
      <w:pPr>
        <w:pStyle w:val="SingleTxtG"/>
      </w:pPr>
      <w:r w:rsidRPr="00CF6110">
        <w:t>8.</w:t>
      </w:r>
      <w:r w:rsidRPr="00CF6110">
        <w:tab/>
        <w:t>Since the publication of the 1991 Protocol, there have been significant developments in international law, investigative practice, and forensic science. In several resolutions, the UN Commission for Human Rights mandated the Office of the High Commissioner for Human Rights to update the Protocol.</w:t>
      </w:r>
      <w:r w:rsidRPr="00CF6110">
        <w:rPr>
          <w:vertAlign w:val="superscript"/>
        </w:rPr>
        <w:footnoteReference w:id="8"/>
      </w:r>
      <w:r w:rsidRPr="00CF6110">
        <w:t xml:space="preserve"> The Human Rights Council also identified the link between investigations and the right to truth.</w:t>
      </w:r>
      <w:r w:rsidRPr="00CF6110">
        <w:rPr>
          <w:vertAlign w:val="superscript"/>
        </w:rPr>
        <w:footnoteReference w:id="9"/>
      </w:r>
      <w:r w:rsidRPr="00CF6110">
        <w:t xml:space="preserve"> Following these resolutions, the Office of the UN High Commissioner for Human Rights (OHCHR) presented to the Council a report on the obligation of States to investigate serious violations of human rights, and the use of forensic genetics.</w:t>
      </w:r>
      <w:r w:rsidRPr="00CF6110">
        <w:rPr>
          <w:vertAlign w:val="superscript"/>
        </w:rPr>
        <w:footnoteReference w:id="10"/>
      </w:r>
    </w:p>
    <w:p w14:paraId="7F917303" w14:textId="77777777" w:rsidR="004068C2" w:rsidRPr="00CF6110" w:rsidRDefault="002D208A" w:rsidP="0068689A">
      <w:pPr>
        <w:pStyle w:val="SingleTxtG"/>
        <w:rPr>
          <w:b/>
          <w:bCs/>
        </w:rPr>
      </w:pPr>
      <w:r w:rsidRPr="00CF6110">
        <w:t>9.</w:t>
      </w:r>
      <w:r w:rsidRPr="00CF6110">
        <w:tab/>
        <w:t>To ensure that the Protocol reflects these advances and best serves the goal of assisting States to secure the right to life effectively, the 1991 Protocol was revised and updated in 2014–16 by the Office of the UN High Commissioner for Human Rights, working in collaboration with the UN Special Rapporteur on extrajudicial, summary or arbitrary executions, and an international team of legal and forensic experts.</w:t>
      </w:r>
      <w:r w:rsidRPr="00CF6110">
        <w:rPr>
          <w:rStyle w:val="Appelnotedebasdep"/>
        </w:rPr>
        <w:footnoteReference w:id="11"/>
      </w:r>
      <w:r w:rsidR="00C92886" w:rsidRPr="00CF6110">
        <w:t xml:space="preserve"> </w:t>
      </w:r>
    </w:p>
    <w:p w14:paraId="09F62AEF" w14:textId="77777777" w:rsidR="00AF4876" w:rsidRPr="00CF6110" w:rsidRDefault="00AF4876" w:rsidP="0068689A">
      <w:pPr>
        <w:pStyle w:val="HChG"/>
        <w:spacing w:line="240" w:lineRule="atLeast"/>
      </w:pPr>
      <w:r w:rsidRPr="00CF6110">
        <w:tab/>
        <w:t>II.</w:t>
      </w:r>
      <w:r w:rsidRPr="00CF6110">
        <w:tab/>
      </w:r>
      <w:r w:rsidR="002D208A" w:rsidRPr="00CF6110">
        <w:t xml:space="preserve">International </w:t>
      </w:r>
      <w:r w:rsidRPr="00CF6110">
        <w:t>Legal</w:t>
      </w:r>
      <w:r w:rsidR="008D3B3A" w:rsidRPr="00CF6110">
        <w:t xml:space="preserve"> </w:t>
      </w:r>
      <w:r w:rsidRPr="00CF6110">
        <w:t>framework</w:t>
      </w:r>
    </w:p>
    <w:p w14:paraId="43D9DB94" w14:textId="77777777" w:rsidR="004068C2" w:rsidRPr="00CF6110" w:rsidRDefault="00AF4876" w:rsidP="0068689A">
      <w:pPr>
        <w:pStyle w:val="H1G"/>
        <w:spacing w:line="240" w:lineRule="atLeast"/>
      </w:pPr>
      <w:r w:rsidRPr="00CF6110">
        <w:tab/>
        <w:t>A.</w:t>
      </w:r>
      <w:r w:rsidR="008D3B3A" w:rsidRPr="00CF6110">
        <w:t xml:space="preserve"> </w:t>
      </w:r>
      <w:r w:rsidRPr="00CF6110">
        <w:tab/>
      </w:r>
      <w:r w:rsidR="002D208A" w:rsidRPr="00CF6110">
        <w:t>Relevant International Principles and Codes</w:t>
      </w:r>
      <w:r w:rsidR="004068C2" w:rsidRPr="00CF6110">
        <w:t xml:space="preserve"> </w:t>
      </w:r>
    </w:p>
    <w:p w14:paraId="17C9A4EB" w14:textId="3CCE975A" w:rsidR="002D208A" w:rsidRPr="00CF6110" w:rsidRDefault="002D208A" w:rsidP="002D208A">
      <w:pPr>
        <w:pStyle w:val="SingleTxtG"/>
      </w:pPr>
      <w:r w:rsidRPr="00CF6110">
        <w:t>10.</w:t>
      </w:r>
      <w:r w:rsidRPr="00CF6110">
        <w:tab/>
      </w:r>
      <w:r w:rsidR="007213FD" w:rsidRPr="00CF6110">
        <w:t>Investigators</w:t>
      </w:r>
      <w:r w:rsidRPr="00CF6110">
        <w:t xml:space="preserve"> and law enforcement officials should have regard for all relevant international principles and codes. These include, in addition to the Principles and Protocol, the 1985 UN Basic Principles on the Independence of the Judiciary,</w:t>
      </w:r>
      <w:r w:rsidRPr="00CF6110">
        <w:rPr>
          <w:vertAlign w:val="superscript"/>
        </w:rPr>
        <w:footnoteReference w:id="12"/>
      </w:r>
      <w:r w:rsidRPr="00CF6110">
        <w:t xml:space="preserve"> the 1990 UN Basic </w:t>
      </w:r>
      <w:r w:rsidRPr="00CF6110">
        <w:lastRenderedPageBreak/>
        <w:t>Principles on the Role of Lawyers,</w:t>
      </w:r>
      <w:r w:rsidRPr="00CF6110">
        <w:rPr>
          <w:vertAlign w:val="superscript"/>
        </w:rPr>
        <w:footnoteReference w:id="13"/>
      </w:r>
      <w:r w:rsidRPr="00CF6110">
        <w:t xml:space="preserve"> the 1990 UN Guidelines on the Role of Prosecutors,</w:t>
      </w:r>
      <w:r w:rsidRPr="00CF6110">
        <w:rPr>
          <w:vertAlign w:val="superscript"/>
        </w:rPr>
        <w:footnoteReference w:id="14"/>
      </w:r>
      <w:r w:rsidRPr="00CF6110">
        <w:t xml:space="preserve"> as well as the 1979 UN Code of Conduct for Law Enforcement Officials</w:t>
      </w:r>
      <w:r w:rsidRPr="00CF6110">
        <w:rPr>
          <w:vertAlign w:val="superscript"/>
        </w:rPr>
        <w:footnoteReference w:id="15"/>
      </w:r>
      <w:r w:rsidRPr="00CF6110">
        <w:t xml:space="preserve"> and the 1990 Basic Principles on the Use of Force and Firearms by Law Enforcement Officials.</w:t>
      </w:r>
      <w:r w:rsidRPr="00CF6110">
        <w:rPr>
          <w:vertAlign w:val="superscript"/>
        </w:rPr>
        <w:footnoteReference w:id="16"/>
      </w:r>
      <w:r w:rsidRPr="00CF6110">
        <w:t xml:space="preserve"> Investigators should also be guided by the Siracusa Guidelines,</w:t>
      </w:r>
      <w:r w:rsidRPr="00CF6110">
        <w:rPr>
          <w:vertAlign w:val="superscript"/>
        </w:rPr>
        <w:footnoteReference w:id="17"/>
      </w:r>
      <w:r w:rsidRPr="00CF6110">
        <w:t xml:space="preserve"> the Lund-London Guidelines,</w:t>
      </w:r>
      <w:r w:rsidRPr="00CF6110">
        <w:rPr>
          <w:vertAlign w:val="superscript"/>
        </w:rPr>
        <w:footnoteReference w:id="18"/>
      </w:r>
      <w:r w:rsidRPr="00CF6110">
        <w:t xml:space="preserve"> and the OHCHR’s Commission of Inquiry Guidance.</w:t>
      </w:r>
      <w:r w:rsidRPr="00CF6110">
        <w:rPr>
          <w:vertAlign w:val="superscript"/>
        </w:rPr>
        <w:footnoteReference w:id="19"/>
      </w:r>
      <w:r w:rsidRPr="00CF6110">
        <w:t xml:space="preserve"> </w:t>
      </w:r>
    </w:p>
    <w:p w14:paraId="2DC89148" w14:textId="77777777" w:rsidR="002D208A" w:rsidRPr="00CF6110" w:rsidRDefault="002D208A" w:rsidP="002D208A">
      <w:pPr>
        <w:pStyle w:val="H1G"/>
        <w:spacing w:line="240" w:lineRule="atLeast"/>
      </w:pPr>
      <w:bookmarkStart w:id="1" w:name="_Toc445909158"/>
      <w:r w:rsidRPr="00CF6110">
        <w:tab/>
        <w:t xml:space="preserve">B. </w:t>
      </w:r>
      <w:r w:rsidRPr="00CF6110">
        <w:tab/>
      </w:r>
      <w:r w:rsidRPr="00CF6110">
        <w:rPr>
          <w:bCs/>
        </w:rPr>
        <w:t>The Right to Life</w:t>
      </w:r>
      <w:r w:rsidRPr="00CF6110">
        <w:t xml:space="preserve"> </w:t>
      </w:r>
    </w:p>
    <w:bookmarkEnd w:id="1"/>
    <w:p w14:paraId="027A3CB2" w14:textId="77777777" w:rsidR="002D208A" w:rsidRPr="00CF6110" w:rsidRDefault="002D208A" w:rsidP="002D208A">
      <w:pPr>
        <w:pStyle w:val="SingleTxtG"/>
        <w:rPr>
          <w:b/>
        </w:rPr>
      </w:pPr>
      <w:r w:rsidRPr="00CF6110">
        <w:t>11.</w:t>
      </w:r>
      <w:r w:rsidRPr="00CF6110">
        <w:tab/>
        <w:t xml:space="preserve">The right not to be arbitrarily deprived of life is a foundational and universally recognized right, applicable at all times and in all circumstances. No derogation is permissible, including during armed conflict or other public emergency. The right to life is a norm of </w:t>
      </w:r>
      <w:r w:rsidRPr="00CF6110">
        <w:rPr>
          <w:i/>
        </w:rPr>
        <w:t>jus cogens</w:t>
      </w:r>
      <w:r w:rsidRPr="00CF6110">
        <w:t>, and is protected by international and regional treaties, customary international law, and by domestic legal systems globally. The right is recognized in, among other instruments, the 1948 Universal Declaration of Human Rights, the 1966 International Covenant on Civil and Political Rights, the African, Inter-American, and European human rights conventions,</w:t>
      </w:r>
      <w:r w:rsidRPr="00CF6110">
        <w:rPr>
          <w:vertAlign w:val="superscript"/>
        </w:rPr>
        <w:footnoteReference w:id="20"/>
      </w:r>
      <w:r w:rsidRPr="00CF6110">
        <w:t xml:space="preserve"> and the Arab Charter on human rights.</w:t>
      </w:r>
      <w:r w:rsidRPr="00CF6110">
        <w:rPr>
          <w:vertAlign w:val="superscript"/>
        </w:rPr>
        <w:footnoteReference w:id="21"/>
      </w:r>
      <w:r w:rsidRPr="00CF6110">
        <w:t xml:space="preserve"> </w:t>
      </w:r>
    </w:p>
    <w:p w14:paraId="26771B5C" w14:textId="606CF456" w:rsidR="002D208A" w:rsidRPr="00CF6110" w:rsidRDefault="002D208A" w:rsidP="002D208A">
      <w:pPr>
        <w:pStyle w:val="SingleTxtG"/>
      </w:pPr>
      <w:r w:rsidRPr="00CF6110">
        <w:t>12.</w:t>
      </w:r>
      <w:r w:rsidRPr="00CF6110">
        <w:tab/>
        <w:t>Protection of the right to life requires the prevention of arbitrary deprivation of life, including through an appropriate framework of laws, regulations, precautions, and procedures</w:t>
      </w:r>
      <w:r w:rsidR="007213FD" w:rsidRPr="00CF6110">
        <w:t xml:space="preserve">. It also requires </w:t>
      </w:r>
      <w:r w:rsidRPr="00CF6110">
        <w:t>accountability for arbitrary deprivation of life whenever it occurs. To secure the right to life, States must:</w:t>
      </w:r>
      <w:r w:rsidRPr="00CF6110">
        <w:rPr>
          <w:b/>
          <w:bCs/>
        </w:rPr>
        <w:t xml:space="preserve"> </w:t>
      </w:r>
    </w:p>
    <w:p w14:paraId="42614FB9" w14:textId="77777777" w:rsidR="002D208A" w:rsidRPr="00CF6110" w:rsidRDefault="002D208A" w:rsidP="007150FC">
      <w:pPr>
        <w:pStyle w:val="SingleTxtG"/>
        <w:ind w:left="1701"/>
        <w:rPr>
          <w:b/>
        </w:rPr>
      </w:pPr>
      <w:r w:rsidRPr="00CF6110">
        <w:t>(a)</w:t>
      </w:r>
      <w:r w:rsidRPr="00CF6110">
        <w:tab/>
      </w:r>
      <w:r w:rsidRPr="00CF6110">
        <w:rPr>
          <w:b/>
        </w:rPr>
        <w:t>Respect the right to life.</w:t>
      </w:r>
      <w:r w:rsidRPr="00CF6110">
        <w:t xml:space="preserve"> States, their organs and agents, and those whose conduct is attributable to the State, must respect the right to life and not deprive any person of their life arbitrarily.</w:t>
      </w:r>
    </w:p>
    <w:p w14:paraId="2A3C38A3" w14:textId="77777777" w:rsidR="002D208A" w:rsidRPr="00CF6110" w:rsidRDefault="002D208A" w:rsidP="007150FC">
      <w:pPr>
        <w:pStyle w:val="SingleTxtG"/>
        <w:ind w:left="1701"/>
      </w:pPr>
      <w:r w:rsidRPr="00CF6110">
        <w:t>(b)</w:t>
      </w:r>
      <w:r w:rsidRPr="00CF6110">
        <w:tab/>
      </w:r>
      <w:r w:rsidRPr="00CF6110">
        <w:rPr>
          <w:b/>
        </w:rPr>
        <w:t>Protect and fulfil the right to life</w:t>
      </w:r>
      <w:r w:rsidRPr="00CF6110">
        <w:t>. States must protect and fulfil the right to life, including by exercising due diligence to prevent arbitrary deprivations of life by private actors.</w:t>
      </w:r>
      <w:r w:rsidRPr="00CF6110">
        <w:rPr>
          <w:vertAlign w:val="superscript"/>
        </w:rPr>
        <w:footnoteReference w:id="22"/>
      </w:r>
      <w:r w:rsidRPr="00CF6110">
        <w:t xml:space="preserve"> States must, for example, exercise due diligence to prevent unlawful use of lethal force</w:t>
      </w:r>
      <w:r w:rsidRPr="00CF6110">
        <w:rPr>
          <w:vertAlign w:val="superscript"/>
        </w:rPr>
        <w:footnoteReference w:id="23"/>
      </w:r>
      <w:r w:rsidRPr="00CF6110">
        <w:t xml:space="preserve"> or violence against children</w:t>
      </w:r>
      <w:r w:rsidRPr="00CF6110">
        <w:rPr>
          <w:vertAlign w:val="superscript"/>
        </w:rPr>
        <w:footnoteReference w:id="24"/>
      </w:r>
      <w:r w:rsidRPr="00CF6110">
        <w:t xml:space="preserve"> or women by private actors,</w:t>
      </w:r>
      <w:r w:rsidRPr="00CF6110">
        <w:rPr>
          <w:vertAlign w:val="superscript"/>
        </w:rPr>
        <w:footnoteReference w:id="25"/>
      </w:r>
      <w:r w:rsidRPr="00CF6110">
        <w:t xml:space="preserve"> and </w:t>
      </w:r>
      <w:r w:rsidRPr="00CF6110">
        <w:lastRenderedPageBreak/>
        <w:t>must protect against similar abuses by corporations.</w:t>
      </w:r>
      <w:r w:rsidRPr="00CF6110">
        <w:rPr>
          <w:vertAlign w:val="superscript"/>
        </w:rPr>
        <w:footnoteReference w:id="26"/>
      </w:r>
      <w:r w:rsidRPr="00CF6110">
        <w:t xml:space="preserve"> States must implement their due diligence obligations in good faith and in a non-discriminatory manner. States must also take measures to address general conditions that may give rise to direct threats to life, including those caused by pollution or resulting from natural causes.</w:t>
      </w:r>
    </w:p>
    <w:p w14:paraId="6355832E" w14:textId="71D600D9" w:rsidR="002D208A" w:rsidRPr="00CF6110" w:rsidRDefault="002D208A" w:rsidP="007150FC">
      <w:pPr>
        <w:pStyle w:val="SingleTxtG"/>
        <w:ind w:left="1701"/>
      </w:pPr>
      <w:r w:rsidRPr="00CF6110">
        <w:t>(c)</w:t>
      </w:r>
      <w:r w:rsidRPr="00CF6110">
        <w:tab/>
      </w:r>
      <w:r w:rsidRPr="00CF6110">
        <w:rPr>
          <w:b/>
        </w:rPr>
        <w:t>Investigate potentially unlawful deaths, ensure accountability, and remedy violations</w:t>
      </w:r>
      <w:r w:rsidRPr="00CF6110">
        <w:t>. The duty to investigate is an essential part of the right to life.</w:t>
      </w:r>
      <w:r w:rsidRPr="00CF6110">
        <w:rPr>
          <w:vertAlign w:val="superscript"/>
        </w:rPr>
        <w:footnoteReference w:id="27"/>
      </w:r>
      <w:r w:rsidRPr="00CF6110">
        <w:t xml:space="preserve"> The duty gives practical effect to the duties to respect and protect the right to life, and promotes accountability and remedy where the substantive right may have been violated. Where an investigation reveals evidence that a death was caused unlawfully, the state must ensure that identified perpetrators are prosecuted and where appropriate punished through a judicial process.</w:t>
      </w:r>
      <w:r w:rsidRPr="00CF6110">
        <w:rPr>
          <w:vertAlign w:val="superscript"/>
        </w:rPr>
        <w:footnoteReference w:id="28"/>
      </w:r>
      <w:r w:rsidRPr="00CF6110">
        <w:t xml:space="preserve"> Impunity stemming from, for example, statutes of limitations or blanket amnesties (</w:t>
      </w:r>
      <w:r w:rsidRPr="00CF6110">
        <w:rPr>
          <w:i/>
        </w:rPr>
        <w:t>de jure</w:t>
      </w:r>
      <w:r w:rsidRPr="00CF6110">
        <w:t xml:space="preserve"> impunity), or from prosecutorial inaction or political interference (</w:t>
      </w:r>
      <w:r w:rsidRPr="00CF6110">
        <w:rPr>
          <w:i/>
        </w:rPr>
        <w:t>de facto</w:t>
      </w:r>
      <w:r w:rsidRPr="00CF6110">
        <w:t xml:space="preserve"> impunity), is incompatible with this duty.</w:t>
      </w:r>
      <w:r w:rsidRPr="00CF6110">
        <w:rPr>
          <w:vertAlign w:val="superscript"/>
        </w:rPr>
        <w:footnoteReference w:id="29"/>
      </w:r>
      <w:r w:rsidRPr="00CF6110">
        <w:t xml:space="preserve"> A failure to fulfil the duty to investigate is a breach of the right to life. Investigations and prosecutions are essential to deter future violations, and to promote accountability, justice, the right to remedy, and the rule of law.</w:t>
      </w:r>
      <w:r w:rsidRPr="00CF6110">
        <w:rPr>
          <w:vertAlign w:val="superscript"/>
        </w:rPr>
        <w:footnoteReference w:id="30"/>
      </w:r>
      <w:r w:rsidR="00346947" w:rsidRPr="00CF6110">
        <w:t xml:space="preserve"> </w:t>
      </w:r>
    </w:p>
    <w:p w14:paraId="62965DDD" w14:textId="77777777" w:rsidR="002D208A" w:rsidRPr="00CF6110" w:rsidRDefault="002D208A" w:rsidP="002D208A">
      <w:pPr>
        <w:pStyle w:val="SingleTxtG"/>
        <w:rPr>
          <w:b/>
          <w:bCs/>
        </w:rPr>
      </w:pPr>
      <w:r w:rsidRPr="00CF6110">
        <w:t>13.</w:t>
      </w:r>
      <w:r w:rsidRPr="00CF6110">
        <w:tab/>
        <w:t>States also have duties of international cooperation in investigations of potentially unlawful deaths, particularly when they concern alleged international crimes such as extrajudicial execution or enforced disappearance.</w:t>
      </w:r>
      <w:r w:rsidRPr="00CF6110">
        <w:rPr>
          <w:vertAlign w:val="superscript"/>
        </w:rPr>
        <w:footnoteReference w:id="31"/>
      </w:r>
      <w:r w:rsidRPr="00CF6110">
        <w:rPr>
          <w:b/>
          <w:bCs/>
        </w:rPr>
        <w:t xml:space="preserve"> </w:t>
      </w:r>
    </w:p>
    <w:p w14:paraId="3D9BE58A" w14:textId="77777777" w:rsidR="005F6C3C" w:rsidRPr="00CF6110" w:rsidRDefault="005F6C3C" w:rsidP="005F6C3C">
      <w:pPr>
        <w:pStyle w:val="H1G"/>
        <w:spacing w:line="240" w:lineRule="atLeast"/>
      </w:pPr>
      <w:r w:rsidRPr="00CF6110">
        <w:tab/>
        <w:t xml:space="preserve">C. </w:t>
      </w:r>
      <w:r w:rsidRPr="00CF6110">
        <w:tab/>
      </w:r>
      <w:r w:rsidRPr="00CF6110">
        <w:rPr>
          <w:bCs/>
        </w:rPr>
        <w:t>Accountability and Remedy</w:t>
      </w:r>
      <w:r w:rsidRPr="00CF6110">
        <w:t xml:space="preserve"> </w:t>
      </w:r>
    </w:p>
    <w:p w14:paraId="20C1BB72" w14:textId="7473A767" w:rsidR="002D208A" w:rsidRPr="00CF6110" w:rsidRDefault="005F6C3C" w:rsidP="002D208A">
      <w:pPr>
        <w:pStyle w:val="SingleTxtG"/>
      </w:pPr>
      <w:r w:rsidRPr="00CF6110">
        <w:t>14.</w:t>
      </w:r>
      <w:r w:rsidRPr="00CF6110">
        <w:tab/>
      </w:r>
      <w:r w:rsidR="002D208A" w:rsidRPr="00CF6110">
        <w:t>Persons whose rights have been violated have the right to a full and effective remedy.</w:t>
      </w:r>
      <w:r w:rsidR="002D208A" w:rsidRPr="00CF6110">
        <w:rPr>
          <w:vertAlign w:val="superscript"/>
        </w:rPr>
        <w:footnoteReference w:id="32"/>
      </w:r>
      <w:r w:rsidR="002D208A" w:rsidRPr="00CF6110">
        <w:rPr>
          <w:vertAlign w:val="superscript"/>
        </w:rPr>
        <w:t xml:space="preserve"> </w:t>
      </w:r>
      <w:r w:rsidR="002D208A" w:rsidRPr="00CF6110">
        <w:t xml:space="preserve">Family members of victims of unlawful deaths and enforced disappearances have the right to equal and effective access to justice; </w:t>
      </w:r>
      <w:r w:rsidR="000815BC" w:rsidRPr="00CF6110">
        <w:t xml:space="preserve">to </w:t>
      </w:r>
      <w:r w:rsidR="002D208A" w:rsidRPr="00CF6110">
        <w:t>adequate, effective, and prompt reparation;</w:t>
      </w:r>
      <w:r w:rsidR="002D208A" w:rsidRPr="00CF6110">
        <w:rPr>
          <w:vertAlign w:val="superscript"/>
        </w:rPr>
        <w:footnoteReference w:id="33"/>
      </w:r>
      <w:r w:rsidR="002D208A" w:rsidRPr="00CF6110">
        <w:t xml:space="preserve"> </w:t>
      </w:r>
      <w:r w:rsidR="000815BC" w:rsidRPr="00CF6110">
        <w:t>to recogni</w:t>
      </w:r>
      <w:r w:rsidR="00A066C2" w:rsidRPr="00CF6110">
        <w:t xml:space="preserve">tion of their </w:t>
      </w:r>
      <w:r w:rsidR="000815BC" w:rsidRPr="00CF6110">
        <w:t>status</w:t>
      </w:r>
      <w:r w:rsidR="00A066C2" w:rsidRPr="00CF6110">
        <w:t xml:space="preserve"> before the law</w:t>
      </w:r>
      <w:r w:rsidR="000815BC" w:rsidRPr="00CF6110">
        <w:t>;</w:t>
      </w:r>
      <w:r w:rsidR="000815BC" w:rsidRPr="00CF6110">
        <w:rPr>
          <w:vertAlign w:val="superscript"/>
        </w:rPr>
        <w:footnoteReference w:id="34"/>
      </w:r>
      <w:r w:rsidR="000815BC" w:rsidRPr="00CF6110">
        <w:t xml:space="preserve"> </w:t>
      </w:r>
      <w:r w:rsidR="002D208A" w:rsidRPr="00CF6110">
        <w:t xml:space="preserve">and </w:t>
      </w:r>
      <w:r w:rsidR="000815BC" w:rsidRPr="00CF6110">
        <w:t xml:space="preserve">to have </w:t>
      </w:r>
      <w:r w:rsidR="002D208A" w:rsidRPr="00CF6110">
        <w:t xml:space="preserve">access to relevant </w:t>
      </w:r>
      <w:r w:rsidR="002D208A" w:rsidRPr="00CF6110">
        <w:lastRenderedPageBreak/>
        <w:t>information concerning the violations and relevant accountability mechanisms. Full reparation includes restitution, compensation, rehabilitation, guarantees of non-repetition, and satisfaction.</w:t>
      </w:r>
      <w:r w:rsidR="002D208A" w:rsidRPr="00CF6110">
        <w:rPr>
          <w:vertAlign w:val="superscript"/>
        </w:rPr>
        <w:footnoteReference w:id="35"/>
      </w:r>
      <w:r w:rsidR="002D208A" w:rsidRPr="00CF6110">
        <w:t xml:space="preserve"> Satisfaction includes government verification of the facts and public disclosure of the truth, accurate accounting of the legal violations, sanctions against persons responsible for violations, and the search for the disappeared and for the bodies of those killed.</w:t>
      </w:r>
      <w:r w:rsidR="000815BC" w:rsidRPr="00CF6110">
        <w:t xml:space="preserve"> </w:t>
      </w:r>
    </w:p>
    <w:p w14:paraId="4340D5DC" w14:textId="77777777" w:rsidR="002D208A" w:rsidRPr="00CF6110" w:rsidRDefault="005F6C3C" w:rsidP="002D208A">
      <w:pPr>
        <w:pStyle w:val="SingleTxtG"/>
      </w:pPr>
      <w:r w:rsidRPr="00CF6110">
        <w:t>15.</w:t>
      </w:r>
      <w:r w:rsidRPr="00CF6110">
        <w:tab/>
      </w:r>
      <w:r w:rsidR="002D208A" w:rsidRPr="00CF6110">
        <w:t xml:space="preserve">Family members have the right to seek and obtain information on the causes of an unlawful killing or an enforced disappearance and to learn the truth about the circumstances, events, and </w:t>
      </w:r>
      <w:proofErr w:type="gramStart"/>
      <w:r w:rsidR="002D208A" w:rsidRPr="00CF6110">
        <w:t>causes</w:t>
      </w:r>
      <w:proofErr w:type="gramEnd"/>
      <w:r w:rsidR="002D208A" w:rsidRPr="00CF6110">
        <w:t xml:space="preserve"> that led to it.</w:t>
      </w:r>
      <w:r w:rsidR="002D208A" w:rsidRPr="00CF6110">
        <w:rPr>
          <w:vertAlign w:val="superscript"/>
        </w:rPr>
        <w:footnoteReference w:id="36"/>
      </w:r>
      <w:r w:rsidR="002D208A" w:rsidRPr="00CF6110">
        <w:t xml:space="preserve"> In cases of unlawful deaths, families have the right, at a minimum, to information about the circumstances, location and condition of the remains, and, to the extent it has been determined, the cause and manner of death. </w:t>
      </w:r>
    </w:p>
    <w:p w14:paraId="295943C5" w14:textId="645CA981" w:rsidR="002D208A" w:rsidRPr="00CF6110" w:rsidRDefault="005F6C3C" w:rsidP="002D208A">
      <w:pPr>
        <w:pStyle w:val="SingleTxtG"/>
      </w:pPr>
      <w:r w:rsidRPr="00CF6110">
        <w:t>16.</w:t>
      </w:r>
      <w:r w:rsidRPr="00CF6110">
        <w:tab/>
      </w:r>
      <w:r w:rsidR="002D208A" w:rsidRPr="00CF6110">
        <w:t>In cases of enforced disappearances, families have the right, at a minimum, to information about the authorities responsible for the disappearance and deprivation of liberty; the dates and places of the disappearance, any transfers, and the victim’s whereabouts.</w:t>
      </w:r>
      <w:r w:rsidR="007213FD" w:rsidRPr="00CF6110">
        <w:rPr>
          <w:vertAlign w:val="superscript"/>
        </w:rPr>
        <w:footnoteReference w:id="37"/>
      </w:r>
      <w:r w:rsidR="002D208A" w:rsidRPr="00CF6110">
        <w:t xml:space="preserve"> Determining the final whereabouts of the disappeared person is fundamental to easing the anguish and suffering to family members caused by the uncertainty as to the fate of their disappeared relative.</w:t>
      </w:r>
      <w:r w:rsidR="002D208A" w:rsidRPr="00CF6110">
        <w:rPr>
          <w:vertAlign w:val="superscript"/>
        </w:rPr>
        <w:footnoteReference w:id="38"/>
      </w:r>
      <w:r w:rsidR="002D208A" w:rsidRPr="00CF6110">
        <w:t xml:space="preserve"> A violation is ongoing as long as the fate or whereabouts of the disappeared is not determined.</w:t>
      </w:r>
      <w:r w:rsidR="007A5B17" w:rsidRPr="00CF6110">
        <w:rPr>
          <w:vertAlign w:val="superscript"/>
        </w:rPr>
        <w:footnoteReference w:id="39"/>
      </w:r>
    </w:p>
    <w:p w14:paraId="6089B727" w14:textId="77777777" w:rsidR="002D208A" w:rsidRPr="00CF6110" w:rsidRDefault="005F6C3C" w:rsidP="002D208A">
      <w:pPr>
        <w:pStyle w:val="SingleTxtG"/>
      </w:pPr>
      <w:r w:rsidRPr="00CF6110">
        <w:t>17.</w:t>
      </w:r>
      <w:r w:rsidRPr="00CF6110">
        <w:tab/>
      </w:r>
      <w:r w:rsidR="002D208A" w:rsidRPr="00CF6110">
        <w:t>The right to know the truth extends to society as a whole, owing to the public interest in the prevention of, and accountability for, international law violations. Family members, and society as a whole, have a right to information in a state’s records that pertains to serious violations, even if those records are held by security agencies or military or police units.</w:t>
      </w:r>
    </w:p>
    <w:p w14:paraId="1E44442A" w14:textId="742D020C" w:rsidR="005F6C3C" w:rsidRPr="00CF6110" w:rsidRDefault="005F6C3C" w:rsidP="005F6C3C">
      <w:pPr>
        <w:pStyle w:val="SingleTxtG"/>
      </w:pPr>
      <w:r w:rsidRPr="00CF6110">
        <w:t>18.</w:t>
      </w:r>
      <w:r w:rsidRPr="00CF6110">
        <w:tab/>
      </w:r>
      <w:r w:rsidR="002D208A" w:rsidRPr="00CF6110">
        <w:t>In armed conflict, all parties must take all feasible measures to account for persons reported missing as a result of the conflict, and to provide family members with any information it has on their fate.</w:t>
      </w:r>
      <w:r w:rsidR="002D208A" w:rsidRPr="00CF6110">
        <w:rPr>
          <w:vertAlign w:val="superscript"/>
        </w:rPr>
        <w:footnoteReference w:id="40"/>
      </w:r>
      <w:r w:rsidR="002D208A" w:rsidRPr="00CF6110">
        <w:t xml:space="preserve"> In the event of death, all parties must use all means at their disposal to identify the dead, including by recording all available information prior to disposal of the body, and marking the location of graves; and they must endeavour to return the remains of the deceased upon the request of the next of kin.</w:t>
      </w:r>
      <w:r w:rsidR="002D208A" w:rsidRPr="00CF6110">
        <w:rPr>
          <w:vertAlign w:val="superscript"/>
        </w:rPr>
        <w:footnoteReference w:id="41"/>
      </w:r>
      <w:bookmarkStart w:id="2" w:name="_Toc317090185"/>
      <w:bookmarkStart w:id="3" w:name="_Toc445909160"/>
      <w:bookmarkStart w:id="4" w:name="_Toc441645899"/>
      <w:r w:rsidRPr="00CF6110">
        <w:t xml:space="preserve"> </w:t>
      </w:r>
      <w:r w:rsidR="00B96FA7" w:rsidRPr="00CF6110">
        <w:t xml:space="preserve">Moreover, each Party to an international armed conflict has to establish an Information Bureau to forward </w:t>
      </w:r>
      <w:r w:rsidR="00B96FA7" w:rsidRPr="00CF6110">
        <w:lastRenderedPageBreak/>
        <w:t>information regarding, among others, the death of protected persons in its hands to the power to which they belong.</w:t>
      </w:r>
      <w:r w:rsidR="00B96FA7" w:rsidRPr="00CF6110">
        <w:rPr>
          <w:vertAlign w:val="superscript"/>
        </w:rPr>
        <w:footnoteReference w:id="42"/>
      </w:r>
    </w:p>
    <w:p w14:paraId="3BF7AF70" w14:textId="77777777" w:rsidR="005F6C3C" w:rsidRPr="00CF6110" w:rsidRDefault="005F6C3C" w:rsidP="005F6C3C">
      <w:pPr>
        <w:pStyle w:val="H1G"/>
        <w:spacing w:line="240" w:lineRule="atLeast"/>
      </w:pPr>
      <w:r w:rsidRPr="00CF6110">
        <w:tab/>
        <w:t xml:space="preserve">D. </w:t>
      </w:r>
      <w:r w:rsidRPr="00CF6110">
        <w:tab/>
      </w:r>
      <w:r w:rsidRPr="00CF6110">
        <w:rPr>
          <w:bCs/>
        </w:rPr>
        <w:t>The Duty to Investigate</w:t>
      </w:r>
    </w:p>
    <w:p w14:paraId="28122DA9" w14:textId="77777777" w:rsidR="005F6C3C" w:rsidRPr="00CF6110" w:rsidRDefault="005F6C3C" w:rsidP="005F6C3C">
      <w:pPr>
        <w:pStyle w:val="H23G"/>
        <w:spacing w:line="240" w:lineRule="atLeast"/>
      </w:pPr>
      <w:r w:rsidRPr="00CF6110">
        <w:tab/>
        <w:t xml:space="preserve">1. </w:t>
      </w:r>
      <w:r w:rsidRPr="00CF6110">
        <w:tab/>
        <w:t>Application, scope, and trigger for investigation</w:t>
      </w:r>
    </w:p>
    <w:bookmarkEnd w:id="2"/>
    <w:bookmarkEnd w:id="3"/>
    <w:bookmarkEnd w:id="4"/>
    <w:p w14:paraId="5C6E7B4B" w14:textId="77777777" w:rsidR="002D208A" w:rsidRPr="00CF6110" w:rsidRDefault="005F6C3C" w:rsidP="002D208A">
      <w:pPr>
        <w:pStyle w:val="SingleTxtG"/>
      </w:pPr>
      <w:r w:rsidRPr="00CF6110">
        <w:t>19.</w:t>
      </w:r>
      <w:r w:rsidRPr="00CF6110">
        <w:tab/>
      </w:r>
      <w:r w:rsidR="002D208A" w:rsidRPr="00CF6110">
        <w:t>The Minnesota Protocol applies to the investigation of all “potentially unlawful deaths” and suspected enforced disappearances. For the purposes of the Protocol, this primarily includes situations where:</w:t>
      </w:r>
    </w:p>
    <w:p w14:paraId="157CD05A" w14:textId="79C506E0" w:rsidR="002D208A" w:rsidRPr="00CF6110" w:rsidRDefault="005F6C3C" w:rsidP="007150FC">
      <w:pPr>
        <w:pStyle w:val="SingleTxtG"/>
        <w:ind w:left="1701"/>
        <w:rPr>
          <w:vertAlign w:val="superscript"/>
        </w:rPr>
      </w:pPr>
      <w:r w:rsidRPr="00CF6110">
        <w:rPr>
          <w:bCs/>
        </w:rPr>
        <w:t>(a)</w:t>
      </w:r>
      <w:r w:rsidRPr="00CF6110">
        <w:rPr>
          <w:bCs/>
        </w:rPr>
        <w:tab/>
      </w:r>
      <w:r w:rsidR="002D208A" w:rsidRPr="00CF6110">
        <w:rPr>
          <w:b/>
          <w:bCs/>
        </w:rPr>
        <w:t>The death or disappearance may have been caused by acts or omissions of the State, its organs or agents, or may otherwise be attributable to the State.</w:t>
      </w:r>
      <w:r w:rsidR="002D208A" w:rsidRPr="00CF6110">
        <w:rPr>
          <w:vertAlign w:val="superscript"/>
        </w:rPr>
        <w:footnoteReference w:id="43"/>
      </w:r>
      <w:r w:rsidR="002D208A" w:rsidRPr="00CF6110">
        <w:rPr>
          <w:b/>
          <w:bCs/>
        </w:rPr>
        <w:t xml:space="preserve"> </w:t>
      </w:r>
      <w:r w:rsidR="002D208A" w:rsidRPr="00CF6110">
        <w:t>This includes, for example, all deaths possibly caused by law enforcement personnel or other agents of the state; deaths caused by paramilitary groups, militia, and “death squads” suspected of acting under the direction or with the permission or acquiescence of the State; and deaths caused by private military or security forces exercising State functions.</w:t>
      </w:r>
      <w:r w:rsidR="002D208A" w:rsidRPr="00CF6110">
        <w:rPr>
          <w:vertAlign w:val="superscript"/>
        </w:rPr>
        <w:footnoteReference w:id="44"/>
      </w:r>
    </w:p>
    <w:p w14:paraId="7051D9F2" w14:textId="16A5AEA5" w:rsidR="002D208A" w:rsidRPr="00CF6110" w:rsidRDefault="005F6C3C" w:rsidP="007150FC">
      <w:pPr>
        <w:pStyle w:val="SingleTxtG"/>
        <w:ind w:left="1701"/>
      </w:pPr>
      <w:r w:rsidRPr="00CF6110">
        <w:t>(b)</w:t>
      </w:r>
      <w:r w:rsidRPr="00CF6110">
        <w:tab/>
      </w:r>
      <w:r w:rsidR="002D208A" w:rsidRPr="00CF6110">
        <w:rPr>
          <w:b/>
        </w:rPr>
        <w:t xml:space="preserve">A death or disappearance took place when a person was detained by, or in the custody of, the State, its organs, or agents. </w:t>
      </w:r>
      <w:r w:rsidR="002D208A" w:rsidRPr="00CF6110">
        <w:t>This includes, for example, all deaths or disappearances of persons detained in prisons, in other places of detention (official and otherwise), and in other facilities where the State exercises heightened control over their life.</w:t>
      </w:r>
    </w:p>
    <w:p w14:paraId="0F22FD2C" w14:textId="6D29BFBD" w:rsidR="002D208A" w:rsidRPr="00CF6110" w:rsidRDefault="005F6C3C" w:rsidP="00364455">
      <w:pPr>
        <w:pStyle w:val="SingleTxtG"/>
        <w:widowControl w:val="0"/>
        <w:ind w:left="1701"/>
        <w:rPr>
          <w:vertAlign w:val="superscript"/>
        </w:rPr>
      </w:pPr>
      <w:r w:rsidRPr="00CF6110">
        <w:rPr>
          <w:bCs/>
        </w:rPr>
        <w:t>(c)</w:t>
      </w:r>
      <w:r w:rsidRPr="00CF6110">
        <w:rPr>
          <w:bCs/>
        </w:rPr>
        <w:tab/>
      </w:r>
      <w:r w:rsidR="002D208A" w:rsidRPr="00CF6110">
        <w:rPr>
          <w:b/>
          <w:bCs/>
        </w:rPr>
        <w:t>The death or disappearance occurred where the State may have failed to meet its obligations to protect life.</w:t>
      </w:r>
      <w:r w:rsidR="002D208A" w:rsidRPr="00CF6110">
        <w:t xml:space="preserve"> This includes, for example, any situation where a State fails to exercise due diligence to protect an individual or individuals from foreseeable external threats or violence by non-State actors. This is particularly the case where state officials have specific information about threats against one or more identified individuals; or where there is a pattern of killings where victims are linked by political affiliation,</w:t>
      </w:r>
      <w:r w:rsidR="002D208A" w:rsidRPr="00CF6110">
        <w:rPr>
          <w:vertAlign w:val="superscript"/>
        </w:rPr>
        <w:footnoteReference w:id="45"/>
      </w:r>
      <w:r w:rsidR="002D208A" w:rsidRPr="00CF6110">
        <w:t xml:space="preserve"> sex,</w:t>
      </w:r>
      <w:r w:rsidR="002D208A" w:rsidRPr="00CF6110">
        <w:rPr>
          <w:vertAlign w:val="superscript"/>
        </w:rPr>
        <w:footnoteReference w:id="46"/>
      </w:r>
      <w:r w:rsidR="002D208A" w:rsidRPr="00CF6110">
        <w:t xml:space="preserve"> sexual orientation</w:t>
      </w:r>
      <w:r w:rsidR="002D208A" w:rsidRPr="00CF6110">
        <w:rPr>
          <w:vertAlign w:val="superscript"/>
        </w:rPr>
        <w:footnoteReference w:id="47"/>
      </w:r>
      <w:r w:rsidR="002D208A" w:rsidRPr="00CF6110">
        <w:t xml:space="preserve"> or gender identity,</w:t>
      </w:r>
      <w:r w:rsidR="002D208A" w:rsidRPr="00CF6110">
        <w:rPr>
          <w:vertAlign w:val="superscript"/>
        </w:rPr>
        <w:footnoteReference w:id="48"/>
      </w:r>
      <w:r w:rsidR="002D208A" w:rsidRPr="00CF6110">
        <w:t xml:space="preserve"> </w:t>
      </w:r>
      <w:r w:rsidR="002D208A" w:rsidRPr="00CF6110">
        <w:lastRenderedPageBreak/>
        <w:t>religion,</w:t>
      </w:r>
      <w:r w:rsidR="002D208A" w:rsidRPr="00CF6110">
        <w:rPr>
          <w:vertAlign w:val="superscript"/>
        </w:rPr>
        <w:footnoteReference w:id="49"/>
      </w:r>
      <w:r w:rsidR="002D208A" w:rsidRPr="00CF6110">
        <w:t xml:space="preserve"> race or ethnicity,</w:t>
      </w:r>
      <w:r w:rsidR="002D208A" w:rsidRPr="00CF6110">
        <w:rPr>
          <w:vertAlign w:val="superscript"/>
        </w:rPr>
        <w:footnoteReference w:id="50"/>
      </w:r>
      <w:r w:rsidR="002D208A" w:rsidRPr="00CF6110">
        <w:t xml:space="preserve"> or social status.</w:t>
      </w:r>
      <w:r w:rsidR="002D208A" w:rsidRPr="00CF6110">
        <w:rPr>
          <w:vertAlign w:val="superscript"/>
        </w:rPr>
        <w:footnoteReference w:id="51"/>
      </w:r>
      <w:r w:rsidR="002D208A" w:rsidRPr="00CF6110">
        <w:t xml:space="preserve"> </w:t>
      </w:r>
    </w:p>
    <w:p w14:paraId="4C5735F5" w14:textId="01790893" w:rsidR="002D208A" w:rsidRPr="00CF6110" w:rsidRDefault="005F6C3C" w:rsidP="002D208A">
      <w:pPr>
        <w:pStyle w:val="SingleTxtG"/>
      </w:pPr>
      <w:r w:rsidRPr="00CF6110">
        <w:t>20.</w:t>
      </w:r>
      <w:r w:rsidRPr="00CF6110">
        <w:tab/>
      </w:r>
      <w:r w:rsidR="002D208A" w:rsidRPr="00CF6110">
        <w:t>The duty of the State to investigate is triggered where the State knows or should have known of any potentially unlawful death, including where reasonable allegations of a potentially unlawful death are made.</w:t>
      </w:r>
      <w:r w:rsidR="00364455" w:rsidRPr="00CF6110">
        <w:rPr>
          <w:vertAlign w:val="superscript"/>
        </w:rPr>
        <w:footnoteReference w:id="52"/>
      </w:r>
      <w:r w:rsidR="002D208A" w:rsidRPr="00CF6110">
        <w:t xml:space="preserve"> The duty to investigate does not apply only where the State is in receipt of a formal complaint.</w:t>
      </w:r>
      <w:r w:rsidR="002D208A" w:rsidRPr="00CF6110">
        <w:rPr>
          <w:vertAlign w:val="superscript"/>
        </w:rPr>
        <w:footnoteReference w:id="53"/>
      </w:r>
      <w:r w:rsidR="002D208A" w:rsidRPr="00CF6110">
        <w:t xml:space="preserve"> </w:t>
      </w:r>
    </w:p>
    <w:p w14:paraId="48BDE1F4" w14:textId="0711A383" w:rsidR="002D208A" w:rsidRPr="00CF6110" w:rsidRDefault="005F6C3C" w:rsidP="002D208A">
      <w:pPr>
        <w:pStyle w:val="SingleTxtG"/>
      </w:pPr>
      <w:r w:rsidRPr="00CF6110">
        <w:t>21.</w:t>
      </w:r>
      <w:r w:rsidRPr="00CF6110">
        <w:tab/>
      </w:r>
      <w:r w:rsidR="002D208A" w:rsidRPr="00CF6110">
        <w:t xml:space="preserve">The duty to investigate any potentially unlawful death includes all cases where the State has caused a death or where it is alleged or suspected that the State caused a death (for example, where law enforcement officers used force that may have contributed to the death). This duty, which applies to all </w:t>
      </w:r>
      <w:r w:rsidR="009C1967" w:rsidRPr="00CF6110">
        <w:t xml:space="preserve">peacetime </w:t>
      </w:r>
      <w:r w:rsidR="002D208A" w:rsidRPr="00CF6110">
        <w:t xml:space="preserve">situations </w:t>
      </w:r>
      <w:r w:rsidR="009C1967" w:rsidRPr="00CF6110">
        <w:t xml:space="preserve">and to all cases </w:t>
      </w:r>
      <w:r w:rsidR="002D208A" w:rsidRPr="00CF6110">
        <w:t xml:space="preserve">outside the conduct of hostilities during an armed conflict, </w:t>
      </w:r>
      <w:r w:rsidR="009C1967" w:rsidRPr="00CF6110">
        <w:t>exists</w:t>
      </w:r>
      <w:r w:rsidR="002D208A" w:rsidRPr="00CF6110">
        <w:t xml:space="preserve"> regardless of whether it is suspected or alleged that the death was unlawful. The duty to investigate potentially unlawful deaths caused during the conduct of hostilities is </w:t>
      </w:r>
      <w:r w:rsidR="009C1967" w:rsidRPr="00CF6110">
        <w:t>addressed in Paragraph</w:t>
      </w:r>
      <w:r w:rsidR="002D208A" w:rsidRPr="00CF6110">
        <w:t xml:space="preserve"> 26 below.</w:t>
      </w:r>
    </w:p>
    <w:p w14:paraId="37922156" w14:textId="77777777" w:rsidR="002D208A" w:rsidRPr="00CF6110" w:rsidRDefault="005F6C3C" w:rsidP="002D208A">
      <w:pPr>
        <w:pStyle w:val="SingleTxtG"/>
      </w:pPr>
      <w:r w:rsidRPr="00CF6110">
        <w:t>22.</w:t>
      </w:r>
      <w:r w:rsidRPr="00CF6110">
        <w:tab/>
      </w:r>
      <w:r w:rsidR="002D208A" w:rsidRPr="00CF6110">
        <w:t xml:space="preserve">Where a State agent has caused the death of a detainee or where a person has died in custody, there is a presumption of State responsibility and the burden of proof rests upon </w:t>
      </w:r>
      <w:proofErr w:type="gramStart"/>
      <w:r w:rsidR="002D208A" w:rsidRPr="00CF6110">
        <w:t>the</w:t>
      </w:r>
      <w:proofErr w:type="gramEnd"/>
      <w:r w:rsidR="002D208A" w:rsidRPr="00CF6110">
        <w:t xml:space="preserve"> State to prove otherwise.</w:t>
      </w:r>
      <w:r w:rsidR="002D208A" w:rsidRPr="00CF6110">
        <w:rPr>
          <w:vertAlign w:val="superscript"/>
        </w:rPr>
        <w:footnoteReference w:id="54"/>
      </w:r>
      <w:r w:rsidR="002D208A" w:rsidRPr="00CF6110">
        <w:t xml:space="preserve"> This heightened responsibility extends to persons detained in prisons, in other places of detention (official and otherwise), and to persons in other facilities where the State exercises heightened control over their life.</w:t>
      </w:r>
    </w:p>
    <w:p w14:paraId="7C15B5F5" w14:textId="746EDF43" w:rsidR="002D208A" w:rsidRPr="00CF6110" w:rsidRDefault="005F6C3C" w:rsidP="002D208A">
      <w:pPr>
        <w:pStyle w:val="SingleTxtG"/>
      </w:pPr>
      <w:r w:rsidRPr="00CF6110">
        <w:t>23.</w:t>
      </w:r>
      <w:r w:rsidRPr="00CF6110">
        <w:tab/>
      </w:r>
      <w:r w:rsidR="00DC472F" w:rsidRPr="00CF6110">
        <w:t>Consonant with its responsibilities under international law, t</w:t>
      </w:r>
      <w:r w:rsidR="002D208A" w:rsidRPr="00CF6110">
        <w:t xml:space="preserve">he State also has a duty to investigate all </w:t>
      </w:r>
      <w:r w:rsidR="000079BD" w:rsidRPr="00CF6110">
        <w:t>suspicious</w:t>
      </w:r>
      <w:r w:rsidR="002D208A" w:rsidRPr="00CF6110">
        <w:t xml:space="preserve"> deaths caused by individuals, even if the State cannot be held responsible for failing to prevent such deaths.</w:t>
      </w:r>
      <w:r w:rsidR="002D208A" w:rsidRPr="00CF6110">
        <w:rPr>
          <w:vertAlign w:val="superscript"/>
        </w:rPr>
        <w:footnoteReference w:id="55"/>
      </w:r>
      <w:r w:rsidR="002D208A" w:rsidRPr="00CF6110">
        <w:t xml:space="preserve"> </w:t>
      </w:r>
    </w:p>
    <w:p w14:paraId="67F27069" w14:textId="5856FED1" w:rsidR="002D208A" w:rsidRPr="00CF6110" w:rsidRDefault="005F6C3C" w:rsidP="002D208A">
      <w:pPr>
        <w:pStyle w:val="SingleTxtG"/>
      </w:pPr>
      <w:r w:rsidRPr="00CF6110">
        <w:t>24.</w:t>
      </w:r>
      <w:r w:rsidRPr="00CF6110">
        <w:tab/>
      </w:r>
      <w:r w:rsidR="002D208A" w:rsidRPr="00CF6110">
        <w:t xml:space="preserve">The duty to investigate applies within the territory or jurisdiction of a state, as well as </w:t>
      </w:r>
      <w:r w:rsidR="00712216" w:rsidRPr="00CF6110">
        <w:t xml:space="preserve">other situations </w:t>
      </w:r>
      <w:r w:rsidR="002D208A" w:rsidRPr="00CF6110">
        <w:t>where the state exercises effective authority, power, or control over either the perpetrator or the victim;</w:t>
      </w:r>
      <w:r w:rsidR="002D208A" w:rsidRPr="00CF6110">
        <w:rPr>
          <w:vertAlign w:val="superscript"/>
        </w:rPr>
        <w:footnoteReference w:id="56"/>
      </w:r>
      <w:r w:rsidR="002D208A" w:rsidRPr="00CF6110">
        <w:t xml:space="preserve"> exercises effective control over the territory on which the victim’s rights are affected; or engages in conduct outside its territory which could reasonably be foreseen to result in an unlawful deprivation of life.</w:t>
      </w:r>
      <w:r w:rsidR="002D208A" w:rsidRPr="00CF6110">
        <w:rPr>
          <w:vertAlign w:val="superscript"/>
        </w:rPr>
        <w:footnoteReference w:id="57"/>
      </w:r>
      <w:r w:rsidR="002D208A" w:rsidRPr="00CF6110">
        <w:t xml:space="preserve"> Where the duty to investigate applies, it applies to all States that may have contributed to the death. </w:t>
      </w:r>
    </w:p>
    <w:p w14:paraId="5ACF6873" w14:textId="6963850F" w:rsidR="002D208A" w:rsidRPr="00CF6110" w:rsidRDefault="005F6C3C" w:rsidP="002D208A">
      <w:pPr>
        <w:pStyle w:val="SingleTxtG"/>
      </w:pPr>
      <w:r w:rsidRPr="00CF6110">
        <w:lastRenderedPageBreak/>
        <w:t>25.</w:t>
      </w:r>
      <w:r w:rsidRPr="00CF6110">
        <w:tab/>
      </w:r>
      <w:r w:rsidR="002D208A" w:rsidRPr="00CF6110">
        <w:t>The duty to investigate a potentially unlawful death applies generally during peacetime, situations of internal disturbances and tensions, and armed conflict. Certain situations, such as armed conflict,</w:t>
      </w:r>
      <w:r w:rsidR="002D208A" w:rsidRPr="00CF6110">
        <w:rPr>
          <w:vertAlign w:val="superscript"/>
        </w:rPr>
        <w:footnoteReference w:id="58"/>
      </w:r>
      <w:r w:rsidR="002D208A" w:rsidRPr="00CF6110">
        <w:t xml:space="preserve"> may pose practical challenges for the application of </w:t>
      </w:r>
      <w:r w:rsidR="00D921B4" w:rsidRPr="00CF6110">
        <w:t xml:space="preserve">some </w:t>
      </w:r>
      <w:r w:rsidR="002D208A" w:rsidRPr="00CF6110">
        <w:t xml:space="preserve">aspects of the Protocol’s guidance. Where context-specific constraints prevent compliance with </w:t>
      </w:r>
      <w:r w:rsidR="00CC53AA" w:rsidRPr="00CF6110">
        <w:t xml:space="preserve">all of </w:t>
      </w:r>
      <w:r w:rsidR="002D208A" w:rsidRPr="00CF6110">
        <w:t>the guidance in this Protocol, the constraints and reasons for non-compliance should be recorded and publicly explained.</w:t>
      </w:r>
    </w:p>
    <w:p w14:paraId="61E6EABA" w14:textId="667980EC" w:rsidR="002D208A" w:rsidRPr="00CF6110" w:rsidRDefault="005F6C3C" w:rsidP="002D208A">
      <w:pPr>
        <w:pStyle w:val="SingleTxtG"/>
      </w:pPr>
      <w:r w:rsidRPr="00CF6110">
        <w:t>26.</w:t>
      </w:r>
      <w:r w:rsidRPr="00CF6110">
        <w:tab/>
      </w:r>
      <w:r w:rsidR="002D208A" w:rsidRPr="00CF6110">
        <w:t>Where there are reasonable grounds to suspect that a war crime was committed, the state must conduct a full investigation and prosecute those who are responsible.</w:t>
      </w:r>
      <w:r w:rsidR="002D208A" w:rsidRPr="00CF6110">
        <w:rPr>
          <w:vertAlign w:val="superscript"/>
        </w:rPr>
        <w:footnoteReference w:id="59"/>
      </w:r>
      <w:r w:rsidR="002D208A" w:rsidRPr="00CF6110">
        <w:t xml:space="preserve"> Where, during the conduct of hostilities, casualties have r</w:t>
      </w:r>
      <w:r w:rsidR="00CC53AA" w:rsidRPr="00CF6110">
        <w:t>esulted from an attack, a post-</w:t>
      </w:r>
      <w:r w:rsidR="002D208A" w:rsidRPr="00CF6110">
        <w:t>o</w:t>
      </w:r>
      <w:r w:rsidR="00CC53AA" w:rsidRPr="00CF6110">
        <w:t xml:space="preserve">peration </w:t>
      </w:r>
      <w:r w:rsidR="002D208A" w:rsidRPr="00CF6110">
        <w:t xml:space="preserve">assessment should be </w:t>
      </w:r>
      <w:r w:rsidR="00CC53AA" w:rsidRPr="00CF6110">
        <w:t>conducted</w:t>
      </w:r>
      <w:r w:rsidR="002D208A" w:rsidRPr="00CF6110">
        <w:t xml:space="preserve">. Where any death is suspected or alleged to have resulted from a violation of international humanitarian law </w:t>
      </w:r>
      <w:r w:rsidR="00CC53AA" w:rsidRPr="00CF6110">
        <w:t xml:space="preserve">(IHL) </w:t>
      </w:r>
      <w:r w:rsidR="002D208A" w:rsidRPr="00CF6110">
        <w:t xml:space="preserve">that would not amount to a war crime, </w:t>
      </w:r>
      <w:r w:rsidR="00CC53AA" w:rsidRPr="00CF6110">
        <w:t>and where an investigation (“official inquiry”) into the death is not specifically required under IHL,</w:t>
      </w:r>
      <w:r w:rsidR="00CC53AA" w:rsidRPr="00CF6110">
        <w:rPr>
          <w:vertAlign w:val="superscript"/>
        </w:rPr>
        <w:footnoteReference w:id="60"/>
      </w:r>
      <w:r w:rsidR="00CC53AA" w:rsidRPr="00CF6110">
        <w:t xml:space="preserve"> </w:t>
      </w:r>
      <w:r w:rsidR="002D208A" w:rsidRPr="00CF6110">
        <w:t>at a minimum, a preliminary inquiry is necessary. In any event, where evidence of unlawful conduct is identified, a full investigation should be conducted.</w:t>
      </w:r>
      <w:bookmarkStart w:id="5" w:name="_Toc441645901"/>
    </w:p>
    <w:p w14:paraId="72C7D16F" w14:textId="77777777" w:rsidR="009562CA" w:rsidRPr="00CF6110" w:rsidRDefault="009562CA" w:rsidP="009562CA">
      <w:pPr>
        <w:pStyle w:val="H23G"/>
        <w:spacing w:line="240" w:lineRule="atLeast"/>
      </w:pPr>
      <w:bookmarkStart w:id="6" w:name="_Toc317090187"/>
      <w:bookmarkStart w:id="7" w:name="_Toc445909162"/>
      <w:r w:rsidRPr="00CF6110">
        <w:tab/>
        <w:t xml:space="preserve">2. </w:t>
      </w:r>
      <w:r w:rsidRPr="00CF6110">
        <w:tab/>
        <w:t>Elements of the duty to investigate</w:t>
      </w:r>
    </w:p>
    <w:bookmarkEnd w:id="5"/>
    <w:bookmarkEnd w:id="6"/>
    <w:bookmarkEnd w:id="7"/>
    <w:p w14:paraId="76BA96CB" w14:textId="77777777" w:rsidR="002D208A" w:rsidRPr="00CF6110" w:rsidRDefault="009562CA" w:rsidP="002D208A">
      <w:pPr>
        <w:pStyle w:val="SingleTxtG"/>
      </w:pPr>
      <w:r w:rsidRPr="00CF6110">
        <w:t>27.</w:t>
      </w:r>
      <w:r w:rsidRPr="00CF6110">
        <w:tab/>
      </w:r>
      <w:r w:rsidR="002D208A" w:rsidRPr="00CF6110">
        <w:t>International law requires that investigations be: (</w:t>
      </w:r>
      <w:proofErr w:type="spellStart"/>
      <w:r w:rsidRPr="00CF6110">
        <w:t>i</w:t>
      </w:r>
      <w:proofErr w:type="spellEnd"/>
      <w:r w:rsidR="002D208A" w:rsidRPr="00CF6110">
        <w:t>) prompt; (</w:t>
      </w:r>
      <w:r w:rsidRPr="00CF6110">
        <w:t>ii</w:t>
      </w:r>
      <w:r w:rsidR="002D208A" w:rsidRPr="00CF6110">
        <w:t>) effective and thorough; (</w:t>
      </w:r>
      <w:r w:rsidRPr="00CF6110">
        <w:t>iii</w:t>
      </w:r>
      <w:r w:rsidR="002D208A" w:rsidRPr="00CF6110">
        <w:t xml:space="preserve">) independent and impartial; and </w:t>
      </w:r>
      <w:proofErr w:type="gramStart"/>
      <w:r w:rsidR="002D208A" w:rsidRPr="00CF6110">
        <w:t>(</w:t>
      </w:r>
      <w:r w:rsidRPr="00CF6110">
        <w:t>iv</w:t>
      </w:r>
      <w:r w:rsidR="002D208A" w:rsidRPr="00CF6110">
        <w:t>) transparent</w:t>
      </w:r>
      <w:proofErr w:type="gramEnd"/>
      <w:r w:rsidR="002D208A" w:rsidRPr="00CF6110">
        <w:t>.</w:t>
      </w:r>
      <w:r w:rsidR="002D208A" w:rsidRPr="00CF6110">
        <w:rPr>
          <w:vertAlign w:val="superscript"/>
        </w:rPr>
        <w:footnoteReference w:id="61"/>
      </w:r>
      <w:r w:rsidR="002D208A" w:rsidRPr="00CF6110">
        <w:t xml:space="preserve"> </w:t>
      </w:r>
    </w:p>
    <w:p w14:paraId="6F37D32B" w14:textId="77777777" w:rsidR="009562CA" w:rsidRPr="00CF6110" w:rsidRDefault="009562CA" w:rsidP="009562CA">
      <w:pPr>
        <w:pStyle w:val="H23G"/>
        <w:spacing w:line="240" w:lineRule="atLeast"/>
      </w:pPr>
      <w:bookmarkStart w:id="8" w:name="_Toc441645902"/>
      <w:r w:rsidRPr="00CF6110">
        <w:tab/>
      </w:r>
      <w:proofErr w:type="spellStart"/>
      <w:r w:rsidRPr="00CF6110">
        <w:t>i</w:t>
      </w:r>
      <w:proofErr w:type="spellEnd"/>
      <w:r w:rsidRPr="00CF6110">
        <w:t xml:space="preserve">. </w:t>
      </w:r>
      <w:r w:rsidRPr="00CF6110">
        <w:tab/>
      </w:r>
      <w:r w:rsidRPr="00CF6110">
        <w:rPr>
          <w:i/>
        </w:rPr>
        <w:t>Prompt</w:t>
      </w:r>
    </w:p>
    <w:bookmarkEnd w:id="8"/>
    <w:p w14:paraId="4BAD0857" w14:textId="77777777" w:rsidR="002D208A" w:rsidRPr="00CF6110" w:rsidRDefault="009562CA" w:rsidP="002D208A">
      <w:pPr>
        <w:pStyle w:val="SingleTxtG"/>
      </w:pPr>
      <w:r w:rsidRPr="00CF6110">
        <w:t>28.</w:t>
      </w:r>
      <w:r w:rsidRPr="00CF6110">
        <w:tab/>
      </w:r>
      <w:r w:rsidR="002D208A" w:rsidRPr="00CF6110">
        <w:t>The rights to life and to an effective remedy are violated when investigations into potentially unlawful deaths are not conducted promptly.</w:t>
      </w:r>
      <w:r w:rsidR="002D208A" w:rsidRPr="00CF6110">
        <w:rPr>
          <w:vertAlign w:val="superscript"/>
        </w:rPr>
        <w:footnoteReference w:id="62"/>
      </w:r>
      <w:r w:rsidR="002D208A" w:rsidRPr="00CF6110">
        <w:t xml:space="preserve"> Authorities must conduct an </w:t>
      </w:r>
      <w:r w:rsidR="002D208A" w:rsidRPr="00CF6110">
        <w:lastRenderedPageBreak/>
        <w:t>investigation as soon as possible and proceed without unreasonable delays.</w:t>
      </w:r>
      <w:r w:rsidR="002D208A" w:rsidRPr="00CF6110">
        <w:rPr>
          <w:vertAlign w:val="superscript"/>
        </w:rPr>
        <w:footnoteReference w:id="63"/>
      </w:r>
      <w:r w:rsidR="002D208A" w:rsidRPr="00CF6110">
        <w:t xml:space="preserve"> Officials with knowledge of a potentially unlawful death must report it to their superiors or proper authorities without delay.</w:t>
      </w:r>
      <w:r w:rsidR="002D208A" w:rsidRPr="00CF6110">
        <w:rPr>
          <w:vertAlign w:val="superscript"/>
        </w:rPr>
        <w:footnoteReference w:id="64"/>
      </w:r>
      <w:r w:rsidR="002D208A" w:rsidRPr="00CF6110">
        <w:t xml:space="preserve"> The duty of promptness does not justify a rushed or unduly hurried investigation.</w:t>
      </w:r>
      <w:r w:rsidR="002D208A" w:rsidRPr="00CF6110">
        <w:rPr>
          <w:vertAlign w:val="superscript"/>
        </w:rPr>
        <w:footnoteReference w:id="65"/>
      </w:r>
      <w:r w:rsidR="002D208A" w:rsidRPr="00CF6110">
        <w:t xml:space="preserve"> The failure of the State promptly to investigate does not relieve it of its duty to investigate at a later time: the duty does not cease even with the passing of significant time. </w:t>
      </w:r>
    </w:p>
    <w:p w14:paraId="4825C4DA" w14:textId="77777777" w:rsidR="009562CA" w:rsidRPr="00CF6110" w:rsidRDefault="009562CA" w:rsidP="009562CA">
      <w:pPr>
        <w:pStyle w:val="H23G"/>
        <w:spacing w:line="240" w:lineRule="atLeast"/>
      </w:pPr>
      <w:bookmarkStart w:id="9" w:name="_Toc441645903"/>
      <w:r w:rsidRPr="00CF6110">
        <w:tab/>
        <w:t xml:space="preserve">ii. </w:t>
      </w:r>
      <w:r w:rsidRPr="00CF6110">
        <w:tab/>
      </w:r>
      <w:r w:rsidRPr="00CF6110">
        <w:rPr>
          <w:i/>
        </w:rPr>
        <w:t>Effective and thorough</w:t>
      </w:r>
    </w:p>
    <w:bookmarkEnd w:id="9"/>
    <w:p w14:paraId="6BFDB177" w14:textId="77777777" w:rsidR="002D208A" w:rsidRPr="00CF6110" w:rsidRDefault="009562CA" w:rsidP="002D208A">
      <w:pPr>
        <w:pStyle w:val="SingleTxtG"/>
      </w:pPr>
      <w:r w:rsidRPr="00CF6110">
        <w:t>29.</w:t>
      </w:r>
      <w:r w:rsidRPr="00CF6110">
        <w:tab/>
      </w:r>
      <w:r w:rsidR="002D208A" w:rsidRPr="00CF6110">
        <w:t>Investigations of any potentially unlawful death must be effective and thorough. Investigators should, to the extent possible, collect and triangulate all testimonial, documentary, and physical evidence. Investigations must be capable of ensuring accountability for unlawful deaths or disappearances; leading to the identification, prosecution, and punishment of all those responsible;</w:t>
      </w:r>
      <w:r w:rsidR="002D208A" w:rsidRPr="00CF6110">
        <w:rPr>
          <w:vertAlign w:val="superscript"/>
        </w:rPr>
        <w:footnoteReference w:id="66"/>
      </w:r>
      <w:r w:rsidR="002D208A" w:rsidRPr="00CF6110">
        <w:t xml:space="preserve"> and preventing future unlawful deaths or disappearances. </w:t>
      </w:r>
    </w:p>
    <w:p w14:paraId="7E8E0D00" w14:textId="77777777" w:rsidR="002D208A" w:rsidRPr="00CF6110" w:rsidRDefault="009562CA" w:rsidP="002D208A">
      <w:pPr>
        <w:pStyle w:val="SingleTxtG"/>
      </w:pPr>
      <w:r w:rsidRPr="00CF6110">
        <w:t>30.</w:t>
      </w:r>
      <w:r w:rsidRPr="00CF6110">
        <w:tab/>
      </w:r>
      <w:r w:rsidR="002D208A" w:rsidRPr="00CF6110">
        <w:t>Investigations must, at a minimum, seek to:</w:t>
      </w:r>
    </w:p>
    <w:p w14:paraId="2A95B30F" w14:textId="77777777" w:rsidR="002D208A" w:rsidRPr="00CF6110" w:rsidRDefault="009562CA" w:rsidP="009562CA">
      <w:pPr>
        <w:pStyle w:val="SingleTxtG"/>
        <w:ind w:firstLine="567"/>
      </w:pPr>
      <w:r w:rsidRPr="00CF6110">
        <w:t>(a)</w:t>
      </w:r>
      <w:r w:rsidRPr="00CF6110">
        <w:tab/>
      </w:r>
      <w:r w:rsidR="002D208A" w:rsidRPr="00CF6110">
        <w:t xml:space="preserve">Identify the victim(s) </w:t>
      </w:r>
    </w:p>
    <w:p w14:paraId="4C031C3E" w14:textId="77777777" w:rsidR="002D208A" w:rsidRPr="00CF6110" w:rsidRDefault="009562CA" w:rsidP="007150FC">
      <w:pPr>
        <w:pStyle w:val="SingleTxtG"/>
        <w:ind w:left="1701"/>
      </w:pPr>
      <w:r w:rsidRPr="00CF6110">
        <w:t>(b)</w:t>
      </w:r>
      <w:r w:rsidRPr="00CF6110">
        <w:tab/>
      </w:r>
      <w:r w:rsidR="002D208A" w:rsidRPr="00CF6110">
        <w:t>Recover and preserve material probative of the cause of death, the identity of the perpetrator(s), or the circumstances surrounding the death in order to assist in any potential criminal investigation of those responsible</w:t>
      </w:r>
      <w:r w:rsidR="002D208A" w:rsidRPr="00CF6110">
        <w:rPr>
          <w:vertAlign w:val="superscript"/>
        </w:rPr>
        <w:footnoteReference w:id="67"/>
      </w:r>
      <w:r w:rsidR="002D208A" w:rsidRPr="00CF6110">
        <w:t xml:space="preserve"> </w:t>
      </w:r>
    </w:p>
    <w:p w14:paraId="2E5F4F8A" w14:textId="77777777" w:rsidR="002D208A" w:rsidRPr="00CF6110" w:rsidRDefault="009562CA" w:rsidP="007150FC">
      <w:pPr>
        <w:pStyle w:val="SingleTxtG"/>
        <w:ind w:left="1701"/>
      </w:pPr>
      <w:r w:rsidRPr="00CF6110">
        <w:t>(c)</w:t>
      </w:r>
      <w:r w:rsidRPr="00CF6110">
        <w:tab/>
      </w:r>
      <w:r w:rsidR="002D208A" w:rsidRPr="00CF6110">
        <w:t xml:space="preserve">Identify possible witnesses and obtain their statements in relation to the death and the circumstances surrounding the death </w:t>
      </w:r>
    </w:p>
    <w:p w14:paraId="197B32E2" w14:textId="77777777" w:rsidR="002D208A" w:rsidRPr="00CF6110" w:rsidRDefault="009562CA" w:rsidP="007150FC">
      <w:pPr>
        <w:pStyle w:val="SingleTxtG"/>
        <w:ind w:left="1701"/>
      </w:pPr>
      <w:r w:rsidRPr="00CF6110">
        <w:t>(d)</w:t>
      </w:r>
      <w:r w:rsidRPr="00CF6110">
        <w:tab/>
      </w:r>
      <w:r w:rsidR="002D208A" w:rsidRPr="00CF6110">
        <w:t>Determine the cause, manner, place, and time of death. In determining the manner of death, the investigation should distinguish between natural death, accidental death, suicide, and homicide,</w:t>
      </w:r>
      <w:r w:rsidR="002D208A" w:rsidRPr="00CF6110">
        <w:rPr>
          <w:vertAlign w:val="superscript"/>
        </w:rPr>
        <w:footnoteReference w:id="68"/>
      </w:r>
      <w:r w:rsidR="002D208A" w:rsidRPr="00CF6110">
        <w:t xml:space="preserve"> and</w:t>
      </w:r>
    </w:p>
    <w:p w14:paraId="265BC219" w14:textId="77777777" w:rsidR="002D208A" w:rsidRPr="00CF6110" w:rsidRDefault="009562CA" w:rsidP="007150FC">
      <w:pPr>
        <w:pStyle w:val="SingleTxtG"/>
        <w:ind w:left="1701"/>
      </w:pPr>
      <w:r w:rsidRPr="00CF6110">
        <w:t>(e)</w:t>
      </w:r>
      <w:r w:rsidRPr="00CF6110">
        <w:tab/>
      </w:r>
      <w:r w:rsidR="002D208A" w:rsidRPr="00CF6110">
        <w:t>Determine who was or may have been involved in the death and their individual responsibility for the death.</w:t>
      </w:r>
    </w:p>
    <w:p w14:paraId="29320330" w14:textId="2D83D7E3" w:rsidR="002D208A" w:rsidRPr="00CF6110" w:rsidRDefault="002D208A" w:rsidP="00990D60">
      <w:pPr>
        <w:pStyle w:val="SingleTxtG"/>
      </w:pPr>
      <w:r w:rsidRPr="00CF6110">
        <w:t xml:space="preserve">It will almost always be the case that these aims will be materially assisted in some way by the performance of an autopsy. A decision not to undertake an autopsy should be justified in writing and should be subject to judicial review. In the case of an enforced </w:t>
      </w:r>
      <w:r w:rsidRPr="00CF6110">
        <w:lastRenderedPageBreak/>
        <w:t>disappearance, an investigation must seek to determine the fate of the disappeared, and</w:t>
      </w:r>
      <w:r w:rsidR="0089636A" w:rsidRPr="00CF6110">
        <w:t>,</w:t>
      </w:r>
      <w:r w:rsidRPr="00CF6110">
        <w:t xml:space="preserve"> if applicable, the location of their remains.</w:t>
      </w:r>
      <w:r w:rsidRPr="00CF6110">
        <w:rPr>
          <w:vertAlign w:val="superscript"/>
        </w:rPr>
        <w:footnoteReference w:id="69"/>
      </w:r>
    </w:p>
    <w:p w14:paraId="7EB11490" w14:textId="77777777" w:rsidR="002D208A" w:rsidRPr="00CF6110" w:rsidRDefault="009562CA" w:rsidP="002D208A">
      <w:pPr>
        <w:pStyle w:val="SingleTxtG"/>
      </w:pPr>
      <w:r w:rsidRPr="00CF6110">
        <w:t>31.</w:t>
      </w:r>
      <w:r w:rsidRPr="00CF6110">
        <w:tab/>
      </w:r>
      <w:r w:rsidR="002D208A" w:rsidRPr="00CF6110">
        <w:t>Investigations must seek to identify not only direct perpetrators but also all others who were responsible for the death, including, for example, officials in the chain of command who may have been complicit in the death. Investigations should also seek to identify policies and systemic failures that may have contributed to a death, and identify patterns where they exist.</w:t>
      </w:r>
      <w:r w:rsidR="002D208A" w:rsidRPr="00CF6110">
        <w:rPr>
          <w:vertAlign w:val="superscript"/>
        </w:rPr>
        <w:footnoteReference w:id="70"/>
      </w:r>
    </w:p>
    <w:p w14:paraId="6A6EC721" w14:textId="77777777" w:rsidR="002D208A" w:rsidRPr="00CF6110" w:rsidRDefault="009562CA" w:rsidP="002D208A">
      <w:pPr>
        <w:pStyle w:val="SingleTxtG"/>
      </w:pPr>
      <w:r w:rsidRPr="00CF6110">
        <w:t>32.</w:t>
      </w:r>
      <w:r w:rsidRPr="00CF6110">
        <w:tab/>
      </w:r>
      <w:r w:rsidR="002D208A" w:rsidRPr="00CF6110">
        <w:t>An investigation must be carried out diligently and in accordance with good practice.</w:t>
      </w:r>
      <w:r w:rsidR="002D208A" w:rsidRPr="00CF6110">
        <w:rPr>
          <w:vertAlign w:val="superscript"/>
        </w:rPr>
        <w:footnoteReference w:id="71"/>
      </w:r>
      <w:r w:rsidR="002D208A" w:rsidRPr="00CF6110">
        <w:t xml:space="preserve"> The investigative mechanism charged with conducting the investigation must be adequately empowered to do so. The mechanism must, at a minimum, have the legal power to compel witnesses and require the production of evidence,</w:t>
      </w:r>
      <w:r w:rsidR="002D208A" w:rsidRPr="00CF6110">
        <w:rPr>
          <w:vertAlign w:val="superscript"/>
        </w:rPr>
        <w:footnoteReference w:id="72"/>
      </w:r>
      <w:r w:rsidR="002D208A" w:rsidRPr="00CF6110">
        <w:t xml:space="preserve"> and must have sufficient financial and human resources, including qualified investigators and relevant experts.</w:t>
      </w:r>
      <w:r w:rsidR="002D208A" w:rsidRPr="00CF6110">
        <w:rPr>
          <w:vertAlign w:val="superscript"/>
        </w:rPr>
        <w:footnoteReference w:id="73"/>
      </w:r>
      <w:r w:rsidR="002D208A" w:rsidRPr="00CF6110">
        <w:t xml:space="preserve"> </w:t>
      </w:r>
    </w:p>
    <w:p w14:paraId="36DA2FB4" w14:textId="77777777" w:rsidR="002D208A" w:rsidRPr="00CF6110" w:rsidRDefault="009562CA" w:rsidP="002D208A">
      <w:pPr>
        <w:pStyle w:val="SingleTxtG"/>
      </w:pPr>
      <w:r w:rsidRPr="00CF6110">
        <w:t>33.</w:t>
      </w:r>
      <w:r w:rsidRPr="00CF6110">
        <w:tab/>
      </w:r>
      <w:r w:rsidR="002D208A" w:rsidRPr="00CF6110">
        <w:t xml:space="preserve">Any investigative mechanism must also be able to ensure the safety and security of witnesses, including through an effective witness protection programme, where necessary. </w:t>
      </w:r>
    </w:p>
    <w:p w14:paraId="6B64E9C0" w14:textId="77777777" w:rsidR="009562CA" w:rsidRPr="00CF6110" w:rsidRDefault="009562CA" w:rsidP="009562CA">
      <w:pPr>
        <w:pStyle w:val="H23G"/>
        <w:spacing w:line="240" w:lineRule="atLeast"/>
      </w:pPr>
      <w:bookmarkStart w:id="10" w:name="_Toc441645904"/>
      <w:r w:rsidRPr="00CF6110">
        <w:tab/>
        <w:t xml:space="preserve">iii. </w:t>
      </w:r>
      <w:r w:rsidRPr="00CF6110">
        <w:tab/>
      </w:r>
      <w:r w:rsidRPr="00CF6110">
        <w:rPr>
          <w:i/>
        </w:rPr>
        <w:t>Independent and impartial</w:t>
      </w:r>
    </w:p>
    <w:bookmarkEnd w:id="10"/>
    <w:p w14:paraId="19685108" w14:textId="3E61B1CE" w:rsidR="002D208A" w:rsidRPr="00CF6110" w:rsidRDefault="009562CA" w:rsidP="002D208A">
      <w:pPr>
        <w:pStyle w:val="SingleTxtG"/>
      </w:pPr>
      <w:r w:rsidRPr="00CF6110">
        <w:t>34.</w:t>
      </w:r>
      <w:r w:rsidRPr="00CF6110">
        <w:tab/>
      </w:r>
      <w:r w:rsidR="002D208A" w:rsidRPr="00CF6110">
        <w:t xml:space="preserve">Investigators and investigative mechanisms must be, and be seen to be, independent of undue influence. They must be independent institutionally and formally, as well as in practice and perception. Investigations must be independent of any suspected perpetrators and the </w:t>
      </w:r>
      <w:r w:rsidR="0008020B" w:rsidRPr="00CF6110">
        <w:t xml:space="preserve">units, </w:t>
      </w:r>
      <w:r w:rsidR="002D208A" w:rsidRPr="00CF6110">
        <w:t>institutions</w:t>
      </w:r>
      <w:r w:rsidR="0008020B" w:rsidRPr="00CF6110">
        <w:t>,</w:t>
      </w:r>
      <w:r w:rsidR="002D208A" w:rsidRPr="00CF6110">
        <w:t xml:space="preserve"> or agencies to which they belong. Investigations of law enforcement killings, for example, must be capable of being carried out free from undue influence that may arise from institutional hierarchies and chains of command. Inquiries into serious human rights violations such as extrajudicial executions, enforced disappearances, and torture must be conducted under the jurisdiction of ordinary, civilian courts. Investigations must also be free from undue external influence, such as the interests of political parties or powerful social groups. </w:t>
      </w:r>
    </w:p>
    <w:p w14:paraId="51F95122" w14:textId="77777777" w:rsidR="002D208A" w:rsidRPr="00CF6110" w:rsidRDefault="009562CA" w:rsidP="002D208A">
      <w:pPr>
        <w:pStyle w:val="SingleTxtG"/>
      </w:pPr>
      <w:r w:rsidRPr="00CF6110">
        <w:t>35.</w:t>
      </w:r>
      <w:r w:rsidRPr="00CF6110">
        <w:tab/>
      </w:r>
      <w:r w:rsidR="002D208A" w:rsidRPr="00CF6110">
        <w:t>Independence requires more than not acting on the instructions of an actor seeking to inappropriately influence an investigation. It means that the investigation’s decisions shall not be unduly altered by the presumed or known wishes of any party.</w:t>
      </w:r>
    </w:p>
    <w:p w14:paraId="64AA6C27" w14:textId="77777777" w:rsidR="002D208A" w:rsidRPr="00CF6110" w:rsidRDefault="009562CA" w:rsidP="002D208A">
      <w:pPr>
        <w:pStyle w:val="SingleTxtG"/>
      </w:pPr>
      <w:r w:rsidRPr="00CF6110">
        <w:rPr>
          <w:bCs/>
        </w:rPr>
        <w:t>36.</w:t>
      </w:r>
      <w:r w:rsidRPr="00CF6110">
        <w:rPr>
          <w:bCs/>
        </w:rPr>
        <w:tab/>
      </w:r>
      <w:r w:rsidR="002D208A" w:rsidRPr="00CF6110">
        <w:rPr>
          <w:bCs/>
        </w:rPr>
        <w:t xml:space="preserve">Investigators must be able to </w:t>
      </w:r>
      <w:r w:rsidR="002D208A" w:rsidRPr="00CF6110">
        <w:t xml:space="preserve">perform all of their professional functions without intimidation, hindrance, harassment, or improper interference, and must be able to operate free from the threat of prosecution or other sanctions for any action taken in accordance </w:t>
      </w:r>
      <w:r w:rsidR="002D208A" w:rsidRPr="00CF6110">
        <w:lastRenderedPageBreak/>
        <w:t>with recognized professional duties, standards, and ethics. This applies equally to lawyers that conduct or contribute to investigations.</w:t>
      </w:r>
      <w:r w:rsidR="002D208A" w:rsidRPr="00CF6110">
        <w:rPr>
          <w:vertAlign w:val="superscript"/>
        </w:rPr>
        <w:footnoteReference w:id="74"/>
      </w:r>
      <w:bookmarkStart w:id="11" w:name="_Toc441645905"/>
    </w:p>
    <w:p w14:paraId="7903F619" w14:textId="78E18BE7" w:rsidR="002D208A" w:rsidRPr="00CF6110" w:rsidRDefault="009562CA" w:rsidP="002D208A">
      <w:pPr>
        <w:pStyle w:val="SingleTxtG"/>
      </w:pPr>
      <w:r w:rsidRPr="00CF6110">
        <w:t>37.</w:t>
      </w:r>
      <w:r w:rsidRPr="00CF6110">
        <w:tab/>
      </w:r>
      <w:r w:rsidR="002D208A" w:rsidRPr="00CF6110">
        <w:t>Investigators must be impartial and act at all times without bias.</w:t>
      </w:r>
      <w:r w:rsidR="00346947" w:rsidRPr="00CF6110">
        <w:t xml:space="preserve"> </w:t>
      </w:r>
      <w:r w:rsidR="002D208A" w:rsidRPr="00CF6110">
        <w:t>Investigators must analyse all evidence objectively. They must consider and appropriately pursue exculpatory as well as inculpatory evidence.</w:t>
      </w:r>
    </w:p>
    <w:p w14:paraId="2805066F" w14:textId="77777777" w:rsidR="009562CA" w:rsidRPr="00CF6110" w:rsidRDefault="009562CA" w:rsidP="009562CA">
      <w:pPr>
        <w:pStyle w:val="H23G"/>
        <w:spacing w:line="240" w:lineRule="atLeast"/>
      </w:pPr>
      <w:r w:rsidRPr="00CF6110">
        <w:tab/>
        <w:t xml:space="preserve">iv. </w:t>
      </w:r>
      <w:r w:rsidRPr="00CF6110">
        <w:tab/>
      </w:r>
      <w:r w:rsidRPr="00CF6110">
        <w:rPr>
          <w:i/>
        </w:rPr>
        <w:t>Transparent</w:t>
      </w:r>
    </w:p>
    <w:bookmarkEnd w:id="11"/>
    <w:p w14:paraId="63D492C9" w14:textId="17E4411F" w:rsidR="002D208A" w:rsidRPr="00CF6110" w:rsidRDefault="009562CA" w:rsidP="002D208A">
      <w:pPr>
        <w:pStyle w:val="SingleTxtG"/>
      </w:pPr>
      <w:r w:rsidRPr="00CF6110">
        <w:t>38.</w:t>
      </w:r>
      <w:r w:rsidRPr="00CF6110">
        <w:tab/>
      </w:r>
      <w:r w:rsidR="002D208A" w:rsidRPr="00CF6110">
        <w:t>Investigative processes and outcomes must be transparent, including through openness to general public scrutiny,</w:t>
      </w:r>
      <w:r w:rsidR="002D208A" w:rsidRPr="00CF6110">
        <w:rPr>
          <w:vertAlign w:val="superscript"/>
        </w:rPr>
        <w:footnoteReference w:id="75"/>
      </w:r>
      <w:r w:rsidR="002D208A" w:rsidRPr="00CF6110">
        <w:t xml:space="preserve"> and to the families of victims. Transparency promotes the rule of law and public accountability, and enables external monitoring of the efficacy of investigations. </w:t>
      </w:r>
      <w:r w:rsidR="0089636A" w:rsidRPr="00CF6110">
        <w:t>It also enables the participation of the victims, defined broadly, in the investigation.</w:t>
      </w:r>
      <w:r w:rsidR="0089636A" w:rsidRPr="00CF6110">
        <w:rPr>
          <w:vertAlign w:val="superscript"/>
        </w:rPr>
        <w:footnoteReference w:id="76"/>
      </w:r>
      <w:r w:rsidR="0089636A" w:rsidRPr="00CF6110">
        <w:t xml:space="preserve"> </w:t>
      </w:r>
      <w:r w:rsidR="002D208A" w:rsidRPr="00CF6110">
        <w:t xml:space="preserve">States should adopt explicit policies regarding the transparency of investigations. States should, at a minimum, be transparent about the existence of an investigation, the procedures to be followed in an investigation, and an investigation’s findings, including their factual and legal basis. </w:t>
      </w:r>
    </w:p>
    <w:p w14:paraId="1AF41BF7" w14:textId="77777777" w:rsidR="002D208A" w:rsidRPr="00CF6110" w:rsidRDefault="009562CA" w:rsidP="002D208A">
      <w:pPr>
        <w:pStyle w:val="SingleTxtG"/>
      </w:pPr>
      <w:r w:rsidRPr="00CF6110">
        <w:t>39.</w:t>
      </w:r>
      <w:r w:rsidRPr="00CF6110">
        <w:tab/>
      </w:r>
      <w:r w:rsidR="002D208A" w:rsidRPr="00CF6110">
        <w:t>As with other principles, t</w:t>
      </w:r>
      <w:r w:rsidR="002D208A" w:rsidRPr="00CF6110">
        <w:rPr>
          <w:bCs/>
        </w:rPr>
        <w:t>he principle of transparency in investigations also applies during armed conflict.</w:t>
      </w:r>
      <w:r w:rsidR="002D208A" w:rsidRPr="00CF6110">
        <w:rPr>
          <w:vertAlign w:val="superscript"/>
        </w:rPr>
        <w:footnoteReference w:id="77"/>
      </w:r>
      <w:r w:rsidR="002D208A" w:rsidRPr="00CF6110">
        <w:rPr>
          <w:bCs/>
          <w:vertAlign w:val="superscript"/>
        </w:rPr>
        <w:t xml:space="preserve"> </w:t>
      </w:r>
    </w:p>
    <w:p w14:paraId="21E19F3C" w14:textId="20F58BA6" w:rsidR="002D208A" w:rsidRPr="00CF6110" w:rsidRDefault="009562CA" w:rsidP="002D208A">
      <w:pPr>
        <w:pStyle w:val="SingleTxtG"/>
      </w:pPr>
      <w:r w:rsidRPr="00CF6110">
        <w:t>40.</w:t>
      </w:r>
      <w:r w:rsidRPr="00CF6110">
        <w:tab/>
      </w:r>
      <w:r w:rsidR="002D208A" w:rsidRPr="00CF6110">
        <w:t>Any limitations on transparency must be strictly necessary for a legitimate purpose, such as protecting the privacy and safety of affected individuals,</w:t>
      </w:r>
      <w:r w:rsidR="00D809D9" w:rsidRPr="00CF6110">
        <w:rPr>
          <w:vertAlign w:val="superscript"/>
        </w:rPr>
        <w:footnoteReference w:id="78"/>
      </w:r>
      <w:r w:rsidR="00D809D9" w:rsidRPr="00CF6110">
        <w:rPr>
          <w:bCs/>
          <w:vertAlign w:val="superscript"/>
        </w:rPr>
        <w:t xml:space="preserve"> </w:t>
      </w:r>
      <w:r w:rsidR="002D208A" w:rsidRPr="00CF6110">
        <w:t xml:space="preserve"> ensuring the integrity of ongoing investigations, or securing sensitive information about intelligence sources or military or police operations. In no circumstances may a state restrict transparency in a way that would conceal the fate or whereabouts of any victim of an enforced disappearance or unlawful killing.</w:t>
      </w:r>
    </w:p>
    <w:p w14:paraId="67A685BB" w14:textId="77777777" w:rsidR="009562CA" w:rsidRPr="00CF6110" w:rsidRDefault="009562CA" w:rsidP="009562CA">
      <w:pPr>
        <w:pStyle w:val="H23G"/>
        <w:spacing w:line="240" w:lineRule="atLeast"/>
      </w:pPr>
      <w:bookmarkStart w:id="12" w:name="_Toc445909163"/>
      <w:r w:rsidRPr="00CF6110">
        <w:tab/>
        <w:t xml:space="preserve">3. </w:t>
      </w:r>
      <w:r w:rsidRPr="00CF6110">
        <w:tab/>
        <w:t>The participation and protection of family members during an investigation</w:t>
      </w:r>
    </w:p>
    <w:p w14:paraId="7A6534F7" w14:textId="08943990" w:rsidR="002D208A" w:rsidRPr="00CF6110" w:rsidRDefault="009562CA" w:rsidP="002D208A">
      <w:pPr>
        <w:pStyle w:val="SingleTxtG"/>
      </w:pPr>
      <w:bookmarkStart w:id="13" w:name="_Toc317090189"/>
      <w:bookmarkEnd w:id="12"/>
      <w:r w:rsidRPr="00CF6110">
        <w:t>41.</w:t>
      </w:r>
      <w:r w:rsidRPr="00CF6110">
        <w:tab/>
      </w:r>
      <w:r w:rsidR="002D208A" w:rsidRPr="00CF6110">
        <w:t>The participation of the family members</w:t>
      </w:r>
      <w:r w:rsidR="002D208A" w:rsidRPr="00CF6110">
        <w:rPr>
          <w:vertAlign w:val="superscript"/>
        </w:rPr>
        <w:footnoteReference w:id="79"/>
      </w:r>
      <w:r w:rsidR="002D208A" w:rsidRPr="00CF6110">
        <w:t xml:space="preserve"> </w:t>
      </w:r>
      <w:r w:rsidR="00D809D9" w:rsidRPr="00CF6110">
        <w:t xml:space="preserve">or other close relatives </w:t>
      </w:r>
      <w:r w:rsidR="002D208A" w:rsidRPr="00CF6110">
        <w:t>of a deceased or disappeared person is an important element of an effective investigation.</w:t>
      </w:r>
      <w:r w:rsidR="002D208A" w:rsidRPr="00CF6110">
        <w:rPr>
          <w:vertAlign w:val="superscript"/>
        </w:rPr>
        <w:footnoteReference w:id="80"/>
      </w:r>
      <w:r w:rsidR="002D208A" w:rsidRPr="00CF6110">
        <w:t xml:space="preserve"> The relatives of a deceased person must be sought and informed of the investigation. Family members should be granted legal standing and investigative mechanisms or authorities should communicate with family members in a timely manner during all phases of the investigation.</w:t>
      </w:r>
      <w:r w:rsidR="005B61E9" w:rsidRPr="00CF6110">
        <w:rPr>
          <w:vertAlign w:val="superscript"/>
        </w:rPr>
        <w:footnoteReference w:id="81"/>
      </w:r>
      <w:r w:rsidR="002D208A" w:rsidRPr="00CF6110">
        <w:t xml:space="preserve"> Families should be invited by the investigating authorities to make </w:t>
      </w:r>
      <w:r w:rsidR="002D208A" w:rsidRPr="00CF6110">
        <w:lastRenderedPageBreak/>
        <w:t>suggestions and arguments, provide evidence, and assert their interests and rights throughout the process.</w:t>
      </w:r>
      <w:r w:rsidR="002D208A" w:rsidRPr="00CF6110">
        <w:rPr>
          <w:vertAlign w:val="superscript"/>
        </w:rPr>
        <w:footnoteReference w:id="82"/>
      </w:r>
      <w:r w:rsidR="002D208A" w:rsidRPr="00CF6110">
        <w:t xml:space="preserve"> They should be informed of, and have access to, any hearing relevant to the investigation, and they should be provided with information relevant to the investigation. In certain circumstances — for example, where family members are suspected perpetrators — these rights may be subject to restrictions, but only where, and to the extent, strictly necessary to ensure the integrity of the investigation.</w:t>
      </w:r>
    </w:p>
    <w:p w14:paraId="17ADE65D" w14:textId="77777777" w:rsidR="002D208A" w:rsidRPr="00CF6110" w:rsidRDefault="009562CA" w:rsidP="002D208A">
      <w:pPr>
        <w:pStyle w:val="SingleTxtG"/>
      </w:pPr>
      <w:r w:rsidRPr="00CF6110">
        <w:t>42.</w:t>
      </w:r>
      <w:r w:rsidRPr="00CF6110">
        <w:tab/>
      </w:r>
      <w:r w:rsidR="002D208A" w:rsidRPr="00CF6110">
        <w:t xml:space="preserve">Family members should be protected from any ill-treatment, intimidation, or sanction as a result of their participation in an investigation or their search for information concerning a deceased or disappeared person. Appropriate measures should be taken to ensure their safety, physical and psychological well-being, and privacy. </w:t>
      </w:r>
    </w:p>
    <w:p w14:paraId="056B305E" w14:textId="77777777" w:rsidR="002D208A" w:rsidRPr="00CF6110" w:rsidRDefault="009562CA" w:rsidP="002D208A">
      <w:pPr>
        <w:pStyle w:val="SingleTxtG"/>
      </w:pPr>
      <w:r w:rsidRPr="00CF6110">
        <w:t>43.</w:t>
      </w:r>
      <w:r w:rsidRPr="00CF6110">
        <w:tab/>
      </w:r>
      <w:r w:rsidR="002D208A" w:rsidRPr="00CF6110">
        <w:t xml:space="preserve">Family members have specific rights in relation to human remains. When the identity of a deceased person has been determined, family members should be informed immediately and thereafter a notification of death posted in an easily accessible way. To the extent possible, family members should also be consulted prior to an autopsy. Upon completion of necessary investigative procedures, human remains should be returned to family members, allowing them to dispose of the deceased according to their beliefs. </w:t>
      </w:r>
    </w:p>
    <w:p w14:paraId="7C2B2A8F" w14:textId="77777777" w:rsidR="002D208A" w:rsidRPr="00CF6110" w:rsidRDefault="009562CA" w:rsidP="002D208A">
      <w:pPr>
        <w:pStyle w:val="SingleTxtG"/>
      </w:pPr>
      <w:r w:rsidRPr="00CF6110">
        <w:t>44.</w:t>
      </w:r>
      <w:r w:rsidRPr="00CF6110">
        <w:tab/>
      </w:r>
      <w:r w:rsidR="002D208A" w:rsidRPr="00CF6110">
        <w:t>During armed conflict, the party in possession of human remains must, upon request of the family, endeavour to facilitate their return.</w:t>
      </w:r>
      <w:r w:rsidR="002D208A" w:rsidRPr="00CF6110">
        <w:rPr>
          <w:vertAlign w:val="superscript"/>
        </w:rPr>
        <w:footnoteReference w:id="83"/>
      </w:r>
      <w:r w:rsidR="002D208A" w:rsidRPr="00CF6110">
        <w:t xml:space="preserve"> </w:t>
      </w:r>
    </w:p>
    <w:p w14:paraId="1F0CBACB" w14:textId="77777777" w:rsidR="00E6192A" w:rsidRPr="00CF6110" w:rsidRDefault="00E6192A" w:rsidP="00E6192A">
      <w:pPr>
        <w:pStyle w:val="H23G"/>
        <w:spacing w:line="240" w:lineRule="atLeast"/>
      </w:pPr>
      <w:bookmarkStart w:id="14" w:name="_Toc445909164"/>
      <w:r w:rsidRPr="00CF6110">
        <w:tab/>
        <w:t xml:space="preserve">4. </w:t>
      </w:r>
      <w:r w:rsidRPr="00CF6110">
        <w:tab/>
        <w:t>Investigative mechanisms</w:t>
      </w:r>
    </w:p>
    <w:bookmarkEnd w:id="13"/>
    <w:bookmarkEnd w:id="14"/>
    <w:p w14:paraId="4666C78D" w14:textId="77777777" w:rsidR="002D208A" w:rsidRPr="00CF6110" w:rsidRDefault="00E6192A" w:rsidP="002D208A">
      <w:pPr>
        <w:pStyle w:val="SingleTxtG"/>
      </w:pPr>
      <w:r w:rsidRPr="00CF6110">
        <w:t>45.</w:t>
      </w:r>
      <w:r w:rsidRPr="00CF6110">
        <w:tab/>
      </w:r>
      <w:r w:rsidR="002D208A" w:rsidRPr="00CF6110">
        <w:t>The duty to investigate does not necessarily demand one specific investigative mechanism in preference to another. States may use a wide range of mechanisms consistent with domestic law and practice, provided that those mechanisms meet the international law requirements of the duty to investigate. Whether a police investigation, coronial inquest, investigation by an independent police oversight body, an investigation by a special prosecutor or national human rights institution, or any other investigation complies with the duty to investigate is a matter to be determined against the international legal obligations and commitments of the state, guided by the criteria set out in this Protocol.</w:t>
      </w:r>
    </w:p>
    <w:p w14:paraId="700242D6" w14:textId="51EEF007" w:rsidR="002D208A" w:rsidRPr="00CF6110" w:rsidRDefault="00E6192A" w:rsidP="002D208A">
      <w:pPr>
        <w:pStyle w:val="SingleTxtG"/>
      </w:pPr>
      <w:r w:rsidRPr="00CF6110">
        <w:t>46.</w:t>
      </w:r>
      <w:r w:rsidRPr="00CF6110">
        <w:tab/>
      </w:r>
      <w:r w:rsidR="002D208A" w:rsidRPr="00CF6110">
        <w:t xml:space="preserve">In </w:t>
      </w:r>
      <w:r w:rsidR="005B61E9" w:rsidRPr="00CF6110">
        <w:t>specific circumstances, a State may establish a special mechanism such as a commission of inquiry or a transitional justice mechanism</w:t>
      </w:r>
      <w:r w:rsidR="002D208A" w:rsidRPr="00CF6110">
        <w:t>. An international investigation mechanism with the expertise and capacity to conduct an independent and objective investigation may be appropriate. The requirements of promptness, effectiveness and thoroughness, independence and impartiality, and transparency apply equally to investigations undertaken by these mechanisms.</w:t>
      </w:r>
      <w:r w:rsidR="002D208A" w:rsidRPr="00CF6110">
        <w:rPr>
          <w:vertAlign w:val="superscript"/>
        </w:rPr>
        <w:footnoteReference w:id="84"/>
      </w:r>
      <w:r w:rsidR="002D208A" w:rsidRPr="00CF6110">
        <w:t xml:space="preserve"> </w:t>
      </w:r>
    </w:p>
    <w:p w14:paraId="21CB0B0C" w14:textId="77777777" w:rsidR="00AF4876" w:rsidRPr="00CF6110" w:rsidRDefault="00E6192A" w:rsidP="00E6192A">
      <w:pPr>
        <w:pStyle w:val="SingleTxtG"/>
      </w:pPr>
      <w:r w:rsidRPr="00CF6110">
        <w:t>47.</w:t>
      </w:r>
      <w:r w:rsidRPr="00CF6110">
        <w:tab/>
      </w:r>
      <w:r w:rsidR="002D208A" w:rsidRPr="00CF6110">
        <w:t xml:space="preserve">States must ensure that special mechanisms do not undermine accountability by, for example, unduly delaying or avoiding criminal prosecutions. The effective conduct of a special investigative mechanism designed to, for example, investigate systematic causes of rights violations or to secure historical memory, does not in itself satisfy a State’s obligation to prosecute and punish those responsible for an unlawful death through judicial processes. Accordingly, while special mechanisms may play a valuable role in conducting investigations in certain circumstances, they are unlikely, on their own, to fulfil the State’s </w:t>
      </w:r>
      <w:r w:rsidR="002D208A" w:rsidRPr="00CF6110">
        <w:lastRenderedPageBreak/>
        <w:t>duty to investigate. Fulfilment of the duty may require a combin</w:t>
      </w:r>
      <w:r w:rsidRPr="00CF6110">
        <w:t xml:space="preserve">ation of different mechanisms. </w:t>
      </w:r>
      <w:r w:rsidR="003605B8" w:rsidRPr="00CF6110">
        <w:tab/>
      </w:r>
    </w:p>
    <w:p w14:paraId="05739637" w14:textId="77777777" w:rsidR="00AF4876" w:rsidRPr="00CF6110" w:rsidRDefault="003605B8" w:rsidP="0068689A">
      <w:pPr>
        <w:pStyle w:val="HChG"/>
        <w:spacing w:line="240" w:lineRule="atLeast"/>
      </w:pPr>
      <w:r w:rsidRPr="00CF6110">
        <w:tab/>
      </w:r>
      <w:r w:rsidR="00AF4876" w:rsidRPr="00CF6110">
        <w:t>III.</w:t>
      </w:r>
      <w:r w:rsidRPr="00CF6110">
        <w:tab/>
      </w:r>
      <w:r w:rsidR="00E6192A" w:rsidRPr="00CF6110">
        <w:t>Professional Ethics</w:t>
      </w:r>
    </w:p>
    <w:p w14:paraId="3E568111" w14:textId="68D1DFAD" w:rsidR="00E6192A" w:rsidRPr="00CF6110" w:rsidRDefault="00E6192A" w:rsidP="00E6192A">
      <w:pPr>
        <w:pStyle w:val="SingleTxtG"/>
      </w:pPr>
      <w:r w:rsidRPr="00CF6110">
        <w:t>48.</w:t>
      </w:r>
      <w:r w:rsidRPr="00CF6110">
        <w:tab/>
        <w:t xml:space="preserve">All those involved in investigating potentially unlawful deaths </w:t>
      </w:r>
      <w:r w:rsidR="000458F1" w:rsidRPr="00CF6110">
        <w:t xml:space="preserve">or enforced disappearance </w:t>
      </w:r>
      <w:r w:rsidRPr="00CF6110">
        <w:t>must respect the highest professional and ethical standards at all times. They must work to secure the integrity and effectiveness of the investigation process, and to advance the goals of justice and human rights. Those involved in investigations bear ethical responsibilities toward victims, their family members, and others affected by an investigation, and they must respect the safety, privacy, well-being, dignity, and human rights of anyone affected</w:t>
      </w:r>
      <w:r w:rsidR="00453D2F" w:rsidRPr="00CF6110">
        <w:t>, working in accordance with applicable humanitarian principles</w:t>
      </w:r>
      <w:r w:rsidRPr="00CF6110">
        <w:t xml:space="preserve">. </w:t>
      </w:r>
    </w:p>
    <w:p w14:paraId="17A22EC9" w14:textId="3BE0D7FC" w:rsidR="00E6192A" w:rsidRPr="00CF6110" w:rsidRDefault="00E6192A" w:rsidP="00E6192A">
      <w:pPr>
        <w:pStyle w:val="SingleTxtG"/>
      </w:pPr>
      <w:r w:rsidRPr="00CF6110">
        <w:t>49.</w:t>
      </w:r>
      <w:r w:rsidRPr="00CF6110">
        <w:tab/>
        <w:t>When dealing with family members, potential witnesses and others contacted in the course of an investigation, investigators must take care to minimise the harm that the investigation process may cause, especially regarding the person’s physical and mental well-being</w:t>
      </w:r>
      <w:r w:rsidR="00453D2F" w:rsidRPr="00CF6110">
        <w:t xml:space="preserve"> as well as the dignity of the dead</w:t>
      </w:r>
      <w:r w:rsidRPr="00CF6110">
        <w:t>. Special consideration is required for those at particular risk of harm, such as victims of sexual abuse, children, refugees, and persons with disabilities.</w:t>
      </w:r>
    </w:p>
    <w:p w14:paraId="43E9A50B" w14:textId="77777777" w:rsidR="00E6192A" w:rsidRPr="00CF6110" w:rsidRDefault="00E6192A" w:rsidP="00E6192A">
      <w:pPr>
        <w:pStyle w:val="SingleTxtG"/>
      </w:pPr>
      <w:r w:rsidRPr="00CF6110">
        <w:t>50.</w:t>
      </w:r>
      <w:r w:rsidRPr="00CF6110">
        <w:tab/>
        <w:t>Investigators shall act in accordance with domestic and international law, and avoid arbitrary or unduly intrusive investigatory activity. Investigators should also respect the culture and customs of all persons affected by the investigation, as well as the wishes of family members, while still fulfilling their duty to conduct an effective investigation.</w:t>
      </w:r>
      <w:r w:rsidRPr="00CF6110">
        <w:rPr>
          <w:vertAlign w:val="superscript"/>
        </w:rPr>
        <w:footnoteReference w:id="85"/>
      </w:r>
      <w:r w:rsidRPr="00CF6110">
        <w:t xml:space="preserve"> </w:t>
      </w:r>
    </w:p>
    <w:p w14:paraId="756D7088" w14:textId="52F1BD14" w:rsidR="00E6192A" w:rsidRPr="00CF6110" w:rsidRDefault="00E6192A" w:rsidP="00E6192A">
      <w:pPr>
        <w:pStyle w:val="SingleTxtG"/>
      </w:pPr>
      <w:r w:rsidRPr="00CF6110">
        <w:t>51.</w:t>
      </w:r>
      <w:r w:rsidRPr="00CF6110">
        <w:tab/>
        <w:t xml:space="preserve">Any forensic doctor involved in the investigation of a potentially unlawful death </w:t>
      </w:r>
      <w:r w:rsidR="008D5DBF" w:rsidRPr="00CF6110">
        <w:t xml:space="preserve">or enforced disappearance </w:t>
      </w:r>
      <w:r w:rsidRPr="00CF6110">
        <w:t xml:space="preserve">has responsibilities to justice, to the </w:t>
      </w:r>
      <w:r w:rsidR="008D5DBF" w:rsidRPr="00CF6110">
        <w:t>relatives</w:t>
      </w:r>
      <w:r w:rsidRPr="00CF6110">
        <w:t xml:space="preserve"> of the deceased, and more generally to the public. To discharge these responsibilities properly, a forensic doctor, including forensic pathologist</w:t>
      </w:r>
      <w:r w:rsidRPr="00CF6110">
        <w:rPr>
          <w:vertAlign w:val="superscript"/>
        </w:rPr>
        <w:t>,</w:t>
      </w:r>
      <w:r w:rsidRPr="00CF6110">
        <w:t xml:space="preserve"> must act independently and impartially. Whether or not they are employed by the police or the State, forensic doctors must understand clearly their obligations to justice (not the State), and </w:t>
      </w:r>
      <w:r w:rsidR="008D5DBF" w:rsidRPr="00CF6110">
        <w:t>to the relatives of the deceased or disappeared person</w:t>
      </w:r>
      <w:r w:rsidRPr="00CF6110">
        <w:t>, so that a true account is provided of the cause of death and</w:t>
      </w:r>
      <w:r w:rsidR="008D5DBF" w:rsidRPr="00CF6110">
        <w:t xml:space="preserve"> </w:t>
      </w:r>
      <w:r w:rsidRPr="00CF6110">
        <w:t xml:space="preserve">the circumstances surrounding the death. </w:t>
      </w:r>
    </w:p>
    <w:p w14:paraId="028313EF" w14:textId="77777777" w:rsidR="00E6192A" w:rsidRPr="00CF6110" w:rsidRDefault="00E6192A" w:rsidP="00E6192A">
      <w:pPr>
        <w:pStyle w:val="SingleTxtG"/>
      </w:pPr>
      <w:r w:rsidRPr="00CF6110">
        <w:t>52.</w:t>
      </w:r>
      <w:r w:rsidRPr="00CF6110">
        <w:tab/>
        <w:t>More generally, as provided for by the World Medical Association’s International Code of Medical Ethics, “A physician shall be dedicated to providing competent medical service in full professional and moral independence, with compassion and respect for human dignity.”</w:t>
      </w:r>
      <w:r w:rsidRPr="00CF6110">
        <w:rPr>
          <w:vertAlign w:val="superscript"/>
        </w:rPr>
        <w:footnoteReference w:id="86"/>
      </w:r>
      <w:r w:rsidRPr="00CF6110">
        <w:t xml:space="preserve"> For its full realisation, this also requires the State to create the circumstances where such independence can be exercised, including by protecting the forensic doctor from harm or harassment as a result of involvement with potentially sensitive case work.</w:t>
      </w:r>
    </w:p>
    <w:p w14:paraId="79A07B7B" w14:textId="77777777" w:rsidR="00E6192A" w:rsidRPr="00CF6110" w:rsidRDefault="00E6192A" w:rsidP="00E6192A">
      <w:pPr>
        <w:pStyle w:val="HChG"/>
        <w:spacing w:line="240" w:lineRule="atLeast"/>
      </w:pPr>
      <w:r w:rsidRPr="00CF6110">
        <w:tab/>
        <w:t>IV.</w:t>
      </w:r>
      <w:r w:rsidRPr="00CF6110">
        <w:tab/>
        <w:t>Investigation</w:t>
      </w:r>
    </w:p>
    <w:p w14:paraId="1CAE1EB7" w14:textId="77777777" w:rsidR="00171453" w:rsidRPr="00CF6110" w:rsidRDefault="00171453" w:rsidP="00171453">
      <w:pPr>
        <w:pStyle w:val="SingleTxtG"/>
      </w:pPr>
      <w:r w:rsidRPr="00CF6110">
        <w:t>53.</w:t>
      </w:r>
      <w:r w:rsidRPr="00CF6110">
        <w:tab/>
        <w:t xml:space="preserve">This section of the Minnesota Protocol describes the strategies and practical steps that should be taken in an effective investigation of a potentially unlawful death. These </w:t>
      </w:r>
      <w:r w:rsidRPr="00CF6110">
        <w:lastRenderedPageBreak/>
        <w:t xml:space="preserve">represent good practice in any investigation notwithstanding the specificities of local laws, practices, and procedures. The general guidance offered in this section is complemented by sections providing Detailed Guidelines on, respectively, crime-scene investigation, the conduct of interviews, the excavation of graves, the conduct of an autopsy, and the analysis of skeletal remains. </w:t>
      </w:r>
    </w:p>
    <w:p w14:paraId="5EDD14CA" w14:textId="77777777" w:rsidR="00171453" w:rsidRPr="00CF6110" w:rsidRDefault="00171453" w:rsidP="00171453">
      <w:pPr>
        <w:pStyle w:val="H1G"/>
        <w:spacing w:line="240" w:lineRule="atLeast"/>
      </w:pPr>
      <w:bookmarkStart w:id="15" w:name="_Toc445909167"/>
      <w:r w:rsidRPr="00CF6110">
        <w:tab/>
        <w:t xml:space="preserve">A. </w:t>
      </w:r>
      <w:r w:rsidRPr="00CF6110">
        <w:tab/>
      </w:r>
      <w:r w:rsidRPr="00CF6110">
        <w:rPr>
          <w:bCs/>
        </w:rPr>
        <w:t>General Principles of Investigations</w:t>
      </w:r>
    </w:p>
    <w:bookmarkEnd w:id="15"/>
    <w:p w14:paraId="62738011" w14:textId="77777777" w:rsidR="00171453" w:rsidRPr="00CF6110" w:rsidRDefault="00171453" w:rsidP="00171453">
      <w:pPr>
        <w:pStyle w:val="SingleTxtG"/>
      </w:pPr>
      <w:r w:rsidRPr="00CF6110">
        <w:t>54.</w:t>
      </w:r>
      <w:r w:rsidRPr="00CF6110">
        <w:tab/>
        <w:t>In any investigation, the preservation of life — of both the public and the investigative team — is paramount. All activities should be risk assessed, especially when being carried out in areas affected by conflict. Members of the public and the investigation team should not be unduly placed in harm’s way.</w:t>
      </w:r>
    </w:p>
    <w:p w14:paraId="04050198" w14:textId="77777777" w:rsidR="00171453" w:rsidRPr="00CF6110" w:rsidRDefault="00171453" w:rsidP="00171453">
      <w:pPr>
        <w:pStyle w:val="SingleTxtG"/>
      </w:pPr>
      <w:r w:rsidRPr="00CF6110">
        <w:t>55.</w:t>
      </w:r>
      <w:r w:rsidRPr="00CF6110">
        <w:tab/>
        <w:t xml:space="preserve">The overarching strategy of any investigation should be methodical and transparent, and pursue all legitimate lines of inquiry into potentially unlawful death. Depending on the circumstances, both routine investigative steps and highly specialized techniques may be required. A hierarchy should be established that includes accountability for all decisions that the investigation team takes. </w:t>
      </w:r>
    </w:p>
    <w:p w14:paraId="4F1AC988" w14:textId="77777777" w:rsidR="00171453" w:rsidRPr="00CF6110" w:rsidRDefault="00171453" w:rsidP="00171453">
      <w:pPr>
        <w:pStyle w:val="SingleTxtG"/>
      </w:pPr>
      <w:r w:rsidRPr="00CF6110">
        <w:t>56.</w:t>
      </w:r>
      <w:r w:rsidRPr="00CF6110">
        <w:tab/>
        <w:t>An investigation may gather many different types of material, not all of which will be used as evidence in a judicial proceeding. Nevertheless, all materials and observations relevant to the investigation should be recorded and logged. This includes all decisions taken, information gathered, and witness statements. The source, date, and time of collection of all material must also be logged. Material should not be used for any purpose other than the investigation for which it was gathered without prior permission from the relevant source(s).</w:t>
      </w:r>
    </w:p>
    <w:p w14:paraId="51B251C7" w14:textId="77777777" w:rsidR="00245C79" w:rsidRPr="00CF6110" w:rsidRDefault="00245C79" w:rsidP="00245C79">
      <w:pPr>
        <w:pStyle w:val="H1G"/>
        <w:spacing w:line="240" w:lineRule="atLeast"/>
      </w:pPr>
      <w:bookmarkStart w:id="16" w:name="_Toc443387507"/>
      <w:bookmarkStart w:id="17" w:name="_Toc443397093"/>
      <w:bookmarkStart w:id="18" w:name="_Toc445909168"/>
      <w:r w:rsidRPr="00CF6110">
        <w:tab/>
        <w:t xml:space="preserve">B. </w:t>
      </w:r>
      <w:r w:rsidRPr="00CF6110">
        <w:tab/>
      </w:r>
      <w:r w:rsidRPr="00CF6110">
        <w:rPr>
          <w:bCs/>
        </w:rPr>
        <w:t>Investigation Process</w:t>
      </w:r>
    </w:p>
    <w:bookmarkEnd w:id="16"/>
    <w:bookmarkEnd w:id="17"/>
    <w:bookmarkEnd w:id="18"/>
    <w:p w14:paraId="40F8244C" w14:textId="77777777" w:rsidR="00171453" w:rsidRPr="00CF6110" w:rsidRDefault="00245C79" w:rsidP="00171453">
      <w:pPr>
        <w:pStyle w:val="SingleTxtG"/>
      </w:pPr>
      <w:r w:rsidRPr="00CF6110">
        <w:t>57.</w:t>
      </w:r>
      <w:r w:rsidRPr="00CF6110">
        <w:tab/>
      </w:r>
      <w:r w:rsidR="00171453" w:rsidRPr="00CF6110">
        <w:t>The report of a potentially unlawful death or missing person may come from various sources. An initial investigation should be conducted to identify lines of inquiry and further actions. This includes identifying all sources of potential evidence and prioritizing the collection of that evidence. All relevant witness statements should be collected, including but not only accounts of events provided by law enforcement personnel. Once a significant body of evidence has been collected and analysed, preliminary conclusions should be developed and compiled into a single report. The report should detail the lines of enquiry pursued, the outcome of these enquiries and recommend further inquiries that may advance the investigation.</w:t>
      </w:r>
    </w:p>
    <w:p w14:paraId="0A954BC2" w14:textId="77777777" w:rsidR="00171453" w:rsidRPr="00CF6110" w:rsidRDefault="00245C79" w:rsidP="00171453">
      <w:pPr>
        <w:pStyle w:val="SingleTxtG"/>
      </w:pPr>
      <w:r w:rsidRPr="00CF6110">
        <w:t>58.</w:t>
      </w:r>
      <w:r w:rsidRPr="00CF6110">
        <w:tab/>
      </w:r>
      <w:r w:rsidR="00171453" w:rsidRPr="00CF6110">
        <w:t>A detailed analysis of known information should be prepared</w:t>
      </w:r>
      <w:r w:rsidR="00171453" w:rsidRPr="00CF6110" w:rsidDel="009360B6">
        <w:t xml:space="preserve"> </w:t>
      </w:r>
      <w:r w:rsidR="00171453" w:rsidRPr="00CF6110">
        <w:t>about the circumstances of the death and those responsible. Areas in need of further investigation should be identified. An overall investigation strategy should be developed to locate and gather further material to support the investigation and potential judicial proceedings. A plan should be made for evidence collection.</w:t>
      </w:r>
    </w:p>
    <w:p w14:paraId="1C880448" w14:textId="77777777" w:rsidR="00171453" w:rsidRPr="00CF6110" w:rsidRDefault="00245C79" w:rsidP="00171453">
      <w:pPr>
        <w:pStyle w:val="SingleTxtG"/>
      </w:pPr>
      <w:r w:rsidRPr="00CF6110">
        <w:t>59.</w:t>
      </w:r>
      <w:r w:rsidRPr="00CF6110">
        <w:tab/>
      </w:r>
      <w:r w:rsidR="00171453" w:rsidRPr="00CF6110">
        <w:t>A set of operational and tactical processes should be formed that derive from the overall strategy. These processes should seek to establish significant facts, preserve relevant material, and lead to the identification of all involved parties. Activities should be established and appropriate resources allocated in order to manage the following:</w:t>
      </w:r>
    </w:p>
    <w:p w14:paraId="2918F77A" w14:textId="77777777" w:rsidR="00171453" w:rsidRPr="00CF6110" w:rsidRDefault="00171453" w:rsidP="00245C79">
      <w:pPr>
        <w:pStyle w:val="SingleTxtG"/>
        <w:numPr>
          <w:ilvl w:val="0"/>
          <w:numId w:val="19"/>
        </w:numPr>
      </w:pPr>
      <w:r w:rsidRPr="00CF6110">
        <w:t>Collection and management of evidence, data, and materials</w:t>
      </w:r>
    </w:p>
    <w:p w14:paraId="3DDADB70" w14:textId="77777777" w:rsidR="00171453" w:rsidRPr="00CF6110" w:rsidRDefault="00171453" w:rsidP="00245C79">
      <w:pPr>
        <w:pStyle w:val="SingleTxtG"/>
        <w:numPr>
          <w:ilvl w:val="0"/>
          <w:numId w:val="19"/>
        </w:numPr>
      </w:pPr>
      <w:r w:rsidRPr="00CF6110">
        <w:t>Forensic examination of important physical locations, including the death/crime scene</w:t>
      </w:r>
    </w:p>
    <w:p w14:paraId="1021228B" w14:textId="77777777" w:rsidR="00171453" w:rsidRPr="00CF6110" w:rsidRDefault="00171453" w:rsidP="00245C79">
      <w:pPr>
        <w:pStyle w:val="SingleTxtG"/>
        <w:numPr>
          <w:ilvl w:val="0"/>
          <w:numId w:val="19"/>
        </w:numPr>
      </w:pPr>
      <w:r w:rsidRPr="00CF6110">
        <w:lastRenderedPageBreak/>
        <w:t xml:space="preserve">Family liaison </w:t>
      </w:r>
    </w:p>
    <w:p w14:paraId="6236F394" w14:textId="77777777" w:rsidR="00171453" w:rsidRPr="00CF6110" w:rsidRDefault="00171453" w:rsidP="00245C79">
      <w:pPr>
        <w:pStyle w:val="SingleTxtG"/>
        <w:numPr>
          <w:ilvl w:val="0"/>
          <w:numId w:val="19"/>
        </w:numPr>
      </w:pPr>
      <w:r w:rsidRPr="00CF6110">
        <w:t>Development of a victim profile</w:t>
      </w:r>
    </w:p>
    <w:p w14:paraId="712B60BC" w14:textId="77777777" w:rsidR="00171453" w:rsidRPr="00CF6110" w:rsidRDefault="00171453" w:rsidP="00245C79">
      <w:pPr>
        <w:pStyle w:val="SingleTxtG"/>
        <w:numPr>
          <w:ilvl w:val="0"/>
          <w:numId w:val="19"/>
        </w:numPr>
      </w:pPr>
      <w:r w:rsidRPr="00CF6110">
        <w:t>Finding, interviewing, and protecting witnesses</w:t>
      </w:r>
    </w:p>
    <w:p w14:paraId="282B02AF" w14:textId="77777777" w:rsidR="00171453" w:rsidRPr="00CF6110" w:rsidRDefault="00171453" w:rsidP="00245C79">
      <w:pPr>
        <w:pStyle w:val="SingleTxtG"/>
        <w:numPr>
          <w:ilvl w:val="0"/>
          <w:numId w:val="19"/>
        </w:numPr>
      </w:pPr>
      <w:r w:rsidRPr="00CF6110">
        <w:t>International technical assistance</w:t>
      </w:r>
    </w:p>
    <w:p w14:paraId="1512CD1E" w14:textId="77777777" w:rsidR="00171453" w:rsidRPr="00CF6110" w:rsidRDefault="00171453" w:rsidP="00245C79">
      <w:pPr>
        <w:pStyle w:val="SingleTxtG"/>
        <w:numPr>
          <w:ilvl w:val="0"/>
          <w:numId w:val="19"/>
        </w:numPr>
      </w:pPr>
      <w:r w:rsidRPr="00CF6110">
        <w:t xml:space="preserve">Telecommunications and other digital evidence </w:t>
      </w:r>
    </w:p>
    <w:p w14:paraId="0D53ADB3" w14:textId="77777777" w:rsidR="00171453" w:rsidRPr="00CF6110" w:rsidRDefault="00171453" w:rsidP="00245C79">
      <w:pPr>
        <w:pStyle w:val="SingleTxtG"/>
        <w:numPr>
          <w:ilvl w:val="0"/>
          <w:numId w:val="19"/>
        </w:numPr>
      </w:pPr>
      <w:r w:rsidRPr="00CF6110">
        <w:t>Financial issues</w:t>
      </w:r>
    </w:p>
    <w:p w14:paraId="5E3B6F89" w14:textId="77777777" w:rsidR="00171453" w:rsidRPr="00CF6110" w:rsidRDefault="00171453" w:rsidP="00245C79">
      <w:pPr>
        <w:pStyle w:val="SingleTxtG"/>
        <w:numPr>
          <w:ilvl w:val="0"/>
          <w:numId w:val="19"/>
        </w:numPr>
      </w:pPr>
      <w:r w:rsidRPr="00CF6110">
        <w:t>Chronology of events.</w:t>
      </w:r>
      <w:r w:rsidRPr="00CF6110">
        <w:rPr>
          <w:vertAlign w:val="superscript"/>
        </w:rPr>
        <w:footnoteReference w:id="87"/>
      </w:r>
    </w:p>
    <w:p w14:paraId="2932CDDC" w14:textId="77777777" w:rsidR="00171453" w:rsidRPr="00CF6110" w:rsidRDefault="00245C79" w:rsidP="00171453">
      <w:pPr>
        <w:pStyle w:val="SingleTxtG"/>
      </w:pPr>
      <w:r w:rsidRPr="00CF6110">
        <w:t>60.</w:t>
      </w:r>
      <w:r w:rsidRPr="00CF6110">
        <w:tab/>
      </w:r>
      <w:r w:rsidR="00171453" w:rsidRPr="00CF6110">
        <w:t>Review of the investigation strategies should be conducted periodically or in light of new material (or new, robust methods). A record of the review process should be kept with all critical decisions noted and the evidence to support each decision clearly referenced. Any change of direction in investigative strategy should be justified and recorded, with relevant material logged. The review process should be open, recorded, and disseminated to the investigation team members.</w:t>
      </w:r>
    </w:p>
    <w:p w14:paraId="1D104AC3" w14:textId="77777777" w:rsidR="00245C79" w:rsidRPr="00CF6110" w:rsidRDefault="00245C79" w:rsidP="00245C79">
      <w:pPr>
        <w:pStyle w:val="H23G"/>
        <w:spacing w:line="240" w:lineRule="atLeast"/>
      </w:pPr>
      <w:bookmarkStart w:id="19" w:name="_Toc443387509"/>
      <w:bookmarkStart w:id="20" w:name="_Toc443397095"/>
      <w:bookmarkStart w:id="21" w:name="_Toc445909169"/>
      <w:r w:rsidRPr="00CF6110">
        <w:tab/>
        <w:t xml:space="preserve">1. </w:t>
      </w:r>
      <w:r w:rsidRPr="00CF6110">
        <w:tab/>
      </w:r>
      <w:r w:rsidRPr="00CF6110">
        <w:rPr>
          <w:bCs/>
        </w:rPr>
        <w:t>Collection and management of data and materials</w:t>
      </w:r>
    </w:p>
    <w:bookmarkEnd w:id="19"/>
    <w:bookmarkEnd w:id="20"/>
    <w:bookmarkEnd w:id="21"/>
    <w:p w14:paraId="1510EC84" w14:textId="77777777" w:rsidR="00171453" w:rsidRPr="00CF6110" w:rsidRDefault="00245C79" w:rsidP="00171453">
      <w:pPr>
        <w:pStyle w:val="SingleTxtG"/>
      </w:pPr>
      <w:r w:rsidRPr="00CF6110">
        <w:t>61.</w:t>
      </w:r>
      <w:r w:rsidRPr="00CF6110">
        <w:tab/>
      </w:r>
      <w:r w:rsidR="00171453" w:rsidRPr="00CF6110">
        <w:t>Material should be collected in a systematic manner. An effective information management system is needed to ensure that all material gathered is recorded, analysed, and stored appropriately, taking into account security concerns. This system does not need to be complex or technologically advanced, but it should be comprehensive, consistent, and secure to ensure that no material is lost, damaged, or overlooked, and that it can be easily found, referenced, and cross-referenced.</w:t>
      </w:r>
    </w:p>
    <w:p w14:paraId="454E36FB" w14:textId="77777777" w:rsidR="00171453" w:rsidRPr="00CF6110" w:rsidRDefault="00245C79" w:rsidP="00171453">
      <w:pPr>
        <w:pStyle w:val="SingleTxtG"/>
      </w:pPr>
      <w:r w:rsidRPr="00CF6110">
        <w:t>62.</w:t>
      </w:r>
      <w:r w:rsidRPr="00CF6110">
        <w:tab/>
      </w:r>
      <w:r w:rsidR="00171453" w:rsidRPr="00CF6110">
        <w:t>The gathering, recording, and retaining of material – both inculpatory and exculpatory –requires expertise to ensure that all relevant evidence can be disclosed in any judicial process. The relevance of material may only become apparent as the investigation progresses. However, the investigation team must not withhold information that may, for example, weaken the prosecution’s case in any judicial proceedings.</w:t>
      </w:r>
    </w:p>
    <w:p w14:paraId="64A00968" w14:textId="77777777" w:rsidR="00245C79" w:rsidRPr="00CF6110" w:rsidRDefault="00245C79" w:rsidP="00245C79">
      <w:pPr>
        <w:pStyle w:val="H23G"/>
        <w:spacing w:line="240" w:lineRule="atLeast"/>
      </w:pPr>
      <w:bookmarkStart w:id="22" w:name="_Toc443387510"/>
      <w:bookmarkStart w:id="23" w:name="_Toc443397096"/>
      <w:bookmarkStart w:id="24" w:name="_Toc445909170"/>
      <w:r w:rsidRPr="00CF6110">
        <w:tab/>
        <w:t xml:space="preserve">2. </w:t>
      </w:r>
      <w:r w:rsidRPr="00CF6110">
        <w:tab/>
      </w:r>
      <w:r w:rsidRPr="00CF6110">
        <w:rPr>
          <w:bCs/>
        </w:rPr>
        <w:t>Important physical locations, including the death/crime scene</w:t>
      </w:r>
    </w:p>
    <w:bookmarkEnd w:id="22"/>
    <w:bookmarkEnd w:id="23"/>
    <w:bookmarkEnd w:id="24"/>
    <w:p w14:paraId="6A95CCE5" w14:textId="11759B1B" w:rsidR="00171453" w:rsidRPr="00CF6110" w:rsidRDefault="00245C79" w:rsidP="00171453">
      <w:pPr>
        <w:pStyle w:val="SingleTxtG"/>
      </w:pPr>
      <w:r w:rsidRPr="00CF6110">
        <w:t>63.</w:t>
      </w:r>
      <w:r w:rsidRPr="00CF6110">
        <w:tab/>
      </w:r>
      <w:proofErr w:type="gramStart"/>
      <w:r w:rsidR="00171453" w:rsidRPr="00CF6110">
        <w:t>In</w:t>
      </w:r>
      <w:proofErr w:type="gramEnd"/>
      <w:r w:rsidR="00171453" w:rsidRPr="00CF6110">
        <w:t xml:space="preserve"> the investigation of a potentially unlawful death, there may or may not be a body in a known location, which in turn may or may not be the place where the death occurred. Every important physical location in the investigation should be located and identified, including the site of encounters between the victim(s) and any identified suspects, the location of any crimes, and possible burial sites. Where possible, GPS coordinates should be taken and recorded. The identity of the victim(s) will need to be established if this is not known. The lifestyle, routines, activities, and political, religious, or economic background of the victim(s) may indicate possible reasons for the death. Missing person reports, family witness statements, </w:t>
      </w:r>
      <w:r w:rsidR="00453D2F" w:rsidRPr="00CF6110">
        <w:t>dental and other reliable physical records (i.e. so called ante-mortem data), as well as fingerprints</w:t>
      </w:r>
      <w:r w:rsidR="00171453" w:rsidRPr="00CF6110">
        <w:t xml:space="preserve">, and DNA (deoxyribonucleic acid) </w:t>
      </w:r>
      <w:r w:rsidR="00453D2F" w:rsidRPr="00CF6110">
        <w:t>can</w:t>
      </w:r>
      <w:r w:rsidR="00171453" w:rsidRPr="00CF6110">
        <w:t xml:space="preserve"> be used to assist in identifying the deceased.</w:t>
      </w:r>
    </w:p>
    <w:p w14:paraId="0FE25F89" w14:textId="77777777" w:rsidR="00171453" w:rsidRPr="00CF6110" w:rsidRDefault="00245C79" w:rsidP="00171453">
      <w:pPr>
        <w:pStyle w:val="SingleTxtG"/>
      </w:pPr>
      <w:r w:rsidRPr="00CF6110">
        <w:t>64.</w:t>
      </w:r>
      <w:r w:rsidRPr="00CF6110">
        <w:tab/>
      </w:r>
      <w:r w:rsidR="00171453" w:rsidRPr="00CF6110">
        <w:t xml:space="preserve">If DNA profiling is to be used in identification, it should be used in parallel with other means of identification. The sample used to generate the profile and the profile itself, </w:t>
      </w:r>
      <w:r w:rsidR="00171453" w:rsidRPr="00CF6110">
        <w:lastRenderedPageBreak/>
        <w:t>are powerful repositories of information that must be safeguarded against misuse.</w:t>
      </w:r>
      <w:r w:rsidR="00171453" w:rsidRPr="00CF6110">
        <w:rPr>
          <w:vertAlign w:val="superscript"/>
        </w:rPr>
        <w:footnoteReference w:id="88"/>
      </w:r>
      <w:r w:rsidR="00171453" w:rsidRPr="00CF6110">
        <w:t xml:space="preserve"> In profiling DNA to establish the probabilities of kinship as part of identifying the deceased, mistaken beliefs about kinship may be discovered. Dealing properly with such incidental findings is an ethical issue of great importance, and policies about this should be established in advance.</w:t>
      </w:r>
      <w:r w:rsidR="00171453" w:rsidRPr="00CF6110">
        <w:rPr>
          <w:vertAlign w:val="superscript"/>
        </w:rPr>
        <w:footnoteReference w:id="89"/>
      </w:r>
    </w:p>
    <w:p w14:paraId="7A77C549" w14:textId="77777777" w:rsidR="00171453" w:rsidRPr="00CF6110" w:rsidRDefault="00245C79" w:rsidP="00171453">
      <w:pPr>
        <w:pStyle w:val="SingleTxtG"/>
      </w:pPr>
      <w:r w:rsidRPr="00CF6110">
        <w:t>65.</w:t>
      </w:r>
      <w:r w:rsidRPr="00CF6110">
        <w:tab/>
      </w:r>
      <w:r w:rsidR="00171453" w:rsidRPr="00CF6110">
        <w:t>A crime scene is any physical scene where investigators may locate, record and recover physical evidence. The term “crime scene” is used without prejudice to the determination of whether a crime has actually occurred.</w:t>
      </w:r>
      <w:r w:rsidR="00171453" w:rsidRPr="00CF6110">
        <w:rPr>
          <w:vertAlign w:val="superscript"/>
        </w:rPr>
        <w:footnoteReference w:id="90"/>
      </w:r>
      <w:r w:rsidR="00171453" w:rsidRPr="00CF6110">
        <w:t xml:space="preserve"> A crime scene may be a place where a person’s body or skeletal remains is found as well as any relevant building, vehicle, or place in the environment, including individual items within that environment such as clothing, a weapon, and personal effects. </w:t>
      </w:r>
    </w:p>
    <w:p w14:paraId="5FD87C66" w14:textId="77777777" w:rsidR="00171453" w:rsidRPr="00CF6110" w:rsidRDefault="00245C79" w:rsidP="00171453">
      <w:pPr>
        <w:pStyle w:val="SingleTxtG"/>
      </w:pPr>
      <w:r w:rsidRPr="00CF6110">
        <w:t>66.</w:t>
      </w:r>
      <w:r w:rsidRPr="00CF6110">
        <w:tab/>
      </w:r>
      <w:r w:rsidR="00171453" w:rsidRPr="00CF6110">
        <w:t xml:space="preserve">A crime scene should be secured at the earliest possible opportunity. This enables evidence at the scene to be protected and gathered effectively and minimises contamination or loss of relevant material. Securing the scene requires controlling the entrance and egress of individuals, and limiting access where possible to trained personnel. Even in medicolegal systems that do not require forensic doctors to visit the crime scene, such a visit may be valuable to the investigation. The scene and any evidence within it should be protected via a cordon. Where possible and relevant, it should be protected from weather or other factors that could degrade evidence. </w:t>
      </w:r>
    </w:p>
    <w:p w14:paraId="0F295110" w14:textId="77777777" w:rsidR="00171453" w:rsidRPr="00CF6110" w:rsidRDefault="00245C79" w:rsidP="00171453">
      <w:pPr>
        <w:pStyle w:val="SingleTxtG"/>
      </w:pPr>
      <w:r w:rsidRPr="00CF6110">
        <w:t>67.</w:t>
      </w:r>
      <w:r w:rsidRPr="00CF6110">
        <w:tab/>
      </w:r>
      <w:r w:rsidR="00171453" w:rsidRPr="00CF6110">
        <w:t>A record of all personnel entering the scene should be kept with the corresponding dates and time. Individuals interacting with evidence should be subject to the recovery of DNA and fingerprints as reference samples. To minimize forensic contamination and to protect the health and safety of personnel, suitable protective clothing should be worn wherever it is available, including, at a minimum, gloves and masks. To ensure preservation of evidence, correct packaging and methodology for each type of evidence needs to be applied. When resources or logistics do not allow for this, packaging should be used that will minimize cross-contamination or forensic degradation of the sample.</w:t>
      </w:r>
    </w:p>
    <w:p w14:paraId="3F179DE4" w14:textId="77777777" w:rsidR="00171453" w:rsidRPr="00CF6110" w:rsidRDefault="00245C79" w:rsidP="00171453">
      <w:pPr>
        <w:pStyle w:val="SingleTxtG"/>
      </w:pPr>
      <w:r w:rsidRPr="00CF6110">
        <w:t>68.</w:t>
      </w:r>
      <w:r w:rsidRPr="00CF6110">
        <w:tab/>
      </w:r>
      <w:r w:rsidR="00171453" w:rsidRPr="00CF6110">
        <w:t>All material located at a crime scene should be considered potentially relevant to the investigation. Material that may be found at a crime scene includes:</w:t>
      </w:r>
    </w:p>
    <w:p w14:paraId="08110DD2" w14:textId="77777777" w:rsidR="00171453" w:rsidRPr="00CF6110" w:rsidRDefault="00245C79" w:rsidP="007150FC">
      <w:pPr>
        <w:pStyle w:val="SingleTxtG"/>
        <w:ind w:left="1689" w:firstLine="12"/>
      </w:pPr>
      <w:r w:rsidRPr="00CF6110">
        <w:t>(a)</w:t>
      </w:r>
      <w:r w:rsidRPr="00CF6110">
        <w:tab/>
      </w:r>
      <w:r w:rsidR="00171453" w:rsidRPr="00CF6110">
        <w:t>Documentary evidence, such as maps, photographs, staffing records, interrogation records, financial papers, currency receipts, identity documents, phone records, letters of correspondence, and passports</w:t>
      </w:r>
    </w:p>
    <w:p w14:paraId="114BEA8A" w14:textId="77777777" w:rsidR="00171453" w:rsidRPr="00CF6110" w:rsidRDefault="00245C79" w:rsidP="007150FC">
      <w:pPr>
        <w:pStyle w:val="SingleTxtG"/>
        <w:ind w:left="1689"/>
      </w:pPr>
      <w:r w:rsidRPr="00CF6110">
        <w:t>(b)</w:t>
      </w:r>
      <w:r w:rsidRPr="00CF6110">
        <w:tab/>
      </w:r>
      <w:r w:rsidR="00171453" w:rsidRPr="00CF6110">
        <w:t xml:space="preserve">Physical evidence, such as tools, weapons, fragments of clothing and fibres, keys, paint, glass used in an attack, ligatures, and jewellery </w:t>
      </w:r>
    </w:p>
    <w:p w14:paraId="28715AEB" w14:textId="77777777" w:rsidR="00171453" w:rsidRPr="00CF6110" w:rsidRDefault="00245C79" w:rsidP="007150FC">
      <w:pPr>
        <w:pStyle w:val="SingleTxtG"/>
        <w:ind w:left="1701"/>
      </w:pPr>
      <w:r w:rsidRPr="00CF6110">
        <w:t>(c)</w:t>
      </w:r>
      <w:r w:rsidRPr="00CF6110">
        <w:tab/>
      </w:r>
      <w:r w:rsidR="00171453" w:rsidRPr="00CF6110">
        <w:t>Biological evidence, such as blood, hair, sexual fluids, urine, fingernails, body parts, bones, teeth, and fingerprints</w:t>
      </w:r>
    </w:p>
    <w:p w14:paraId="1FB9B859" w14:textId="77777777" w:rsidR="00171453" w:rsidRPr="00CF6110" w:rsidRDefault="00245C79" w:rsidP="007150FC">
      <w:pPr>
        <w:pStyle w:val="SingleTxtG"/>
        <w:ind w:left="1701"/>
      </w:pPr>
      <w:r w:rsidRPr="00CF6110">
        <w:t>(d)</w:t>
      </w:r>
      <w:r w:rsidRPr="00CF6110">
        <w:tab/>
      </w:r>
      <w:r w:rsidR="00171453" w:rsidRPr="00CF6110">
        <w:t>Digital evidence, such as mobile phones, computers, tablets, satellite phones, digital storage devices, digital recording devices, digital cameras, and closed circuit television (CCTV) footage.</w:t>
      </w:r>
    </w:p>
    <w:p w14:paraId="32E1F30B" w14:textId="77777777" w:rsidR="00171453" w:rsidRPr="00CF6110" w:rsidRDefault="00245C79" w:rsidP="00171453">
      <w:pPr>
        <w:pStyle w:val="SingleTxtG"/>
      </w:pPr>
      <w:r w:rsidRPr="00CF6110">
        <w:t>69.</w:t>
      </w:r>
      <w:r w:rsidRPr="00CF6110">
        <w:tab/>
      </w:r>
      <w:r w:rsidR="00171453" w:rsidRPr="00CF6110">
        <w:t xml:space="preserve">All relevant material should be recorded in documentary and photographic form as described in the Detailed Guidelines on Crime-Scene Investigation. Investigations vary in </w:t>
      </w:r>
      <w:r w:rsidR="00171453" w:rsidRPr="00CF6110">
        <w:lastRenderedPageBreak/>
        <w:t>their capability to investigate the material scientifically, but effectively recording the crime scene by notes, sketch plans, and photographs will assist the investigation. Crime-scene recording and recovery of evidence should be thorough.</w:t>
      </w:r>
    </w:p>
    <w:p w14:paraId="2135B621" w14:textId="77777777" w:rsidR="00171453" w:rsidRPr="00CF6110" w:rsidRDefault="00BB0C9F" w:rsidP="00171453">
      <w:pPr>
        <w:pStyle w:val="SingleTxtG"/>
      </w:pPr>
      <w:r w:rsidRPr="00CF6110">
        <w:t>70.</w:t>
      </w:r>
      <w:r w:rsidRPr="00CF6110">
        <w:tab/>
      </w:r>
      <w:r w:rsidR="00171453" w:rsidRPr="00CF6110">
        <w:t>Recovery and recording of samples should ideally be done by personnel with appropriate training or knowledge. Some sampling requires only basic training but those undertaking medico-legal examinations will need advanced training in the context of their own judicial framework.</w:t>
      </w:r>
    </w:p>
    <w:p w14:paraId="2498CE41" w14:textId="77777777" w:rsidR="00171453" w:rsidRPr="00CF6110" w:rsidRDefault="00BB0C9F" w:rsidP="00171453">
      <w:pPr>
        <w:pStyle w:val="SingleTxtG"/>
      </w:pPr>
      <w:r w:rsidRPr="00CF6110">
        <w:t>71.</w:t>
      </w:r>
      <w:r w:rsidRPr="00CF6110">
        <w:tab/>
      </w:r>
      <w:r w:rsidR="00171453" w:rsidRPr="00CF6110">
        <w:t>Investigators should be appropriately equipped, including with personal protective equipment; relevant packaging such as bags, boxes, plastic and glass vials/bottles; and recording materials, including photographic equipment.</w:t>
      </w:r>
    </w:p>
    <w:p w14:paraId="152D6B48" w14:textId="4CBA5A84" w:rsidR="00171453" w:rsidRPr="00CF6110" w:rsidRDefault="00BB0C9F" w:rsidP="00171453">
      <w:pPr>
        <w:pStyle w:val="SingleTxtG"/>
      </w:pPr>
      <w:r w:rsidRPr="00CF6110">
        <w:t>72.</w:t>
      </w:r>
      <w:r w:rsidRPr="00CF6110">
        <w:tab/>
      </w:r>
      <w:r w:rsidR="00171453" w:rsidRPr="00CF6110">
        <w:t>Every stage of evidence recovery, storage, transportation, and forensic analysis, from crime scene to court</w:t>
      </w:r>
      <w:r w:rsidR="00AF43E4" w:rsidRPr="00CF6110">
        <w:t xml:space="preserve"> and through to the end of the judicial processes</w:t>
      </w:r>
      <w:r w:rsidR="00171453" w:rsidRPr="00CF6110">
        <w:t xml:space="preserve">, should be effectively recorded to ensure its integrity </w:t>
      </w:r>
      <w:r w:rsidR="00AF43E4" w:rsidRPr="00CF6110">
        <w:t xml:space="preserve">as </w:t>
      </w:r>
      <w:r w:rsidR="00171453" w:rsidRPr="00CF6110">
        <w:t>eviden</w:t>
      </w:r>
      <w:r w:rsidR="00AF43E4" w:rsidRPr="00CF6110">
        <w:t>ce</w:t>
      </w:r>
      <w:r w:rsidR="00171453" w:rsidRPr="00CF6110">
        <w:t>. This is often referred to as the “chain of evidence” or “chain of custody”. Evidential material should be transported in a manner that protects the evidence from manipulation, degradation, and cross-contamination with other evidence. Each piece of evidence recovered, including human remains, should be uniquely referenced and marked to ensure its identification from point of seizure to analysis and storage. The transportation, tracking, and storage of this evidence should include the Investigator’s details to meet chain of evidence and integrity requirements.</w:t>
      </w:r>
    </w:p>
    <w:p w14:paraId="0A797091" w14:textId="42543B54" w:rsidR="00171453" w:rsidRPr="00CF6110" w:rsidRDefault="00BB0C9F" w:rsidP="00171453">
      <w:pPr>
        <w:pStyle w:val="SingleTxtG"/>
      </w:pPr>
      <w:r w:rsidRPr="00CF6110">
        <w:t>73.</w:t>
      </w:r>
      <w:r w:rsidRPr="00CF6110">
        <w:tab/>
      </w:r>
      <w:r w:rsidR="00171453" w:rsidRPr="00CF6110">
        <w:t xml:space="preserve">Evidential material should be stored in an appropriate storage facility at all stages of the investigation. Storage facilities should be clean, secure, </w:t>
      </w:r>
      <w:proofErr w:type="gramStart"/>
      <w:r w:rsidR="00171453" w:rsidRPr="00CF6110">
        <w:t>suitable</w:t>
      </w:r>
      <w:proofErr w:type="gramEnd"/>
      <w:r w:rsidR="00171453" w:rsidRPr="00CF6110">
        <w:t xml:space="preserve"> for maintaining items in appropriate conditions, and protected against unauthorised entry and cross-contamination. Digital evidence should be collected, preserved, and analysed in accordance with international best practice.</w:t>
      </w:r>
      <w:r w:rsidR="00171453" w:rsidRPr="00CF6110">
        <w:rPr>
          <w:vertAlign w:val="superscript"/>
        </w:rPr>
        <w:footnoteReference w:id="91"/>
      </w:r>
      <w:r w:rsidR="00346947" w:rsidRPr="00CF6110">
        <w:t xml:space="preserve"> </w:t>
      </w:r>
    </w:p>
    <w:p w14:paraId="6FE0221F" w14:textId="77777777" w:rsidR="00BB0C9F" w:rsidRPr="00CF6110" w:rsidRDefault="00BB0C9F" w:rsidP="00BB0C9F">
      <w:pPr>
        <w:pStyle w:val="H23G"/>
        <w:spacing w:line="240" w:lineRule="atLeast"/>
      </w:pPr>
      <w:bookmarkStart w:id="25" w:name="_Toc443387511"/>
      <w:bookmarkStart w:id="26" w:name="_Toc443397097"/>
      <w:bookmarkStart w:id="27" w:name="_Toc445909171"/>
      <w:r w:rsidRPr="00CF6110">
        <w:tab/>
        <w:t xml:space="preserve">3. </w:t>
      </w:r>
      <w:r w:rsidRPr="00CF6110">
        <w:tab/>
      </w:r>
      <w:r w:rsidRPr="00CF6110">
        <w:rPr>
          <w:bCs/>
        </w:rPr>
        <w:t>Family liaison</w:t>
      </w:r>
    </w:p>
    <w:bookmarkEnd w:id="25"/>
    <w:bookmarkEnd w:id="26"/>
    <w:bookmarkEnd w:id="27"/>
    <w:p w14:paraId="0489E8FD" w14:textId="7FB46BC8" w:rsidR="00171453" w:rsidRPr="00CF6110" w:rsidRDefault="00BB0C9F" w:rsidP="00171453">
      <w:pPr>
        <w:pStyle w:val="SingleTxtG"/>
      </w:pPr>
      <w:r w:rsidRPr="00CF6110">
        <w:t>74.</w:t>
      </w:r>
      <w:r w:rsidRPr="00CF6110">
        <w:tab/>
      </w:r>
      <w:r w:rsidR="00171453" w:rsidRPr="00CF6110">
        <w:t>Wherever it is feasible, a specific and suitably trained and experienced Family Liaison Officer should be appointed to offer the family of the deceased information and support</w:t>
      </w:r>
      <w:r w:rsidR="00453D2F" w:rsidRPr="00CF6110">
        <w:t xml:space="preserve"> as well as to collect information, such as ante-mortem data, required for the identification of a deceased person</w:t>
      </w:r>
      <w:r w:rsidR="00171453" w:rsidRPr="00CF6110">
        <w:t>. The Family Liaison Officer should meet the family at the earliest opportunity and provide regular updates about the investigation, its progress, and results, and address concerns the family may have as the investigation progresses.</w:t>
      </w:r>
      <w:r w:rsidR="00171453" w:rsidRPr="00CF6110">
        <w:rPr>
          <w:vertAlign w:val="superscript"/>
        </w:rPr>
        <w:footnoteReference w:id="92"/>
      </w:r>
      <w:r w:rsidR="00171453" w:rsidRPr="00CF6110">
        <w:t xml:space="preserve"> A positive relationship with the family of any missing or deceased person can produce useful information and results for any investigation.</w:t>
      </w:r>
    </w:p>
    <w:p w14:paraId="39BBF0C7" w14:textId="77777777" w:rsidR="00BB0C9F" w:rsidRPr="00CF6110" w:rsidRDefault="00BB0C9F" w:rsidP="00BB0C9F">
      <w:pPr>
        <w:pStyle w:val="H23G"/>
        <w:spacing w:line="240" w:lineRule="atLeast"/>
      </w:pPr>
      <w:r w:rsidRPr="00CF6110">
        <w:tab/>
        <w:t xml:space="preserve">4. </w:t>
      </w:r>
      <w:r w:rsidRPr="00CF6110">
        <w:tab/>
      </w:r>
      <w:r w:rsidRPr="00CF6110">
        <w:rPr>
          <w:bCs/>
        </w:rPr>
        <w:t>Victim profile</w:t>
      </w:r>
    </w:p>
    <w:p w14:paraId="7A10C4FA" w14:textId="242F6122" w:rsidR="00171453" w:rsidRPr="00CF6110" w:rsidRDefault="00BB0C9F" w:rsidP="00171453">
      <w:pPr>
        <w:pStyle w:val="SingleTxtG"/>
      </w:pPr>
      <w:r w:rsidRPr="00CF6110">
        <w:t>75.</w:t>
      </w:r>
      <w:r w:rsidRPr="00CF6110">
        <w:tab/>
      </w:r>
      <w:r w:rsidR="00171453" w:rsidRPr="00CF6110">
        <w:t>Lifestyle enquiries about the victim should be conducted and a victim profile developed. Appropriate sensitivity should be used with respect to</w:t>
      </w:r>
      <w:r w:rsidR="00AF43E4" w:rsidRPr="00CF6110">
        <w:t>, for example,</w:t>
      </w:r>
      <w:r w:rsidR="00171453" w:rsidRPr="00CF6110">
        <w:t xml:space="preserve"> findings of marital infidelity or closeted sexual behaviour. The profile will test the working hypotheses of the case and assist in generating investigative opportunities where other lines of inquiry have been exhausted. It may also assist in identifying a motive for the crime. Information may be gathered from the victim’s associations, lifestyle, behaviour patterns, and electronic devices.</w:t>
      </w:r>
    </w:p>
    <w:p w14:paraId="70619DFC" w14:textId="77777777" w:rsidR="00BB0C9F" w:rsidRPr="00CF6110" w:rsidRDefault="00BB0C9F" w:rsidP="00BB0C9F">
      <w:pPr>
        <w:pStyle w:val="H23G"/>
        <w:spacing w:line="240" w:lineRule="atLeast"/>
      </w:pPr>
      <w:r w:rsidRPr="00CF6110">
        <w:lastRenderedPageBreak/>
        <w:tab/>
        <w:t xml:space="preserve">5. </w:t>
      </w:r>
      <w:r w:rsidRPr="00CF6110">
        <w:tab/>
      </w:r>
      <w:r w:rsidRPr="00CF6110">
        <w:rPr>
          <w:bCs/>
        </w:rPr>
        <w:t>Finding, interviewing, and protecting witnesses</w:t>
      </w:r>
    </w:p>
    <w:p w14:paraId="6BF6AD6D" w14:textId="151B6705" w:rsidR="00171453" w:rsidRPr="00CF6110" w:rsidRDefault="00BB0C9F" w:rsidP="00171453">
      <w:pPr>
        <w:pStyle w:val="SingleTxtG"/>
      </w:pPr>
      <w:r w:rsidRPr="00CF6110">
        <w:t>76.</w:t>
      </w:r>
      <w:r w:rsidRPr="00CF6110">
        <w:tab/>
      </w:r>
      <w:r w:rsidR="00171453" w:rsidRPr="00CF6110">
        <w:t xml:space="preserve">Individuals who might have information about a potentially unlawful death </w:t>
      </w:r>
      <w:r w:rsidR="00166A21" w:rsidRPr="00CF6110">
        <w:t xml:space="preserve">or enforced disappearance </w:t>
      </w:r>
      <w:r w:rsidR="00171453" w:rsidRPr="00CF6110">
        <w:t>should be sought and interviewed. Publicizing the investigation may encourage witnesses and others to come forward with the knowledge that their information will be dealt with confidentially and sensitively.</w:t>
      </w:r>
    </w:p>
    <w:p w14:paraId="7168298D" w14:textId="77777777" w:rsidR="00171453" w:rsidRPr="00CF6110" w:rsidRDefault="00BB0C9F" w:rsidP="00171453">
      <w:pPr>
        <w:pStyle w:val="SingleTxtG"/>
      </w:pPr>
      <w:r w:rsidRPr="00CF6110">
        <w:t>77.</w:t>
      </w:r>
      <w:r w:rsidRPr="00CF6110">
        <w:tab/>
      </w:r>
      <w:r w:rsidR="00171453" w:rsidRPr="00CF6110">
        <w:t>The purposes of witness interviews are to:</w:t>
      </w:r>
    </w:p>
    <w:p w14:paraId="440F0946" w14:textId="77777777" w:rsidR="00171453" w:rsidRPr="00CF6110" w:rsidRDefault="00BB0C9F" w:rsidP="007150FC">
      <w:pPr>
        <w:pStyle w:val="SingleTxtG"/>
        <w:ind w:left="1701"/>
      </w:pPr>
      <w:r w:rsidRPr="00CF6110">
        <w:t>(a)</w:t>
      </w:r>
      <w:r w:rsidRPr="00CF6110">
        <w:tab/>
      </w:r>
      <w:proofErr w:type="gramStart"/>
      <w:r w:rsidR="00171453" w:rsidRPr="00CF6110">
        <w:t>obtain</w:t>
      </w:r>
      <w:proofErr w:type="gramEnd"/>
      <w:r w:rsidR="00171453" w:rsidRPr="00CF6110">
        <w:t xml:space="preserve"> as much relevant information as possible, through a systematic and fair process, to assist investigators in objectively establishing the truth </w:t>
      </w:r>
    </w:p>
    <w:p w14:paraId="0FE3906F" w14:textId="77777777" w:rsidR="00171453" w:rsidRPr="00CF6110" w:rsidRDefault="00BB0C9F" w:rsidP="007150FC">
      <w:pPr>
        <w:pStyle w:val="SingleTxtG"/>
        <w:ind w:left="1701"/>
      </w:pPr>
      <w:r w:rsidRPr="00CF6110">
        <w:t>(b)</w:t>
      </w:r>
      <w:r w:rsidRPr="00CF6110">
        <w:tab/>
      </w:r>
      <w:proofErr w:type="gramStart"/>
      <w:r w:rsidR="00171453" w:rsidRPr="00CF6110">
        <w:t>allow</w:t>
      </w:r>
      <w:proofErr w:type="gramEnd"/>
      <w:r w:rsidR="00171453" w:rsidRPr="00CF6110">
        <w:t xml:space="preserve"> individuals an opportunity to provide information that they believe is relevant to establishing the facts</w:t>
      </w:r>
    </w:p>
    <w:p w14:paraId="2828A92C" w14:textId="77777777" w:rsidR="00171453" w:rsidRPr="00CF6110" w:rsidRDefault="00BB0C9F" w:rsidP="00BB0C9F">
      <w:pPr>
        <w:pStyle w:val="SingleTxtG"/>
        <w:ind w:firstLine="567"/>
      </w:pPr>
      <w:r w:rsidRPr="00CF6110">
        <w:t>(c)</w:t>
      </w:r>
      <w:r w:rsidRPr="00CF6110">
        <w:tab/>
      </w:r>
      <w:proofErr w:type="gramStart"/>
      <w:r w:rsidR="00171453" w:rsidRPr="00CF6110">
        <w:t>identify</w:t>
      </w:r>
      <w:proofErr w:type="gramEnd"/>
      <w:r w:rsidR="00171453" w:rsidRPr="00CF6110">
        <w:t xml:space="preserve"> further witnesses</w:t>
      </w:r>
    </w:p>
    <w:p w14:paraId="3AEED553" w14:textId="77777777" w:rsidR="00171453" w:rsidRPr="00CF6110" w:rsidRDefault="00BB0C9F" w:rsidP="00BB0C9F">
      <w:pPr>
        <w:pStyle w:val="SingleTxtG"/>
        <w:ind w:firstLine="567"/>
      </w:pPr>
      <w:r w:rsidRPr="00CF6110">
        <w:t>(d)</w:t>
      </w:r>
      <w:r w:rsidRPr="00CF6110">
        <w:tab/>
      </w:r>
      <w:proofErr w:type="gramStart"/>
      <w:r w:rsidR="00171453" w:rsidRPr="00CF6110">
        <w:t>identify</w:t>
      </w:r>
      <w:proofErr w:type="gramEnd"/>
      <w:r w:rsidR="00171453" w:rsidRPr="00CF6110">
        <w:t xml:space="preserve"> victims</w:t>
      </w:r>
    </w:p>
    <w:p w14:paraId="777AB0E8" w14:textId="77777777" w:rsidR="00171453" w:rsidRPr="00CF6110" w:rsidRDefault="00BB0C9F" w:rsidP="00BB0C9F">
      <w:pPr>
        <w:pStyle w:val="SingleTxtG"/>
        <w:ind w:firstLine="567"/>
      </w:pPr>
      <w:r w:rsidRPr="00CF6110">
        <w:t>(e)</w:t>
      </w:r>
      <w:r w:rsidRPr="00CF6110">
        <w:tab/>
      </w:r>
      <w:proofErr w:type="gramStart"/>
      <w:r w:rsidR="00171453" w:rsidRPr="00CF6110">
        <w:t>establish</w:t>
      </w:r>
      <w:proofErr w:type="gramEnd"/>
      <w:r w:rsidR="00171453" w:rsidRPr="00CF6110">
        <w:t xml:space="preserve"> the location of crime scenes and burial sites</w:t>
      </w:r>
    </w:p>
    <w:p w14:paraId="38E1B9BB" w14:textId="77777777" w:rsidR="00171453" w:rsidRPr="00CF6110" w:rsidRDefault="00BB0C9F" w:rsidP="00BB0C9F">
      <w:pPr>
        <w:pStyle w:val="SingleTxtG"/>
        <w:ind w:firstLine="567"/>
      </w:pPr>
      <w:r w:rsidRPr="00CF6110">
        <w:t>(f)</w:t>
      </w:r>
      <w:r w:rsidRPr="00CF6110">
        <w:tab/>
      </w:r>
      <w:proofErr w:type="gramStart"/>
      <w:r w:rsidR="00171453" w:rsidRPr="00CF6110">
        <w:t>establish</w:t>
      </w:r>
      <w:proofErr w:type="gramEnd"/>
      <w:r w:rsidR="00171453" w:rsidRPr="00CF6110">
        <w:t xml:space="preserve"> background information and facts relevant to the alleged killings</w:t>
      </w:r>
      <w:r w:rsidR="00171453" w:rsidRPr="00CF6110">
        <w:rPr>
          <w:vertAlign w:val="superscript"/>
        </w:rPr>
        <w:footnoteReference w:id="93"/>
      </w:r>
      <w:r w:rsidR="00171453" w:rsidRPr="00CF6110">
        <w:t xml:space="preserve"> </w:t>
      </w:r>
    </w:p>
    <w:p w14:paraId="469F01BE" w14:textId="77777777" w:rsidR="00171453" w:rsidRPr="00CF6110" w:rsidRDefault="00BB0C9F" w:rsidP="00BB0C9F">
      <w:pPr>
        <w:pStyle w:val="SingleTxtG"/>
        <w:ind w:firstLine="567"/>
      </w:pPr>
      <w:r w:rsidRPr="00CF6110">
        <w:t>(g)</w:t>
      </w:r>
      <w:r w:rsidRPr="00CF6110">
        <w:tab/>
      </w:r>
      <w:proofErr w:type="gramStart"/>
      <w:r w:rsidR="00171453" w:rsidRPr="00CF6110">
        <w:t>identify</w:t>
      </w:r>
      <w:proofErr w:type="gramEnd"/>
      <w:r w:rsidR="00171453" w:rsidRPr="00CF6110">
        <w:t xml:space="preserve"> leads in the investigation, and</w:t>
      </w:r>
    </w:p>
    <w:p w14:paraId="5D12A273" w14:textId="77777777" w:rsidR="00171453" w:rsidRPr="00CF6110" w:rsidRDefault="00BB0C9F" w:rsidP="00BB0C9F">
      <w:pPr>
        <w:pStyle w:val="SingleTxtG"/>
        <w:ind w:firstLine="567"/>
      </w:pPr>
      <w:r w:rsidRPr="00CF6110">
        <w:t>(h)</w:t>
      </w:r>
      <w:r w:rsidRPr="00CF6110">
        <w:tab/>
      </w:r>
      <w:proofErr w:type="gramStart"/>
      <w:r w:rsidR="00171453" w:rsidRPr="00CF6110">
        <w:t>identify</w:t>
      </w:r>
      <w:proofErr w:type="gramEnd"/>
      <w:r w:rsidR="00171453" w:rsidRPr="00CF6110">
        <w:t xml:space="preserve"> possible suspects.</w:t>
      </w:r>
    </w:p>
    <w:p w14:paraId="2EEEFA1C" w14:textId="77777777" w:rsidR="00171453" w:rsidRPr="00CF6110" w:rsidRDefault="00BB0C9F" w:rsidP="00171453">
      <w:pPr>
        <w:pStyle w:val="SingleTxtG"/>
      </w:pPr>
      <w:r w:rsidRPr="00CF6110">
        <w:t>78.</w:t>
      </w:r>
      <w:r w:rsidRPr="00CF6110">
        <w:tab/>
      </w:r>
      <w:r w:rsidR="00171453" w:rsidRPr="00CF6110">
        <w:t xml:space="preserve">Investigators conducting interviews should approach all witnesses with an open mind and observe the highest ethical standards. A careful assessment of risk, strategies and adequate human and financial resources must be in place to ensure the safety and security of all witnesses in the case. </w:t>
      </w:r>
    </w:p>
    <w:p w14:paraId="20FDBFF8" w14:textId="38C07617" w:rsidR="00171453" w:rsidRPr="00CF6110" w:rsidRDefault="00BB0C9F" w:rsidP="00171453">
      <w:pPr>
        <w:pStyle w:val="SingleTxtG"/>
      </w:pPr>
      <w:r w:rsidRPr="00CF6110">
        <w:t>79.</w:t>
      </w:r>
      <w:r w:rsidRPr="00CF6110">
        <w:tab/>
      </w:r>
      <w:r w:rsidR="00171453" w:rsidRPr="00CF6110">
        <w:t xml:space="preserve">A list of significant witnesses should be created and their interviews prioritised. These include those who saw or heard the crime being committed, and also people with relevant knowledge of the victim(s) and/or suspected perpetrator(s). Full statements should be taken from these witnesses. </w:t>
      </w:r>
      <w:proofErr w:type="gramStart"/>
      <w:r w:rsidR="00171453" w:rsidRPr="00CF6110">
        <w:t>Where feasible and appropriately secure, investigators should consider recording their interviews by audio or video means.</w:t>
      </w:r>
      <w:proofErr w:type="gramEnd"/>
      <w:r w:rsidR="00171453" w:rsidRPr="00CF6110">
        <w:t xml:space="preserve"> During the investigation phase, witness lists are highly sensitive and must be carefully safeguarded to ensure that witnesses are not exposed to undue risk. Electronic documents that may identify a witness should only be taken outside of the investigation office in encrypted form.</w:t>
      </w:r>
      <w:r w:rsidR="00346947" w:rsidRPr="00CF6110">
        <w:t xml:space="preserve"> </w:t>
      </w:r>
      <w:r w:rsidR="00171453" w:rsidRPr="00CF6110">
        <w:t>Access to hardcopy documents that may identify a witness must be restricted the maximum extent possible.</w:t>
      </w:r>
    </w:p>
    <w:p w14:paraId="41BA3E9F" w14:textId="77777777" w:rsidR="00171453" w:rsidRPr="00CF6110" w:rsidRDefault="00BB0C9F" w:rsidP="00171453">
      <w:pPr>
        <w:pStyle w:val="SingleTxtG"/>
      </w:pPr>
      <w:r w:rsidRPr="00CF6110">
        <w:t>80.</w:t>
      </w:r>
      <w:r w:rsidRPr="00CF6110">
        <w:tab/>
      </w:r>
      <w:r w:rsidR="00171453" w:rsidRPr="00CF6110">
        <w:t xml:space="preserve">House-to-house enquiries should be conducted in the vicinity of important physical locations and the crime scene, if it has been identified. House-to-house enquiries help to identify witnesses who live or work in key areas, gather local information and </w:t>
      </w:r>
      <w:proofErr w:type="gramStart"/>
      <w:r w:rsidR="00171453" w:rsidRPr="00CF6110">
        <w:t>intelligence,</w:t>
      </w:r>
      <w:proofErr w:type="gramEnd"/>
      <w:r w:rsidR="00171453" w:rsidRPr="00CF6110">
        <w:t xml:space="preserve"> identify other witnesses or suspects, and raise awareness of the investigation, which may encourage people with information to come forward.</w:t>
      </w:r>
    </w:p>
    <w:p w14:paraId="21013613" w14:textId="1D16BB53" w:rsidR="00171453" w:rsidRPr="00CF6110" w:rsidRDefault="00BB0C9F" w:rsidP="00171453">
      <w:pPr>
        <w:pStyle w:val="SingleTxtG"/>
      </w:pPr>
      <w:r w:rsidRPr="00CF6110">
        <w:t>81.</w:t>
      </w:r>
      <w:r w:rsidRPr="00CF6110">
        <w:tab/>
      </w:r>
      <w:r w:rsidR="00171453" w:rsidRPr="00CF6110">
        <w:t xml:space="preserve">Interviews with family members and others to collect ante-mortem data for body identification, such as hair, blood, saliva samples, dental or chest X-rays, and information about possible bone fractures and other injuries or diseases, should be conducted by specially trained professionals who are in a position to answer technical questions </w:t>
      </w:r>
      <w:r w:rsidR="00171453" w:rsidRPr="00CF6110">
        <w:lastRenderedPageBreak/>
        <w:t xml:space="preserve">authoritatively and with at least basic knowledge of the correct medical and odontological terms. Proper equipment is needed to take samples with consent forms stating how the samples will be stored, who </w:t>
      </w:r>
      <w:r w:rsidR="00166A21" w:rsidRPr="00CF6110">
        <w:t>can</w:t>
      </w:r>
      <w:r w:rsidR="00171453" w:rsidRPr="00CF6110">
        <w:t xml:space="preserve"> access</w:t>
      </w:r>
      <w:r w:rsidR="00166A21" w:rsidRPr="00CF6110">
        <w:t xml:space="preserve"> them</w:t>
      </w:r>
      <w:r w:rsidR="00171453" w:rsidRPr="00CF6110">
        <w:t>, and who manages the genetic database.</w:t>
      </w:r>
    </w:p>
    <w:p w14:paraId="46844859" w14:textId="77777777" w:rsidR="00171453" w:rsidRPr="00CF6110" w:rsidRDefault="00BB0C9F" w:rsidP="00171453">
      <w:pPr>
        <w:pStyle w:val="SingleTxtG"/>
      </w:pPr>
      <w:r w:rsidRPr="00CF6110">
        <w:t>82.</w:t>
      </w:r>
      <w:r w:rsidRPr="00CF6110">
        <w:tab/>
      </w:r>
      <w:r w:rsidR="00171453" w:rsidRPr="00CF6110">
        <w:t>A media appeal may help to identify and locate people and material that could be useful to the investigation. This could include establishing a telephone hotline, an email address, and/or a social media webpage, which people could use to provide information to investigators confidentially or even anonymously. Consideration should also be given to offering a reward in return for relevant information.</w:t>
      </w:r>
    </w:p>
    <w:p w14:paraId="5BD8692E" w14:textId="77777777" w:rsidR="00171453" w:rsidRPr="00CF6110" w:rsidRDefault="00BB0C9F" w:rsidP="00171453">
      <w:pPr>
        <w:pStyle w:val="SingleTxtG"/>
      </w:pPr>
      <w:r w:rsidRPr="00CF6110">
        <w:t>83.</w:t>
      </w:r>
      <w:r w:rsidRPr="00CF6110">
        <w:tab/>
      </w:r>
      <w:r w:rsidR="00171453" w:rsidRPr="00CF6110">
        <w:t>A specific strategy should be developed, especially if a suspect is a State official, to ensure that anyone coming forward will be assured that the information they provide will be dealt with confidentially within the limits of the law.</w:t>
      </w:r>
    </w:p>
    <w:p w14:paraId="1847E44D" w14:textId="77777777" w:rsidR="00BB0C9F" w:rsidRPr="00CF6110" w:rsidRDefault="00BB0C9F" w:rsidP="00BB0C9F">
      <w:pPr>
        <w:pStyle w:val="H23G"/>
        <w:spacing w:line="240" w:lineRule="atLeast"/>
      </w:pPr>
      <w:bookmarkStart w:id="28" w:name="_Toc443387514"/>
      <w:bookmarkStart w:id="29" w:name="_Toc443397100"/>
      <w:bookmarkStart w:id="30" w:name="_Toc445909174"/>
      <w:r w:rsidRPr="00CF6110">
        <w:tab/>
        <w:t xml:space="preserve">6. </w:t>
      </w:r>
      <w:r w:rsidRPr="00CF6110">
        <w:tab/>
      </w:r>
      <w:r w:rsidRPr="00CF6110">
        <w:rPr>
          <w:bCs/>
        </w:rPr>
        <w:t>International technical assistance</w:t>
      </w:r>
    </w:p>
    <w:bookmarkEnd w:id="28"/>
    <w:bookmarkEnd w:id="29"/>
    <w:bookmarkEnd w:id="30"/>
    <w:p w14:paraId="190E289B" w14:textId="72C50BD2" w:rsidR="00171453" w:rsidRPr="00CF6110" w:rsidRDefault="00BB0C9F" w:rsidP="00171453">
      <w:pPr>
        <w:pStyle w:val="SingleTxtG"/>
      </w:pPr>
      <w:r w:rsidRPr="00CF6110">
        <w:t>84.</w:t>
      </w:r>
      <w:r w:rsidRPr="00CF6110">
        <w:tab/>
      </w:r>
      <w:r w:rsidR="00171453" w:rsidRPr="00CF6110">
        <w:t>The assistance of law enforcement agencies in other States may help the investigation cover any gaps in the technical capacity of local investigators. International bodies such as Interpol or the International Commission on Missing Persons might be able to support the investigation</w:t>
      </w:r>
      <w:r w:rsidR="004B3195" w:rsidRPr="00CF6110">
        <w:t xml:space="preserve"> and humanitarian organisations, such as the International Committee of the Red Cross (ICRC), might offer advice on forensic best practices for the proper and dignified management and identification of the dead in humanitarian contexts</w:t>
      </w:r>
      <w:r w:rsidR="00171453" w:rsidRPr="00CF6110">
        <w:t>.</w:t>
      </w:r>
    </w:p>
    <w:p w14:paraId="4F38727D" w14:textId="77777777" w:rsidR="00BB0C9F" w:rsidRPr="00CF6110" w:rsidRDefault="00BB0C9F" w:rsidP="00BB0C9F">
      <w:pPr>
        <w:pStyle w:val="H23G"/>
        <w:spacing w:line="240" w:lineRule="atLeast"/>
      </w:pPr>
      <w:r w:rsidRPr="00CF6110">
        <w:tab/>
        <w:t xml:space="preserve">7. </w:t>
      </w:r>
      <w:r w:rsidRPr="00CF6110">
        <w:tab/>
      </w:r>
      <w:r w:rsidRPr="00CF6110">
        <w:rPr>
          <w:bCs/>
        </w:rPr>
        <w:t>Telecommunications and other digital evidence</w:t>
      </w:r>
    </w:p>
    <w:p w14:paraId="438CF762" w14:textId="77777777" w:rsidR="00171453" w:rsidRPr="00CF6110" w:rsidRDefault="00BB0C9F" w:rsidP="00171453">
      <w:pPr>
        <w:pStyle w:val="SingleTxtG"/>
      </w:pPr>
      <w:r w:rsidRPr="00CF6110">
        <w:t>85.</w:t>
      </w:r>
      <w:r w:rsidRPr="00CF6110">
        <w:tab/>
      </w:r>
      <w:r w:rsidR="00171453" w:rsidRPr="00CF6110">
        <w:t>Within the confines of applicable law, mobile telephone data should be requested from service providers. In planning an investigation, investigators should familiarise themselves with the data-retention policies of the service providers. Mobile phone data allows authorities to analyse the phone numbers that connect to a specific phone tower within a given period of time. Investigators can then match the cell numbers with a specific customer’s name, address, and other account information, potentially putting individuals at locations at specific times.</w:t>
      </w:r>
    </w:p>
    <w:p w14:paraId="11FB3981" w14:textId="77777777" w:rsidR="00171453" w:rsidRPr="00CF6110" w:rsidRDefault="00BB0C9F" w:rsidP="00171453">
      <w:pPr>
        <w:pStyle w:val="SingleTxtG"/>
      </w:pPr>
      <w:r w:rsidRPr="00CF6110">
        <w:t>86.</w:t>
      </w:r>
      <w:r w:rsidRPr="00CF6110">
        <w:tab/>
      </w:r>
      <w:r w:rsidR="00171453" w:rsidRPr="00CF6110">
        <w:t>The mobile phones of the deceased and all prime suspects should be legally recovered and the data (e.g. dialled. missed, and received calls, text (sms) or other messages, contacts, and diary entries) professionally downloaded. The phones can then be returned to the family of the deceased or the suspect, as the case may be. The retention of telephone data in relation to family members of prime suspects will make it easier to demonstrate using phone attribution analysis that the phone belonged to or was used by the suspect.</w:t>
      </w:r>
    </w:p>
    <w:p w14:paraId="6DD9C79A" w14:textId="77777777" w:rsidR="00171453" w:rsidRPr="00CF6110" w:rsidRDefault="00BB0C9F" w:rsidP="00171453">
      <w:pPr>
        <w:pStyle w:val="SingleTxtG"/>
      </w:pPr>
      <w:r w:rsidRPr="00CF6110">
        <w:t>87.</w:t>
      </w:r>
      <w:r w:rsidRPr="00CF6110">
        <w:tab/>
      </w:r>
      <w:r w:rsidR="00171453" w:rsidRPr="00CF6110">
        <w:t>It may also be useful to request, for all identified relevant phones, subscriber details, method of payment, and call data with mobile phone site locations as well as any other data providers can offer. This may include text messages or International Mobile Station Equipment Numbers, which may identify the type, model, and capability of handsets used. Smart phones used by the victim or any suspects should be analysed for Wi-Fi locations activated and internet sites visited for information that may provide leads in the investigation.</w:t>
      </w:r>
    </w:p>
    <w:p w14:paraId="56CB528F" w14:textId="77777777" w:rsidR="00171453" w:rsidRPr="00CF6110" w:rsidRDefault="00BB0C9F" w:rsidP="00171453">
      <w:pPr>
        <w:pStyle w:val="SingleTxtG"/>
      </w:pPr>
      <w:r w:rsidRPr="00CF6110">
        <w:t>88.</w:t>
      </w:r>
      <w:r w:rsidRPr="00CF6110">
        <w:tab/>
      </w:r>
      <w:r w:rsidR="00171453" w:rsidRPr="00CF6110">
        <w:t>Analysis should compare call-data numbers and data, cross-referencing the movements of all people of interest in the case on pictorial charts using specialist software.</w:t>
      </w:r>
    </w:p>
    <w:p w14:paraId="512B1C47" w14:textId="77777777" w:rsidR="00BB0C9F" w:rsidRPr="00CF6110" w:rsidRDefault="00BB0C9F" w:rsidP="00BB0C9F">
      <w:pPr>
        <w:pStyle w:val="H23G"/>
        <w:spacing w:line="240" w:lineRule="atLeast"/>
      </w:pPr>
      <w:bookmarkStart w:id="31" w:name="_Toc443387516"/>
      <w:bookmarkStart w:id="32" w:name="_Toc443397102"/>
      <w:bookmarkStart w:id="33" w:name="_Toc445909176"/>
      <w:r w:rsidRPr="00CF6110">
        <w:tab/>
        <w:t xml:space="preserve">8. </w:t>
      </w:r>
      <w:r w:rsidRPr="00CF6110">
        <w:tab/>
      </w:r>
      <w:r w:rsidRPr="00CF6110">
        <w:rPr>
          <w:bCs/>
        </w:rPr>
        <w:t>Financial issues</w:t>
      </w:r>
    </w:p>
    <w:bookmarkEnd w:id="31"/>
    <w:bookmarkEnd w:id="32"/>
    <w:bookmarkEnd w:id="33"/>
    <w:p w14:paraId="7DE8B1F2" w14:textId="77777777" w:rsidR="00171453" w:rsidRPr="00CF6110" w:rsidRDefault="00BB0C9F" w:rsidP="00171453">
      <w:pPr>
        <w:pStyle w:val="SingleTxtG"/>
      </w:pPr>
      <w:r w:rsidRPr="00CF6110">
        <w:t>89.</w:t>
      </w:r>
      <w:r w:rsidRPr="00CF6110">
        <w:tab/>
      </w:r>
      <w:r w:rsidR="00171453" w:rsidRPr="00CF6110">
        <w:t xml:space="preserve">A financial profile of the victim should be developed. Where a body or remains are located, this may assist in establishing time of death. In cases of missing persons, continued </w:t>
      </w:r>
      <w:r w:rsidR="00171453" w:rsidRPr="00CF6110">
        <w:lastRenderedPageBreak/>
        <w:t xml:space="preserve">activity on an account may help determine if the suspected victim is still alive. In all cases, a financial profile can reveal new leads for an investigation. </w:t>
      </w:r>
    </w:p>
    <w:p w14:paraId="62FF8F2B" w14:textId="77777777" w:rsidR="00171453" w:rsidRPr="00CF6110" w:rsidRDefault="00BB0C9F" w:rsidP="00171453">
      <w:pPr>
        <w:pStyle w:val="SingleTxtG"/>
      </w:pPr>
      <w:r w:rsidRPr="00CF6110">
        <w:t>90.</w:t>
      </w:r>
      <w:r w:rsidRPr="00CF6110">
        <w:tab/>
      </w:r>
      <w:r w:rsidR="00171453" w:rsidRPr="00CF6110">
        <w:t xml:space="preserve">Once a suspect has been identified, a suspect financial profile should be developed. Evidence should be sought of uncharacteristic financial payments or an extravagant lifestyle. </w:t>
      </w:r>
    </w:p>
    <w:p w14:paraId="01244103" w14:textId="77777777" w:rsidR="00BB0C9F" w:rsidRPr="00CF6110" w:rsidRDefault="00BB0C9F" w:rsidP="00BB0C9F">
      <w:pPr>
        <w:pStyle w:val="H23G"/>
        <w:spacing w:line="240" w:lineRule="atLeast"/>
      </w:pPr>
      <w:r w:rsidRPr="00CF6110">
        <w:tab/>
        <w:t xml:space="preserve">9. </w:t>
      </w:r>
      <w:r w:rsidRPr="00CF6110">
        <w:tab/>
      </w:r>
      <w:r w:rsidRPr="00CF6110">
        <w:rPr>
          <w:bCs/>
        </w:rPr>
        <w:t>Chronology of events</w:t>
      </w:r>
    </w:p>
    <w:p w14:paraId="66DEC224" w14:textId="77777777" w:rsidR="00171453" w:rsidRPr="00CF6110" w:rsidRDefault="00BB0C9F" w:rsidP="00171453">
      <w:pPr>
        <w:pStyle w:val="SingleTxtG"/>
      </w:pPr>
      <w:r w:rsidRPr="00CF6110">
        <w:t>91.</w:t>
      </w:r>
      <w:r w:rsidRPr="00CF6110">
        <w:tab/>
      </w:r>
      <w:r w:rsidR="00171453" w:rsidRPr="00CF6110">
        <w:t>A “living” chronology of events should be developed as the investigation proceeds. This should be sourced from any material obtained during the investigation, including:</w:t>
      </w:r>
    </w:p>
    <w:p w14:paraId="0ACAC5CF" w14:textId="77777777" w:rsidR="00171453" w:rsidRPr="00CF6110" w:rsidRDefault="00BB0C9F" w:rsidP="00BB0C9F">
      <w:pPr>
        <w:pStyle w:val="SingleTxtG"/>
        <w:ind w:firstLine="567"/>
      </w:pPr>
      <w:r w:rsidRPr="00CF6110">
        <w:t>(a)</w:t>
      </w:r>
      <w:r w:rsidRPr="00CF6110">
        <w:tab/>
      </w:r>
      <w:proofErr w:type="gramStart"/>
      <w:r w:rsidR="00171453" w:rsidRPr="00CF6110">
        <w:t>witness</w:t>
      </w:r>
      <w:proofErr w:type="gramEnd"/>
      <w:r w:rsidR="00171453" w:rsidRPr="00CF6110">
        <w:t xml:space="preserve"> statements</w:t>
      </w:r>
    </w:p>
    <w:p w14:paraId="20135644" w14:textId="77777777" w:rsidR="00171453" w:rsidRPr="00CF6110" w:rsidRDefault="00BB0C9F" w:rsidP="00BB0C9F">
      <w:pPr>
        <w:pStyle w:val="SingleTxtG"/>
        <w:ind w:firstLine="567"/>
      </w:pPr>
      <w:r w:rsidRPr="00CF6110">
        <w:t>(b)</w:t>
      </w:r>
      <w:r w:rsidRPr="00CF6110">
        <w:tab/>
      </w:r>
      <w:proofErr w:type="gramStart"/>
      <w:r w:rsidR="00171453" w:rsidRPr="00CF6110">
        <w:t>known</w:t>
      </w:r>
      <w:proofErr w:type="gramEnd"/>
      <w:r w:rsidR="00171453" w:rsidRPr="00CF6110">
        <w:t xml:space="preserve"> movements of the victim</w:t>
      </w:r>
    </w:p>
    <w:p w14:paraId="20E12DCC" w14:textId="77777777" w:rsidR="00171453" w:rsidRPr="00CF6110" w:rsidRDefault="00BB0C9F" w:rsidP="00BB0C9F">
      <w:pPr>
        <w:pStyle w:val="SingleTxtG"/>
        <w:ind w:firstLine="567"/>
      </w:pPr>
      <w:r w:rsidRPr="00CF6110">
        <w:t>(c)</w:t>
      </w:r>
      <w:r w:rsidRPr="00CF6110">
        <w:tab/>
      </w:r>
      <w:proofErr w:type="gramStart"/>
      <w:r w:rsidR="00171453" w:rsidRPr="00CF6110">
        <w:t>known</w:t>
      </w:r>
      <w:proofErr w:type="gramEnd"/>
      <w:r w:rsidR="00171453" w:rsidRPr="00CF6110">
        <w:t xml:space="preserve"> movements of any suspects</w:t>
      </w:r>
    </w:p>
    <w:p w14:paraId="79A69C56" w14:textId="77777777" w:rsidR="00171453" w:rsidRPr="00CF6110" w:rsidRDefault="00BB0C9F" w:rsidP="00BB0C9F">
      <w:pPr>
        <w:pStyle w:val="SingleTxtG"/>
        <w:ind w:firstLine="567"/>
      </w:pPr>
      <w:r w:rsidRPr="00CF6110">
        <w:t>(d)</w:t>
      </w:r>
      <w:r w:rsidRPr="00CF6110">
        <w:tab/>
      </w:r>
      <w:proofErr w:type="gramStart"/>
      <w:r w:rsidR="00171453" w:rsidRPr="00CF6110">
        <w:t>call</w:t>
      </w:r>
      <w:proofErr w:type="gramEnd"/>
      <w:r w:rsidR="00171453" w:rsidRPr="00CF6110">
        <w:t xml:space="preserve"> and other communication data</w:t>
      </w:r>
    </w:p>
    <w:p w14:paraId="07C8760C" w14:textId="77777777" w:rsidR="00171453" w:rsidRPr="00CF6110" w:rsidRDefault="00BB0C9F" w:rsidP="00BB0C9F">
      <w:pPr>
        <w:pStyle w:val="SingleTxtG"/>
        <w:ind w:firstLine="567"/>
      </w:pPr>
      <w:r w:rsidRPr="00CF6110">
        <w:t>(e)</w:t>
      </w:r>
      <w:r w:rsidRPr="00CF6110">
        <w:tab/>
      </w:r>
      <w:proofErr w:type="gramStart"/>
      <w:r w:rsidR="00171453" w:rsidRPr="00CF6110">
        <w:t>documents</w:t>
      </w:r>
      <w:proofErr w:type="gramEnd"/>
      <w:r w:rsidR="00171453" w:rsidRPr="00CF6110">
        <w:t>, including police reports, logs, and notebooks</w:t>
      </w:r>
    </w:p>
    <w:p w14:paraId="306565EE" w14:textId="77777777" w:rsidR="00171453" w:rsidRPr="00CF6110" w:rsidRDefault="00BB0C9F" w:rsidP="00BB0C9F">
      <w:pPr>
        <w:pStyle w:val="SingleTxtG"/>
        <w:ind w:firstLine="567"/>
      </w:pPr>
      <w:r w:rsidRPr="00CF6110">
        <w:t>(f)</w:t>
      </w:r>
      <w:r w:rsidRPr="00CF6110">
        <w:tab/>
      </w:r>
      <w:proofErr w:type="gramStart"/>
      <w:r w:rsidR="00171453" w:rsidRPr="00CF6110">
        <w:t>mobile</w:t>
      </w:r>
      <w:proofErr w:type="gramEnd"/>
      <w:r w:rsidR="00171453" w:rsidRPr="00CF6110">
        <w:t xml:space="preserve"> phone site data</w:t>
      </w:r>
    </w:p>
    <w:p w14:paraId="3D041E73" w14:textId="77777777" w:rsidR="00171453" w:rsidRPr="00CF6110" w:rsidRDefault="00BB0C9F" w:rsidP="00BB0C9F">
      <w:pPr>
        <w:pStyle w:val="SingleTxtG"/>
        <w:ind w:firstLine="567"/>
      </w:pPr>
      <w:r w:rsidRPr="00CF6110">
        <w:t>(g)</w:t>
      </w:r>
      <w:r w:rsidRPr="00CF6110">
        <w:tab/>
      </w:r>
      <w:proofErr w:type="gramStart"/>
      <w:r w:rsidR="00171453" w:rsidRPr="00CF6110">
        <w:t>financial</w:t>
      </w:r>
      <w:proofErr w:type="gramEnd"/>
      <w:r w:rsidR="00171453" w:rsidRPr="00CF6110">
        <w:t xml:space="preserve"> transactions</w:t>
      </w:r>
    </w:p>
    <w:p w14:paraId="6210E416" w14:textId="77777777" w:rsidR="00171453" w:rsidRPr="00CF6110" w:rsidRDefault="00BB0C9F" w:rsidP="00BB0C9F">
      <w:pPr>
        <w:pStyle w:val="SingleTxtG"/>
        <w:ind w:firstLine="567"/>
      </w:pPr>
      <w:r w:rsidRPr="00CF6110">
        <w:t>(h)</w:t>
      </w:r>
      <w:r w:rsidRPr="00CF6110">
        <w:tab/>
      </w:r>
      <w:r w:rsidR="00171453" w:rsidRPr="00CF6110">
        <w:t>CCTV footage and photographs</w:t>
      </w:r>
    </w:p>
    <w:p w14:paraId="3D0B16AE" w14:textId="77777777" w:rsidR="00171453" w:rsidRPr="00CF6110" w:rsidRDefault="00BB0C9F" w:rsidP="00BB0C9F">
      <w:pPr>
        <w:pStyle w:val="SingleTxtG"/>
        <w:ind w:firstLine="567"/>
      </w:pPr>
      <w:r w:rsidRPr="00CF6110">
        <w:t>(</w:t>
      </w:r>
      <w:proofErr w:type="spellStart"/>
      <w:r w:rsidRPr="00CF6110">
        <w:t>i</w:t>
      </w:r>
      <w:proofErr w:type="spellEnd"/>
      <w:r w:rsidRPr="00CF6110">
        <w:t>)</w:t>
      </w:r>
      <w:r w:rsidRPr="00CF6110">
        <w:tab/>
      </w:r>
      <w:proofErr w:type="gramStart"/>
      <w:r w:rsidR="00171453" w:rsidRPr="00CF6110">
        <w:t>lifestyle</w:t>
      </w:r>
      <w:proofErr w:type="gramEnd"/>
      <w:r w:rsidR="00171453" w:rsidRPr="00CF6110">
        <w:t xml:space="preserve"> data.</w:t>
      </w:r>
    </w:p>
    <w:p w14:paraId="6D71E042" w14:textId="77777777" w:rsidR="00171453" w:rsidRPr="00CF6110" w:rsidRDefault="00171453" w:rsidP="00171453">
      <w:pPr>
        <w:pStyle w:val="SingleTxtG"/>
      </w:pPr>
      <w:r w:rsidRPr="00CF6110">
        <w:t>A chronology can assist in an overall understanding of events, identify gaps in knowledge, and generate new lines of inquiry.</w:t>
      </w:r>
    </w:p>
    <w:p w14:paraId="44B53604" w14:textId="77777777" w:rsidR="00BB0C9F" w:rsidRPr="00CF6110" w:rsidRDefault="00BB0C9F" w:rsidP="00BB0C9F">
      <w:pPr>
        <w:pStyle w:val="H1G"/>
        <w:spacing w:line="240" w:lineRule="atLeast"/>
      </w:pPr>
      <w:r w:rsidRPr="00CF6110">
        <w:tab/>
        <w:t xml:space="preserve">C. </w:t>
      </w:r>
      <w:r w:rsidRPr="00CF6110">
        <w:tab/>
      </w:r>
      <w:r w:rsidRPr="00CF6110">
        <w:rPr>
          <w:bCs/>
        </w:rPr>
        <w:t>Interviews and Witness Protection</w:t>
      </w:r>
    </w:p>
    <w:p w14:paraId="76E622F9" w14:textId="77777777" w:rsidR="00BB0C9F" w:rsidRPr="00CF6110" w:rsidRDefault="00BB0C9F" w:rsidP="00BB0C9F">
      <w:pPr>
        <w:pStyle w:val="H23G"/>
        <w:spacing w:line="240" w:lineRule="atLeast"/>
      </w:pPr>
      <w:bookmarkStart w:id="34" w:name="_Toc445909179"/>
      <w:r w:rsidRPr="00CF6110">
        <w:tab/>
        <w:t xml:space="preserve">1. </w:t>
      </w:r>
      <w:r w:rsidRPr="00CF6110">
        <w:tab/>
      </w:r>
      <w:r w:rsidRPr="00CF6110">
        <w:rPr>
          <w:bCs/>
        </w:rPr>
        <w:t>General principles</w:t>
      </w:r>
    </w:p>
    <w:p w14:paraId="75D89D65" w14:textId="77777777" w:rsidR="00171453" w:rsidRPr="00CF6110" w:rsidRDefault="00BB0C9F" w:rsidP="00171453">
      <w:pPr>
        <w:pStyle w:val="SingleTxtG"/>
      </w:pPr>
      <w:bookmarkStart w:id="35" w:name="h.30j0zll" w:colFirst="0" w:colLast="0"/>
      <w:bookmarkEnd w:id="34"/>
      <w:bookmarkEnd w:id="35"/>
      <w:r w:rsidRPr="00CF6110">
        <w:t>92.</w:t>
      </w:r>
      <w:r w:rsidRPr="00CF6110">
        <w:tab/>
      </w:r>
      <w:r w:rsidR="00171453" w:rsidRPr="00CF6110">
        <w:t>Interviews form an integral part of almost any investigation. If well conducted, they can obtain accurate, reliable, and complete information from victims, witnesses, suspects, and others. Poorly conducted interviews can undermine an investigation and place people at risk. The Detailed Guidelines on Interviews provide more detailed guidance on how to conduct an interview effectively and appropriately and investigators should refer to other relevant documents.</w:t>
      </w:r>
      <w:r w:rsidR="00171453" w:rsidRPr="00CF6110">
        <w:rPr>
          <w:vertAlign w:val="superscript"/>
        </w:rPr>
        <w:footnoteReference w:id="94"/>
      </w:r>
      <w:r w:rsidR="00171453" w:rsidRPr="00CF6110">
        <w:t xml:space="preserve"> </w:t>
      </w:r>
    </w:p>
    <w:p w14:paraId="121B1E1C" w14:textId="7CAEA075" w:rsidR="00171453" w:rsidRPr="00CF6110" w:rsidRDefault="00BB0C9F" w:rsidP="00171453">
      <w:pPr>
        <w:pStyle w:val="SingleTxtG"/>
      </w:pPr>
      <w:r w:rsidRPr="00CF6110">
        <w:t>93.</w:t>
      </w:r>
      <w:r w:rsidRPr="00CF6110">
        <w:tab/>
      </w:r>
      <w:r w:rsidR="00171453" w:rsidRPr="00CF6110">
        <w:t xml:space="preserve">Interviews should be conducted in a way that maximizes access to justice for affected individuals and minimizes as much as possible any negative impact the investigation may have on interviewees. </w:t>
      </w:r>
      <w:r w:rsidR="00F71D8C" w:rsidRPr="00CF6110">
        <w:t>Special care should be taken when interviewing the bereaved in ord</w:t>
      </w:r>
      <w:r w:rsidR="008A00A5" w:rsidRPr="00CF6110">
        <w:t>er to prevent their retraumatiz</w:t>
      </w:r>
      <w:r w:rsidR="00F71D8C" w:rsidRPr="00CF6110">
        <w:t xml:space="preserve">ation. </w:t>
      </w:r>
      <w:r w:rsidR="00171453" w:rsidRPr="00CF6110">
        <w:t xml:space="preserve">Interviews should be conducted by </w:t>
      </w:r>
      <w:r w:rsidR="00171453" w:rsidRPr="00CF6110">
        <w:lastRenderedPageBreak/>
        <w:t xml:space="preserve">trained individuals who apply the highest professional and ethical standards to obtain accurate information while respecting the safety, dignity, privacy, autonomy, and physical and psychological well-being of the interviewee. </w:t>
      </w:r>
    </w:p>
    <w:p w14:paraId="355ED9BC" w14:textId="77777777" w:rsidR="00BB0C9F" w:rsidRPr="00CF6110" w:rsidRDefault="00BB0C9F" w:rsidP="00BB0C9F">
      <w:pPr>
        <w:pStyle w:val="H23G"/>
        <w:spacing w:line="240" w:lineRule="atLeast"/>
      </w:pPr>
      <w:bookmarkStart w:id="36" w:name="_Toc443387532"/>
      <w:bookmarkStart w:id="37" w:name="_Toc443397118"/>
      <w:bookmarkStart w:id="38" w:name="_Toc445909180"/>
      <w:r w:rsidRPr="00CF6110">
        <w:tab/>
        <w:t xml:space="preserve">2. </w:t>
      </w:r>
      <w:r w:rsidRPr="00CF6110">
        <w:tab/>
      </w:r>
      <w:r w:rsidRPr="00CF6110">
        <w:rPr>
          <w:bCs/>
        </w:rPr>
        <w:t>Security and well-being</w:t>
      </w:r>
    </w:p>
    <w:bookmarkEnd w:id="36"/>
    <w:bookmarkEnd w:id="37"/>
    <w:bookmarkEnd w:id="38"/>
    <w:p w14:paraId="12D3D8AB" w14:textId="77777777" w:rsidR="00171453" w:rsidRPr="00CF6110" w:rsidRDefault="00BB0C9F" w:rsidP="00171453">
      <w:pPr>
        <w:pStyle w:val="SingleTxtG"/>
      </w:pPr>
      <w:r w:rsidRPr="00CF6110">
        <w:t>94.</w:t>
      </w:r>
      <w:r w:rsidRPr="00CF6110">
        <w:tab/>
      </w:r>
      <w:r w:rsidR="00171453" w:rsidRPr="00CF6110">
        <w:t>The security and well-being of interviewees and interviewers is paramount. Risk assessments should be conducted before engaging with any witness to help ensure that the benefit of the engagement outweighs the risk. When necessary, and subject to the consent of the concerned individual or individuals, investigators should take steps to protect an interviewee and others from ill-treatment or intimidation as a consequence of providing information. Possible measures include protecting the identity of the interviewee (within the parameters of the law and the rights of the defence guaranteed under international fair trial standards), physical protection, relocation, and placement in an effective witness-protection programme.</w:t>
      </w:r>
    </w:p>
    <w:p w14:paraId="642BC3A7" w14:textId="22788658" w:rsidR="00171453" w:rsidRPr="00CF6110" w:rsidRDefault="00BB0C9F" w:rsidP="00171453">
      <w:pPr>
        <w:pStyle w:val="SingleTxtG"/>
      </w:pPr>
      <w:r w:rsidRPr="00CF6110">
        <w:t>95.</w:t>
      </w:r>
      <w:r w:rsidRPr="00CF6110">
        <w:tab/>
      </w:r>
      <w:r w:rsidR="00171453" w:rsidRPr="00CF6110">
        <w:t>An effective witness-protection programme is essential for some investigations, and should be in place before the investigation begins. This includes reliable and durable protection for witnesses at risk, including secure management of personal information, and legal and psychological support during and after the investigation and any judicial proceedings.</w:t>
      </w:r>
      <w:r w:rsidR="00166A21" w:rsidRPr="00CF6110">
        <w:t xml:space="preserve"> States should ensure that the authorities in charge of witness protection should in no way be involved in the alleged death or disappearance</w:t>
      </w:r>
    </w:p>
    <w:p w14:paraId="7DFDCBF5" w14:textId="77777777" w:rsidR="00BB0C9F" w:rsidRPr="00CF6110" w:rsidRDefault="00BB0C9F" w:rsidP="00BB0C9F">
      <w:pPr>
        <w:pStyle w:val="H23G"/>
        <w:spacing w:line="240" w:lineRule="atLeast"/>
      </w:pPr>
      <w:bookmarkStart w:id="39" w:name="_Toc443387533"/>
      <w:bookmarkStart w:id="40" w:name="_Toc443397119"/>
      <w:bookmarkStart w:id="41" w:name="_Toc445909181"/>
      <w:r w:rsidRPr="00CF6110">
        <w:tab/>
        <w:t xml:space="preserve">3. </w:t>
      </w:r>
      <w:r w:rsidRPr="00CF6110">
        <w:tab/>
      </w:r>
      <w:r w:rsidRPr="00CF6110">
        <w:rPr>
          <w:bCs/>
        </w:rPr>
        <w:t>Recording interviews</w:t>
      </w:r>
    </w:p>
    <w:bookmarkEnd w:id="39"/>
    <w:bookmarkEnd w:id="40"/>
    <w:bookmarkEnd w:id="41"/>
    <w:p w14:paraId="0C868499" w14:textId="77777777" w:rsidR="00171453" w:rsidRPr="00CF6110" w:rsidRDefault="00BB0C9F" w:rsidP="00171453">
      <w:pPr>
        <w:pStyle w:val="SingleTxtG"/>
      </w:pPr>
      <w:r w:rsidRPr="00CF6110">
        <w:t>96.</w:t>
      </w:r>
      <w:r w:rsidRPr="00CF6110">
        <w:tab/>
      </w:r>
      <w:r w:rsidR="00171453" w:rsidRPr="00CF6110">
        <w:t>All formal and informal interviews should be recorded (even interviews in the field) from the commencement of an investigator’s contact with a prospective witness or suspect. In certain circumstances this may be subject to the consent of the prospective witness or suspect.</w:t>
      </w:r>
    </w:p>
    <w:p w14:paraId="1F99882C" w14:textId="77777777" w:rsidR="00171453" w:rsidRPr="00CF6110" w:rsidRDefault="00BB0C9F" w:rsidP="00171453">
      <w:pPr>
        <w:pStyle w:val="SingleTxtG"/>
      </w:pPr>
      <w:r w:rsidRPr="00CF6110">
        <w:t>97.</w:t>
      </w:r>
      <w:r w:rsidRPr="00CF6110">
        <w:tab/>
      </w:r>
      <w:r w:rsidR="00171453" w:rsidRPr="00CF6110">
        <w:t xml:space="preserve">Interviews may be recorded in written form, audio, or video. Considerations as to the best method may include the preference of the interviewee, the interview setting, and concerns about privacy and security. Special care should be taken to do no harm to interviewees. </w:t>
      </w:r>
    </w:p>
    <w:p w14:paraId="6009C85D" w14:textId="77777777" w:rsidR="00867387" w:rsidRPr="00CF6110" w:rsidRDefault="00867387" w:rsidP="00867387">
      <w:pPr>
        <w:pStyle w:val="H1G"/>
        <w:spacing w:line="240" w:lineRule="atLeast"/>
      </w:pPr>
      <w:r w:rsidRPr="00CF6110">
        <w:tab/>
        <w:t xml:space="preserve">D. </w:t>
      </w:r>
      <w:r w:rsidRPr="00CF6110">
        <w:tab/>
      </w:r>
      <w:r w:rsidRPr="00CF6110">
        <w:rPr>
          <w:bCs/>
        </w:rPr>
        <w:t>Recovery of Human Remains</w:t>
      </w:r>
    </w:p>
    <w:p w14:paraId="72588374" w14:textId="77777777" w:rsidR="00867387" w:rsidRPr="00CF6110" w:rsidRDefault="00867387" w:rsidP="00867387">
      <w:pPr>
        <w:pStyle w:val="H23G"/>
        <w:spacing w:line="240" w:lineRule="atLeast"/>
      </w:pPr>
      <w:r w:rsidRPr="00CF6110">
        <w:tab/>
        <w:t xml:space="preserve">1. </w:t>
      </w:r>
      <w:r w:rsidRPr="00CF6110">
        <w:tab/>
      </w:r>
      <w:r w:rsidRPr="00CF6110">
        <w:rPr>
          <w:bCs/>
        </w:rPr>
        <w:t>General principles</w:t>
      </w:r>
    </w:p>
    <w:p w14:paraId="48B7FA04" w14:textId="411C792B" w:rsidR="00171453" w:rsidRPr="00CF6110" w:rsidRDefault="00867387" w:rsidP="00171453">
      <w:pPr>
        <w:pStyle w:val="SingleTxtG"/>
      </w:pPr>
      <w:r w:rsidRPr="00CF6110">
        <w:t>98.</w:t>
      </w:r>
      <w:r w:rsidRPr="00CF6110">
        <w:tab/>
      </w:r>
      <w:r w:rsidR="00171453" w:rsidRPr="00CF6110">
        <w:t>As the most important evidence at a crime scene, recovery and handling of human remains requires special attention</w:t>
      </w:r>
      <w:r w:rsidR="00F71D8C" w:rsidRPr="00CF6110">
        <w:t xml:space="preserve"> and care, including respect for the dignity of the deceased and compliance with forensic best practices</w:t>
      </w:r>
      <w:r w:rsidR="00171453" w:rsidRPr="00CF6110">
        <w:t>. Human remains are often recovered by police or other personnel without education or training in human biology, and thus there may be challenges in identifying body parts and/or skeletal elements. Preferably, recovery of human remains should be under the supervision and advice of a forensic doctor and/or a forensic anthropologist. Handling encompasses labelling, packaging, security, including chain-of-custody documentation, transport, and storage.</w:t>
      </w:r>
    </w:p>
    <w:p w14:paraId="54FF557A" w14:textId="77777777" w:rsidR="00171453" w:rsidRPr="00CF6110" w:rsidRDefault="00867387" w:rsidP="00171453">
      <w:pPr>
        <w:pStyle w:val="SingleTxtG"/>
      </w:pPr>
      <w:r w:rsidRPr="00CF6110">
        <w:t>99.</w:t>
      </w:r>
      <w:r w:rsidRPr="00CF6110">
        <w:tab/>
      </w:r>
      <w:r w:rsidR="00171453" w:rsidRPr="00CF6110">
        <w:t>When there is more than one part of a body, it should not automatically be assumed that the separate body parts belong to the same body. This determination should only be made by a forensic doctor or forensic anthropologist.</w:t>
      </w:r>
    </w:p>
    <w:p w14:paraId="627F03FB" w14:textId="77777777" w:rsidR="00171453" w:rsidRPr="00CF6110" w:rsidRDefault="00867387" w:rsidP="00171453">
      <w:pPr>
        <w:pStyle w:val="SingleTxtG"/>
      </w:pPr>
      <w:r w:rsidRPr="00CF6110">
        <w:t>100.</w:t>
      </w:r>
      <w:r w:rsidRPr="00CF6110">
        <w:tab/>
      </w:r>
      <w:r w:rsidR="00171453" w:rsidRPr="00CF6110">
        <w:t xml:space="preserve">Photographs of human remains should be taken, whether of a complete body, scattered skeletal remains, or buried bodies. All photos should include a reference number, a scale, and direction indicator. The position of the remains should also be recorded through notations and measurements in the scene sketch. Sketches and diagrams should document </w:t>
      </w:r>
      <w:r w:rsidR="00171453" w:rsidRPr="00CF6110">
        <w:lastRenderedPageBreak/>
        <w:t>the disposition of the remains and associated evidence at the scene. If available, measurements and recordings can also be made electronically using a total station theodolite, which would allow later integration into a digital mapping/drawing system.</w:t>
      </w:r>
    </w:p>
    <w:p w14:paraId="3DC8AC25" w14:textId="77777777" w:rsidR="00171453" w:rsidRPr="00CF6110" w:rsidRDefault="00867387" w:rsidP="00171453">
      <w:pPr>
        <w:pStyle w:val="SingleTxtG"/>
      </w:pPr>
      <w:r w:rsidRPr="00CF6110">
        <w:t>101.</w:t>
      </w:r>
      <w:r w:rsidRPr="00CF6110">
        <w:tab/>
      </w:r>
      <w:r w:rsidR="00171453" w:rsidRPr="00CF6110">
        <w:t>The remains should be examined and any clothing, personal items, and associated evidence photographed, with any observations recorded in the scene notes. Additionally, any visible trauma should be recorded in an anatomical diagram and, in the case of skeletal remains, also in a skeletal inventory form.</w:t>
      </w:r>
    </w:p>
    <w:p w14:paraId="5680D9DD" w14:textId="77777777" w:rsidR="00867387" w:rsidRPr="00CF6110" w:rsidRDefault="00867387" w:rsidP="00867387">
      <w:pPr>
        <w:pStyle w:val="H23G"/>
        <w:spacing w:line="240" w:lineRule="atLeast"/>
      </w:pPr>
      <w:bookmarkStart w:id="42" w:name="_Toc443387519"/>
      <w:bookmarkStart w:id="43" w:name="_Toc443397105"/>
      <w:bookmarkStart w:id="44" w:name="_Toc445909184"/>
      <w:r w:rsidRPr="00CF6110">
        <w:tab/>
        <w:t xml:space="preserve">2. </w:t>
      </w:r>
      <w:r w:rsidRPr="00CF6110">
        <w:tab/>
      </w:r>
      <w:r w:rsidRPr="00CF6110">
        <w:rPr>
          <w:bCs/>
        </w:rPr>
        <w:t>Labelling</w:t>
      </w:r>
    </w:p>
    <w:bookmarkEnd w:id="42"/>
    <w:bookmarkEnd w:id="43"/>
    <w:bookmarkEnd w:id="44"/>
    <w:p w14:paraId="2832C5A2" w14:textId="77777777" w:rsidR="00171453" w:rsidRPr="00CF6110" w:rsidRDefault="00867387" w:rsidP="00171453">
      <w:pPr>
        <w:pStyle w:val="SingleTxtG"/>
      </w:pPr>
      <w:r w:rsidRPr="00CF6110">
        <w:t>102.</w:t>
      </w:r>
      <w:r w:rsidRPr="00CF6110">
        <w:tab/>
      </w:r>
      <w:r w:rsidR="00171453" w:rsidRPr="00CF6110">
        <w:t>Labelling means assigning a unique reference number to each body or body part (as well as to each other piece of physical evidence). Labelling of human remains should be reflected in the crime scene notes, the photographs, and in any sketches/diagrams/skeletal inventory forms recorded at the scene. The same labelling needs to be recorded on the packaging used to transport and store the remains and any associated evidence.</w:t>
      </w:r>
    </w:p>
    <w:p w14:paraId="3ED4A33B" w14:textId="77777777" w:rsidR="00171453" w:rsidRPr="00CF6110" w:rsidRDefault="00867387" w:rsidP="00171453">
      <w:pPr>
        <w:pStyle w:val="SingleTxtG"/>
      </w:pPr>
      <w:r w:rsidRPr="00CF6110">
        <w:t>103.</w:t>
      </w:r>
      <w:r w:rsidRPr="00CF6110">
        <w:tab/>
      </w:r>
      <w:r w:rsidR="00171453" w:rsidRPr="00CF6110">
        <w:t>The rationale for a labelling system should be documented in the crime scene notes. Labelling of human remains, whether individual bones, clusters of bones, body parts, or complete bodies, should be unique and must be applied consistently throughout the documentation and packaging process. The labelling system should be settled prior to collection and packaging.</w:t>
      </w:r>
    </w:p>
    <w:p w14:paraId="7E86DDEE" w14:textId="77777777" w:rsidR="00171453" w:rsidRPr="00CF6110" w:rsidRDefault="00867387" w:rsidP="00171453">
      <w:pPr>
        <w:pStyle w:val="SingleTxtG"/>
      </w:pPr>
      <w:r w:rsidRPr="00CF6110">
        <w:t>104.</w:t>
      </w:r>
      <w:r w:rsidRPr="00CF6110">
        <w:tab/>
      </w:r>
      <w:r w:rsidR="00171453" w:rsidRPr="00CF6110">
        <w:t>Labelling of recovered remains should use unique designator codes which can be based on the following criteria:</w:t>
      </w:r>
    </w:p>
    <w:p w14:paraId="16FCE8F4" w14:textId="77777777" w:rsidR="00171453" w:rsidRPr="00CF6110" w:rsidRDefault="00867387" w:rsidP="00867387">
      <w:pPr>
        <w:pStyle w:val="SingleTxtG"/>
        <w:ind w:firstLine="567"/>
      </w:pPr>
      <w:r w:rsidRPr="00CF6110">
        <w:t>(a)</w:t>
      </w:r>
      <w:r w:rsidRPr="00CF6110">
        <w:tab/>
      </w:r>
      <w:r w:rsidR="00171453" w:rsidRPr="00CF6110">
        <w:t>Location – the geographical location from where the remains are recovered</w:t>
      </w:r>
    </w:p>
    <w:p w14:paraId="7F8184EB" w14:textId="77777777" w:rsidR="00171453" w:rsidRPr="00CF6110" w:rsidRDefault="00867387" w:rsidP="007150FC">
      <w:pPr>
        <w:pStyle w:val="SingleTxtG"/>
        <w:ind w:left="1701"/>
      </w:pPr>
      <w:r w:rsidRPr="00CF6110">
        <w:t>(b)</w:t>
      </w:r>
      <w:r w:rsidRPr="00CF6110">
        <w:tab/>
      </w:r>
      <w:r w:rsidR="00171453" w:rsidRPr="00CF6110">
        <w:t>Site – to distinguish between different sites (e.g. graves) in a particular location</w:t>
      </w:r>
    </w:p>
    <w:p w14:paraId="26D538FD" w14:textId="77777777" w:rsidR="00171453" w:rsidRPr="00CF6110" w:rsidRDefault="00867387" w:rsidP="007150FC">
      <w:pPr>
        <w:pStyle w:val="SingleTxtG"/>
        <w:ind w:left="1701"/>
      </w:pPr>
      <w:r w:rsidRPr="00CF6110">
        <w:t>(c)</w:t>
      </w:r>
      <w:r w:rsidRPr="00CF6110">
        <w:tab/>
      </w:r>
      <w:r w:rsidR="00171453" w:rsidRPr="00CF6110">
        <w:t>Individual – human remains identified as belonging to one unique individual; often this can be a single body part or skeletal element.</w:t>
      </w:r>
      <w:r w:rsidR="00171453" w:rsidRPr="00CF6110">
        <w:rPr>
          <w:vertAlign w:val="superscript"/>
        </w:rPr>
        <w:footnoteReference w:id="95"/>
      </w:r>
    </w:p>
    <w:p w14:paraId="5CF80113" w14:textId="4440FDD3" w:rsidR="00171453" w:rsidRPr="00CF6110" w:rsidRDefault="002C447D" w:rsidP="00171453">
      <w:pPr>
        <w:pStyle w:val="SingleTxtG"/>
      </w:pPr>
      <w:r w:rsidRPr="00CF6110">
        <w:t xml:space="preserve">The date when the remains are located should be reflected in the code. The numbering system may be used for all evidence recovered from the same </w:t>
      </w:r>
      <w:r w:rsidR="00171453" w:rsidRPr="00CF6110">
        <w:t>site.</w:t>
      </w:r>
    </w:p>
    <w:p w14:paraId="314E1477" w14:textId="77777777" w:rsidR="00171453" w:rsidRPr="00CF6110" w:rsidRDefault="00867387" w:rsidP="00171453">
      <w:pPr>
        <w:pStyle w:val="SingleTxtG"/>
      </w:pPr>
      <w:r w:rsidRPr="00CF6110">
        <w:t>105.</w:t>
      </w:r>
      <w:r w:rsidRPr="00CF6110">
        <w:tab/>
      </w:r>
      <w:r w:rsidR="00171453" w:rsidRPr="00CF6110">
        <w:t>If it appears there are multiple deceased, the exercise of recovering the human remains may follow that of a Disaster Victim Identification procedure. In this case, the Interpol DVI Manual should be consulted.</w:t>
      </w:r>
      <w:r w:rsidR="00171453" w:rsidRPr="00CF6110">
        <w:rPr>
          <w:vertAlign w:val="superscript"/>
        </w:rPr>
        <w:footnoteReference w:id="96"/>
      </w:r>
      <w:r w:rsidR="00171453" w:rsidRPr="00CF6110">
        <w:t xml:space="preserve"> </w:t>
      </w:r>
    </w:p>
    <w:p w14:paraId="1B73D58D" w14:textId="77777777" w:rsidR="00867387" w:rsidRPr="00CF6110" w:rsidRDefault="00867387" w:rsidP="00867387">
      <w:pPr>
        <w:pStyle w:val="H23G"/>
        <w:spacing w:line="240" w:lineRule="atLeast"/>
      </w:pPr>
      <w:bookmarkStart w:id="45" w:name="_Toc443387520"/>
      <w:bookmarkStart w:id="46" w:name="_Toc443397106"/>
      <w:bookmarkStart w:id="47" w:name="_Toc445909185"/>
      <w:r w:rsidRPr="00CF6110">
        <w:tab/>
        <w:t xml:space="preserve">3. </w:t>
      </w:r>
      <w:r w:rsidRPr="00CF6110">
        <w:tab/>
      </w:r>
      <w:r w:rsidRPr="00CF6110">
        <w:rPr>
          <w:bCs/>
        </w:rPr>
        <w:t>Inventory</w:t>
      </w:r>
    </w:p>
    <w:bookmarkEnd w:id="45"/>
    <w:bookmarkEnd w:id="46"/>
    <w:bookmarkEnd w:id="47"/>
    <w:p w14:paraId="45D43E2A" w14:textId="77777777" w:rsidR="00171453" w:rsidRPr="00CF6110" w:rsidRDefault="00867387" w:rsidP="00171453">
      <w:pPr>
        <w:pStyle w:val="SingleTxtG"/>
      </w:pPr>
      <w:r w:rsidRPr="00CF6110">
        <w:t>106.</w:t>
      </w:r>
      <w:r w:rsidRPr="00CF6110">
        <w:tab/>
      </w:r>
      <w:r w:rsidR="00171453" w:rsidRPr="00CF6110">
        <w:t>Crime-scene notes should include a detailed inventory of the human remains recovered, which should describe:</w:t>
      </w:r>
    </w:p>
    <w:p w14:paraId="7A61B715" w14:textId="77777777" w:rsidR="00171453" w:rsidRPr="00CF6110" w:rsidRDefault="00867387" w:rsidP="00867387">
      <w:pPr>
        <w:pStyle w:val="SingleTxtG"/>
        <w:ind w:firstLine="567"/>
      </w:pPr>
      <w:r w:rsidRPr="00CF6110">
        <w:t>(a)</w:t>
      </w:r>
      <w:r w:rsidRPr="00CF6110">
        <w:tab/>
      </w:r>
      <w:proofErr w:type="gramStart"/>
      <w:r w:rsidR="00171453" w:rsidRPr="00CF6110">
        <w:t>the</w:t>
      </w:r>
      <w:proofErr w:type="gramEnd"/>
      <w:r w:rsidR="00171453" w:rsidRPr="00CF6110">
        <w:t xml:space="preserve"> state of decomposition of the remains </w:t>
      </w:r>
    </w:p>
    <w:p w14:paraId="11B99B11" w14:textId="77777777" w:rsidR="00171453" w:rsidRPr="00CF6110" w:rsidRDefault="00867387" w:rsidP="00867387">
      <w:pPr>
        <w:pStyle w:val="SingleTxtG"/>
        <w:ind w:firstLine="567"/>
      </w:pPr>
      <w:r w:rsidRPr="00CF6110">
        <w:t>(b)</w:t>
      </w:r>
      <w:r w:rsidRPr="00CF6110">
        <w:tab/>
      </w:r>
      <w:proofErr w:type="gramStart"/>
      <w:r w:rsidR="00171453" w:rsidRPr="00CF6110">
        <w:t>the</w:t>
      </w:r>
      <w:proofErr w:type="gramEnd"/>
      <w:r w:rsidR="00171453" w:rsidRPr="00CF6110">
        <w:t xml:space="preserve"> body parts/skeletal elements recovered</w:t>
      </w:r>
    </w:p>
    <w:p w14:paraId="187E8729" w14:textId="77777777" w:rsidR="00171453" w:rsidRPr="00CF6110" w:rsidRDefault="00867387" w:rsidP="00867387">
      <w:pPr>
        <w:pStyle w:val="SingleTxtG"/>
        <w:ind w:firstLine="567"/>
      </w:pPr>
      <w:r w:rsidRPr="00CF6110">
        <w:t>(c)</w:t>
      </w:r>
      <w:r w:rsidRPr="00CF6110">
        <w:tab/>
      </w:r>
      <w:proofErr w:type="gramStart"/>
      <w:r w:rsidR="00171453" w:rsidRPr="00CF6110">
        <w:t>any</w:t>
      </w:r>
      <w:proofErr w:type="gramEnd"/>
      <w:r w:rsidR="00171453" w:rsidRPr="00CF6110">
        <w:t xml:space="preserve"> visible defects/possible trauma</w:t>
      </w:r>
    </w:p>
    <w:p w14:paraId="4913FB46" w14:textId="77777777" w:rsidR="00171453" w:rsidRPr="00CF6110" w:rsidRDefault="00867387" w:rsidP="00867387">
      <w:pPr>
        <w:pStyle w:val="SingleTxtG"/>
        <w:ind w:firstLine="567"/>
      </w:pPr>
      <w:r w:rsidRPr="00CF6110">
        <w:t>(d)</w:t>
      </w:r>
      <w:r w:rsidRPr="00CF6110">
        <w:tab/>
      </w:r>
      <w:proofErr w:type="gramStart"/>
      <w:r w:rsidR="00171453" w:rsidRPr="00CF6110">
        <w:t>clothing</w:t>
      </w:r>
      <w:proofErr w:type="gramEnd"/>
    </w:p>
    <w:p w14:paraId="1E9B7BEE" w14:textId="77777777" w:rsidR="00171453" w:rsidRPr="00CF6110" w:rsidRDefault="00867387" w:rsidP="00867387">
      <w:pPr>
        <w:pStyle w:val="SingleTxtG"/>
        <w:ind w:firstLine="567"/>
      </w:pPr>
      <w:r w:rsidRPr="00CF6110">
        <w:t>(e)</w:t>
      </w:r>
      <w:r w:rsidRPr="00CF6110">
        <w:tab/>
      </w:r>
      <w:proofErr w:type="gramStart"/>
      <w:r w:rsidR="00171453" w:rsidRPr="00CF6110">
        <w:t>personal</w:t>
      </w:r>
      <w:proofErr w:type="gramEnd"/>
      <w:r w:rsidR="00171453" w:rsidRPr="00CF6110">
        <w:t xml:space="preserve"> effects</w:t>
      </w:r>
    </w:p>
    <w:p w14:paraId="4DEE2896" w14:textId="77777777" w:rsidR="00171453" w:rsidRPr="00CF6110" w:rsidRDefault="00867387" w:rsidP="007150FC">
      <w:pPr>
        <w:pStyle w:val="SingleTxtG"/>
        <w:ind w:left="1701"/>
      </w:pPr>
      <w:r w:rsidRPr="00CF6110">
        <w:lastRenderedPageBreak/>
        <w:t>(f)</w:t>
      </w:r>
      <w:r w:rsidRPr="00CF6110">
        <w:tab/>
      </w:r>
      <w:proofErr w:type="gramStart"/>
      <w:r w:rsidR="00171453" w:rsidRPr="00CF6110">
        <w:t>any</w:t>
      </w:r>
      <w:proofErr w:type="gramEnd"/>
      <w:r w:rsidR="00171453" w:rsidRPr="00CF6110">
        <w:t xml:space="preserve"> other contextual evidence associated directly with the remains (e.g. ligatures, blindfolds, projectiles, trace evidence).</w:t>
      </w:r>
    </w:p>
    <w:p w14:paraId="4497D523" w14:textId="77777777" w:rsidR="00171453" w:rsidRPr="00CF6110" w:rsidRDefault="00867387" w:rsidP="00171453">
      <w:pPr>
        <w:pStyle w:val="SingleTxtG"/>
      </w:pPr>
      <w:r w:rsidRPr="00CF6110">
        <w:t>107.</w:t>
      </w:r>
      <w:r w:rsidRPr="00CF6110">
        <w:tab/>
      </w:r>
      <w:r w:rsidR="00171453" w:rsidRPr="00CF6110">
        <w:t>The inventory should be created under the supervision of a forensic pathologist/doctor and/or forensic anthropologist. Field identification of body parts/skeletal elements and trauma should not be taken as final until confirmed by analysis in the laboratory or mortuary. Any descriptions and preliminary determinations noted in the field should be recorded in the crime-scene notes and documented through photography and anatomical diagrams and in any scene sketches. Labelling on the packaging needs to be consistent with the numbering in the inventory, on the diagrams, and on the skeletal inventory forms, and should be documented by photography.</w:t>
      </w:r>
    </w:p>
    <w:p w14:paraId="0FD886F8" w14:textId="77777777" w:rsidR="00171453" w:rsidRPr="00CF6110" w:rsidRDefault="00867387" w:rsidP="00171453">
      <w:pPr>
        <w:pStyle w:val="SingleTxtG"/>
      </w:pPr>
      <w:r w:rsidRPr="00CF6110">
        <w:t>108.</w:t>
      </w:r>
      <w:r w:rsidRPr="00CF6110">
        <w:tab/>
      </w:r>
      <w:r w:rsidR="00171453" w:rsidRPr="00CF6110">
        <w:t>Human remains are found in a wide variety of circumstances, each of which may affect recovery and handling of the remains. The circumstances outlined below are for intact bodies, skeletal remains on the surface, and buried bodies or skeletal remains.</w:t>
      </w:r>
    </w:p>
    <w:p w14:paraId="00BE971D" w14:textId="77777777" w:rsidR="00867387" w:rsidRPr="00CF6110" w:rsidRDefault="00867387" w:rsidP="00867387">
      <w:pPr>
        <w:pStyle w:val="H23G"/>
        <w:spacing w:line="240" w:lineRule="atLeast"/>
      </w:pPr>
      <w:bookmarkStart w:id="48" w:name="_Toc443387521"/>
      <w:bookmarkStart w:id="49" w:name="_Toc443397107"/>
      <w:bookmarkStart w:id="50" w:name="_Toc445909186"/>
      <w:r w:rsidRPr="00CF6110">
        <w:tab/>
        <w:t xml:space="preserve">4. </w:t>
      </w:r>
      <w:r w:rsidRPr="00CF6110">
        <w:tab/>
      </w:r>
      <w:r w:rsidRPr="00CF6110">
        <w:rPr>
          <w:bCs/>
        </w:rPr>
        <w:t>Intact bodies</w:t>
      </w:r>
    </w:p>
    <w:bookmarkEnd w:id="48"/>
    <w:bookmarkEnd w:id="49"/>
    <w:bookmarkEnd w:id="50"/>
    <w:p w14:paraId="2AB7DDCC" w14:textId="77777777" w:rsidR="00171453" w:rsidRPr="00CF6110" w:rsidRDefault="00867387" w:rsidP="00171453">
      <w:pPr>
        <w:pStyle w:val="SingleTxtG"/>
      </w:pPr>
      <w:r w:rsidRPr="00CF6110">
        <w:t>109.</w:t>
      </w:r>
      <w:r w:rsidRPr="00CF6110">
        <w:tab/>
      </w:r>
      <w:r w:rsidR="00171453" w:rsidRPr="00CF6110">
        <w:t>Intact bodies are human remains that are recognizable as one individual with most of the soft tissue present. In general, examination and evidence recovery from the remains should not occur at the scene unless there are good reasons for doing so.</w:t>
      </w:r>
    </w:p>
    <w:p w14:paraId="6AC49FAB" w14:textId="77777777" w:rsidR="00171453" w:rsidRPr="00CF6110" w:rsidRDefault="00867387" w:rsidP="00171453">
      <w:pPr>
        <w:pStyle w:val="SingleTxtG"/>
      </w:pPr>
      <w:r w:rsidRPr="00CF6110">
        <w:t>110.</w:t>
      </w:r>
      <w:r w:rsidRPr="00CF6110">
        <w:tab/>
      </w:r>
      <w:r w:rsidR="00171453" w:rsidRPr="00CF6110">
        <w:t>Preservation of trace evidence (e.g. gunshot residue, fibres, hairs, and foreign DNA on clothing) should be taken into account. In some cases, such evidence might be contaminated (for example, by blood from the deceased), displaced from its original location, or lost in transport when left on the body. In such cases, the clothing should be removed, secured in individual packaging, and placed into the body bag along with the body. The rationale for this decision should be explained and recorded in the scene notes and documented through photography.</w:t>
      </w:r>
    </w:p>
    <w:p w14:paraId="4FC6C9E7" w14:textId="77777777" w:rsidR="00171453" w:rsidRPr="00CF6110" w:rsidRDefault="00867387" w:rsidP="00171453">
      <w:pPr>
        <w:pStyle w:val="SingleTxtG"/>
      </w:pPr>
      <w:r w:rsidRPr="00CF6110">
        <w:t>111.</w:t>
      </w:r>
      <w:r w:rsidRPr="00CF6110">
        <w:tab/>
      </w:r>
      <w:r w:rsidR="00171453" w:rsidRPr="00CF6110">
        <w:t>Trace evidence that might be present on the hands and/or under the fingernails (such as fibres or foreign DNA) can be protected for later collection under controlled conditions in the mortuary by placing the hands (and feet when necessary) in paper bags, which should be tape sealed. Consideration should be given to whether fluid may leak from the body thereby contaminating the paper bags.</w:t>
      </w:r>
    </w:p>
    <w:p w14:paraId="183C90EA" w14:textId="77777777" w:rsidR="00171453" w:rsidRPr="00CF6110" w:rsidRDefault="00867387" w:rsidP="00171453">
      <w:pPr>
        <w:pStyle w:val="SingleTxtG"/>
      </w:pPr>
      <w:r w:rsidRPr="00CF6110">
        <w:t>112.</w:t>
      </w:r>
      <w:r w:rsidRPr="00CF6110">
        <w:tab/>
      </w:r>
      <w:r w:rsidR="00171453" w:rsidRPr="00CF6110">
        <w:t>The placement of the body within the scene should be clearly and properly documented and the surface underneath the body processed for any additional evidence that might be present.</w:t>
      </w:r>
    </w:p>
    <w:p w14:paraId="66902D5C" w14:textId="77777777" w:rsidR="00171453" w:rsidRPr="00CF6110" w:rsidRDefault="00867387" w:rsidP="00171453">
      <w:pPr>
        <w:pStyle w:val="SingleTxtG"/>
      </w:pPr>
      <w:r w:rsidRPr="00CF6110">
        <w:t>113.</w:t>
      </w:r>
      <w:r w:rsidRPr="00CF6110">
        <w:tab/>
      </w:r>
      <w:r w:rsidR="00171453" w:rsidRPr="00CF6110">
        <w:t xml:space="preserve">The body should be placed and packaged in a body bag following chain-of-custody procedures (i.e. correct labelling of the body and body bag, related documentation for security/chain of custody, and sealing and signing of the body bag). </w:t>
      </w:r>
    </w:p>
    <w:p w14:paraId="4428FFC8" w14:textId="77777777" w:rsidR="00171453" w:rsidRPr="00CF6110" w:rsidRDefault="00867387" w:rsidP="00171453">
      <w:pPr>
        <w:pStyle w:val="SingleTxtG"/>
      </w:pPr>
      <w:r w:rsidRPr="00CF6110">
        <w:t>114.</w:t>
      </w:r>
      <w:r w:rsidRPr="00CF6110">
        <w:tab/>
      </w:r>
      <w:r w:rsidR="00171453" w:rsidRPr="00CF6110">
        <w:t>Following the recovery and packaging of the body, it should be placed in refrigerated or cool storage to inhibit further decomposition of the remains.</w:t>
      </w:r>
    </w:p>
    <w:p w14:paraId="73E981EE" w14:textId="77777777" w:rsidR="00867387" w:rsidRPr="00CF6110" w:rsidRDefault="00867387" w:rsidP="00867387">
      <w:pPr>
        <w:pStyle w:val="H23G"/>
        <w:spacing w:line="240" w:lineRule="atLeast"/>
      </w:pPr>
      <w:bookmarkStart w:id="51" w:name="_Toc443387522"/>
      <w:bookmarkStart w:id="52" w:name="_Toc443397108"/>
      <w:bookmarkStart w:id="53" w:name="_Toc445909187"/>
      <w:r w:rsidRPr="00CF6110">
        <w:tab/>
        <w:t xml:space="preserve">5. </w:t>
      </w:r>
      <w:r w:rsidRPr="00CF6110">
        <w:tab/>
      </w:r>
      <w:r w:rsidRPr="00CF6110">
        <w:rPr>
          <w:bCs/>
        </w:rPr>
        <w:t>Skeletal remains on the surface</w:t>
      </w:r>
    </w:p>
    <w:bookmarkEnd w:id="51"/>
    <w:bookmarkEnd w:id="52"/>
    <w:bookmarkEnd w:id="53"/>
    <w:p w14:paraId="602A8557" w14:textId="77777777" w:rsidR="00171453" w:rsidRPr="00CF6110" w:rsidRDefault="00867387" w:rsidP="00171453">
      <w:pPr>
        <w:pStyle w:val="SingleTxtG"/>
      </w:pPr>
      <w:r w:rsidRPr="00CF6110">
        <w:t>115.</w:t>
      </w:r>
      <w:r w:rsidRPr="00CF6110">
        <w:tab/>
      </w:r>
      <w:r w:rsidR="00171453" w:rsidRPr="00CF6110">
        <w:t>Sometimes human remains found on the surface are disarticulated and separated from each other to the degree that any association between them has been lost. In these circumstances where possible a forensic anthropologist or forensic doctor should be present at the scene, allowing a preliminary field assessment of:</w:t>
      </w:r>
    </w:p>
    <w:p w14:paraId="5A4A3A70" w14:textId="77777777" w:rsidR="00171453" w:rsidRPr="00CF6110" w:rsidRDefault="00867387" w:rsidP="00867387">
      <w:pPr>
        <w:pStyle w:val="SingleTxtG"/>
        <w:ind w:firstLine="567"/>
      </w:pPr>
      <w:r w:rsidRPr="00CF6110">
        <w:t>(a)</w:t>
      </w:r>
      <w:r w:rsidRPr="00CF6110">
        <w:tab/>
      </w:r>
      <w:r w:rsidR="00171453" w:rsidRPr="00CF6110">
        <w:t>Whether the remains are human or not</w:t>
      </w:r>
    </w:p>
    <w:p w14:paraId="6CB0C0BD" w14:textId="77777777" w:rsidR="00171453" w:rsidRPr="00CF6110" w:rsidRDefault="00867387" w:rsidP="00867387">
      <w:pPr>
        <w:pStyle w:val="SingleTxtG"/>
        <w:ind w:firstLine="567"/>
      </w:pPr>
      <w:r w:rsidRPr="00CF6110">
        <w:t>(b)</w:t>
      </w:r>
      <w:r w:rsidRPr="00CF6110">
        <w:tab/>
      </w:r>
      <w:r w:rsidR="00171453" w:rsidRPr="00CF6110">
        <w:t>Whether the remains represent one or more individuals</w:t>
      </w:r>
    </w:p>
    <w:p w14:paraId="53DEFBA2" w14:textId="77777777" w:rsidR="00171453" w:rsidRPr="00CF6110" w:rsidRDefault="00867387" w:rsidP="00867387">
      <w:pPr>
        <w:pStyle w:val="SingleTxtG"/>
        <w:ind w:firstLine="567"/>
      </w:pPr>
      <w:r w:rsidRPr="00CF6110">
        <w:t>(c)</w:t>
      </w:r>
      <w:r w:rsidRPr="00CF6110">
        <w:tab/>
      </w:r>
      <w:r w:rsidR="00171453" w:rsidRPr="00CF6110">
        <w:t>The presence of any visible trauma.</w:t>
      </w:r>
    </w:p>
    <w:p w14:paraId="2C686220" w14:textId="77777777" w:rsidR="00171453" w:rsidRPr="00CF6110" w:rsidRDefault="00171453" w:rsidP="00171453">
      <w:pPr>
        <w:pStyle w:val="SingleTxtG"/>
      </w:pPr>
      <w:r w:rsidRPr="00CF6110">
        <w:lastRenderedPageBreak/>
        <w:t xml:space="preserve">The expert should then supervise a correct inventory of the human remains. </w:t>
      </w:r>
    </w:p>
    <w:p w14:paraId="3B892B29" w14:textId="77777777" w:rsidR="00171453" w:rsidRPr="00CF6110" w:rsidRDefault="00867387" w:rsidP="00171453">
      <w:pPr>
        <w:pStyle w:val="SingleTxtG"/>
      </w:pPr>
      <w:r w:rsidRPr="00CF6110">
        <w:t>116.</w:t>
      </w:r>
      <w:r w:rsidRPr="00CF6110">
        <w:tab/>
      </w:r>
      <w:r w:rsidR="00171453" w:rsidRPr="00CF6110">
        <w:t>In such circumstances, coordinated crime-scene search methods should be used to locate all human remains prior to labelling, documentation, recovery, and preparation of an inventory. The pattern of the scattering throughout the scene should be documented in notes and sketches and through photography. This can indicate where a body or bodies first came to rest prior to disassociating into individual parts.</w:t>
      </w:r>
    </w:p>
    <w:p w14:paraId="18498CF4" w14:textId="77777777" w:rsidR="00171453" w:rsidRPr="00CF6110" w:rsidRDefault="00867387" w:rsidP="00171453">
      <w:pPr>
        <w:pStyle w:val="SingleTxtG"/>
      </w:pPr>
      <w:r w:rsidRPr="00CF6110">
        <w:t>117.</w:t>
      </w:r>
      <w:r w:rsidRPr="00CF6110">
        <w:tab/>
      </w:r>
      <w:r w:rsidR="00171453" w:rsidRPr="00CF6110">
        <w:t>Scattered skeletal elements need to be packaged in paper bags and labelled, sealed, and signed according to evidence-packaging procedures.</w:t>
      </w:r>
    </w:p>
    <w:p w14:paraId="58B123F0" w14:textId="77777777" w:rsidR="00867387" w:rsidRPr="00CF6110" w:rsidRDefault="00867387" w:rsidP="00867387">
      <w:pPr>
        <w:pStyle w:val="H23G"/>
        <w:spacing w:line="240" w:lineRule="atLeast"/>
      </w:pPr>
      <w:r w:rsidRPr="00CF6110">
        <w:tab/>
        <w:t xml:space="preserve">6. </w:t>
      </w:r>
      <w:r w:rsidRPr="00CF6110">
        <w:tab/>
      </w:r>
      <w:r w:rsidRPr="00CF6110">
        <w:rPr>
          <w:bCs/>
        </w:rPr>
        <w:t>Buried bodies/skeletal remains</w:t>
      </w:r>
    </w:p>
    <w:p w14:paraId="1EBC89FA" w14:textId="77777777" w:rsidR="00171453" w:rsidRPr="00CF6110" w:rsidRDefault="00867387" w:rsidP="00171453">
      <w:pPr>
        <w:pStyle w:val="SingleTxtG"/>
      </w:pPr>
      <w:r w:rsidRPr="00CF6110">
        <w:t>118.</w:t>
      </w:r>
      <w:r w:rsidRPr="00CF6110">
        <w:tab/>
      </w:r>
      <w:r w:rsidR="00171453" w:rsidRPr="00CF6110">
        <w:t>A grave may contain the remains of one person buried alone or of two or more persons buried either at the same time or over time.</w:t>
      </w:r>
    </w:p>
    <w:p w14:paraId="420602DA" w14:textId="77777777" w:rsidR="00171453" w:rsidRPr="00CF6110" w:rsidRDefault="00867387" w:rsidP="00171453">
      <w:pPr>
        <w:pStyle w:val="SingleTxtG"/>
      </w:pPr>
      <w:r w:rsidRPr="00CF6110">
        <w:t>119.</w:t>
      </w:r>
      <w:r w:rsidRPr="00CF6110">
        <w:tab/>
      </w:r>
      <w:r w:rsidR="00171453" w:rsidRPr="00CF6110">
        <w:t>A primary grave is the grave in which the deceased is first placed. If the remains are then removed and are reburied, the place of reburial is considered to be a secondary grave. An undisturbed burial is unchanged since the time of primary burial. A disturbed burial is one that has been altered after the time of primary burial, either by human intervention or animal scavenging, or by other natural processes. All secondary burials should be considered to be disturbed. Archaeological methods may be used to detect a disturbance in a primary burial.</w:t>
      </w:r>
    </w:p>
    <w:p w14:paraId="7BA84686" w14:textId="77777777" w:rsidR="00171453" w:rsidRPr="00CF6110" w:rsidRDefault="00867387" w:rsidP="00171453">
      <w:pPr>
        <w:pStyle w:val="SingleTxtG"/>
      </w:pPr>
      <w:r w:rsidRPr="00CF6110">
        <w:t>120.</w:t>
      </w:r>
      <w:r w:rsidRPr="00CF6110">
        <w:tab/>
      </w:r>
      <w:r w:rsidR="00171453" w:rsidRPr="00CF6110">
        <w:t>Where human remains are buried, associated soil disturbances can be identified through surveys by experienced archaeologists. Such experts can identify modifications in the landscape, vegetation, movement of soil, or differences in plant growth that might indicate the presence of a burial. Where they are available, non-intrusive technologies, such as satellite/aerial image analysis and geophysical survey equipment such as ground-penetrating radar may also be useful to indicate areas where soil has been moved, consistent with the burial of human remains. Intrusive archaeological methods, such as metal probes or trenches, should be used to determine if human remains are present and to uncover the physical size and detailed contents of a grave.</w:t>
      </w:r>
    </w:p>
    <w:p w14:paraId="01A68103" w14:textId="77777777" w:rsidR="00867387" w:rsidRPr="00CF6110" w:rsidRDefault="00867387" w:rsidP="00867387">
      <w:pPr>
        <w:pStyle w:val="H23G"/>
        <w:spacing w:line="240" w:lineRule="atLeast"/>
      </w:pPr>
      <w:bookmarkStart w:id="54" w:name="_Toc443387524"/>
      <w:bookmarkStart w:id="55" w:name="_Toc443397110"/>
      <w:bookmarkStart w:id="56" w:name="_Toc445909189"/>
      <w:r w:rsidRPr="00CF6110">
        <w:tab/>
        <w:t xml:space="preserve">7. </w:t>
      </w:r>
      <w:r w:rsidRPr="00CF6110">
        <w:tab/>
      </w:r>
      <w:r w:rsidRPr="00CF6110">
        <w:rPr>
          <w:bCs/>
        </w:rPr>
        <w:t>Considerations in the recovery of buried remains</w:t>
      </w:r>
    </w:p>
    <w:bookmarkEnd w:id="54"/>
    <w:bookmarkEnd w:id="55"/>
    <w:bookmarkEnd w:id="56"/>
    <w:p w14:paraId="6BB00D27" w14:textId="77777777" w:rsidR="00171453" w:rsidRPr="00CF6110" w:rsidRDefault="00867387" w:rsidP="00171453">
      <w:pPr>
        <w:pStyle w:val="SingleTxtG"/>
      </w:pPr>
      <w:r w:rsidRPr="00CF6110">
        <w:t>121.</w:t>
      </w:r>
      <w:r w:rsidRPr="00CF6110">
        <w:tab/>
      </w:r>
      <w:r w:rsidR="00171453" w:rsidRPr="00CF6110">
        <w:t xml:space="preserve">Buried human remains can be encountered in various stages of decomposition, from complete bodies with soft tissues present to fully skeletonized remains. Packaging depends on whether disinterred remains are complete bodies with soft tissue present (body bag) or fully skeletonized (paper bags). </w:t>
      </w:r>
    </w:p>
    <w:p w14:paraId="5BF592CB" w14:textId="77777777" w:rsidR="00171453" w:rsidRPr="00CF6110" w:rsidRDefault="00867387" w:rsidP="00171453">
      <w:pPr>
        <w:pStyle w:val="SingleTxtG"/>
      </w:pPr>
      <w:r w:rsidRPr="00CF6110">
        <w:t>122.</w:t>
      </w:r>
      <w:r w:rsidRPr="00CF6110">
        <w:tab/>
      </w:r>
      <w:r w:rsidR="00171453" w:rsidRPr="00CF6110">
        <w:t xml:space="preserve">Buried remains are found in individual graves or mass graves (see above). In all instances, archaeological methods should be used in the excavation of any graves, as set out in the relevant Detailed Guidelines. </w:t>
      </w:r>
    </w:p>
    <w:p w14:paraId="770D6443" w14:textId="77777777" w:rsidR="00867387" w:rsidRPr="00CF6110" w:rsidRDefault="00867387" w:rsidP="00867387">
      <w:pPr>
        <w:pStyle w:val="H1G"/>
        <w:spacing w:line="240" w:lineRule="atLeast"/>
      </w:pPr>
      <w:bookmarkStart w:id="57" w:name="_Toc443387526"/>
      <w:bookmarkStart w:id="58" w:name="_Toc443397112"/>
      <w:bookmarkStart w:id="59" w:name="_Toc445909190"/>
      <w:r w:rsidRPr="00CF6110">
        <w:tab/>
        <w:t xml:space="preserve">E. </w:t>
      </w:r>
      <w:r w:rsidRPr="00CF6110">
        <w:tab/>
      </w:r>
      <w:r w:rsidRPr="00CF6110">
        <w:rPr>
          <w:bCs/>
        </w:rPr>
        <w:t>Identification of Dead Bodies</w:t>
      </w:r>
    </w:p>
    <w:p w14:paraId="57CC5B78" w14:textId="77777777" w:rsidR="00867387" w:rsidRPr="00CF6110" w:rsidRDefault="00867387" w:rsidP="00867387">
      <w:pPr>
        <w:pStyle w:val="H23G"/>
        <w:spacing w:line="240" w:lineRule="atLeast"/>
      </w:pPr>
      <w:r w:rsidRPr="00CF6110">
        <w:tab/>
        <w:t xml:space="preserve">1. </w:t>
      </w:r>
      <w:r w:rsidRPr="00CF6110">
        <w:tab/>
      </w:r>
      <w:r w:rsidRPr="00CF6110">
        <w:rPr>
          <w:bCs/>
        </w:rPr>
        <w:t>General principles</w:t>
      </w:r>
    </w:p>
    <w:bookmarkEnd w:id="57"/>
    <w:bookmarkEnd w:id="58"/>
    <w:bookmarkEnd w:id="59"/>
    <w:p w14:paraId="55DDF19F" w14:textId="71219F44" w:rsidR="00171453" w:rsidRPr="00CF6110" w:rsidRDefault="00867387" w:rsidP="00171453">
      <w:pPr>
        <w:pStyle w:val="SingleTxtG"/>
      </w:pPr>
      <w:r w:rsidRPr="00CF6110">
        <w:t>123.</w:t>
      </w:r>
      <w:r w:rsidRPr="00CF6110">
        <w:tab/>
      </w:r>
      <w:r w:rsidR="00171453" w:rsidRPr="00CF6110">
        <w:t xml:space="preserve">Human identification is the allocation of the correct name/identity to human remains. In any death investigation, identification of the body or bodies is a major priority. It also meets </w:t>
      </w:r>
      <w:r w:rsidR="00F71D8C" w:rsidRPr="00CF6110">
        <w:t xml:space="preserve">humanitarian, </w:t>
      </w:r>
      <w:r w:rsidR="00171453" w:rsidRPr="00CF6110">
        <w:t>human rights</w:t>
      </w:r>
      <w:r w:rsidR="00F71D8C" w:rsidRPr="00CF6110">
        <w:t>,</w:t>
      </w:r>
      <w:r w:rsidR="00171453" w:rsidRPr="00CF6110">
        <w:t xml:space="preserve"> and other social and cultural needs. Good quality ante-mortem and post-mortem data, properly compared, are required for a valid identification. </w:t>
      </w:r>
    </w:p>
    <w:p w14:paraId="3E8B313C" w14:textId="77777777" w:rsidR="00867387" w:rsidRPr="00CF6110" w:rsidRDefault="00867387" w:rsidP="00867387">
      <w:pPr>
        <w:pStyle w:val="H23G"/>
        <w:spacing w:line="240" w:lineRule="atLeast"/>
      </w:pPr>
      <w:bookmarkStart w:id="60" w:name="_Toc443387527"/>
      <w:bookmarkStart w:id="61" w:name="_Toc443397113"/>
      <w:bookmarkStart w:id="62" w:name="_Toc445909192"/>
      <w:r w:rsidRPr="00CF6110">
        <w:lastRenderedPageBreak/>
        <w:tab/>
        <w:t xml:space="preserve">2. </w:t>
      </w:r>
      <w:r w:rsidRPr="00CF6110">
        <w:tab/>
      </w:r>
      <w:r w:rsidRPr="00CF6110">
        <w:rPr>
          <w:bCs/>
        </w:rPr>
        <w:t>Visual recognition</w:t>
      </w:r>
    </w:p>
    <w:bookmarkEnd w:id="60"/>
    <w:bookmarkEnd w:id="61"/>
    <w:bookmarkEnd w:id="62"/>
    <w:p w14:paraId="7CECA7C8" w14:textId="77777777" w:rsidR="00171453" w:rsidRPr="00CF6110" w:rsidRDefault="00867387" w:rsidP="00171453">
      <w:pPr>
        <w:pStyle w:val="SingleTxtG"/>
      </w:pPr>
      <w:r w:rsidRPr="00CF6110">
        <w:rPr>
          <w:bCs/>
        </w:rPr>
        <w:t>124.</w:t>
      </w:r>
      <w:r w:rsidRPr="00CF6110">
        <w:rPr>
          <w:bCs/>
        </w:rPr>
        <w:tab/>
      </w:r>
      <w:r w:rsidR="00171453" w:rsidRPr="00CF6110">
        <w:t>Viewing of the dead body and its recognition by family or friends is a form of ante-mortem and post-mortem comparison. It is undertaken universally and is often reliable. However, identification following the viewing of a dead body by a relative or friend can be mistaken: either falsely positive or falsely negative. Virtually all mortuaries have experience of such mistakes. Factors contributing to this possibility include facial congestion or lividity; lung oedema or stomach fluids issuing from mouth and/or nose; the presence of facial fractures, other injuries, or bleeding; or changes associated with decomposition. Family members may be anxious or distressed to the point they may not even look at the body or face of the deceased. The family member may rely on something other than the facial appearance of the deceased for its recognition; for example, the appearance of the clothing or an item of jewellery such as a ring on a finger. These can, though, be unreliable means of identification. Interpol does not accept facial recognition as a form of positive identity.</w:t>
      </w:r>
    </w:p>
    <w:p w14:paraId="1DED8D75" w14:textId="6F607117" w:rsidR="00171453" w:rsidRPr="00CF6110" w:rsidRDefault="00867387" w:rsidP="00171453">
      <w:pPr>
        <w:pStyle w:val="SingleTxtG"/>
      </w:pPr>
      <w:r w:rsidRPr="00CF6110">
        <w:t>125.</w:t>
      </w:r>
      <w:r w:rsidRPr="00CF6110">
        <w:tab/>
      </w:r>
      <w:r w:rsidR="00171453" w:rsidRPr="00CF6110">
        <w:t xml:space="preserve">If the dead body is to be viewed for the purposes of recognition to help in its formal identification, this should be undertaken in controlled circumstances. Whenever possible, the viewing should be conducted in a designated area which respects the viewer’s privacy and emotional state, and minimizes distractions. The process should be supervised and witnessed by a forensic doctor, a trained mortuary technician, a grief counsellor (social worker), or other trained professional. </w:t>
      </w:r>
      <w:r w:rsidR="008B7021" w:rsidRPr="00CF6110">
        <w:t>Children should not be involved in visual recognition for identification purposes.</w:t>
      </w:r>
    </w:p>
    <w:p w14:paraId="3D588743" w14:textId="77777777" w:rsidR="00171453" w:rsidRPr="00CF6110" w:rsidRDefault="006A1D67" w:rsidP="00171453">
      <w:pPr>
        <w:pStyle w:val="SingleTxtG"/>
      </w:pPr>
      <w:r w:rsidRPr="00CF6110">
        <w:t>126.</w:t>
      </w:r>
      <w:r w:rsidRPr="00CF6110">
        <w:tab/>
      </w:r>
      <w:r w:rsidR="00171453" w:rsidRPr="00CF6110">
        <w:t xml:space="preserve">The dead body should be professionally assessed as being capable of being recognized by visual inspection. The body should not show signs of decomposition; there should be no significant injury affecting the central facial features and, preferably, the face should be clean. (This last requirement may not be compatible with investigative priorities – e.g. the examination, photography). </w:t>
      </w:r>
    </w:p>
    <w:p w14:paraId="0849F34E" w14:textId="77777777" w:rsidR="00171453" w:rsidRPr="00CF6110" w:rsidRDefault="006A1D67" w:rsidP="00171453">
      <w:pPr>
        <w:pStyle w:val="SingleTxtG"/>
      </w:pPr>
      <w:r w:rsidRPr="00CF6110">
        <w:t>127.</w:t>
      </w:r>
      <w:r w:rsidRPr="00CF6110">
        <w:tab/>
      </w:r>
      <w:r w:rsidR="00171453" w:rsidRPr="00CF6110">
        <w:t xml:space="preserve">Preferably, the person viewing the dead body should be asked to look particularly at the body and face, and asked what facial (or bodily) features he or she relied on in reaching their decision. For example, was it the appearance of the face, the shape of the nose or a mole on the face, a scar or the hair style? In this way, any person witnessing the process can assess whether or not the conclusion of the person viewing the dead body is likely to be reliable. </w:t>
      </w:r>
    </w:p>
    <w:p w14:paraId="1807A246" w14:textId="77777777" w:rsidR="006A1D67" w:rsidRPr="00CF6110" w:rsidRDefault="006A1D67" w:rsidP="006A1D67">
      <w:pPr>
        <w:pStyle w:val="H23G"/>
        <w:spacing w:line="240" w:lineRule="atLeast"/>
      </w:pPr>
      <w:bookmarkStart w:id="63" w:name="_Toc443387528"/>
      <w:bookmarkStart w:id="64" w:name="_Toc443397114"/>
      <w:bookmarkStart w:id="65" w:name="_Toc445909193"/>
      <w:r w:rsidRPr="00CF6110">
        <w:tab/>
        <w:t xml:space="preserve">3. </w:t>
      </w:r>
      <w:r w:rsidRPr="00CF6110">
        <w:tab/>
      </w:r>
      <w:r w:rsidRPr="00CF6110">
        <w:rPr>
          <w:bCs/>
        </w:rPr>
        <w:t>The scientific approach to identification</w:t>
      </w:r>
    </w:p>
    <w:bookmarkEnd w:id="63"/>
    <w:bookmarkEnd w:id="64"/>
    <w:bookmarkEnd w:id="65"/>
    <w:p w14:paraId="77E90DF9" w14:textId="77777777" w:rsidR="00171453" w:rsidRPr="00CF6110" w:rsidRDefault="006A1D67" w:rsidP="00171453">
      <w:pPr>
        <w:pStyle w:val="SingleTxtG"/>
      </w:pPr>
      <w:r w:rsidRPr="00CF6110">
        <w:t>128.</w:t>
      </w:r>
      <w:r w:rsidRPr="00CF6110">
        <w:tab/>
      </w:r>
      <w:r w:rsidR="00171453" w:rsidRPr="00CF6110">
        <w:t xml:space="preserve">In potentially unlawful deaths (and especially as time passes and the body begins to show signs of decomposition or the facial appearance is altered by the effects of injury or fire), any identification by visual recognition must be confirmed whenever possible by using other means, including scientifically reliable methods of identification, such as fingerprints, dental examination, and DNA analysis. </w:t>
      </w:r>
    </w:p>
    <w:p w14:paraId="42CA12A7" w14:textId="77777777" w:rsidR="00171453" w:rsidRPr="00CF6110" w:rsidRDefault="006A1D67" w:rsidP="00171453">
      <w:pPr>
        <w:pStyle w:val="SingleTxtG"/>
      </w:pPr>
      <w:r w:rsidRPr="00CF6110">
        <w:t>129.</w:t>
      </w:r>
      <w:r w:rsidRPr="00CF6110">
        <w:tab/>
      </w:r>
      <w:r w:rsidR="00171453" w:rsidRPr="00CF6110">
        <w:t xml:space="preserve">These scientifically reliable methods of identification are sometimes referred to as “primary” methods of identification. Assessments of physical characteristics (such as body deformities, scars, surgical prostheses or as represented in X-rays), which are compared with records made in life, are generally regarded as secondary methods, although in some cases they could, individually or collectively, approach the level of being uniquely identifying. Identification of personal effects is also regarded as a secondary method. Primary and secondary methods may be combined to strengthen the evidence for the conclusion. </w:t>
      </w:r>
    </w:p>
    <w:p w14:paraId="5D3A5A9F" w14:textId="77777777" w:rsidR="00171453" w:rsidRPr="00CF6110" w:rsidRDefault="006A1D67" w:rsidP="00171453">
      <w:pPr>
        <w:pStyle w:val="SingleTxtG"/>
      </w:pPr>
      <w:r w:rsidRPr="00CF6110">
        <w:lastRenderedPageBreak/>
        <w:t>130.</w:t>
      </w:r>
      <w:r w:rsidRPr="00CF6110">
        <w:tab/>
      </w:r>
      <w:r w:rsidR="00171453" w:rsidRPr="00CF6110">
        <w:t>If remains are skeletonized, physical/forensic anthropologists, if available, should be involved so as to obtain the most reliable conclusions about the biological profile of the skeletal remains.</w:t>
      </w:r>
      <w:r w:rsidR="00171453" w:rsidRPr="00CF6110">
        <w:rPr>
          <w:vertAlign w:val="superscript"/>
        </w:rPr>
        <w:footnoteReference w:id="97"/>
      </w:r>
    </w:p>
    <w:p w14:paraId="22B36A51" w14:textId="77777777" w:rsidR="00171453" w:rsidRPr="00CF6110" w:rsidRDefault="006A1D67" w:rsidP="00171453">
      <w:pPr>
        <w:pStyle w:val="SingleTxtG"/>
      </w:pPr>
      <w:r w:rsidRPr="00CF6110">
        <w:t>131.</w:t>
      </w:r>
      <w:r w:rsidRPr="00CF6110">
        <w:tab/>
      </w:r>
      <w:r w:rsidR="00171453" w:rsidRPr="00CF6110">
        <w:t>The selection of the most appropriate method(s), ranging from visual recognition to sophisticated primary methods of identification, is an expert decision, usually the responsibility of the forensic doctor. The reason for selection of the methods used in a particular case, and the results, must be included in the final report. The results are considered along with other relevant information to address the question of the identification of the dead body.</w:t>
      </w:r>
    </w:p>
    <w:p w14:paraId="5802761F" w14:textId="77777777" w:rsidR="00171453" w:rsidRPr="00CF6110" w:rsidRDefault="006A1D67" w:rsidP="00171453">
      <w:pPr>
        <w:pStyle w:val="SingleTxtG"/>
      </w:pPr>
      <w:r w:rsidRPr="00CF6110">
        <w:t>132.</w:t>
      </w:r>
      <w:r w:rsidRPr="00CF6110">
        <w:tab/>
      </w:r>
      <w:r w:rsidR="00171453" w:rsidRPr="00CF6110">
        <w:t>Whatever methods of identification are employed, a methodical and holistic approach, involving the appropriate experts, with complete and detailed documentation, is always necessary.</w:t>
      </w:r>
    </w:p>
    <w:p w14:paraId="717A7526" w14:textId="77777777" w:rsidR="006A1D67" w:rsidRPr="00CF6110" w:rsidRDefault="006A1D67" w:rsidP="006A1D67">
      <w:pPr>
        <w:pStyle w:val="H23G"/>
        <w:spacing w:line="240" w:lineRule="atLeast"/>
      </w:pPr>
      <w:bookmarkStart w:id="66" w:name="_Toc443387529"/>
      <w:bookmarkStart w:id="67" w:name="_Toc443397115"/>
      <w:bookmarkStart w:id="68" w:name="_Toc445909194"/>
      <w:r w:rsidRPr="00CF6110">
        <w:tab/>
        <w:t xml:space="preserve">4. </w:t>
      </w:r>
      <w:r w:rsidRPr="00CF6110">
        <w:tab/>
      </w:r>
      <w:r w:rsidRPr="00CF6110">
        <w:rPr>
          <w:bCs/>
        </w:rPr>
        <w:t>Events with multiple deaths</w:t>
      </w:r>
    </w:p>
    <w:bookmarkEnd w:id="66"/>
    <w:bookmarkEnd w:id="67"/>
    <w:bookmarkEnd w:id="68"/>
    <w:p w14:paraId="01ED369C" w14:textId="77777777" w:rsidR="00171453" w:rsidRPr="00CF6110" w:rsidRDefault="006A1D67" w:rsidP="00171453">
      <w:pPr>
        <w:pStyle w:val="SingleTxtG"/>
      </w:pPr>
      <w:r w:rsidRPr="00CF6110">
        <w:t>133.</w:t>
      </w:r>
      <w:r w:rsidRPr="00CF6110">
        <w:tab/>
      </w:r>
      <w:r w:rsidR="00171453" w:rsidRPr="00CF6110">
        <w:t xml:space="preserve">Visual recognition alone should not be relied upon in cases of multiple deaths. Misidentification is more common in such circumstances due to emotional pressures on those undertaking the viewing. The strain of viewing a row of dead bodies, or a number of dead bodies individually one after the </w:t>
      </w:r>
      <w:proofErr w:type="gramStart"/>
      <w:r w:rsidR="00171453" w:rsidRPr="00CF6110">
        <w:t>other,</w:t>
      </w:r>
      <w:proofErr w:type="gramEnd"/>
      <w:r w:rsidR="00171453" w:rsidRPr="00CF6110">
        <w:t xml:space="preserve"> reduces the likelihood of a reliable determination of the victim’s identity. Additionally, personal effects are not unique, and depending on the processes around retrieval of the bodies, the personal effects may have been incorrectly put with the wrong body.</w:t>
      </w:r>
      <w:r w:rsidR="00171453" w:rsidRPr="00CF6110">
        <w:rPr>
          <w:vertAlign w:val="superscript"/>
        </w:rPr>
        <w:footnoteReference w:id="98"/>
      </w:r>
      <w:r w:rsidR="00171453" w:rsidRPr="00CF6110">
        <w:t xml:space="preserve"> </w:t>
      </w:r>
    </w:p>
    <w:p w14:paraId="04549F45" w14:textId="77777777" w:rsidR="00171453" w:rsidRPr="00CF6110" w:rsidRDefault="006A1D67" w:rsidP="00171453">
      <w:pPr>
        <w:pStyle w:val="SingleTxtG"/>
      </w:pPr>
      <w:r w:rsidRPr="00CF6110">
        <w:t>134.</w:t>
      </w:r>
      <w:r w:rsidRPr="00CF6110">
        <w:tab/>
      </w:r>
      <w:r w:rsidR="00171453" w:rsidRPr="00CF6110">
        <w:t xml:space="preserve">Reliable identification following an event involving multiple deaths requires organisational and technical forensic competence. This applies to: </w:t>
      </w:r>
    </w:p>
    <w:p w14:paraId="3D6ECE12" w14:textId="77777777" w:rsidR="00171453" w:rsidRPr="00CF6110" w:rsidRDefault="00171453" w:rsidP="006A1D67">
      <w:pPr>
        <w:pStyle w:val="SingleTxtG"/>
        <w:numPr>
          <w:ilvl w:val="0"/>
          <w:numId w:val="20"/>
        </w:numPr>
      </w:pPr>
      <w:r w:rsidRPr="00CF6110">
        <w:t>the scene, and the proper collection, recording, transport and storage of dead bodies, property and effects</w:t>
      </w:r>
    </w:p>
    <w:p w14:paraId="5EE45541" w14:textId="77777777" w:rsidR="00171453" w:rsidRPr="00CF6110" w:rsidRDefault="00171453" w:rsidP="006A1D67">
      <w:pPr>
        <w:pStyle w:val="SingleTxtG"/>
        <w:numPr>
          <w:ilvl w:val="0"/>
          <w:numId w:val="20"/>
        </w:numPr>
      </w:pPr>
      <w:r w:rsidRPr="00CF6110">
        <w:t xml:space="preserve">the mortuary, post-mortem examination, possibly including internal examination, dental and anthropological examinations, and collection and storage of post-mortem data </w:t>
      </w:r>
    </w:p>
    <w:p w14:paraId="78A78F87" w14:textId="77777777" w:rsidR="00171453" w:rsidRPr="00CF6110" w:rsidRDefault="00171453" w:rsidP="006A1D67">
      <w:pPr>
        <w:pStyle w:val="SingleTxtG"/>
        <w:numPr>
          <w:ilvl w:val="0"/>
          <w:numId w:val="20"/>
        </w:numPr>
      </w:pPr>
      <w:r w:rsidRPr="00CF6110">
        <w:t xml:space="preserve">collection of ante-mortem data about those who may have been killed in the event, and </w:t>
      </w:r>
    </w:p>
    <w:p w14:paraId="4F3A23FB" w14:textId="77777777" w:rsidR="00171453" w:rsidRPr="00CF6110" w:rsidRDefault="00171453" w:rsidP="006A1D67">
      <w:pPr>
        <w:pStyle w:val="SingleTxtG"/>
        <w:numPr>
          <w:ilvl w:val="0"/>
          <w:numId w:val="20"/>
        </w:numPr>
      </w:pPr>
      <w:proofErr w:type="gramStart"/>
      <w:r w:rsidRPr="00CF6110">
        <w:t>reconciliation</w:t>
      </w:r>
      <w:proofErr w:type="gramEnd"/>
      <w:r w:rsidRPr="00CF6110">
        <w:t xml:space="preserve"> of ante-mortem and post-mortem data to make conclusions about identity. </w:t>
      </w:r>
    </w:p>
    <w:p w14:paraId="04832A6E" w14:textId="5BE6B13C" w:rsidR="00171453" w:rsidRPr="00CF6110" w:rsidRDefault="006A1D67" w:rsidP="00171453">
      <w:pPr>
        <w:pStyle w:val="SingleTxtG"/>
      </w:pPr>
      <w:r w:rsidRPr="00CF6110">
        <w:t>135.</w:t>
      </w:r>
      <w:r w:rsidRPr="00CF6110">
        <w:tab/>
      </w:r>
      <w:r w:rsidR="00171453" w:rsidRPr="00CF6110">
        <w:t>The approach to human identification in events involving multiple deaths on a small to moderate scale has been standardized by Interpol.</w:t>
      </w:r>
      <w:r w:rsidR="00171453" w:rsidRPr="00CF6110">
        <w:rPr>
          <w:vertAlign w:val="superscript"/>
        </w:rPr>
        <w:footnoteReference w:id="99"/>
      </w:r>
      <w:r w:rsidR="00171453" w:rsidRPr="00CF6110">
        <w:t xml:space="preserve"> For such events on a large scale, the work published by the Pan American Health Organization, the World Health Organization (WHO), and the ICRC offers a different approach.</w:t>
      </w:r>
      <w:r w:rsidR="00171453" w:rsidRPr="00CF6110">
        <w:rPr>
          <w:vertAlign w:val="superscript"/>
        </w:rPr>
        <w:footnoteReference w:id="100"/>
      </w:r>
      <w:r w:rsidR="00171453" w:rsidRPr="00CF6110">
        <w:t xml:space="preserve"> The two approaches to human identification complement each other and, if circumstances dictate, may be combined. A reliable approach to human identification in events involving multiple deaths should be planned and trained for in advance.</w:t>
      </w:r>
    </w:p>
    <w:p w14:paraId="36FF740F" w14:textId="77777777" w:rsidR="006A1D67" w:rsidRPr="00CF6110" w:rsidRDefault="006A1D67" w:rsidP="006A1D67">
      <w:pPr>
        <w:pStyle w:val="H23G"/>
        <w:spacing w:line="240" w:lineRule="atLeast"/>
      </w:pPr>
      <w:bookmarkStart w:id="69" w:name="_Toc443387530"/>
      <w:bookmarkStart w:id="70" w:name="_Toc443397116"/>
      <w:bookmarkStart w:id="71" w:name="_Toc445909195"/>
      <w:r w:rsidRPr="00CF6110">
        <w:lastRenderedPageBreak/>
        <w:tab/>
        <w:t xml:space="preserve">5. </w:t>
      </w:r>
      <w:r w:rsidRPr="00CF6110">
        <w:tab/>
      </w:r>
      <w:r w:rsidRPr="00CF6110">
        <w:rPr>
          <w:bCs/>
        </w:rPr>
        <w:t>Conclusions about identity</w:t>
      </w:r>
    </w:p>
    <w:bookmarkEnd w:id="69"/>
    <w:bookmarkEnd w:id="70"/>
    <w:bookmarkEnd w:id="71"/>
    <w:p w14:paraId="011442D6" w14:textId="77777777" w:rsidR="00171453" w:rsidRPr="00CF6110" w:rsidRDefault="006A1D67" w:rsidP="00171453">
      <w:pPr>
        <w:pStyle w:val="SingleTxtG"/>
      </w:pPr>
      <w:r w:rsidRPr="00CF6110">
        <w:t>136.</w:t>
      </w:r>
      <w:r w:rsidRPr="00CF6110">
        <w:tab/>
      </w:r>
      <w:r w:rsidR="00171453" w:rsidRPr="00CF6110">
        <w:t xml:space="preserve">The final conclusion about identity in circumstances of potentially unlawful deaths is made by different officials in different countries, but should always be based on expert opinion and advice. </w:t>
      </w:r>
    </w:p>
    <w:p w14:paraId="0154C7FD" w14:textId="77777777" w:rsidR="00171453" w:rsidRPr="00CF6110" w:rsidRDefault="006A1D67" w:rsidP="00171453">
      <w:pPr>
        <w:pStyle w:val="SingleTxtG"/>
      </w:pPr>
      <w:r w:rsidRPr="00CF6110">
        <w:t>137.</w:t>
      </w:r>
      <w:r w:rsidRPr="00CF6110">
        <w:tab/>
      </w:r>
      <w:r w:rsidR="00171453" w:rsidRPr="00CF6110">
        <w:t>The results of the application of the selected methods to the deceased should be compared with records (or with profiles from ante-mortem biological samples) of a known named individual. Information from the circumstances of the case and from the examination of the place of death and/or where the dead body was found can properly be taken into account in some cases (see Table 1).</w:t>
      </w:r>
    </w:p>
    <w:p w14:paraId="2C88E9E3" w14:textId="77777777" w:rsidR="00171453" w:rsidRPr="00CF6110" w:rsidRDefault="00171453" w:rsidP="00171453">
      <w:pPr>
        <w:pStyle w:val="SingleTxtG"/>
        <w:rPr>
          <w:b/>
          <w:bCs/>
        </w:rPr>
      </w:pPr>
      <w:r w:rsidRPr="00CF6110">
        <w:rPr>
          <w:b/>
          <w:bCs/>
        </w:rPr>
        <w:t>Table 1: Ante-mortem data about a missing person and post-mortem data about a dead body (including skeletal remains) which may be compared for the purposes of identification</w:t>
      </w:r>
    </w:p>
    <w:tbl>
      <w:tblPr>
        <w:tblStyle w:val="Grilledutableau"/>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5141"/>
      </w:tblGrid>
      <w:tr w:rsidR="00171453" w:rsidRPr="00CF6110" w14:paraId="66907085" w14:textId="77777777" w:rsidTr="00B65E6E">
        <w:trPr>
          <w:tblHeader/>
        </w:trPr>
        <w:tc>
          <w:tcPr>
            <w:tcW w:w="3080" w:type="dxa"/>
            <w:tcBorders>
              <w:top w:val="single" w:sz="4" w:space="0" w:color="auto"/>
              <w:bottom w:val="single" w:sz="4" w:space="0" w:color="auto"/>
            </w:tcBorders>
            <w:shd w:val="clear" w:color="auto" w:fill="FFFFFF" w:themeFill="background1"/>
          </w:tcPr>
          <w:p w14:paraId="1B81788D" w14:textId="77777777" w:rsidR="00171453" w:rsidRPr="00CF6110" w:rsidRDefault="00171453" w:rsidP="00F8427A">
            <w:pPr>
              <w:pStyle w:val="SingleTxtG"/>
              <w:ind w:left="323" w:right="245"/>
              <w:rPr>
                <w:b/>
                <w:lang w:val="en-GB"/>
              </w:rPr>
            </w:pPr>
            <w:r w:rsidRPr="00CF6110">
              <w:rPr>
                <w:b/>
                <w:lang w:val="en-GB"/>
              </w:rPr>
              <w:t>ANTE-MORTEM DATA</w:t>
            </w:r>
          </w:p>
          <w:p w14:paraId="35BC6783" w14:textId="77777777" w:rsidR="00171453" w:rsidRPr="00CF6110" w:rsidRDefault="00171453" w:rsidP="00F8427A">
            <w:pPr>
              <w:pStyle w:val="SingleTxtG"/>
              <w:ind w:left="323" w:right="245"/>
              <w:rPr>
                <w:b/>
                <w:lang w:val="en-GB"/>
              </w:rPr>
            </w:pPr>
            <w:r w:rsidRPr="00CF6110">
              <w:rPr>
                <w:b/>
                <w:lang w:val="en-GB"/>
              </w:rPr>
              <w:t>Information on the missing person obtained from investigations, oral accounts, or records</w:t>
            </w:r>
          </w:p>
        </w:tc>
        <w:tc>
          <w:tcPr>
            <w:tcW w:w="5141" w:type="dxa"/>
            <w:tcBorders>
              <w:top w:val="single" w:sz="4" w:space="0" w:color="auto"/>
              <w:bottom w:val="single" w:sz="4" w:space="0" w:color="auto"/>
            </w:tcBorders>
            <w:shd w:val="clear" w:color="auto" w:fill="FFFFFF" w:themeFill="background1"/>
          </w:tcPr>
          <w:p w14:paraId="17DBCAA2" w14:textId="77777777" w:rsidR="00171453" w:rsidRPr="00CF6110" w:rsidRDefault="00171453" w:rsidP="00F8427A">
            <w:pPr>
              <w:pStyle w:val="SingleTxtG"/>
              <w:ind w:left="322" w:right="528"/>
              <w:rPr>
                <w:b/>
                <w:lang w:val="en-GB"/>
              </w:rPr>
            </w:pPr>
            <w:r w:rsidRPr="00CF6110">
              <w:rPr>
                <w:b/>
                <w:lang w:val="en-GB"/>
              </w:rPr>
              <w:t>POST-MORTEM DATA</w:t>
            </w:r>
          </w:p>
          <w:p w14:paraId="2CA239CE" w14:textId="77777777" w:rsidR="00171453" w:rsidRPr="00CF6110" w:rsidRDefault="00171453" w:rsidP="00F8427A">
            <w:pPr>
              <w:pStyle w:val="SingleTxtG"/>
              <w:ind w:left="322" w:right="528"/>
              <w:rPr>
                <w:b/>
                <w:lang w:val="en-GB"/>
              </w:rPr>
            </w:pPr>
            <w:r w:rsidRPr="00CF6110">
              <w:rPr>
                <w:b/>
                <w:lang w:val="en-GB"/>
              </w:rPr>
              <w:t>Information from the dead body/skeletal remains obtained by investigation, forensic examination (including photographs), or laboratory tests</w:t>
            </w:r>
          </w:p>
        </w:tc>
      </w:tr>
      <w:tr w:rsidR="00171453" w:rsidRPr="00CF6110" w14:paraId="2B996FB0" w14:textId="77777777" w:rsidTr="00B65E6E">
        <w:trPr>
          <w:trHeight w:val="786"/>
          <w:tblHeader/>
        </w:trPr>
        <w:tc>
          <w:tcPr>
            <w:tcW w:w="3080" w:type="dxa"/>
            <w:tcBorders>
              <w:top w:val="single" w:sz="4" w:space="0" w:color="auto"/>
            </w:tcBorders>
          </w:tcPr>
          <w:p w14:paraId="4E39929B" w14:textId="77777777" w:rsidR="00171453" w:rsidRPr="00CF6110" w:rsidRDefault="00171453" w:rsidP="00F8427A">
            <w:pPr>
              <w:pStyle w:val="SingleTxtG"/>
              <w:ind w:left="323" w:right="245"/>
              <w:rPr>
                <w:lang w:val="en-GB"/>
              </w:rPr>
            </w:pPr>
            <w:r w:rsidRPr="00CF6110">
              <w:rPr>
                <w:lang w:val="en-GB"/>
              </w:rPr>
              <w:t>Circumstances of disappearance/death (place, history of the events, possible injuries)</w:t>
            </w:r>
          </w:p>
        </w:tc>
        <w:tc>
          <w:tcPr>
            <w:tcW w:w="5141" w:type="dxa"/>
            <w:tcBorders>
              <w:top w:val="single" w:sz="4" w:space="0" w:color="auto"/>
            </w:tcBorders>
          </w:tcPr>
          <w:p w14:paraId="11BA1A8E" w14:textId="77777777" w:rsidR="00171453" w:rsidRPr="00CF6110" w:rsidRDefault="00171453" w:rsidP="00F8427A">
            <w:pPr>
              <w:pStyle w:val="SingleTxtG"/>
              <w:ind w:left="322" w:right="528"/>
              <w:rPr>
                <w:lang w:val="en-GB"/>
              </w:rPr>
            </w:pPr>
            <w:r w:rsidRPr="00CF6110">
              <w:rPr>
                <w:lang w:val="en-GB"/>
              </w:rPr>
              <w:t>Cause and circumstances of death, location of the remains, location where the body was found death. Other traumatic findings</w:t>
            </w:r>
          </w:p>
        </w:tc>
      </w:tr>
      <w:tr w:rsidR="00171453" w:rsidRPr="00CF6110" w14:paraId="24FFD403" w14:textId="77777777" w:rsidTr="00B65E6E">
        <w:trPr>
          <w:tblHeader/>
        </w:trPr>
        <w:tc>
          <w:tcPr>
            <w:tcW w:w="3080" w:type="dxa"/>
          </w:tcPr>
          <w:p w14:paraId="385E6BF5" w14:textId="77777777" w:rsidR="00171453" w:rsidRPr="00CF6110" w:rsidRDefault="00171453" w:rsidP="00F8427A">
            <w:pPr>
              <w:pStyle w:val="SingleTxtG"/>
              <w:ind w:left="323" w:right="245"/>
              <w:rPr>
                <w:lang w:val="en-GB"/>
              </w:rPr>
            </w:pPr>
            <w:r w:rsidRPr="00CF6110">
              <w:rPr>
                <w:lang w:val="en-GB"/>
              </w:rPr>
              <w:t>Date of disappearance</w:t>
            </w:r>
          </w:p>
        </w:tc>
        <w:tc>
          <w:tcPr>
            <w:tcW w:w="5141" w:type="dxa"/>
          </w:tcPr>
          <w:p w14:paraId="1960789D" w14:textId="77777777" w:rsidR="00171453" w:rsidRPr="00CF6110" w:rsidRDefault="00171453" w:rsidP="00F8427A">
            <w:pPr>
              <w:pStyle w:val="SingleTxtG"/>
              <w:ind w:left="322" w:right="528"/>
              <w:rPr>
                <w:lang w:val="en-GB"/>
              </w:rPr>
            </w:pPr>
            <w:r w:rsidRPr="00CF6110">
              <w:rPr>
                <w:lang w:val="en-GB"/>
              </w:rPr>
              <w:t>Date of recovery, time since death, general condition of the body</w:t>
            </w:r>
          </w:p>
        </w:tc>
      </w:tr>
      <w:tr w:rsidR="00171453" w:rsidRPr="00CF6110" w14:paraId="5391F437" w14:textId="77777777" w:rsidTr="00B65E6E">
        <w:trPr>
          <w:trHeight w:val="337"/>
          <w:tblHeader/>
        </w:trPr>
        <w:tc>
          <w:tcPr>
            <w:tcW w:w="3080" w:type="dxa"/>
          </w:tcPr>
          <w:p w14:paraId="05753AAE" w14:textId="77777777" w:rsidR="00171453" w:rsidRPr="00CF6110" w:rsidRDefault="00171453" w:rsidP="00F8427A">
            <w:pPr>
              <w:pStyle w:val="SingleTxtG"/>
              <w:ind w:left="323" w:right="245"/>
              <w:rPr>
                <w:lang w:val="en-GB"/>
              </w:rPr>
            </w:pPr>
            <w:r w:rsidRPr="00CF6110">
              <w:rPr>
                <w:lang w:val="en-GB"/>
              </w:rPr>
              <w:t>Age, sex, stature, ancestry, weight</w:t>
            </w:r>
          </w:p>
        </w:tc>
        <w:tc>
          <w:tcPr>
            <w:tcW w:w="5141" w:type="dxa"/>
          </w:tcPr>
          <w:p w14:paraId="7D58D28A" w14:textId="77777777" w:rsidR="00171453" w:rsidRPr="00CF6110" w:rsidRDefault="00171453" w:rsidP="00F8427A">
            <w:pPr>
              <w:pStyle w:val="SingleTxtG"/>
              <w:ind w:left="322" w:right="528"/>
              <w:rPr>
                <w:lang w:val="en-GB"/>
              </w:rPr>
            </w:pPr>
            <w:r w:rsidRPr="00CF6110">
              <w:rPr>
                <w:lang w:val="en-GB"/>
              </w:rPr>
              <w:t>Biological profile (sex, age group, ancestry, estimated stature)</w:t>
            </w:r>
          </w:p>
        </w:tc>
      </w:tr>
      <w:tr w:rsidR="00171453" w:rsidRPr="00CF6110" w14:paraId="03870A22" w14:textId="77777777" w:rsidTr="00B65E6E">
        <w:trPr>
          <w:tblHeader/>
        </w:trPr>
        <w:tc>
          <w:tcPr>
            <w:tcW w:w="3080" w:type="dxa"/>
          </w:tcPr>
          <w:p w14:paraId="2152B407" w14:textId="77777777" w:rsidR="00171453" w:rsidRPr="00CF6110" w:rsidRDefault="00171453" w:rsidP="00F8427A">
            <w:pPr>
              <w:pStyle w:val="SingleTxtG"/>
              <w:ind w:left="323" w:right="245"/>
              <w:rPr>
                <w:lang w:val="en-GB"/>
              </w:rPr>
            </w:pPr>
            <w:r w:rsidRPr="00CF6110">
              <w:rPr>
                <w:lang w:val="en-GB"/>
              </w:rPr>
              <w:t>Physical appearance (e.g. eye colour, hair colour), surgical implants, prostheses, skin marks, scars, tattoos, occupation</w:t>
            </w:r>
          </w:p>
        </w:tc>
        <w:tc>
          <w:tcPr>
            <w:tcW w:w="5141" w:type="dxa"/>
          </w:tcPr>
          <w:p w14:paraId="7CD14668" w14:textId="77777777" w:rsidR="00171453" w:rsidRPr="00CF6110" w:rsidRDefault="00171453" w:rsidP="00F8427A">
            <w:pPr>
              <w:pStyle w:val="SingleTxtG"/>
              <w:ind w:left="322" w:right="528"/>
              <w:rPr>
                <w:lang w:val="en-GB"/>
              </w:rPr>
            </w:pPr>
            <w:r w:rsidRPr="00CF6110">
              <w:rPr>
                <w:lang w:val="en-GB"/>
              </w:rPr>
              <w:t>Distinguishing features, physical appearance, surgical implants, prostheses, skin marks, scars, tattoos, occupational marks</w:t>
            </w:r>
          </w:p>
        </w:tc>
      </w:tr>
      <w:tr w:rsidR="00171453" w:rsidRPr="00CF6110" w14:paraId="78594A09" w14:textId="77777777" w:rsidTr="00B65E6E">
        <w:trPr>
          <w:tblHeader/>
        </w:trPr>
        <w:tc>
          <w:tcPr>
            <w:tcW w:w="3080" w:type="dxa"/>
          </w:tcPr>
          <w:p w14:paraId="6E9C61B0" w14:textId="77777777" w:rsidR="00171453" w:rsidRPr="00CF6110" w:rsidRDefault="00171453" w:rsidP="00F8427A">
            <w:pPr>
              <w:pStyle w:val="SingleTxtG"/>
              <w:ind w:left="323" w:right="245"/>
              <w:rPr>
                <w:lang w:val="en-GB"/>
              </w:rPr>
            </w:pPr>
            <w:r w:rsidRPr="00CF6110">
              <w:rPr>
                <w:lang w:val="en-GB"/>
              </w:rPr>
              <w:t>Clothing and artefacts, eyewear, footwear</w:t>
            </w:r>
          </w:p>
        </w:tc>
        <w:tc>
          <w:tcPr>
            <w:tcW w:w="5141" w:type="dxa"/>
          </w:tcPr>
          <w:p w14:paraId="005C84A4" w14:textId="77777777" w:rsidR="00171453" w:rsidRPr="00CF6110" w:rsidRDefault="00171453" w:rsidP="00F8427A">
            <w:pPr>
              <w:pStyle w:val="SingleTxtG"/>
              <w:ind w:left="322" w:right="528"/>
              <w:rPr>
                <w:lang w:val="en-GB"/>
              </w:rPr>
            </w:pPr>
            <w:r w:rsidRPr="00CF6110">
              <w:rPr>
                <w:lang w:val="en-GB"/>
              </w:rPr>
              <w:t>Complete description of clothing and personal belongings found with the body</w:t>
            </w:r>
          </w:p>
        </w:tc>
      </w:tr>
      <w:tr w:rsidR="00171453" w:rsidRPr="00CF6110" w14:paraId="6327D3EF" w14:textId="77777777" w:rsidTr="00B65E6E">
        <w:trPr>
          <w:tblHeader/>
        </w:trPr>
        <w:tc>
          <w:tcPr>
            <w:tcW w:w="3080" w:type="dxa"/>
          </w:tcPr>
          <w:p w14:paraId="147A3FE6" w14:textId="77777777" w:rsidR="00171453" w:rsidRPr="00CF6110" w:rsidRDefault="00171453" w:rsidP="00F8427A">
            <w:pPr>
              <w:pStyle w:val="SingleTxtG"/>
              <w:ind w:left="323" w:right="245"/>
              <w:rPr>
                <w:lang w:val="en-GB"/>
              </w:rPr>
            </w:pPr>
            <w:r w:rsidRPr="00CF6110">
              <w:rPr>
                <w:lang w:val="en-GB"/>
              </w:rPr>
              <w:t>Medical records, medications, X-rays</w:t>
            </w:r>
          </w:p>
          <w:p w14:paraId="30F20963" w14:textId="77777777" w:rsidR="00171453" w:rsidRPr="00CF6110" w:rsidRDefault="00171453" w:rsidP="00F8427A">
            <w:pPr>
              <w:pStyle w:val="SingleTxtG"/>
              <w:ind w:left="323" w:right="245"/>
              <w:rPr>
                <w:lang w:val="en-GB"/>
              </w:rPr>
            </w:pPr>
          </w:p>
        </w:tc>
        <w:tc>
          <w:tcPr>
            <w:tcW w:w="5141" w:type="dxa"/>
          </w:tcPr>
          <w:p w14:paraId="505EE298" w14:textId="77777777" w:rsidR="00171453" w:rsidRPr="00CF6110" w:rsidRDefault="00171453" w:rsidP="00F8427A">
            <w:pPr>
              <w:pStyle w:val="SingleTxtG"/>
              <w:ind w:left="322" w:right="528"/>
              <w:rPr>
                <w:lang w:val="en-GB"/>
              </w:rPr>
            </w:pPr>
            <w:r w:rsidRPr="00CF6110">
              <w:rPr>
                <w:lang w:val="en-GB"/>
              </w:rPr>
              <w:t>Evidence of ante-mortem trauma, surgical procedures, signs of pathology, medication found with the body</w:t>
            </w:r>
          </w:p>
        </w:tc>
      </w:tr>
      <w:tr w:rsidR="00171453" w:rsidRPr="00CF6110" w14:paraId="786C9E35" w14:textId="77777777" w:rsidTr="00B65E6E">
        <w:trPr>
          <w:tblHeader/>
        </w:trPr>
        <w:tc>
          <w:tcPr>
            <w:tcW w:w="3080" w:type="dxa"/>
          </w:tcPr>
          <w:p w14:paraId="09FA5530" w14:textId="77777777" w:rsidR="00171453" w:rsidRPr="00CF6110" w:rsidRDefault="00171453" w:rsidP="00F8427A">
            <w:pPr>
              <w:pStyle w:val="SingleTxtG"/>
              <w:ind w:left="323" w:right="245"/>
              <w:rPr>
                <w:lang w:val="en-GB"/>
              </w:rPr>
            </w:pPr>
            <w:r w:rsidRPr="00CF6110">
              <w:rPr>
                <w:lang w:val="en-GB"/>
              </w:rPr>
              <w:t>Dental records (information on dental condition and dental treatment)</w:t>
            </w:r>
          </w:p>
        </w:tc>
        <w:tc>
          <w:tcPr>
            <w:tcW w:w="5141" w:type="dxa"/>
          </w:tcPr>
          <w:p w14:paraId="63A2D259" w14:textId="77777777" w:rsidR="00171453" w:rsidRPr="00CF6110" w:rsidRDefault="00171453" w:rsidP="00F8427A">
            <w:pPr>
              <w:pStyle w:val="SingleTxtG"/>
              <w:ind w:left="322" w:right="528"/>
              <w:rPr>
                <w:lang w:val="en-GB"/>
              </w:rPr>
            </w:pPr>
            <w:r w:rsidRPr="00CF6110">
              <w:rPr>
                <w:lang w:val="en-GB"/>
              </w:rPr>
              <w:t xml:space="preserve">Dental chart, dental condition, features </w:t>
            </w:r>
          </w:p>
        </w:tc>
      </w:tr>
      <w:tr w:rsidR="00171453" w:rsidRPr="00CF6110" w14:paraId="64678FEF" w14:textId="77777777" w:rsidTr="00B65E6E">
        <w:trPr>
          <w:tblHeader/>
        </w:trPr>
        <w:tc>
          <w:tcPr>
            <w:tcW w:w="3080" w:type="dxa"/>
          </w:tcPr>
          <w:p w14:paraId="79FE5D73" w14:textId="77777777" w:rsidR="00171453" w:rsidRPr="00CF6110" w:rsidRDefault="00171453" w:rsidP="00F8427A">
            <w:pPr>
              <w:pStyle w:val="SingleTxtG"/>
              <w:ind w:left="323" w:right="245"/>
              <w:rPr>
                <w:lang w:val="en-GB"/>
              </w:rPr>
            </w:pPr>
            <w:r w:rsidRPr="00CF6110">
              <w:rPr>
                <w:lang w:val="en-GB"/>
              </w:rPr>
              <w:t>Fingerprints</w:t>
            </w:r>
          </w:p>
        </w:tc>
        <w:tc>
          <w:tcPr>
            <w:tcW w:w="5141" w:type="dxa"/>
          </w:tcPr>
          <w:p w14:paraId="2E53EAE8" w14:textId="77777777" w:rsidR="00171453" w:rsidRPr="00CF6110" w:rsidRDefault="00171453" w:rsidP="00F8427A">
            <w:pPr>
              <w:pStyle w:val="SingleTxtG"/>
              <w:ind w:left="322" w:right="528"/>
              <w:rPr>
                <w:lang w:val="en-GB"/>
              </w:rPr>
            </w:pPr>
            <w:r w:rsidRPr="00CF6110">
              <w:rPr>
                <w:lang w:val="en-GB"/>
              </w:rPr>
              <w:t>Fingerprints, when possible</w:t>
            </w:r>
          </w:p>
        </w:tc>
      </w:tr>
      <w:tr w:rsidR="00171453" w:rsidRPr="00CF6110" w14:paraId="6674E87B" w14:textId="77777777" w:rsidTr="00B65E6E">
        <w:trPr>
          <w:tblHeader/>
        </w:trPr>
        <w:tc>
          <w:tcPr>
            <w:tcW w:w="3080" w:type="dxa"/>
          </w:tcPr>
          <w:p w14:paraId="7409B2DD" w14:textId="77777777" w:rsidR="00171453" w:rsidRPr="00CF6110" w:rsidRDefault="00171453" w:rsidP="00F8427A">
            <w:pPr>
              <w:pStyle w:val="SingleTxtG"/>
              <w:ind w:left="323" w:right="245"/>
              <w:rPr>
                <w:lang w:val="en-GB"/>
              </w:rPr>
            </w:pPr>
            <w:r w:rsidRPr="00CF6110">
              <w:rPr>
                <w:lang w:val="en-GB"/>
              </w:rPr>
              <w:t>Photographs</w:t>
            </w:r>
          </w:p>
        </w:tc>
        <w:tc>
          <w:tcPr>
            <w:tcW w:w="5141" w:type="dxa"/>
          </w:tcPr>
          <w:p w14:paraId="331FCFD5" w14:textId="77777777" w:rsidR="00171453" w:rsidRPr="00CF6110" w:rsidRDefault="00171453" w:rsidP="00F8427A">
            <w:pPr>
              <w:pStyle w:val="SingleTxtG"/>
              <w:ind w:left="322" w:right="528"/>
              <w:rPr>
                <w:lang w:val="en-GB"/>
              </w:rPr>
            </w:pPr>
            <w:r w:rsidRPr="00CF6110">
              <w:rPr>
                <w:lang w:val="en-GB"/>
              </w:rPr>
              <w:t>Photographs, if suitable</w:t>
            </w:r>
          </w:p>
        </w:tc>
      </w:tr>
      <w:tr w:rsidR="00171453" w:rsidRPr="00CF6110" w14:paraId="39F00A1D" w14:textId="77777777" w:rsidTr="00B65E6E">
        <w:trPr>
          <w:tblHeader/>
        </w:trPr>
        <w:tc>
          <w:tcPr>
            <w:tcW w:w="3080" w:type="dxa"/>
          </w:tcPr>
          <w:p w14:paraId="2E07A92D" w14:textId="77777777" w:rsidR="00171453" w:rsidRPr="00CF6110" w:rsidRDefault="00171453" w:rsidP="00F8427A">
            <w:pPr>
              <w:pStyle w:val="SingleTxtG"/>
              <w:ind w:left="323" w:right="245"/>
              <w:rPr>
                <w:lang w:val="en-GB"/>
              </w:rPr>
            </w:pPr>
            <w:r w:rsidRPr="00CF6110">
              <w:rPr>
                <w:lang w:val="en-GB"/>
              </w:rPr>
              <w:t>Records of identity documents</w:t>
            </w:r>
          </w:p>
        </w:tc>
        <w:tc>
          <w:tcPr>
            <w:tcW w:w="5141" w:type="dxa"/>
          </w:tcPr>
          <w:p w14:paraId="76F1EBCD" w14:textId="77777777" w:rsidR="00171453" w:rsidRPr="00CF6110" w:rsidRDefault="00171453" w:rsidP="00F8427A">
            <w:pPr>
              <w:pStyle w:val="SingleTxtG"/>
              <w:ind w:left="322" w:right="528"/>
              <w:rPr>
                <w:lang w:val="en-GB"/>
              </w:rPr>
            </w:pPr>
            <w:r w:rsidRPr="00CF6110">
              <w:rPr>
                <w:lang w:val="en-GB"/>
              </w:rPr>
              <w:t>Identity documents recovered or associated with the body</w:t>
            </w:r>
          </w:p>
        </w:tc>
      </w:tr>
      <w:tr w:rsidR="00171453" w:rsidRPr="00CF6110" w14:paraId="318BF910" w14:textId="77777777" w:rsidTr="00B65E6E">
        <w:trPr>
          <w:tblHeader/>
        </w:trPr>
        <w:tc>
          <w:tcPr>
            <w:tcW w:w="3080" w:type="dxa"/>
          </w:tcPr>
          <w:p w14:paraId="48C0D114" w14:textId="77777777" w:rsidR="00171453" w:rsidRPr="00CF6110" w:rsidRDefault="00171453" w:rsidP="00F8427A">
            <w:pPr>
              <w:pStyle w:val="SingleTxtG"/>
              <w:ind w:left="323" w:right="245"/>
              <w:rPr>
                <w:lang w:val="en-GB"/>
              </w:rPr>
            </w:pPr>
            <w:r w:rsidRPr="00CF6110">
              <w:rPr>
                <w:lang w:val="en-GB"/>
              </w:rPr>
              <w:lastRenderedPageBreak/>
              <w:t xml:space="preserve">DNA profiles from biological samples from the missing person or from his/her relatives </w:t>
            </w:r>
          </w:p>
        </w:tc>
        <w:tc>
          <w:tcPr>
            <w:tcW w:w="5141" w:type="dxa"/>
          </w:tcPr>
          <w:p w14:paraId="2821BE3D" w14:textId="77777777" w:rsidR="00171453" w:rsidRPr="00CF6110" w:rsidRDefault="00171453" w:rsidP="00F8427A">
            <w:pPr>
              <w:pStyle w:val="SingleTxtG"/>
              <w:ind w:left="322" w:right="528"/>
              <w:rPr>
                <w:lang w:val="en-GB"/>
              </w:rPr>
            </w:pPr>
            <w:r w:rsidRPr="00CF6110">
              <w:rPr>
                <w:lang w:val="en-GB"/>
              </w:rPr>
              <w:t>DNA profiles from samples obtained from the body</w:t>
            </w:r>
          </w:p>
        </w:tc>
      </w:tr>
    </w:tbl>
    <w:p w14:paraId="61DE988D" w14:textId="77777777" w:rsidR="00171453" w:rsidRPr="00CF6110" w:rsidRDefault="00171453" w:rsidP="00171453">
      <w:pPr>
        <w:pStyle w:val="SingleTxtG"/>
      </w:pPr>
    </w:p>
    <w:p w14:paraId="338F4CD7" w14:textId="77777777" w:rsidR="00171453" w:rsidRPr="00CF6110" w:rsidRDefault="006A1D67" w:rsidP="00171453">
      <w:pPr>
        <w:pStyle w:val="SingleTxtG"/>
      </w:pPr>
      <w:r w:rsidRPr="00CF6110">
        <w:t>138.</w:t>
      </w:r>
      <w:r w:rsidRPr="00CF6110">
        <w:tab/>
      </w:r>
      <w:r w:rsidR="00171453" w:rsidRPr="00CF6110">
        <w:t xml:space="preserve">An analysis of all available evidence leads to a final conclusion. In general terms, this could be: </w:t>
      </w:r>
    </w:p>
    <w:p w14:paraId="1B839200" w14:textId="77777777" w:rsidR="00171453" w:rsidRPr="00CF6110" w:rsidRDefault="006A1D67" w:rsidP="007150FC">
      <w:pPr>
        <w:pStyle w:val="SingleTxtG"/>
        <w:ind w:left="1701"/>
      </w:pPr>
      <w:r w:rsidRPr="00CF6110">
        <w:rPr>
          <w:bCs/>
        </w:rPr>
        <w:t>(a)</w:t>
      </w:r>
      <w:r w:rsidRPr="00CF6110">
        <w:rPr>
          <w:bCs/>
        </w:rPr>
        <w:tab/>
      </w:r>
      <w:proofErr w:type="gramStart"/>
      <w:r w:rsidR="00171453" w:rsidRPr="00CF6110">
        <w:rPr>
          <w:b/>
          <w:bCs/>
        </w:rPr>
        <w:t>identification</w:t>
      </w:r>
      <w:proofErr w:type="gramEnd"/>
      <w:r w:rsidR="00171453" w:rsidRPr="00CF6110">
        <w:rPr>
          <w:b/>
          <w:bCs/>
        </w:rPr>
        <w:t>,</w:t>
      </w:r>
      <w:r w:rsidR="00171453" w:rsidRPr="00CF6110">
        <w:t xml:space="preserve"> where there is consistency between ante-mortem and post-mortem data and there are no discrepancies which cannot be explained </w:t>
      </w:r>
    </w:p>
    <w:p w14:paraId="2184BED4" w14:textId="77777777" w:rsidR="00171453" w:rsidRPr="00CF6110" w:rsidRDefault="006A1D67" w:rsidP="007150FC">
      <w:pPr>
        <w:pStyle w:val="SingleTxtG"/>
        <w:ind w:left="1701"/>
      </w:pPr>
      <w:r w:rsidRPr="00CF6110">
        <w:rPr>
          <w:bCs/>
        </w:rPr>
        <w:t>(b)</w:t>
      </w:r>
      <w:r w:rsidRPr="00CF6110">
        <w:rPr>
          <w:bCs/>
        </w:rPr>
        <w:tab/>
      </w:r>
      <w:proofErr w:type="gramStart"/>
      <w:r w:rsidR="00171453" w:rsidRPr="00CF6110">
        <w:rPr>
          <w:b/>
          <w:bCs/>
        </w:rPr>
        <w:t>rejection</w:t>
      </w:r>
      <w:proofErr w:type="gramEnd"/>
      <w:r w:rsidR="00171453" w:rsidRPr="00CF6110">
        <w:rPr>
          <w:b/>
          <w:bCs/>
        </w:rPr>
        <w:t xml:space="preserve"> of a possible identity,</w:t>
      </w:r>
      <w:r w:rsidR="00171453" w:rsidRPr="00CF6110">
        <w:t xml:space="preserve"> when evidence supports exclusion of a particular hypothesis of the identity of the human remains, or</w:t>
      </w:r>
    </w:p>
    <w:p w14:paraId="7C9980A9" w14:textId="77777777" w:rsidR="00171453" w:rsidRPr="00CF6110" w:rsidRDefault="006A1D67" w:rsidP="007150FC">
      <w:pPr>
        <w:pStyle w:val="SingleTxtG"/>
        <w:ind w:left="1701"/>
      </w:pPr>
      <w:r w:rsidRPr="00CF6110">
        <w:t>(c)</w:t>
      </w:r>
      <w:r w:rsidRPr="00CF6110">
        <w:tab/>
      </w:r>
      <w:proofErr w:type="gramStart"/>
      <w:r w:rsidR="00171453" w:rsidRPr="00CF6110">
        <w:rPr>
          <w:b/>
        </w:rPr>
        <w:t>no</w:t>
      </w:r>
      <w:proofErr w:type="gramEnd"/>
      <w:r w:rsidR="00171453" w:rsidRPr="00CF6110">
        <w:rPr>
          <w:b/>
        </w:rPr>
        <w:t xml:space="preserve"> conclusion</w:t>
      </w:r>
      <w:r w:rsidR="00171453" w:rsidRPr="00CF6110">
        <w:t xml:space="preserve"> about the identification of the human remains. The relevant findings should be stated in the final report on identity.</w:t>
      </w:r>
    </w:p>
    <w:p w14:paraId="27E9D5B2" w14:textId="77777777" w:rsidR="00171453" w:rsidRPr="00CF6110" w:rsidRDefault="00171453" w:rsidP="00171453">
      <w:pPr>
        <w:pStyle w:val="SingleTxtG"/>
      </w:pPr>
      <w:r w:rsidRPr="00CF6110">
        <w:t xml:space="preserve">There may be cases when, despite all possible scientific efforts to achieve identification, available information only indicates a probable/possible identity. </w:t>
      </w:r>
    </w:p>
    <w:p w14:paraId="50B7E2B5" w14:textId="77777777" w:rsidR="00171453" w:rsidRPr="00CF6110" w:rsidRDefault="006A1D67" w:rsidP="00171453">
      <w:pPr>
        <w:pStyle w:val="SingleTxtG"/>
      </w:pPr>
      <w:r w:rsidRPr="00CF6110">
        <w:t>139.</w:t>
      </w:r>
      <w:r w:rsidRPr="00CF6110">
        <w:tab/>
      </w:r>
      <w:r w:rsidR="00171453" w:rsidRPr="00CF6110">
        <w:t xml:space="preserve">Whether the death is of an individual or multiple deaths in one event, families should be involved in and fully informed about the identification process. In many cases, this is not only necessary to achieve </w:t>
      </w:r>
      <w:proofErr w:type="gramStart"/>
      <w:r w:rsidR="00171453" w:rsidRPr="00CF6110">
        <w:t>an identification</w:t>
      </w:r>
      <w:proofErr w:type="gramEnd"/>
      <w:r w:rsidR="00171453" w:rsidRPr="00CF6110">
        <w:t>, it also improves the likelihood that the family will accept the identification, which is an important part of accountability for the potentially unlawful death(s), as set out above.</w:t>
      </w:r>
    </w:p>
    <w:p w14:paraId="398119D0" w14:textId="77777777" w:rsidR="006A1D67" w:rsidRPr="00CF6110" w:rsidRDefault="006A1D67" w:rsidP="006A1D67">
      <w:pPr>
        <w:pStyle w:val="H1G"/>
        <w:spacing w:line="240" w:lineRule="atLeast"/>
      </w:pPr>
      <w:bookmarkStart w:id="72" w:name="_Toc443387534"/>
      <w:bookmarkStart w:id="73" w:name="_Toc443397120"/>
      <w:bookmarkStart w:id="74" w:name="_Toc445909196"/>
      <w:r w:rsidRPr="00CF6110">
        <w:tab/>
        <w:t xml:space="preserve">F. </w:t>
      </w:r>
      <w:r w:rsidRPr="00CF6110">
        <w:tab/>
      </w:r>
      <w:r w:rsidRPr="00CF6110">
        <w:rPr>
          <w:bCs/>
        </w:rPr>
        <w:t>Types of Evidence and Sampling</w:t>
      </w:r>
    </w:p>
    <w:p w14:paraId="28C81529" w14:textId="77777777" w:rsidR="006A1D67" w:rsidRPr="00CF6110" w:rsidRDefault="006A1D67" w:rsidP="006A1D67">
      <w:pPr>
        <w:pStyle w:val="H23G"/>
        <w:spacing w:line="240" w:lineRule="atLeast"/>
      </w:pPr>
      <w:r w:rsidRPr="00CF6110">
        <w:tab/>
        <w:t xml:space="preserve">1. </w:t>
      </w:r>
      <w:r w:rsidRPr="00CF6110">
        <w:tab/>
      </w:r>
      <w:r w:rsidRPr="00CF6110">
        <w:rPr>
          <w:bCs/>
        </w:rPr>
        <w:t>General principles</w:t>
      </w:r>
    </w:p>
    <w:bookmarkEnd w:id="72"/>
    <w:bookmarkEnd w:id="73"/>
    <w:bookmarkEnd w:id="74"/>
    <w:p w14:paraId="1EE07C25" w14:textId="77777777" w:rsidR="00171453" w:rsidRPr="00CF6110" w:rsidRDefault="006A1D67" w:rsidP="00171453">
      <w:pPr>
        <w:pStyle w:val="SingleTxtG"/>
      </w:pPr>
      <w:r w:rsidRPr="00CF6110">
        <w:t>140.</w:t>
      </w:r>
      <w:r w:rsidRPr="00CF6110">
        <w:tab/>
      </w:r>
      <w:r w:rsidR="00171453" w:rsidRPr="00CF6110">
        <w:t>A range of types of evidence should be considered when collecting samples and evidence of human remains. Sample sizes for both biological and non-biological evidence should be sufficient for laboratory analysis and allow for repeat testing.</w:t>
      </w:r>
    </w:p>
    <w:p w14:paraId="25075E67" w14:textId="77777777" w:rsidR="006A1D67" w:rsidRPr="00CF6110" w:rsidRDefault="006A1D67" w:rsidP="006A1D67">
      <w:pPr>
        <w:pStyle w:val="H23G"/>
        <w:spacing w:line="240" w:lineRule="atLeast"/>
      </w:pPr>
      <w:bookmarkStart w:id="75" w:name="_Toc443387535"/>
      <w:bookmarkStart w:id="76" w:name="_Toc443397121"/>
      <w:bookmarkStart w:id="77" w:name="_Toc445909198"/>
      <w:r w:rsidRPr="00CF6110">
        <w:tab/>
        <w:t xml:space="preserve">2. </w:t>
      </w:r>
      <w:r w:rsidRPr="00CF6110">
        <w:tab/>
      </w:r>
      <w:r w:rsidRPr="00CF6110">
        <w:rPr>
          <w:bCs/>
        </w:rPr>
        <w:t>Biological evidence</w:t>
      </w:r>
    </w:p>
    <w:bookmarkEnd w:id="75"/>
    <w:bookmarkEnd w:id="76"/>
    <w:bookmarkEnd w:id="77"/>
    <w:p w14:paraId="26BD496C" w14:textId="77777777" w:rsidR="00171453" w:rsidRPr="00CF6110" w:rsidRDefault="006A1D67" w:rsidP="00171453">
      <w:pPr>
        <w:pStyle w:val="SingleTxtG"/>
      </w:pPr>
      <w:r w:rsidRPr="00CF6110">
        <w:t>141.</w:t>
      </w:r>
      <w:r w:rsidRPr="00CF6110">
        <w:tab/>
      </w:r>
      <w:r w:rsidR="00171453" w:rsidRPr="00CF6110">
        <w:t>Biological evidence in forensic analysis generally refers to organic substances collected from the human body or its surroundings. These can be collected directly from the human body or from items used by the person in question, such as toothbrushes and hair brushes and unlaundered clothing.</w:t>
      </w:r>
    </w:p>
    <w:p w14:paraId="46B669F5" w14:textId="77777777" w:rsidR="00171453" w:rsidRPr="00CF6110" w:rsidRDefault="006A1D67" w:rsidP="00171453">
      <w:pPr>
        <w:pStyle w:val="SingleTxtG"/>
      </w:pPr>
      <w:r w:rsidRPr="00CF6110">
        <w:t>142.</w:t>
      </w:r>
      <w:r w:rsidRPr="00CF6110">
        <w:tab/>
      </w:r>
      <w:r w:rsidR="00171453" w:rsidRPr="00CF6110">
        <w:t>Identification and proper collection and preservation of biological samples from a crime scene require specialized training in searching and testing for the presence of biological evidence. Biological samples from bodies may also be collected at the morgue or forensic anthropology laboratory. The collection from living persons of biological reference samples for comparison purposes should be conducted by personnel trained in properly and ethically dealing with victims and their families, and should be based on relation to informed consent.</w:t>
      </w:r>
    </w:p>
    <w:p w14:paraId="5F0BBEE8" w14:textId="77777777" w:rsidR="00171453" w:rsidRPr="00CF6110" w:rsidRDefault="006A1D67" w:rsidP="00171453">
      <w:pPr>
        <w:pStyle w:val="SingleTxtG"/>
      </w:pPr>
      <w:r w:rsidRPr="00CF6110">
        <w:t>143.</w:t>
      </w:r>
      <w:r w:rsidRPr="00CF6110">
        <w:tab/>
      </w:r>
      <w:r w:rsidR="00171453" w:rsidRPr="00CF6110">
        <w:t>Biological samples are also a source of DNA, which can be used to establish the identity of persons and link them to the scene or a piece of evidence recovered at the scene. Biological samples include the following:</w:t>
      </w:r>
    </w:p>
    <w:p w14:paraId="60A7C17E" w14:textId="77777777" w:rsidR="00171453" w:rsidRPr="00CF6110" w:rsidRDefault="006A1D67" w:rsidP="006A1D67">
      <w:pPr>
        <w:pStyle w:val="SingleTxtG"/>
        <w:ind w:firstLine="567"/>
      </w:pPr>
      <w:r w:rsidRPr="00CF6110">
        <w:t>(a)</w:t>
      </w:r>
      <w:r w:rsidRPr="00CF6110">
        <w:tab/>
      </w:r>
      <w:proofErr w:type="gramStart"/>
      <w:r w:rsidR="00171453" w:rsidRPr="00CF6110">
        <w:t>soft</w:t>
      </w:r>
      <w:proofErr w:type="gramEnd"/>
      <w:r w:rsidR="00171453" w:rsidRPr="00CF6110">
        <w:t xml:space="preserve"> tissues </w:t>
      </w:r>
    </w:p>
    <w:p w14:paraId="1EB6D83D" w14:textId="77777777" w:rsidR="00171453" w:rsidRPr="00CF6110" w:rsidRDefault="006A1D67" w:rsidP="006A1D67">
      <w:pPr>
        <w:pStyle w:val="SingleTxtG"/>
        <w:ind w:firstLine="567"/>
      </w:pPr>
      <w:r w:rsidRPr="00CF6110">
        <w:t>(b)</w:t>
      </w:r>
      <w:r w:rsidRPr="00CF6110">
        <w:tab/>
      </w:r>
      <w:proofErr w:type="gramStart"/>
      <w:r w:rsidR="00171453" w:rsidRPr="00CF6110">
        <w:t>bone</w:t>
      </w:r>
      <w:proofErr w:type="gramEnd"/>
    </w:p>
    <w:p w14:paraId="6792715A" w14:textId="77777777" w:rsidR="00171453" w:rsidRPr="00CF6110" w:rsidRDefault="006A1D67" w:rsidP="006A1D67">
      <w:pPr>
        <w:pStyle w:val="SingleTxtG"/>
        <w:ind w:firstLine="567"/>
      </w:pPr>
      <w:r w:rsidRPr="00CF6110">
        <w:t>(c)</w:t>
      </w:r>
      <w:r w:rsidRPr="00CF6110">
        <w:tab/>
      </w:r>
      <w:proofErr w:type="gramStart"/>
      <w:r w:rsidR="00171453" w:rsidRPr="00CF6110">
        <w:t>teeth</w:t>
      </w:r>
      <w:proofErr w:type="gramEnd"/>
    </w:p>
    <w:p w14:paraId="781377B0" w14:textId="77777777" w:rsidR="00171453" w:rsidRPr="00CF6110" w:rsidRDefault="006A1D67" w:rsidP="006A1D67">
      <w:pPr>
        <w:pStyle w:val="SingleTxtG"/>
        <w:ind w:firstLine="567"/>
      </w:pPr>
      <w:r w:rsidRPr="00CF6110">
        <w:lastRenderedPageBreak/>
        <w:t>(d)</w:t>
      </w:r>
      <w:r w:rsidRPr="00CF6110">
        <w:tab/>
      </w:r>
      <w:proofErr w:type="gramStart"/>
      <w:r w:rsidR="00171453" w:rsidRPr="00CF6110">
        <w:t>blood</w:t>
      </w:r>
      <w:proofErr w:type="gramEnd"/>
    </w:p>
    <w:p w14:paraId="1DE38DA8" w14:textId="77777777" w:rsidR="00171453" w:rsidRPr="00CF6110" w:rsidRDefault="006A1D67" w:rsidP="006A1D67">
      <w:pPr>
        <w:pStyle w:val="SingleTxtG"/>
        <w:ind w:firstLine="567"/>
      </w:pPr>
      <w:r w:rsidRPr="00CF6110">
        <w:t>(e)</w:t>
      </w:r>
      <w:r w:rsidRPr="00CF6110">
        <w:tab/>
      </w:r>
      <w:proofErr w:type="gramStart"/>
      <w:r w:rsidR="00171453" w:rsidRPr="00CF6110">
        <w:t>urine</w:t>
      </w:r>
      <w:proofErr w:type="gramEnd"/>
    </w:p>
    <w:p w14:paraId="3DBE1D1B" w14:textId="77777777" w:rsidR="00171453" w:rsidRPr="00CF6110" w:rsidRDefault="006A1D67" w:rsidP="006A1D67">
      <w:pPr>
        <w:pStyle w:val="SingleTxtG"/>
        <w:ind w:firstLine="567"/>
      </w:pPr>
      <w:r w:rsidRPr="00CF6110">
        <w:t>(f)</w:t>
      </w:r>
      <w:r w:rsidRPr="00CF6110">
        <w:tab/>
      </w:r>
      <w:proofErr w:type="gramStart"/>
      <w:r w:rsidR="00171453" w:rsidRPr="00CF6110">
        <w:t>saliva</w:t>
      </w:r>
      <w:proofErr w:type="gramEnd"/>
    </w:p>
    <w:p w14:paraId="416F5BB1" w14:textId="77777777" w:rsidR="00171453" w:rsidRPr="00CF6110" w:rsidRDefault="006A1D67" w:rsidP="006A1D67">
      <w:pPr>
        <w:pStyle w:val="SingleTxtG"/>
        <w:ind w:firstLine="567"/>
      </w:pPr>
      <w:r w:rsidRPr="00CF6110">
        <w:t>(g)</w:t>
      </w:r>
      <w:r w:rsidRPr="00CF6110">
        <w:tab/>
      </w:r>
      <w:r w:rsidR="00171453" w:rsidRPr="00CF6110">
        <w:t>semen/sperm</w:t>
      </w:r>
    </w:p>
    <w:p w14:paraId="681D68B2" w14:textId="77777777" w:rsidR="00171453" w:rsidRPr="00CF6110" w:rsidRDefault="006A1D67" w:rsidP="006A1D67">
      <w:pPr>
        <w:pStyle w:val="SingleTxtG"/>
        <w:ind w:firstLine="567"/>
      </w:pPr>
      <w:r w:rsidRPr="00CF6110">
        <w:t>(h)</w:t>
      </w:r>
      <w:r w:rsidRPr="00CF6110">
        <w:tab/>
      </w:r>
      <w:proofErr w:type="gramStart"/>
      <w:r w:rsidR="00171453" w:rsidRPr="00CF6110">
        <w:t>vitreous</w:t>
      </w:r>
      <w:proofErr w:type="gramEnd"/>
      <w:r w:rsidR="00171453" w:rsidRPr="00CF6110">
        <w:t xml:space="preserve"> fluid</w:t>
      </w:r>
    </w:p>
    <w:p w14:paraId="4B4654DF" w14:textId="77777777" w:rsidR="00171453" w:rsidRPr="00CF6110" w:rsidRDefault="006A1D67" w:rsidP="006A1D67">
      <w:pPr>
        <w:pStyle w:val="SingleTxtG"/>
        <w:ind w:firstLine="567"/>
      </w:pPr>
      <w:r w:rsidRPr="00CF6110">
        <w:t>(</w:t>
      </w:r>
      <w:proofErr w:type="spellStart"/>
      <w:r w:rsidRPr="00CF6110">
        <w:t>i</w:t>
      </w:r>
      <w:proofErr w:type="spellEnd"/>
      <w:r w:rsidRPr="00CF6110">
        <w:t>)</w:t>
      </w:r>
      <w:r w:rsidRPr="00CF6110">
        <w:tab/>
      </w:r>
      <w:proofErr w:type="gramStart"/>
      <w:r w:rsidR="00171453" w:rsidRPr="00CF6110">
        <w:t>hair</w:t>
      </w:r>
      <w:proofErr w:type="gramEnd"/>
    </w:p>
    <w:p w14:paraId="6432D18A" w14:textId="77777777" w:rsidR="00171453" w:rsidRPr="00CF6110" w:rsidRDefault="006A1D67" w:rsidP="006A1D67">
      <w:pPr>
        <w:pStyle w:val="SingleTxtG"/>
        <w:ind w:firstLine="567"/>
      </w:pPr>
      <w:r w:rsidRPr="00CF6110">
        <w:t>(j)</w:t>
      </w:r>
      <w:r w:rsidRPr="00CF6110">
        <w:tab/>
      </w:r>
      <w:proofErr w:type="gramStart"/>
      <w:r w:rsidR="00171453" w:rsidRPr="00CF6110">
        <w:t>natural</w:t>
      </w:r>
      <w:proofErr w:type="gramEnd"/>
      <w:r w:rsidR="00171453" w:rsidRPr="00CF6110">
        <w:t xml:space="preserve"> nails (finger and toe).</w:t>
      </w:r>
    </w:p>
    <w:p w14:paraId="0C9D95DE" w14:textId="77777777" w:rsidR="00171453" w:rsidRPr="00CF6110" w:rsidRDefault="006A1D67" w:rsidP="00171453">
      <w:pPr>
        <w:pStyle w:val="SingleTxtG"/>
      </w:pPr>
      <w:r w:rsidRPr="00CF6110">
        <w:t>144.</w:t>
      </w:r>
      <w:r w:rsidRPr="00CF6110">
        <w:tab/>
      </w:r>
      <w:r w:rsidR="00171453" w:rsidRPr="00CF6110">
        <w:t>Forensic biological evidence can usually be analysed for DNA if necessary. DNA analysis in forensic contexts is used to produce profiles which are individualizing to very high degrees of probability. The persistency of DNA trace evidence depends on the conditions it has endured and the manner in which it is recovered, secured, and stored. Damp, humid conditions can affect the persistence of a viable DNA trace and the ability to develop a profile. Evidence should, as much as possible, be maintained at a constant temperature and sealed in such a manner that the risk of contamination is minimized.</w:t>
      </w:r>
    </w:p>
    <w:p w14:paraId="3A57CF61" w14:textId="77777777" w:rsidR="00171453" w:rsidRPr="00CF6110" w:rsidRDefault="006A1D67" w:rsidP="00171453">
      <w:pPr>
        <w:pStyle w:val="SingleTxtG"/>
      </w:pPr>
      <w:r w:rsidRPr="00CF6110">
        <w:t>145.</w:t>
      </w:r>
      <w:r w:rsidRPr="00CF6110">
        <w:tab/>
      </w:r>
      <w:r w:rsidR="00171453" w:rsidRPr="00CF6110">
        <w:t>Forensic biological evidence may also be analysed toxicologically for chemicals that have an adverse effect on human beings, such as drugs (controlled substances) and poisons. This applies to biological samples from living persons as well as the deceased.</w:t>
      </w:r>
    </w:p>
    <w:p w14:paraId="55BB957A" w14:textId="77777777" w:rsidR="006A1D67" w:rsidRPr="00CF6110" w:rsidRDefault="006A1D67" w:rsidP="006A1D67">
      <w:pPr>
        <w:pStyle w:val="H23G"/>
        <w:spacing w:line="240" w:lineRule="atLeast"/>
      </w:pPr>
      <w:bookmarkStart w:id="78" w:name="_Toc443387536"/>
      <w:bookmarkStart w:id="79" w:name="_Toc443397122"/>
      <w:bookmarkStart w:id="80" w:name="_Toc445909199"/>
      <w:r w:rsidRPr="00CF6110">
        <w:tab/>
        <w:t xml:space="preserve">3. </w:t>
      </w:r>
      <w:r w:rsidRPr="00CF6110">
        <w:tab/>
      </w:r>
      <w:r w:rsidRPr="00CF6110">
        <w:rPr>
          <w:bCs/>
        </w:rPr>
        <w:t>Non-biological physical evidence</w:t>
      </w:r>
    </w:p>
    <w:p w14:paraId="18624FFA" w14:textId="77777777" w:rsidR="006A1D67" w:rsidRPr="00CF6110" w:rsidRDefault="006A1D67" w:rsidP="006A1D67">
      <w:pPr>
        <w:pStyle w:val="H23G"/>
        <w:spacing w:line="240" w:lineRule="atLeast"/>
      </w:pPr>
      <w:r w:rsidRPr="00CF6110">
        <w:tab/>
      </w:r>
      <w:proofErr w:type="spellStart"/>
      <w:r w:rsidRPr="00CF6110">
        <w:t>i</w:t>
      </w:r>
      <w:proofErr w:type="spellEnd"/>
      <w:r w:rsidRPr="00CF6110">
        <w:t xml:space="preserve">. </w:t>
      </w:r>
      <w:r w:rsidRPr="00CF6110">
        <w:tab/>
      </w:r>
      <w:r w:rsidRPr="00CF6110">
        <w:rPr>
          <w:i/>
        </w:rPr>
        <w:t>Chemistry</w:t>
      </w:r>
    </w:p>
    <w:bookmarkEnd w:id="78"/>
    <w:bookmarkEnd w:id="79"/>
    <w:bookmarkEnd w:id="80"/>
    <w:p w14:paraId="0EA2D774" w14:textId="77777777" w:rsidR="00171453" w:rsidRPr="00CF6110" w:rsidRDefault="006A1D67" w:rsidP="00171453">
      <w:pPr>
        <w:pStyle w:val="SingleTxtG"/>
      </w:pPr>
      <w:r w:rsidRPr="00CF6110">
        <w:t>146.</w:t>
      </w:r>
      <w:r w:rsidRPr="00CF6110">
        <w:tab/>
      </w:r>
      <w:r w:rsidR="00171453" w:rsidRPr="00CF6110">
        <w:t>Forensic chemistry is used to identify unknown substances at a crime scene. This includes suspected drugs, toxic substances, and explosive materials.</w:t>
      </w:r>
    </w:p>
    <w:p w14:paraId="1830485F" w14:textId="77777777" w:rsidR="006A1D67" w:rsidRPr="00CF6110" w:rsidRDefault="006A1D67" w:rsidP="006A1D67">
      <w:pPr>
        <w:pStyle w:val="H23G"/>
        <w:spacing w:line="240" w:lineRule="atLeast"/>
      </w:pPr>
      <w:r w:rsidRPr="00CF6110">
        <w:tab/>
        <w:t xml:space="preserve">ii. </w:t>
      </w:r>
      <w:r w:rsidRPr="00CF6110">
        <w:tab/>
      </w:r>
      <w:r w:rsidRPr="00CF6110">
        <w:rPr>
          <w:i/>
        </w:rPr>
        <w:t>Firearms</w:t>
      </w:r>
    </w:p>
    <w:p w14:paraId="0F552614" w14:textId="77777777" w:rsidR="00171453" w:rsidRPr="00CF6110" w:rsidRDefault="006A1D67" w:rsidP="00171453">
      <w:pPr>
        <w:pStyle w:val="SingleTxtG"/>
      </w:pPr>
      <w:r w:rsidRPr="00CF6110">
        <w:t>147.</w:t>
      </w:r>
      <w:r w:rsidRPr="00CF6110">
        <w:tab/>
      </w:r>
      <w:r w:rsidR="00171453" w:rsidRPr="00CF6110">
        <w:t>Firearms evidence comprises findings from examination of weapons such as pistols and rifles; projectiles such as bullets and shot; and ballistic information, such as the pattern of movement of projectiles after firing. Firearms examiners can link fired projectiles, cartridge casings, or related ammunition components to a specific firearm, though at the time of adoption of this Protocol, toolmark and firearms analysis lacked a precisely defined and universally accepted process.</w:t>
      </w:r>
      <w:r w:rsidR="00171453" w:rsidRPr="00CF6110">
        <w:rPr>
          <w:vertAlign w:val="superscript"/>
        </w:rPr>
        <w:footnoteReference w:id="101"/>
      </w:r>
      <w:r w:rsidR="00171453" w:rsidRPr="00CF6110">
        <w:t xml:space="preserve"> They may also conduct ballistics tests. Technically, firearms examiners are often also tool-mark examiners. Much like a gun, tools tend to leave behind unique markings on what they impact, similar to a gun, which leaves unique markings on each cartridge and projectile as it exits the barrel. Aside from matching a firearm to a projectile or cartridge casing (or a tool to the item it has been used on), a firearms examiner may also be able to identify the manufacturer and calibre of a gun. </w:t>
      </w:r>
    </w:p>
    <w:p w14:paraId="50A27E45" w14:textId="77777777" w:rsidR="00171453" w:rsidRPr="00CF6110" w:rsidRDefault="006A1D67" w:rsidP="00171453">
      <w:pPr>
        <w:pStyle w:val="SingleTxtG"/>
      </w:pPr>
      <w:r w:rsidRPr="00CF6110">
        <w:t>148.</w:t>
      </w:r>
      <w:r w:rsidRPr="00CF6110">
        <w:tab/>
      </w:r>
      <w:r w:rsidR="00171453" w:rsidRPr="00CF6110">
        <w:t>Firearms examiners are also often responsible for firearm discharge analysis, to assess whether or not a firearm has been discharged, or on items such as clothing to determine the distance between the impact and the position from which the gun was discharged. Chemical traces on the hands or clothing of a suspect may indicate that he/she has fired a weapon.</w:t>
      </w:r>
    </w:p>
    <w:p w14:paraId="04D2EEF8" w14:textId="77777777" w:rsidR="006A1D67" w:rsidRPr="00CF6110" w:rsidRDefault="006A1D67" w:rsidP="006A1D67">
      <w:pPr>
        <w:pStyle w:val="H23G"/>
        <w:spacing w:line="240" w:lineRule="atLeast"/>
      </w:pPr>
      <w:r w:rsidRPr="00CF6110">
        <w:lastRenderedPageBreak/>
        <w:tab/>
        <w:t xml:space="preserve">iii. </w:t>
      </w:r>
      <w:r w:rsidRPr="00CF6110">
        <w:tab/>
      </w:r>
      <w:r w:rsidRPr="00CF6110">
        <w:rPr>
          <w:i/>
        </w:rPr>
        <w:t>Fingerprints</w:t>
      </w:r>
    </w:p>
    <w:p w14:paraId="2B2641AA" w14:textId="77777777" w:rsidR="00171453" w:rsidRPr="00CF6110" w:rsidRDefault="006A1D67" w:rsidP="00171453">
      <w:pPr>
        <w:pStyle w:val="SingleTxtG"/>
      </w:pPr>
      <w:r w:rsidRPr="00CF6110">
        <w:t>149.</w:t>
      </w:r>
      <w:r w:rsidRPr="00CF6110">
        <w:tab/>
      </w:r>
      <w:r w:rsidR="00171453" w:rsidRPr="00CF6110">
        <w:t>Fingerprints are a long-established means by which, when full sets are compared, persons are individually identified with a high level of probability. It is based on the unique patterns of friction ridges and furrows on fingers and thumbs, as well as on palms, feet, and toes. Even identical twins have different fingerprints. Fingerprints are often routinely collected and are a common means of scientific identification. There can be problems, for example with partial prints.</w:t>
      </w:r>
    </w:p>
    <w:p w14:paraId="75B1D89E" w14:textId="77777777" w:rsidR="00171453" w:rsidRPr="00CF6110" w:rsidRDefault="006A1D67" w:rsidP="00171453">
      <w:pPr>
        <w:pStyle w:val="SingleTxtG"/>
      </w:pPr>
      <w:r w:rsidRPr="00CF6110">
        <w:t>150.</w:t>
      </w:r>
      <w:r w:rsidRPr="00CF6110">
        <w:tab/>
      </w:r>
      <w:r w:rsidR="00171453" w:rsidRPr="00CF6110">
        <w:t>Fingerprints may be recovered from or visualized on a variety of surfaces. Fingerprints may be seen on, and recovered from, smooth shiny surfaces using a number of techniques. These include applying a powder and “lifting” the fingerprint with a tape or gel lift. The print can be photographed once it has been enhanced with powder. It can also be recovered as a complete item and submitted to a laboratory for recovery. Latent (invisible) fingerprints can be recovered from porous surfaces, such as paper, using a number of chemical enhancement techniques. These techniques are particularly effective on paper. Chemical enhancement is normally undertaken at a laboratory and not at the crime scene, so great care should be taken when packaging and transporting the item.</w:t>
      </w:r>
    </w:p>
    <w:p w14:paraId="42D018A3" w14:textId="77777777" w:rsidR="00171453" w:rsidRPr="00CF6110" w:rsidRDefault="006A1D67" w:rsidP="00171453">
      <w:pPr>
        <w:pStyle w:val="SingleTxtG"/>
      </w:pPr>
      <w:r w:rsidRPr="00CF6110">
        <w:t>151.</w:t>
      </w:r>
      <w:r w:rsidRPr="00CF6110">
        <w:tab/>
      </w:r>
      <w:r w:rsidR="00171453" w:rsidRPr="00CF6110">
        <w:t>Other relevant evidence includes military ordinance and weapons; fibre analysis; impressions (e.g. tyre tracks, footprints); pattern analysis (e.g. bloodstain patterns/blood spatter analysis, burn patterns, fracture analysis); and questioned documents.</w:t>
      </w:r>
    </w:p>
    <w:p w14:paraId="444E0D24" w14:textId="77777777" w:rsidR="006A1D67" w:rsidRPr="00CF6110" w:rsidRDefault="006A1D67" w:rsidP="006A1D67">
      <w:pPr>
        <w:pStyle w:val="H23G"/>
        <w:spacing w:line="240" w:lineRule="atLeast"/>
      </w:pPr>
      <w:bookmarkStart w:id="81" w:name="_Toc443387537"/>
      <w:bookmarkStart w:id="82" w:name="_Toc443397123"/>
      <w:bookmarkStart w:id="83" w:name="_Toc445909200"/>
      <w:r w:rsidRPr="00CF6110">
        <w:tab/>
        <w:t xml:space="preserve">4. </w:t>
      </w:r>
      <w:r w:rsidRPr="00CF6110">
        <w:tab/>
      </w:r>
      <w:r w:rsidRPr="00CF6110">
        <w:rPr>
          <w:bCs/>
        </w:rPr>
        <w:t>Digital Evidence</w:t>
      </w:r>
    </w:p>
    <w:bookmarkEnd w:id="81"/>
    <w:bookmarkEnd w:id="82"/>
    <w:bookmarkEnd w:id="83"/>
    <w:p w14:paraId="015AF573" w14:textId="77777777" w:rsidR="00171453" w:rsidRPr="00CF6110" w:rsidRDefault="006A1D67" w:rsidP="00171453">
      <w:pPr>
        <w:pStyle w:val="SingleTxtG"/>
      </w:pPr>
      <w:r w:rsidRPr="00CF6110">
        <w:t>152.</w:t>
      </w:r>
      <w:r w:rsidRPr="00CF6110">
        <w:tab/>
      </w:r>
      <w:r w:rsidR="00171453" w:rsidRPr="00CF6110">
        <w:t>Digital evidence is information and data that is stored on, received from, or transmitted by an electronic device. Digital evidence can be found in images on cameras, on the internet, computers, mobile phones, and other digital media, such as USB sticks.</w:t>
      </w:r>
    </w:p>
    <w:p w14:paraId="1986E850" w14:textId="77777777" w:rsidR="00171453" w:rsidRPr="00CF6110" w:rsidRDefault="006A1D67" w:rsidP="00171453">
      <w:pPr>
        <w:pStyle w:val="SingleTxtG"/>
      </w:pPr>
      <w:r w:rsidRPr="00CF6110">
        <w:t>153.</w:t>
      </w:r>
      <w:r w:rsidRPr="00CF6110">
        <w:tab/>
      </w:r>
      <w:r w:rsidR="00171453" w:rsidRPr="00CF6110">
        <w:t>Digital evidence has become increasingly important in investigations. Digital evidence can be recovered from a number of sources: open systems such as the internet and social media; and closed systems such as computers, laptops, mobile phones, and cameras. Internet and mobile-phone service providers frequently only keep their data (e.g. call records) for a limited time. In planning an investigation investigators should be aware of how long data is retained by these providers so they can ensure the appropriate information is requested within the available timeframe.</w:t>
      </w:r>
    </w:p>
    <w:p w14:paraId="678B0CFE" w14:textId="77777777" w:rsidR="00171453" w:rsidRPr="00CF6110" w:rsidRDefault="006A1D67" w:rsidP="00171453">
      <w:pPr>
        <w:pStyle w:val="SingleTxtG"/>
      </w:pPr>
      <w:r w:rsidRPr="00CF6110">
        <w:t>154.</w:t>
      </w:r>
      <w:r w:rsidRPr="00CF6110">
        <w:tab/>
      </w:r>
      <w:r w:rsidR="00171453" w:rsidRPr="00CF6110">
        <w:t xml:space="preserve">Digital information can be recorded in various formats: photographs, audio recordings, video recordings, email/network communications, text/sms messages, and social media. All of this information can be useful to an investigator. The metadata (e.g. information on the creator, date of creation, device, location, alteration/changes) can provide valuable information. However, this metadata can also be easily manipulated. Authenticating digital evidence is a technical challenge. </w:t>
      </w:r>
    </w:p>
    <w:p w14:paraId="5C7E6000" w14:textId="77777777" w:rsidR="00FB3053" w:rsidRPr="00CF6110" w:rsidRDefault="00FB3053" w:rsidP="00FB3053">
      <w:pPr>
        <w:pStyle w:val="H23G"/>
        <w:spacing w:line="240" w:lineRule="atLeast"/>
      </w:pPr>
      <w:bookmarkStart w:id="84" w:name="_Toc443387538"/>
      <w:bookmarkStart w:id="85" w:name="_Toc443397124"/>
      <w:bookmarkStart w:id="86" w:name="_Toc445909201"/>
      <w:r w:rsidRPr="00CF6110">
        <w:tab/>
        <w:t xml:space="preserve">5. </w:t>
      </w:r>
      <w:r w:rsidRPr="00CF6110">
        <w:tab/>
      </w:r>
      <w:r w:rsidRPr="00CF6110">
        <w:rPr>
          <w:bCs/>
        </w:rPr>
        <w:t>Forensic accounting</w:t>
      </w:r>
    </w:p>
    <w:bookmarkEnd w:id="84"/>
    <w:bookmarkEnd w:id="85"/>
    <w:bookmarkEnd w:id="86"/>
    <w:p w14:paraId="7735BB8F" w14:textId="77777777" w:rsidR="00171453" w:rsidRPr="00CF6110" w:rsidRDefault="00FB3053" w:rsidP="00171453">
      <w:pPr>
        <w:pStyle w:val="SingleTxtG"/>
      </w:pPr>
      <w:r w:rsidRPr="00CF6110">
        <w:t>155.</w:t>
      </w:r>
      <w:r w:rsidRPr="00CF6110">
        <w:tab/>
      </w:r>
      <w:r w:rsidR="00171453" w:rsidRPr="00CF6110">
        <w:t>Forensic accounting applies accounting, statistical, and economic analysis to a criminal investigation. In the investigation of a suspicious death, it may uncover information that helps to identify a motive for a killing and possible suspects or witnesses in a criminal investigation.</w:t>
      </w:r>
    </w:p>
    <w:p w14:paraId="63695BCD" w14:textId="77777777" w:rsidR="00FB3053" w:rsidRPr="00CF6110" w:rsidRDefault="00FB3053" w:rsidP="00FB3053">
      <w:pPr>
        <w:pStyle w:val="H23G"/>
        <w:spacing w:line="240" w:lineRule="atLeast"/>
      </w:pPr>
      <w:bookmarkStart w:id="87" w:name="_Toc434860468"/>
      <w:bookmarkStart w:id="88" w:name="_Toc441645929"/>
      <w:bookmarkStart w:id="89" w:name="_Toc443387539"/>
      <w:bookmarkStart w:id="90" w:name="_Toc443397125"/>
      <w:bookmarkStart w:id="91" w:name="_Toc445909202"/>
      <w:r w:rsidRPr="00CF6110">
        <w:tab/>
        <w:t xml:space="preserve">6. </w:t>
      </w:r>
      <w:r w:rsidRPr="00CF6110">
        <w:tab/>
      </w:r>
      <w:r w:rsidRPr="00CF6110">
        <w:rPr>
          <w:bCs/>
        </w:rPr>
        <w:t>Soil/environment samples</w:t>
      </w:r>
    </w:p>
    <w:bookmarkEnd w:id="87"/>
    <w:bookmarkEnd w:id="88"/>
    <w:bookmarkEnd w:id="89"/>
    <w:bookmarkEnd w:id="90"/>
    <w:bookmarkEnd w:id="91"/>
    <w:p w14:paraId="5BF3B53E" w14:textId="77777777" w:rsidR="00171453" w:rsidRPr="00CF6110" w:rsidRDefault="00FB3053" w:rsidP="00171453">
      <w:pPr>
        <w:pStyle w:val="SingleTxtG"/>
      </w:pPr>
      <w:r w:rsidRPr="00CF6110">
        <w:t>156.</w:t>
      </w:r>
      <w:r w:rsidRPr="00CF6110">
        <w:tab/>
      </w:r>
      <w:r w:rsidR="00171453" w:rsidRPr="00CF6110">
        <w:t xml:space="preserve">When the crime scene involves an outdoor location, soil/environmental samples should be taken. Samples should also be taken from the crime scene itself and also from the surrounding areas. These later samples provide control samples, allowing the forensic expert to determine background levels and weigh the importance of the evidence recovered </w:t>
      </w:r>
      <w:r w:rsidR="00171453" w:rsidRPr="00CF6110">
        <w:lastRenderedPageBreak/>
        <w:t>from the crime scene. Samples should also be taken from alleged perpetrators’ clothing/footwear. Comparison between the sample recovered at the crime scene and those samples recovered from the suspect could provide a link.</w:t>
      </w:r>
    </w:p>
    <w:p w14:paraId="2F7CE956" w14:textId="77777777" w:rsidR="00FB3053" w:rsidRPr="00CF6110" w:rsidRDefault="00FB3053" w:rsidP="00FB3053">
      <w:pPr>
        <w:pStyle w:val="H1G"/>
        <w:spacing w:line="240" w:lineRule="atLeast"/>
      </w:pPr>
      <w:bookmarkStart w:id="92" w:name="_Toc443387540"/>
      <w:bookmarkStart w:id="93" w:name="_Toc443397126"/>
      <w:bookmarkStart w:id="94" w:name="_Toc445909203"/>
      <w:r w:rsidRPr="00CF6110">
        <w:tab/>
        <w:t xml:space="preserve">G. </w:t>
      </w:r>
      <w:r w:rsidRPr="00CF6110">
        <w:tab/>
      </w:r>
      <w:r w:rsidRPr="00CF6110">
        <w:rPr>
          <w:bCs/>
        </w:rPr>
        <w:t>Autopsy</w:t>
      </w:r>
    </w:p>
    <w:p w14:paraId="66104B9A" w14:textId="77777777" w:rsidR="00FB3053" w:rsidRPr="00CF6110" w:rsidRDefault="00FB3053" w:rsidP="00FB3053">
      <w:pPr>
        <w:pStyle w:val="H23G"/>
        <w:spacing w:line="240" w:lineRule="atLeast"/>
      </w:pPr>
      <w:bookmarkStart w:id="95" w:name="_Toc445909204"/>
      <w:bookmarkEnd w:id="92"/>
      <w:bookmarkEnd w:id="93"/>
      <w:bookmarkEnd w:id="94"/>
      <w:r w:rsidRPr="00CF6110">
        <w:tab/>
        <w:t xml:space="preserve">1. </w:t>
      </w:r>
      <w:r w:rsidRPr="00CF6110">
        <w:tab/>
      </w:r>
      <w:r w:rsidRPr="00CF6110">
        <w:rPr>
          <w:bCs/>
        </w:rPr>
        <w:t>General principles</w:t>
      </w:r>
    </w:p>
    <w:bookmarkEnd w:id="95"/>
    <w:p w14:paraId="1A31381A" w14:textId="62FDA89D" w:rsidR="00171453" w:rsidRPr="00CF6110" w:rsidRDefault="00FB3053" w:rsidP="00171453">
      <w:pPr>
        <w:pStyle w:val="SingleTxtG"/>
      </w:pPr>
      <w:r w:rsidRPr="00CF6110">
        <w:t>157.</w:t>
      </w:r>
      <w:r w:rsidRPr="00CF6110">
        <w:tab/>
      </w:r>
      <w:r w:rsidR="00171453" w:rsidRPr="00CF6110">
        <w:t xml:space="preserve">Paragraph </w:t>
      </w:r>
      <w:r w:rsidR="00DE52C5" w:rsidRPr="00CF6110">
        <w:t>30</w:t>
      </w:r>
      <w:r w:rsidR="00171453" w:rsidRPr="00CF6110">
        <w:t xml:space="preserve"> above sets out the aims of the investigation of a potentially unlawful death. To achieve these aims, an autopsy may need to be conducted. With the exception of identifying possible witnesses, all the aims rely to some extent on an autopsy being performed. Helping to meet these aims thus becomes a key duty of the forensic doctor, who must be well trained and experienced. </w:t>
      </w:r>
    </w:p>
    <w:p w14:paraId="6D41F929" w14:textId="6800A869" w:rsidR="00171453" w:rsidRPr="00CF6110" w:rsidRDefault="00FB3053" w:rsidP="00171453">
      <w:pPr>
        <w:pStyle w:val="SingleTxtG"/>
      </w:pPr>
      <w:r w:rsidRPr="00CF6110">
        <w:t>158.</w:t>
      </w:r>
      <w:r w:rsidRPr="00CF6110">
        <w:tab/>
      </w:r>
      <w:r w:rsidR="00171453" w:rsidRPr="00CF6110">
        <w:t>While the duties of clinical doctors are generally understood by the public, this is not the case with respect to forensic doctors.</w:t>
      </w:r>
      <w:r w:rsidR="00171453" w:rsidRPr="00CF6110">
        <w:rPr>
          <w:vertAlign w:val="superscript"/>
        </w:rPr>
        <w:footnoteReference w:id="102"/>
      </w:r>
      <w:r w:rsidR="00171453" w:rsidRPr="00CF6110">
        <w:t xml:space="preserve"> The duties of forensic doctors relating to death investigations</w:t>
      </w:r>
      <w:r w:rsidR="00171453" w:rsidRPr="00CF6110">
        <w:rPr>
          <w:vertAlign w:val="superscript"/>
        </w:rPr>
        <w:footnoteReference w:id="103"/>
      </w:r>
      <w:r w:rsidR="00171453" w:rsidRPr="00CF6110">
        <w:t xml:space="preserve"> are to </w:t>
      </w:r>
      <w:r w:rsidR="00D1577A" w:rsidRPr="00CF6110">
        <w:t xml:space="preserve">help ensure that the identity of the deceased is established and that </w:t>
      </w:r>
      <w:r w:rsidR="00171453" w:rsidRPr="00CF6110">
        <w:t>the cause and circumstances of the death are revealed</w:t>
      </w:r>
      <w:r w:rsidR="00D1577A" w:rsidRPr="00CF6110">
        <w:t>,</w:t>
      </w:r>
      <w:r w:rsidR="00171453" w:rsidRPr="00CF6110">
        <w:t xml:space="preserve"> and to exercise care and skill in their work. This requires an understanding of the basic aims of the forensic autopsy. These are to discover and record all pathological processes, including injuries, in the deceased, and where necessary, his or her identifying characteristics, and draw conclusions as to the cause of death and contributory factors, and, where necessary, the identity of the deceased, taking into account the medical history of the deceased and the circumstances of his or her death. In situations where the circumstances of death are unknown or in question, a forensic doctor should apply the autopsy findings and conclusions to the reconstruction of those circumstances. If possible, the doctor should attend the scene of death, preferably with the body in situ.</w:t>
      </w:r>
      <w:r w:rsidR="00171453" w:rsidRPr="00CF6110">
        <w:rPr>
          <w:vertAlign w:val="superscript"/>
        </w:rPr>
        <w:footnoteReference w:id="104"/>
      </w:r>
      <w:r w:rsidR="00171453" w:rsidRPr="00CF6110">
        <w:t xml:space="preserve"> </w:t>
      </w:r>
    </w:p>
    <w:p w14:paraId="1700912F" w14:textId="77777777" w:rsidR="00171453" w:rsidRPr="00CF6110" w:rsidRDefault="00FB3053" w:rsidP="00171453">
      <w:pPr>
        <w:pStyle w:val="SingleTxtG"/>
      </w:pPr>
      <w:r w:rsidRPr="00CF6110">
        <w:t>159.</w:t>
      </w:r>
      <w:r w:rsidRPr="00CF6110">
        <w:tab/>
      </w:r>
      <w:r w:rsidR="00171453" w:rsidRPr="00CF6110">
        <w:t xml:space="preserve">A forensic doctor should record the positive and relevant negative observations and findings in such a way as to enable another forensic pathologist at another time to independently come to his or her own conclusions about the case. As forensic pathology is essentially a visual exercise, this involves a dependence on good quality, and preferably, colour photography. </w:t>
      </w:r>
    </w:p>
    <w:p w14:paraId="0BCE7226" w14:textId="32F8C579" w:rsidR="00171453" w:rsidRPr="00CF6110" w:rsidRDefault="00FB3053" w:rsidP="00171453">
      <w:pPr>
        <w:pStyle w:val="SingleTxtG"/>
      </w:pPr>
      <w:r w:rsidRPr="00CF6110">
        <w:t>160.</w:t>
      </w:r>
      <w:r w:rsidRPr="00CF6110">
        <w:tab/>
      </w:r>
      <w:r w:rsidR="00171453" w:rsidRPr="00CF6110">
        <w:t>The autopsy report may be used by the authorities and others to help determine if the deceased was assaulted (including whether the deceased was tortured or maltreated), and if the injuries caused or contributed to death. On this basis, the autopsy report must not only include a list of the findings and injuries, it must also provide an interpretation of them.</w:t>
      </w:r>
      <w:r w:rsidR="00346947" w:rsidRPr="00CF6110">
        <w:t xml:space="preserve"> </w:t>
      </w:r>
      <w:r w:rsidR="00171453" w:rsidRPr="00CF6110">
        <w:t>If the forensic doctor believes that specific injuries have been inflicted by a particular mechanism, such as might occur during torture for example, the forensic doctor is strongly encouraged to provide that opinion in writing in the autopsy report. In addition, if a group of injuries, when considered together, imply a certain pattern of inflicted maltreatment, this should also be clearly stated in the autopsy report. While the forensic doctor may not make the final determination of whether the deceased was assaulted (or tortured), it is his/her duty to interpret and explain how the injuries occurred if at all possible.</w:t>
      </w:r>
      <w:r w:rsidR="00346947" w:rsidRPr="00CF6110">
        <w:t xml:space="preserve"> </w:t>
      </w:r>
      <w:r w:rsidR="00171453" w:rsidRPr="00CF6110">
        <w:t xml:space="preserve">If the connections </w:t>
      </w:r>
      <w:r w:rsidR="00171453" w:rsidRPr="00CF6110">
        <w:lastRenderedPageBreak/>
        <w:t>between the observed injuries and the mechanism of infliction are not made by the forensic doctor, then the main value of actually performing the autopsy — helping to find the truth behind the death — may be lost.</w:t>
      </w:r>
    </w:p>
    <w:p w14:paraId="09FDC684" w14:textId="77777777" w:rsidR="00171453" w:rsidRPr="00CF6110" w:rsidRDefault="00FB3053" w:rsidP="00171453">
      <w:pPr>
        <w:pStyle w:val="SingleTxtG"/>
      </w:pPr>
      <w:r w:rsidRPr="00CF6110">
        <w:t>161.</w:t>
      </w:r>
      <w:r w:rsidRPr="00CF6110">
        <w:tab/>
      </w:r>
      <w:r w:rsidR="00171453" w:rsidRPr="00CF6110">
        <w:t xml:space="preserve">The Detailed Guidelines on Autopsy should be followed to the extent possible given the resources available. The forensic doctor should request additional resources if they are regarded as necessary or desirable in the circumstances of the case. Use of the Guidelines will permit valid and reliable conclusions to be made contributing to the correct resolution of controversial cases. It will also thwart the speculation and innuendo that are fuelled by unanswered questions in the investigation of an apparently suspicious death. </w:t>
      </w:r>
    </w:p>
    <w:p w14:paraId="67B57DF5" w14:textId="77777777" w:rsidR="00171453" w:rsidRPr="00CF6110" w:rsidRDefault="00FB3053" w:rsidP="00171453">
      <w:pPr>
        <w:pStyle w:val="SingleTxtG"/>
      </w:pPr>
      <w:r w:rsidRPr="00CF6110">
        <w:t>162.</w:t>
      </w:r>
      <w:r w:rsidRPr="00CF6110">
        <w:tab/>
      </w:r>
      <w:r w:rsidR="00171453" w:rsidRPr="00CF6110">
        <w:t xml:space="preserve">The Detailed Guidelines on Autopsy include guidance on the autopsy detection of torture as an aide memoire for forensic doctors who may not be experienced in the assessment of such cases. The Detailed Guidelines on Autopsy is supported by the Detailed Guidelines on Analysis of Skeletal Remains. </w:t>
      </w:r>
    </w:p>
    <w:p w14:paraId="38AE0F33" w14:textId="00B93028" w:rsidR="00171453" w:rsidRPr="00CF6110" w:rsidRDefault="00FB3053" w:rsidP="00171453">
      <w:pPr>
        <w:pStyle w:val="SingleTxtG"/>
      </w:pPr>
      <w:r w:rsidRPr="00CF6110">
        <w:t>163.</w:t>
      </w:r>
      <w:r w:rsidRPr="00CF6110">
        <w:tab/>
      </w:r>
      <w:r w:rsidR="00171453" w:rsidRPr="00CF6110">
        <w:t>The forensic doctor should be responsible and accountable for the autopsy. In other words, he or she should be in charge of this part of the overall investigation of the potentially unlawful death, and accountable for it in accordance with applicable law and ethics</w:t>
      </w:r>
      <w:r w:rsidR="00D1577A" w:rsidRPr="00CF6110">
        <w:t>, including the need to respect the dignity of the dead</w:t>
      </w:r>
      <w:r w:rsidR="00171453" w:rsidRPr="00CF6110">
        <w:t xml:space="preserve">. </w:t>
      </w:r>
    </w:p>
    <w:p w14:paraId="0889E049" w14:textId="77777777" w:rsidR="00171453" w:rsidRPr="00CF6110" w:rsidRDefault="00FB3053" w:rsidP="00171453">
      <w:pPr>
        <w:pStyle w:val="SingleTxtG"/>
      </w:pPr>
      <w:r w:rsidRPr="00CF6110">
        <w:t>164.</w:t>
      </w:r>
      <w:r w:rsidRPr="00CF6110">
        <w:tab/>
      </w:r>
      <w:r w:rsidR="00171453" w:rsidRPr="00CF6110">
        <w:t>The body should be made available to the forensic doctor for a reasonable minimum period (e.g. 12 hours) that is sufficient in order to assure an adequate and unhurried examination. Unrealistic limits or conditions are occasionally placed upon the forensic doctor with respect to the length of time permitted for the examination or the circumstances under which an examination is allowed. If unacceptable conditions are imposed, the forensic doctor should be able to refuse to perform a compromised examination and should prepare a report explaining this position. Such a refusal should not be interpreted as indicating that an examination was unnecessary or inappropriate. If the forensic doctor decides to proceed with the examination notwithstanding difficult conditions or circumstances, s/he should include in the autopsy report an explanation of the limitations or impediments.</w:t>
      </w:r>
    </w:p>
    <w:p w14:paraId="2C6E124F" w14:textId="77777777" w:rsidR="00171453" w:rsidRPr="00CF6110" w:rsidRDefault="00FB3053" w:rsidP="00171453">
      <w:pPr>
        <w:pStyle w:val="SingleTxtG"/>
      </w:pPr>
      <w:r w:rsidRPr="00CF6110">
        <w:t>165.</w:t>
      </w:r>
      <w:r w:rsidRPr="00CF6110">
        <w:tab/>
      </w:r>
      <w:r w:rsidR="00171453" w:rsidRPr="00CF6110">
        <w:t xml:space="preserve">Resources such as autopsy rooms, X-ray equipment, or adequately trained personnel are not available everywhere and their provision and upkeep is usually not the responsibility of the forensic doctor. Forensic doctors operate under divergent political and legal systems. In addition, social and religious customs vary widely throughout the world. The forensic doctor, therefore, may not always be able to follow all of the steps in this protocol when performing autopsies. Variation from the Detailed Guidelines on Autopsy may be inevitable or even preferable in some cases. However, when there are major deviations from the Guidelines this should be explicitly noted and the reasons given. </w:t>
      </w:r>
    </w:p>
    <w:p w14:paraId="15C1269C" w14:textId="77777777" w:rsidR="00171453" w:rsidRPr="00CF6110" w:rsidRDefault="00FB3053" w:rsidP="00171453">
      <w:pPr>
        <w:pStyle w:val="SingleTxtG"/>
      </w:pPr>
      <w:r w:rsidRPr="00CF6110">
        <w:t>166.</w:t>
      </w:r>
      <w:r w:rsidRPr="00CF6110">
        <w:tab/>
      </w:r>
      <w:r w:rsidR="00171453" w:rsidRPr="00CF6110">
        <w:t xml:space="preserve">The investigation of potentially unlawful death involves the body of the deceased being taken out of family control and into the control of the investigative mechanism. The prosector should be aware of the potential emotional and other disruption this may cause, and should minimize this and family inconvenience as much as possible consistent with his/her obligation to properly discharge the responsibilities set out in this document. </w:t>
      </w:r>
    </w:p>
    <w:p w14:paraId="2DF2F435" w14:textId="77777777" w:rsidR="00FB3053" w:rsidRPr="00CF6110" w:rsidRDefault="00FB3053" w:rsidP="00FB3053">
      <w:pPr>
        <w:pStyle w:val="H23G"/>
        <w:spacing w:line="240" w:lineRule="atLeast"/>
      </w:pPr>
      <w:bookmarkStart w:id="96" w:name="_Toc443387541"/>
      <w:bookmarkStart w:id="97" w:name="_Toc443397127"/>
      <w:bookmarkStart w:id="98" w:name="_Toc445909205"/>
      <w:r w:rsidRPr="00CF6110">
        <w:tab/>
        <w:t xml:space="preserve">2. </w:t>
      </w:r>
      <w:r w:rsidRPr="00CF6110">
        <w:tab/>
      </w:r>
      <w:r w:rsidRPr="00CF6110">
        <w:rPr>
          <w:bCs/>
        </w:rPr>
        <w:t>The role of radiological imaging in investigating potentially unlawful deaths</w:t>
      </w:r>
    </w:p>
    <w:bookmarkEnd w:id="96"/>
    <w:bookmarkEnd w:id="97"/>
    <w:bookmarkEnd w:id="98"/>
    <w:p w14:paraId="5C8F5E4F" w14:textId="77777777" w:rsidR="00171453" w:rsidRPr="00CF6110" w:rsidRDefault="00FB3053" w:rsidP="00171453">
      <w:pPr>
        <w:pStyle w:val="SingleTxtG"/>
      </w:pPr>
      <w:r w:rsidRPr="00CF6110">
        <w:t>167.</w:t>
      </w:r>
      <w:r w:rsidRPr="00CF6110">
        <w:tab/>
      </w:r>
      <w:r w:rsidR="00171453" w:rsidRPr="00CF6110">
        <w:t xml:space="preserve">Plain X-rays have always been used, and continue to play an important part, in the investigation of the cause and circumstances of potentially unlawful deaths. In recent years, the advent of new forms of radiological imaging known as cross-sectional imaging or scanning (computerized tomography – CT scanning; magnetic resonance imaging - MRI scanning), have captured public imagination to the extent that the term “virtual autopsy” has entered the language. The concept embedded in this term has led to expectations that </w:t>
      </w:r>
      <w:r w:rsidR="00171453" w:rsidRPr="00CF6110">
        <w:lastRenderedPageBreak/>
        <w:t xml:space="preserve">scanning can reliably replace the traditional autopsy. Such expectations are some way from being realized. </w:t>
      </w:r>
    </w:p>
    <w:p w14:paraId="0321DA5D" w14:textId="77777777" w:rsidR="00171453" w:rsidRPr="00CF6110" w:rsidRDefault="00FB3053" w:rsidP="00171453">
      <w:pPr>
        <w:pStyle w:val="SingleTxtG"/>
      </w:pPr>
      <w:r w:rsidRPr="00CF6110">
        <w:t>168.</w:t>
      </w:r>
      <w:r w:rsidRPr="00CF6110">
        <w:tab/>
      </w:r>
      <w:r w:rsidR="00171453" w:rsidRPr="00CF6110">
        <w:t xml:space="preserve">However, scanning of the whole body has strengthened medical science’s ability to investigate a death: </w:t>
      </w:r>
    </w:p>
    <w:p w14:paraId="44C2D736" w14:textId="77777777" w:rsidR="00171453" w:rsidRPr="00CF6110" w:rsidRDefault="00FB3053" w:rsidP="00FB3053">
      <w:pPr>
        <w:pStyle w:val="SingleTxtG"/>
        <w:ind w:firstLine="567"/>
      </w:pPr>
      <w:r w:rsidRPr="00CF6110">
        <w:t>(a)</w:t>
      </w:r>
      <w:r w:rsidRPr="00CF6110">
        <w:tab/>
      </w:r>
      <w:proofErr w:type="gramStart"/>
      <w:r w:rsidR="00171453" w:rsidRPr="00CF6110">
        <w:t>parts</w:t>
      </w:r>
      <w:proofErr w:type="gramEnd"/>
      <w:r w:rsidR="00171453" w:rsidRPr="00CF6110">
        <w:t xml:space="preserve"> of the body not easily inspected by traditional means are now seen</w:t>
      </w:r>
    </w:p>
    <w:p w14:paraId="01C6F9A8" w14:textId="77777777" w:rsidR="00171453" w:rsidRPr="00CF6110" w:rsidRDefault="00FB3053" w:rsidP="007150FC">
      <w:pPr>
        <w:pStyle w:val="SingleTxtG"/>
        <w:ind w:left="1701"/>
      </w:pPr>
      <w:r w:rsidRPr="00CF6110">
        <w:t>(b)</w:t>
      </w:r>
      <w:r w:rsidRPr="00CF6110">
        <w:tab/>
      </w:r>
      <w:proofErr w:type="gramStart"/>
      <w:r w:rsidR="00171453" w:rsidRPr="00CF6110">
        <w:t>reconstruction</w:t>
      </w:r>
      <w:proofErr w:type="gramEnd"/>
      <w:r w:rsidR="00171453" w:rsidRPr="00CF6110">
        <w:t xml:space="preserve"> of three-dimensional images from scanning data may assist in interpreting injury or disease in some cases, and the acceptability of the images may help courts to understand such interpretation</w:t>
      </w:r>
    </w:p>
    <w:p w14:paraId="49644DA4" w14:textId="77777777" w:rsidR="00171453" w:rsidRPr="00CF6110" w:rsidRDefault="00FB3053" w:rsidP="007150FC">
      <w:pPr>
        <w:pStyle w:val="SingleTxtG"/>
        <w:ind w:left="1701"/>
      </w:pPr>
      <w:r w:rsidRPr="00CF6110">
        <w:t>(c)</w:t>
      </w:r>
      <w:r w:rsidRPr="00CF6110">
        <w:tab/>
      </w:r>
      <w:proofErr w:type="gramStart"/>
      <w:r w:rsidR="00171453" w:rsidRPr="00CF6110">
        <w:t>victims</w:t>
      </w:r>
      <w:proofErr w:type="gramEnd"/>
      <w:r w:rsidR="00171453" w:rsidRPr="00CF6110">
        <w:t xml:space="preserve"> of multi-fatality disasters can be triaged, improving prospects for identification </w:t>
      </w:r>
    </w:p>
    <w:p w14:paraId="28035B7B" w14:textId="77777777" w:rsidR="00171453" w:rsidRPr="00CF6110" w:rsidRDefault="00FB3053" w:rsidP="007150FC">
      <w:pPr>
        <w:pStyle w:val="SingleTxtG"/>
        <w:ind w:left="1701"/>
      </w:pPr>
      <w:r w:rsidRPr="00CF6110">
        <w:t>(d)</w:t>
      </w:r>
      <w:r w:rsidRPr="00CF6110">
        <w:tab/>
      </w:r>
      <w:proofErr w:type="gramStart"/>
      <w:r w:rsidR="00171453" w:rsidRPr="00CF6110">
        <w:t>long-term</w:t>
      </w:r>
      <w:proofErr w:type="gramEnd"/>
      <w:r w:rsidR="00171453" w:rsidRPr="00CF6110">
        <w:t xml:space="preserve"> digital storage of the images improves reviewability of the examination of the dead body</w:t>
      </w:r>
    </w:p>
    <w:p w14:paraId="23D9526E" w14:textId="77777777" w:rsidR="00171453" w:rsidRPr="00CF6110" w:rsidRDefault="00FB3053" w:rsidP="007150FC">
      <w:pPr>
        <w:pStyle w:val="SingleTxtG"/>
        <w:ind w:left="1701"/>
      </w:pPr>
      <w:r w:rsidRPr="00CF6110">
        <w:t>(e)</w:t>
      </w:r>
      <w:r w:rsidRPr="00CF6110">
        <w:tab/>
      </w:r>
      <w:r w:rsidR="00171453" w:rsidRPr="00CF6110">
        <w:t xml:space="preserve">medico-legal systems where autopsies are rare can obtain information about the body that would otherwise be unavailable. </w:t>
      </w:r>
    </w:p>
    <w:p w14:paraId="633C0A25" w14:textId="77777777" w:rsidR="00171453" w:rsidRPr="00CF6110" w:rsidRDefault="00FB3053" w:rsidP="00171453">
      <w:pPr>
        <w:pStyle w:val="SingleTxtG"/>
      </w:pPr>
      <w:r w:rsidRPr="00CF6110">
        <w:t>169.</w:t>
      </w:r>
      <w:r w:rsidRPr="00CF6110">
        <w:tab/>
      </w:r>
      <w:r w:rsidR="00171453" w:rsidRPr="00CF6110">
        <w:t>The expense of this new imaging is such that it is not, and is unlikely to become, widely available on a global scale. In addition, although much work has been done, the relative sensitivity, specificity, and predictive value of findings made using scanning techniques compared to those from autopsy have yet to be comprehensively studied.</w:t>
      </w:r>
    </w:p>
    <w:p w14:paraId="115E1286" w14:textId="77777777" w:rsidR="00171453" w:rsidRPr="00CF6110" w:rsidRDefault="00FB3053" w:rsidP="00171453">
      <w:pPr>
        <w:pStyle w:val="SingleTxtG"/>
      </w:pPr>
      <w:r w:rsidRPr="00CF6110">
        <w:t>170.</w:t>
      </w:r>
      <w:r w:rsidRPr="00CF6110">
        <w:tab/>
      </w:r>
      <w:r w:rsidR="00171453" w:rsidRPr="00CF6110">
        <w:t xml:space="preserve">Considerable experience is required to understand what questions can properly be answered by imaging techniques alone without the support of traditional autopsy. The images are quite different to naked eye images, and overlap only to some degree the information obtained by traditional autopsy. Body samples are still needed for all forms of post-mortem testing (e.g. toxicology, histology, microbiology). </w:t>
      </w:r>
      <w:proofErr w:type="gramStart"/>
      <w:r w:rsidR="00171453" w:rsidRPr="00CF6110">
        <w:t>Thus, while information is available from scanning of the body that is sometimes not available from an autopsy, this information supplements and does not replace the information available from the autopsy.</w:t>
      </w:r>
      <w:proofErr w:type="gramEnd"/>
      <w:r w:rsidR="00171453" w:rsidRPr="00CF6110">
        <w:t xml:space="preserve"> </w:t>
      </w:r>
    </w:p>
    <w:p w14:paraId="60F9536D" w14:textId="3BA70A7C" w:rsidR="00171453" w:rsidRPr="00CF6110" w:rsidRDefault="00FB3053" w:rsidP="00171453">
      <w:pPr>
        <w:pStyle w:val="SingleTxtG"/>
      </w:pPr>
      <w:r w:rsidRPr="00CF6110">
        <w:t>171.</w:t>
      </w:r>
      <w:r w:rsidRPr="00CF6110">
        <w:tab/>
      </w:r>
      <w:r w:rsidR="00171453" w:rsidRPr="00CF6110">
        <w:t>In some cases, findings from scanning considered together with the deceased’s medical history, information about the circumstances of the death, and an external examination of the dead body, may be sufficient for trained and experienced forensic doctors to reach reasonable conclusions about a death. In potentially unlawful death, it is not likely that such conclusions will suffice to meet all the aims of the death inve</w:t>
      </w:r>
      <w:r w:rsidR="00DE52C5" w:rsidRPr="00CF6110">
        <w:t>stigation set out in Paragraph 30</w:t>
      </w:r>
      <w:r w:rsidR="00171453" w:rsidRPr="00CF6110">
        <w:t xml:space="preserve"> above. As mentioned in the section of the Detailed Guidelines on Autopsy that address post-mortem detection of torture, cross-sectional scanning techniques may be particularly helpful in the detection in some forms of torture.</w:t>
      </w:r>
    </w:p>
    <w:p w14:paraId="58027801" w14:textId="4DB378C8" w:rsidR="00171453" w:rsidRPr="00CF6110" w:rsidRDefault="00FB3053" w:rsidP="00171453">
      <w:pPr>
        <w:pStyle w:val="SingleTxtG"/>
      </w:pPr>
      <w:r w:rsidRPr="00CF6110">
        <w:t>172.</w:t>
      </w:r>
      <w:r w:rsidRPr="00CF6110">
        <w:tab/>
      </w:r>
      <w:r w:rsidR="00171453" w:rsidRPr="00CF6110">
        <w:t xml:space="preserve">If the technology of cross-sectional imaging is to be relied upon to fulfil the aims set out in Paragraph </w:t>
      </w:r>
      <w:r w:rsidR="00DE52C5" w:rsidRPr="00CF6110">
        <w:t>30</w:t>
      </w:r>
      <w:r w:rsidR="00171453" w:rsidRPr="00CF6110">
        <w:t xml:space="preserve"> above, and a decision is then made to have no autopsy, this approach should be fully justified and the reasons documented. </w:t>
      </w:r>
    </w:p>
    <w:p w14:paraId="71C29E6B" w14:textId="77777777" w:rsidR="00FB3053" w:rsidRPr="00CF6110" w:rsidRDefault="00FB3053" w:rsidP="00FB3053">
      <w:pPr>
        <w:pStyle w:val="H1G"/>
        <w:spacing w:line="240" w:lineRule="atLeast"/>
      </w:pPr>
      <w:r w:rsidRPr="00CF6110">
        <w:tab/>
        <w:t xml:space="preserve">H. </w:t>
      </w:r>
      <w:r w:rsidRPr="00CF6110">
        <w:tab/>
      </w:r>
      <w:r w:rsidRPr="00CF6110">
        <w:rPr>
          <w:bCs/>
        </w:rPr>
        <w:t>Analysis of Skeletal Remains</w:t>
      </w:r>
    </w:p>
    <w:p w14:paraId="524469D4" w14:textId="063EF5D1" w:rsidR="00171453" w:rsidRPr="00CF6110" w:rsidRDefault="00FB3053" w:rsidP="00171453">
      <w:pPr>
        <w:pStyle w:val="SingleTxtG"/>
      </w:pPr>
      <w:r w:rsidRPr="00CF6110">
        <w:t>173.</w:t>
      </w:r>
      <w:r w:rsidRPr="00CF6110">
        <w:tab/>
      </w:r>
      <w:r w:rsidR="00171453" w:rsidRPr="00CF6110">
        <w:t xml:space="preserve">Analysis of skeletal remains usually follows the same </w:t>
      </w:r>
      <w:r w:rsidR="008A00A5" w:rsidRPr="00CF6110">
        <w:t xml:space="preserve">principles and </w:t>
      </w:r>
      <w:r w:rsidR="00171453" w:rsidRPr="00CF6110">
        <w:t xml:space="preserve">objectives as in the case of a fresh body: </w:t>
      </w:r>
      <w:r w:rsidR="008A00A5" w:rsidRPr="00CF6110">
        <w:t xml:space="preserve">dignified management of the bodily remains; </w:t>
      </w:r>
      <w:r w:rsidR="00171453" w:rsidRPr="00CF6110">
        <w:t xml:space="preserve">identification of the remains; assessing the time, cause, and manner of death; and contributing to the reconstruction of the circumstances surrounding the death. </w:t>
      </w:r>
    </w:p>
    <w:p w14:paraId="259CC6B4" w14:textId="77777777" w:rsidR="00171453" w:rsidRPr="00CF6110" w:rsidRDefault="00FB3053" w:rsidP="00171453">
      <w:pPr>
        <w:pStyle w:val="SingleTxtG"/>
      </w:pPr>
      <w:r w:rsidRPr="00CF6110">
        <w:t>174.</w:t>
      </w:r>
      <w:r w:rsidRPr="00CF6110">
        <w:tab/>
      </w:r>
      <w:r w:rsidR="00171453" w:rsidRPr="00CF6110">
        <w:t xml:space="preserve">Recently deceased, partially skeletonized, or completely skeletonized bodies require an interdisciplinary approach. The forensic doctor responsible for the case has to work in cooperation with other specialists. In the case of skeletal remains, this requires a forensic anthropologist. Forensic anthropology is the application of anthropological theory and </w:t>
      </w:r>
      <w:r w:rsidR="00171453" w:rsidRPr="00CF6110">
        <w:lastRenderedPageBreak/>
        <w:t>methods, particularly those relating to the recovery and analysis of human remains, to resolve legal matters. The forensic anthropologist assists the forensic doctor in assessing skeletal traits for the purpose of identification or to find and interpret signs of pathology and trauma. The forensic anthropologist may also collaborate with the forensic doctor in coming to conclusions about the cause and manner of death and, using archaeological dating methods, the time since death.</w:t>
      </w:r>
    </w:p>
    <w:p w14:paraId="0A7FB552" w14:textId="77777777" w:rsidR="00171453" w:rsidRPr="00CF6110" w:rsidRDefault="00FB3053" w:rsidP="00171453">
      <w:pPr>
        <w:pStyle w:val="SingleTxtG"/>
      </w:pPr>
      <w:r w:rsidRPr="00CF6110">
        <w:t>175.</w:t>
      </w:r>
      <w:r w:rsidRPr="00CF6110">
        <w:tab/>
      </w:r>
      <w:r w:rsidR="00171453" w:rsidRPr="00CF6110">
        <w:t>Further guidance is set out in the Detailed Guidelines on Analysis of Skeletal Remains.</w:t>
      </w:r>
    </w:p>
    <w:p w14:paraId="605BBAAB" w14:textId="77777777" w:rsidR="00FB3053" w:rsidRPr="00CF6110" w:rsidRDefault="00FB3053" w:rsidP="00FB3053">
      <w:pPr>
        <w:pStyle w:val="HChG"/>
        <w:spacing w:line="240" w:lineRule="atLeast"/>
      </w:pPr>
      <w:r w:rsidRPr="00CF6110">
        <w:tab/>
        <w:t>V.</w:t>
      </w:r>
      <w:r w:rsidRPr="00CF6110">
        <w:tab/>
      </w:r>
      <w:r w:rsidR="00C230FE" w:rsidRPr="00CF6110">
        <w:t>Detailed Guidelines</w:t>
      </w:r>
    </w:p>
    <w:p w14:paraId="3A150E95" w14:textId="77777777" w:rsidR="00C230FE" w:rsidRPr="00CF6110" w:rsidRDefault="00C230FE" w:rsidP="00C230FE">
      <w:pPr>
        <w:pStyle w:val="H1G"/>
        <w:spacing w:line="240" w:lineRule="atLeast"/>
      </w:pPr>
      <w:r w:rsidRPr="00CF6110">
        <w:tab/>
        <w:t xml:space="preserve">A. </w:t>
      </w:r>
      <w:r w:rsidRPr="00CF6110">
        <w:tab/>
      </w:r>
      <w:r w:rsidRPr="00CF6110">
        <w:rPr>
          <w:bCs/>
        </w:rPr>
        <w:t>Detailed Guidelines on Crime-Scene Investigation</w:t>
      </w:r>
    </w:p>
    <w:p w14:paraId="54DD4983" w14:textId="77777777" w:rsidR="00C230FE" w:rsidRPr="00CF6110" w:rsidRDefault="00C230FE" w:rsidP="00C230FE">
      <w:pPr>
        <w:pStyle w:val="H23G"/>
        <w:spacing w:line="240" w:lineRule="atLeast"/>
      </w:pPr>
      <w:r w:rsidRPr="00CF6110">
        <w:tab/>
        <w:t xml:space="preserve">1. </w:t>
      </w:r>
      <w:r w:rsidRPr="00CF6110">
        <w:tab/>
      </w:r>
      <w:r w:rsidRPr="00CF6110">
        <w:rPr>
          <w:bCs/>
        </w:rPr>
        <w:t>Introduction</w:t>
      </w:r>
    </w:p>
    <w:p w14:paraId="485A0932" w14:textId="77777777" w:rsidR="00FB3053" w:rsidRPr="00CF6110" w:rsidRDefault="00C230FE" w:rsidP="00FB3053">
      <w:pPr>
        <w:pStyle w:val="SingleTxtG"/>
      </w:pPr>
      <w:r w:rsidRPr="00CF6110">
        <w:t>176.</w:t>
      </w:r>
      <w:r w:rsidRPr="00CF6110">
        <w:tab/>
      </w:r>
      <w:r w:rsidR="00FB3053" w:rsidRPr="00CF6110">
        <w:t xml:space="preserve">Crime-scene examinations aim to scientifically identify, document, collect, and preserve court-admissible evidence that may link suspects, victims, and physical evidence with the scene. Such examinations should be conducted by forensic experts who have been trained in legal and scientific identification, documentation, collection, and preservation of evidence. </w:t>
      </w:r>
    </w:p>
    <w:p w14:paraId="411F9E80" w14:textId="77777777" w:rsidR="00FB3053" w:rsidRPr="00CF6110" w:rsidRDefault="00C230FE" w:rsidP="00FB3053">
      <w:pPr>
        <w:pStyle w:val="SingleTxtG"/>
      </w:pPr>
      <w:r w:rsidRPr="00CF6110">
        <w:t>177.</w:t>
      </w:r>
      <w:r w:rsidRPr="00CF6110">
        <w:tab/>
      </w:r>
      <w:r w:rsidR="00FB3053" w:rsidRPr="00CF6110">
        <w:t>Documentation consists of:</w:t>
      </w:r>
    </w:p>
    <w:p w14:paraId="75107E72" w14:textId="77777777" w:rsidR="00FB3053" w:rsidRPr="00CF6110" w:rsidRDefault="00C230FE" w:rsidP="007150FC">
      <w:pPr>
        <w:pStyle w:val="SingleTxtG"/>
        <w:ind w:left="1701"/>
      </w:pPr>
      <w:r w:rsidRPr="00CF6110">
        <w:t>(a)</w:t>
      </w:r>
      <w:r w:rsidRPr="00CF6110">
        <w:tab/>
      </w:r>
      <w:r w:rsidR="00FB3053" w:rsidRPr="00CF6110">
        <w:rPr>
          <w:b/>
        </w:rPr>
        <w:t>Photographic documentation.</w:t>
      </w:r>
      <w:r w:rsidR="00FB3053" w:rsidRPr="00CF6110">
        <w:t xml:space="preserve"> Photographs can also include a reference size scale and direction indicator. Video documentation can supplement photographic documentation, but due to image resolution should not be considered a primary means to capture images</w:t>
      </w:r>
    </w:p>
    <w:p w14:paraId="14CFD57A" w14:textId="77777777" w:rsidR="00FB3053" w:rsidRPr="00CF6110" w:rsidRDefault="00C230FE" w:rsidP="007150FC">
      <w:pPr>
        <w:pStyle w:val="SingleTxtG"/>
        <w:ind w:left="1701"/>
      </w:pPr>
      <w:r w:rsidRPr="00CF6110">
        <w:t>(b)</w:t>
      </w:r>
      <w:r w:rsidRPr="00CF6110">
        <w:tab/>
      </w:r>
      <w:r w:rsidR="00FB3053" w:rsidRPr="00CF6110">
        <w:rPr>
          <w:b/>
        </w:rPr>
        <w:t>Measurements</w:t>
      </w:r>
      <w:r w:rsidR="00FB3053" w:rsidRPr="00CF6110">
        <w:t xml:space="preserve"> (e.g. length/width/height, marked on sketches, diagrams/maps, instrument results)</w:t>
      </w:r>
    </w:p>
    <w:p w14:paraId="043D58C1" w14:textId="77777777" w:rsidR="00FB3053" w:rsidRPr="00CF6110" w:rsidRDefault="00C230FE" w:rsidP="00C230FE">
      <w:pPr>
        <w:pStyle w:val="SingleTxtG"/>
        <w:ind w:firstLine="567"/>
      </w:pPr>
      <w:r w:rsidRPr="00CF6110">
        <w:t>(c)</w:t>
      </w:r>
      <w:r w:rsidRPr="00CF6110">
        <w:tab/>
      </w:r>
      <w:r w:rsidR="00FB3053" w:rsidRPr="00CF6110">
        <w:rPr>
          <w:b/>
        </w:rPr>
        <w:t>Notes</w:t>
      </w:r>
      <w:r w:rsidR="00FB3053" w:rsidRPr="00CF6110">
        <w:t xml:space="preserve"> – describing findings and recording data collection.</w:t>
      </w:r>
    </w:p>
    <w:p w14:paraId="408296C4" w14:textId="77777777" w:rsidR="00FB3053" w:rsidRPr="00CF6110" w:rsidRDefault="00FB3053" w:rsidP="00FB3053">
      <w:pPr>
        <w:pStyle w:val="SingleTxtG"/>
      </w:pPr>
      <w:r w:rsidRPr="00CF6110">
        <w:t>These records need to be managed according to chain-of-custody standards, safeguarding them from possible manipulation.</w:t>
      </w:r>
    </w:p>
    <w:p w14:paraId="6CDEAEF3" w14:textId="77777777" w:rsidR="00FB3053" w:rsidRPr="00CF6110" w:rsidRDefault="00C230FE" w:rsidP="00FB3053">
      <w:pPr>
        <w:pStyle w:val="SingleTxtG"/>
      </w:pPr>
      <w:r w:rsidRPr="00CF6110">
        <w:t>178.</w:t>
      </w:r>
      <w:r w:rsidRPr="00CF6110">
        <w:tab/>
      </w:r>
      <w:r w:rsidR="00FB3053" w:rsidRPr="00CF6110">
        <w:t xml:space="preserve">In situations where the rule of law has broken down, such as during armed conflict, investigations may not be carried out by local authorities. In such cases, international bodies may not establish jurisdiction until long after any crimes have occurred, if at all. Under these circumstances, non-forensic experts, such as medical workers, journalists, or human rights activists, may be the first to come upon the death. What these witnesses document may be important to future investigations as well as to proper management of the dead and identification of victims, even though they have no formal legal mandate to identify, document, and collect evidence. </w:t>
      </w:r>
    </w:p>
    <w:p w14:paraId="35EA80A3" w14:textId="77777777" w:rsidR="00FB3053" w:rsidRPr="00CF6110" w:rsidRDefault="00C230FE" w:rsidP="00FB3053">
      <w:pPr>
        <w:pStyle w:val="SingleTxtG"/>
      </w:pPr>
      <w:r w:rsidRPr="00CF6110">
        <w:t>179.</w:t>
      </w:r>
      <w:r w:rsidRPr="00CF6110">
        <w:tab/>
      </w:r>
      <w:r w:rsidR="00FB3053" w:rsidRPr="00CF6110">
        <w:t>Nonetheless, documentation through methodical photographing and/or video recording, measurements, and thorough note-taking is a means for such non-experts to contribute to future truth-seeking and/or judicial inquiries. The credibility of such documentation is enhanced when records are kept according to chain-of-custody standards, allowing for independent verification of the identity of the author, the origin of the records, and how they were subsequently stored or managed.</w:t>
      </w:r>
    </w:p>
    <w:p w14:paraId="0055B779" w14:textId="77777777" w:rsidR="00FB3053" w:rsidRPr="00CF6110" w:rsidRDefault="00C230FE" w:rsidP="00FB3053">
      <w:pPr>
        <w:pStyle w:val="SingleTxtG"/>
      </w:pPr>
      <w:r w:rsidRPr="00CF6110">
        <w:t>180.</w:t>
      </w:r>
      <w:r w:rsidRPr="00CF6110">
        <w:tab/>
      </w:r>
      <w:r w:rsidR="00FB3053" w:rsidRPr="00CF6110">
        <w:t>Crime-scene investigators are individuals trained in identifying, documenting, collecting, and preserving physical evidence for further analysis. At an early stage, it should be established which type of scientific expertise will be needed in the field as well as later in forensic laboratories. Some of the experts who may need to be consulted include:</w:t>
      </w:r>
    </w:p>
    <w:p w14:paraId="736C50A8" w14:textId="77777777" w:rsidR="00FB3053" w:rsidRPr="00CF6110" w:rsidRDefault="00C230FE" w:rsidP="00C230FE">
      <w:pPr>
        <w:pStyle w:val="SingleTxtG"/>
        <w:ind w:firstLine="567"/>
      </w:pPr>
      <w:r w:rsidRPr="00CF6110">
        <w:lastRenderedPageBreak/>
        <w:t>(a)</w:t>
      </w:r>
      <w:r w:rsidRPr="00CF6110">
        <w:tab/>
      </w:r>
      <w:r w:rsidR="00FB3053" w:rsidRPr="00CF6110">
        <w:t>Forensic pathologists/doctors</w:t>
      </w:r>
    </w:p>
    <w:p w14:paraId="1D5F239D" w14:textId="77777777" w:rsidR="00FB3053" w:rsidRPr="00CF6110" w:rsidRDefault="00C230FE" w:rsidP="00C230FE">
      <w:pPr>
        <w:pStyle w:val="SingleTxtG"/>
        <w:ind w:firstLine="567"/>
      </w:pPr>
      <w:r w:rsidRPr="00CF6110">
        <w:t>(b)</w:t>
      </w:r>
      <w:r w:rsidRPr="00CF6110">
        <w:tab/>
      </w:r>
      <w:r w:rsidR="00FB3053" w:rsidRPr="00CF6110">
        <w:t>Forensic anthropologists</w:t>
      </w:r>
    </w:p>
    <w:p w14:paraId="65E5F328" w14:textId="77777777" w:rsidR="00FB3053" w:rsidRPr="00CF6110" w:rsidRDefault="00C230FE" w:rsidP="00C230FE">
      <w:pPr>
        <w:pStyle w:val="SingleTxtG"/>
        <w:ind w:firstLine="567"/>
      </w:pPr>
      <w:r w:rsidRPr="00CF6110">
        <w:t>(c)</w:t>
      </w:r>
      <w:r w:rsidRPr="00CF6110">
        <w:tab/>
      </w:r>
      <w:r w:rsidR="00FB3053" w:rsidRPr="00CF6110">
        <w:t xml:space="preserve">Forensic archaeologists </w:t>
      </w:r>
    </w:p>
    <w:p w14:paraId="41AE3D6B" w14:textId="77777777" w:rsidR="00FB3053" w:rsidRPr="00CF6110" w:rsidRDefault="00C230FE" w:rsidP="00C230FE">
      <w:pPr>
        <w:pStyle w:val="SingleTxtG"/>
        <w:ind w:firstLine="567"/>
      </w:pPr>
      <w:r w:rsidRPr="00CF6110">
        <w:t>(d)</w:t>
      </w:r>
      <w:r w:rsidRPr="00CF6110">
        <w:tab/>
      </w:r>
      <w:r w:rsidR="00FB3053" w:rsidRPr="00CF6110">
        <w:t>Forensic entomologists</w:t>
      </w:r>
    </w:p>
    <w:p w14:paraId="5476FD53" w14:textId="77777777" w:rsidR="00FB3053" w:rsidRPr="00CF6110" w:rsidRDefault="00C230FE" w:rsidP="00C230FE">
      <w:pPr>
        <w:pStyle w:val="SingleTxtG"/>
        <w:ind w:firstLine="567"/>
      </w:pPr>
      <w:r w:rsidRPr="00CF6110">
        <w:t>(e)</w:t>
      </w:r>
      <w:r w:rsidRPr="00CF6110">
        <w:tab/>
      </w:r>
      <w:r w:rsidR="00FB3053" w:rsidRPr="00CF6110">
        <w:t>Forensic botanists</w:t>
      </w:r>
    </w:p>
    <w:p w14:paraId="73E12F9E" w14:textId="77777777" w:rsidR="00FB3053" w:rsidRPr="00CF6110" w:rsidRDefault="00C230FE" w:rsidP="00C230FE">
      <w:pPr>
        <w:pStyle w:val="SingleTxtG"/>
        <w:ind w:firstLine="567"/>
      </w:pPr>
      <w:r w:rsidRPr="00CF6110">
        <w:t>(f)</w:t>
      </w:r>
      <w:r w:rsidRPr="00CF6110">
        <w:tab/>
      </w:r>
      <w:r w:rsidR="00FB3053" w:rsidRPr="00CF6110">
        <w:t>Forensic radiologists</w:t>
      </w:r>
    </w:p>
    <w:p w14:paraId="20ECB1C4" w14:textId="77777777" w:rsidR="00FB3053" w:rsidRPr="00CF6110" w:rsidRDefault="00C230FE" w:rsidP="00C230FE">
      <w:pPr>
        <w:pStyle w:val="SingleTxtG"/>
        <w:ind w:firstLine="567"/>
      </w:pPr>
      <w:r w:rsidRPr="00CF6110">
        <w:t>(g)</w:t>
      </w:r>
      <w:r w:rsidRPr="00CF6110">
        <w:tab/>
      </w:r>
      <w:r w:rsidR="00FB3053" w:rsidRPr="00CF6110">
        <w:t>Ballistics and firearms experts</w:t>
      </w:r>
    </w:p>
    <w:p w14:paraId="336C7F4D" w14:textId="77777777" w:rsidR="00FB3053" w:rsidRPr="00CF6110" w:rsidRDefault="00C230FE" w:rsidP="00C230FE">
      <w:pPr>
        <w:pStyle w:val="SingleTxtG"/>
        <w:ind w:firstLine="567"/>
      </w:pPr>
      <w:r w:rsidRPr="00CF6110">
        <w:t>(h)</w:t>
      </w:r>
      <w:r w:rsidRPr="00CF6110">
        <w:tab/>
      </w:r>
      <w:r w:rsidR="00FB3053" w:rsidRPr="00CF6110">
        <w:t>Chemists (e.g. with expertise in chemical weapons)/toxicologists</w:t>
      </w:r>
    </w:p>
    <w:p w14:paraId="645C714E" w14:textId="77777777" w:rsidR="00FB3053" w:rsidRPr="00CF6110" w:rsidRDefault="00C230FE" w:rsidP="005F2CD1">
      <w:pPr>
        <w:pStyle w:val="SingleTxtG"/>
        <w:ind w:left="2268" w:hanging="567"/>
      </w:pPr>
      <w:r w:rsidRPr="00CF6110">
        <w:t>(</w:t>
      </w:r>
      <w:proofErr w:type="spellStart"/>
      <w:r w:rsidRPr="00CF6110">
        <w:t>i</w:t>
      </w:r>
      <w:proofErr w:type="spellEnd"/>
      <w:r w:rsidRPr="00CF6110">
        <w:t>)</w:t>
      </w:r>
      <w:r w:rsidRPr="00CF6110">
        <w:tab/>
      </w:r>
      <w:r w:rsidR="00FB3053" w:rsidRPr="00CF6110">
        <w:t xml:space="preserve">Human identification experts (e.g. fingerprint experts, mass fatality operation experts, molecular biologists/forensic DNA experts, or forensic dentists) </w:t>
      </w:r>
    </w:p>
    <w:p w14:paraId="4973B05A" w14:textId="77777777" w:rsidR="00FB3053" w:rsidRPr="00CF6110" w:rsidRDefault="00C230FE" w:rsidP="005F2CD1">
      <w:pPr>
        <w:pStyle w:val="SingleTxtG"/>
        <w:ind w:left="2268" w:hanging="567"/>
      </w:pPr>
      <w:r w:rsidRPr="00CF6110">
        <w:t>(j)</w:t>
      </w:r>
      <w:r w:rsidRPr="00CF6110">
        <w:tab/>
      </w:r>
      <w:r w:rsidR="00FB3053" w:rsidRPr="00CF6110">
        <w:t>Digital data experts (e.g. cell phones, memory sticks, computers, or social media).</w:t>
      </w:r>
    </w:p>
    <w:p w14:paraId="76413F90" w14:textId="77777777" w:rsidR="00FB3053" w:rsidRPr="00CF6110" w:rsidRDefault="00FB3053" w:rsidP="00FB3053">
      <w:pPr>
        <w:pStyle w:val="SingleTxtG"/>
      </w:pPr>
      <w:r w:rsidRPr="00CF6110">
        <w:t>Within the overall investigatory strategy, recognized forensic laboratories should be identified for subsequent laboratory examinations and analysis of evidence.</w:t>
      </w:r>
    </w:p>
    <w:p w14:paraId="1DCA9BB0" w14:textId="77777777" w:rsidR="00FB3053" w:rsidRPr="00CF6110" w:rsidRDefault="00C230FE" w:rsidP="00FB3053">
      <w:pPr>
        <w:pStyle w:val="SingleTxtG"/>
      </w:pPr>
      <w:r w:rsidRPr="00CF6110">
        <w:t>181.</w:t>
      </w:r>
      <w:r w:rsidRPr="00CF6110">
        <w:tab/>
      </w:r>
      <w:r w:rsidR="00FB3053" w:rsidRPr="00CF6110">
        <w:t>Once its dimensions have been identified, the scene needs to be secured. This entails:</w:t>
      </w:r>
    </w:p>
    <w:p w14:paraId="00C3614B" w14:textId="77777777" w:rsidR="00FB3053" w:rsidRPr="00CF6110" w:rsidRDefault="00C230FE" w:rsidP="007150FC">
      <w:pPr>
        <w:pStyle w:val="SingleTxtG"/>
        <w:ind w:left="1701"/>
      </w:pPr>
      <w:r w:rsidRPr="00CF6110">
        <w:t>(a)</w:t>
      </w:r>
      <w:r w:rsidRPr="00CF6110">
        <w:tab/>
      </w:r>
      <w:r w:rsidR="00FB3053" w:rsidRPr="00CF6110">
        <w:rPr>
          <w:b/>
        </w:rPr>
        <w:t>Limiting access</w:t>
      </w:r>
      <w:r w:rsidR="00FB3053" w:rsidRPr="00CF6110">
        <w:t>: Access to the geographic area of the scene is documented and limited to pertinent experts and investigators. Access that may have contributed to contamination and degradation of evidence as well as any evidence of manipulation of the scene that may have occurred or could possibly occur need to be identified and documented.</w:t>
      </w:r>
    </w:p>
    <w:p w14:paraId="6278301E" w14:textId="77777777" w:rsidR="00FB3053" w:rsidRPr="00CF6110" w:rsidRDefault="00C230FE" w:rsidP="007150FC">
      <w:pPr>
        <w:pStyle w:val="SingleTxtG"/>
        <w:ind w:left="1701"/>
      </w:pPr>
      <w:r w:rsidRPr="00CF6110">
        <w:t>(b)</w:t>
      </w:r>
      <w:r w:rsidRPr="00CF6110">
        <w:tab/>
      </w:r>
      <w:r w:rsidR="00FB3053" w:rsidRPr="00CF6110">
        <w:rPr>
          <w:b/>
        </w:rPr>
        <w:t>Personnel safety</w:t>
      </w:r>
      <w:r w:rsidR="00FB3053" w:rsidRPr="00CF6110">
        <w:t>: The scene is rendered safe for access for the identification, documentation, and collection of evidence. In circumstances such as ongoing armed conflict, or areas where items such as unexploded ordnance, toxic agents, and/or booby-traps are suspected, special experts in rendering safe such items need to be consulted. This includes explosive ordnance disposal personnel and chemical, biological, and/or radiological experts. Precautions again coming under armed attack might also be necessary in some circumstances.</w:t>
      </w:r>
    </w:p>
    <w:p w14:paraId="37DADFBE" w14:textId="77777777" w:rsidR="00FB3053" w:rsidRPr="00CF6110" w:rsidRDefault="00C230FE" w:rsidP="007150FC">
      <w:pPr>
        <w:pStyle w:val="SingleTxtG"/>
        <w:ind w:left="1701"/>
      </w:pPr>
      <w:r w:rsidRPr="00CF6110">
        <w:t>(c)</w:t>
      </w:r>
      <w:r w:rsidRPr="00CF6110">
        <w:tab/>
      </w:r>
      <w:r w:rsidR="00FB3053" w:rsidRPr="00CF6110">
        <w:rPr>
          <w:b/>
        </w:rPr>
        <w:t>Evidence security</w:t>
      </w:r>
      <w:r w:rsidR="00FB3053" w:rsidRPr="00CF6110">
        <w:t>: Part of limiting access to a death scene is establishing a chain of custody that originates with an individual crime-scene investigator identifying evidence.</w:t>
      </w:r>
    </w:p>
    <w:p w14:paraId="62C65017" w14:textId="77777777" w:rsidR="00FB3053" w:rsidRPr="00CF6110" w:rsidRDefault="00C230FE" w:rsidP="00FB3053">
      <w:pPr>
        <w:pStyle w:val="SingleTxtG"/>
      </w:pPr>
      <w:r w:rsidRPr="00CF6110">
        <w:t>182.</w:t>
      </w:r>
      <w:r w:rsidRPr="00CF6110">
        <w:tab/>
      </w:r>
      <w:r w:rsidR="00FB3053" w:rsidRPr="00CF6110">
        <w:t xml:space="preserve">The crime scene should be searched for evidence. Where possible, the search should be conducted jointly with an investigator aware of background information on the death. The search criteria must, at a minimum, be documented in investigators’ notes. This serves to identify which items are pertinent to establishing a sequence of events and can link suspects, victims, and other physical evidence with the scene of death. </w:t>
      </w:r>
    </w:p>
    <w:p w14:paraId="6CFB7AEA" w14:textId="77777777" w:rsidR="00FB3053" w:rsidRPr="00CF6110" w:rsidRDefault="00C230FE" w:rsidP="00FB3053">
      <w:pPr>
        <w:pStyle w:val="SingleTxtG"/>
      </w:pPr>
      <w:r w:rsidRPr="00CF6110">
        <w:t>183.</w:t>
      </w:r>
      <w:r w:rsidRPr="00CF6110">
        <w:tab/>
      </w:r>
      <w:r w:rsidR="00FB3053" w:rsidRPr="00CF6110">
        <w:t xml:space="preserve">Items of physical evidence need to be identified with unique photo markers (numerical and/or alphabetical). The site code also needs to be identified. This allows comprehensive documentation of their location and relation to other items of evidence within the death scene, and for inventory and chain-of-custody purposes. A standard marking system for all evidence should be introduced – see Section </w:t>
      </w:r>
      <w:proofErr w:type="gramStart"/>
      <w:r w:rsidR="00FB3053" w:rsidRPr="00CF6110">
        <w:t>D(</w:t>
      </w:r>
      <w:proofErr w:type="gramEnd"/>
      <w:r w:rsidR="00FB3053" w:rsidRPr="00CF6110">
        <w:t>2) above on labelling.</w:t>
      </w:r>
    </w:p>
    <w:p w14:paraId="06A746D1" w14:textId="77777777" w:rsidR="00FB3053" w:rsidRPr="00CF6110" w:rsidRDefault="00C230FE" w:rsidP="00FB3053">
      <w:pPr>
        <w:pStyle w:val="SingleTxtG"/>
      </w:pPr>
      <w:r w:rsidRPr="00CF6110">
        <w:t>184.</w:t>
      </w:r>
      <w:r w:rsidRPr="00CF6110">
        <w:tab/>
      </w:r>
      <w:r w:rsidR="00FB3053" w:rsidRPr="00CF6110">
        <w:t xml:space="preserve">Any forensic analysis, including but not limited to the crime scene, requires the following documentation methods: photography, measurements, note-taking, and an inventory. Each of these should be cross-referenced against each other, enhancing </w:t>
      </w:r>
      <w:r w:rsidR="00FB3053" w:rsidRPr="00CF6110">
        <w:lastRenderedPageBreak/>
        <w:t>independent understanding of a death scene, as well as the credibility of the collected evidence.</w:t>
      </w:r>
    </w:p>
    <w:p w14:paraId="5A54714D" w14:textId="77777777" w:rsidR="00C230FE" w:rsidRPr="00CF6110" w:rsidRDefault="00C230FE" w:rsidP="00C230FE">
      <w:pPr>
        <w:pStyle w:val="H23G"/>
        <w:spacing w:line="240" w:lineRule="atLeast"/>
      </w:pPr>
      <w:bookmarkStart w:id="99" w:name="_Toc443387545"/>
      <w:bookmarkStart w:id="100" w:name="_Toc443397131"/>
      <w:bookmarkStart w:id="101" w:name="_Toc445909210"/>
      <w:r w:rsidRPr="00CF6110">
        <w:tab/>
        <w:t xml:space="preserve">2. </w:t>
      </w:r>
      <w:r w:rsidRPr="00CF6110">
        <w:tab/>
      </w:r>
      <w:r w:rsidRPr="00CF6110">
        <w:rPr>
          <w:bCs/>
        </w:rPr>
        <w:t>Photographic documentation</w:t>
      </w:r>
    </w:p>
    <w:bookmarkEnd w:id="99"/>
    <w:bookmarkEnd w:id="100"/>
    <w:bookmarkEnd w:id="101"/>
    <w:p w14:paraId="748B8BB5" w14:textId="77777777" w:rsidR="00FB3053" w:rsidRPr="00CF6110" w:rsidRDefault="00C230FE" w:rsidP="00FB3053">
      <w:pPr>
        <w:pStyle w:val="SingleTxtG"/>
      </w:pPr>
      <w:r w:rsidRPr="00CF6110">
        <w:t>185.</w:t>
      </w:r>
      <w:r w:rsidRPr="00CF6110">
        <w:tab/>
      </w:r>
      <w:r w:rsidR="00FB3053" w:rsidRPr="00CF6110">
        <w:t>Photographic documentation of a death scene and of any physical evidence is a two-dimensional depiction of a three-dimensional space or object. Photographs should therefore be taken in sequence, with overlap between one image and the next, allowing an outside observer or examiner to understand the spatial relationship between items of evidence within a defined space such as a death scene.</w:t>
      </w:r>
    </w:p>
    <w:p w14:paraId="287B9ECF" w14:textId="77777777" w:rsidR="00FB3053" w:rsidRPr="00CF6110" w:rsidRDefault="00C230FE" w:rsidP="00FB3053">
      <w:pPr>
        <w:pStyle w:val="SingleTxtG"/>
      </w:pPr>
      <w:r w:rsidRPr="00CF6110">
        <w:t>186.</w:t>
      </w:r>
      <w:r w:rsidRPr="00CF6110">
        <w:tab/>
      </w:r>
      <w:r w:rsidR="00FB3053" w:rsidRPr="00CF6110">
        <w:t>The sequence in which such photographs were taken should be documented by a photolog, identifying, at a minimum, the identity of the photographer, the position of a photograph within a sequence, the time the photographs were taken, and the location at which they were taken. Where the technology exists, digital cameras should be used. Digital cameras can generate a sequential file-numbering system and include metadata embedded in the digital images themselves. Such metadata can include data and time, technical settings of the camera, when it is connected to a global positioning system (GPS), and longitude and latitude information. Relevant information should be included in a photolog. The same data should be recorded if analogue (film) cameras are used.</w:t>
      </w:r>
    </w:p>
    <w:p w14:paraId="29882F03" w14:textId="77777777" w:rsidR="00FB3053" w:rsidRPr="00CF6110" w:rsidRDefault="00C230FE" w:rsidP="00FB3053">
      <w:pPr>
        <w:pStyle w:val="SingleTxtG"/>
      </w:pPr>
      <w:r w:rsidRPr="00CF6110">
        <w:t>187.</w:t>
      </w:r>
      <w:r w:rsidRPr="00CF6110">
        <w:tab/>
      </w:r>
      <w:r w:rsidR="00FB3053" w:rsidRPr="00CF6110">
        <w:t>Three types of photographs need to be included in the documentation of crime scenes and evidence:</w:t>
      </w:r>
    </w:p>
    <w:p w14:paraId="68804853" w14:textId="77777777" w:rsidR="00FB3053" w:rsidRPr="00CF6110" w:rsidRDefault="00C230FE" w:rsidP="007150FC">
      <w:pPr>
        <w:pStyle w:val="SingleTxtG"/>
        <w:ind w:left="1701"/>
      </w:pPr>
      <w:r w:rsidRPr="00CF6110">
        <w:t>(a)</w:t>
      </w:r>
      <w:r w:rsidRPr="00CF6110">
        <w:tab/>
      </w:r>
      <w:r w:rsidR="00FB3053" w:rsidRPr="00CF6110">
        <w:rPr>
          <w:b/>
        </w:rPr>
        <w:t>Overall photographs</w:t>
      </w:r>
      <w:r w:rsidR="00FB3053" w:rsidRPr="00CF6110">
        <w:t xml:space="preserve"> visually establish the spatial dimensions of a crime scene. Overall photographs should be taken from the outside of the scene towards its centre, ideally along the outside perimeter of the scene. If possible, photo markers are distinguishable in these photographs already.</w:t>
      </w:r>
    </w:p>
    <w:p w14:paraId="1C6387DF" w14:textId="77777777" w:rsidR="00FB3053" w:rsidRPr="00CF6110" w:rsidRDefault="00C230FE" w:rsidP="007150FC">
      <w:pPr>
        <w:pStyle w:val="SingleTxtG"/>
        <w:ind w:left="1701"/>
      </w:pPr>
      <w:r w:rsidRPr="00CF6110">
        <w:t>(b)</w:t>
      </w:r>
      <w:r w:rsidRPr="00CF6110">
        <w:tab/>
      </w:r>
      <w:r w:rsidR="00FB3053" w:rsidRPr="00CF6110">
        <w:rPr>
          <w:b/>
        </w:rPr>
        <w:t>Medium-range photographs</w:t>
      </w:r>
      <w:r w:rsidR="00FB3053" w:rsidRPr="00CF6110">
        <w:t xml:space="preserve"> establish a spatial relationship between items of evidence and their location in a crime scene. Photo markers identifying the individual items of evidence should be visible in these photographs.</w:t>
      </w:r>
    </w:p>
    <w:p w14:paraId="3160492F" w14:textId="77777777" w:rsidR="00FB3053" w:rsidRPr="00CF6110" w:rsidRDefault="00C230FE" w:rsidP="007150FC">
      <w:pPr>
        <w:pStyle w:val="SingleTxtG"/>
        <w:ind w:left="1701"/>
      </w:pPr>
      <w:r w:rsidRPr="00CF6110">
        <w:t>(c)</w:t>
      </w:r>
      <w:r w:rsidRPr="00CF6110">
        <w:tab/>
      </w:r>
      <w:r w:rsidR="00FB3053" w:rsidRPr="00CF6110">
        <w:rPr>
          <w:b/>
        </w:rPr>
        <w:t>Close-up photographs</w:t>
      </w:r>
      <w:r w:rsidR="00FB3053" w:rsidRPr="00CF6110">
        <w:t xml:space="preserve"> establish visually the characteristics of individual pieces of evidence. Close-up photographs should include an initial photograph of the photo marker identifying the evidence and then subsequent photographs of the item of evidence. Close-up photographs should fill the frame of the photograph with the item of evidence and include a scale.</w:t>
      </w:r>
    </w:p>
    <w:p w14:paraId="55E45B60" w14:textId="77777777" w:rsidR="00C230FE" w:rsidRPr="00CF6110" w:rsidRDefault="00C230FE" w:rsidP="00C230FE">
      <w:pPr>
        <w:pStyle w:val="H23G"/>
        <w:spacing w:line="240" w:lineRule="atLeast"/>
      </w:pPr>
      <w:bookmarkStart w:id="102" w:name="_Toc443387546"/>
      <w:bookmarkStart w:id="103" w:name="_Toc443397132"/>
      <w:bookmarkStart w:id="104" w:name="_Toc445909211"/>
      <w:r w:rsidRPr="00CF6110">
        <w:tab/>
        <w:t xml:space="preserve">3. </w:t>
      </w:r>
      <w:r w:rsidRPr="00CF6110">
        <w:tab/>
      </w:r>
      <w:r w:rsidRPr="00CF6110">
        <w:rPr>
          <w:bCs/>
        </w:rPr>
        <w:t>Measurements</w:t>
      </w:r>
    </w:p>
    <w:bookmarkEnd w:id="102"/>
    <w:bookmarkEnd w:id="103"/>
    <w:bookmarkEnd w:id="104"/>
    <w:p w14:paraId="349260C5" w14:textId="77777777" w:rsidR="00FB3053" w:rsidRPr="00CF6110" w:rsidRDefault="00C230FE" w:rsidP="00FB3053">
      <w:pPr>
        <w:pStyle w:val="SingleTxtG"/>
      </w:pPr>
      <w:r w:rsidRPr="00CF6110">
        <w:t>188.</w:t>
      </w:r>
      <w:r w:rsidRPr="00CF6110">
        <w:tab/>
      </w:r>
      <w:r w:rsidR="00FB3053" w:rsidRPr="00CF6110">
        <w:t xml:space="preserve">Measurements taken at the scene corroborate and elaborate on the spatial dimensions documented in the photographs. If resources allow, these can be generated through computer-aided design software and technology, such as laser scanners or theodolite systems, or can be hand-drawn. Such measurements and resulting diagrams should include, at a minimum, the name of the investigator taking the measurements, a case number, a date and time, measured dimensions, a north arrow, and an index of the items of evidence located in the sketch via measurements taken at the scene. A scale and reference points are needed for measurements. </w:t>
      </w:r>
    </w:p>
    <w:p w14:paraId="6E9738CF" w14:textId="77777777" w:rsidR="00C230FE" w:rsidRPr="00CF6110" w:rsidRDefault="00C230FE" w:rsidP="00C230FE">
      <w:pPr>
        <w:pStyle w:val="H23G"/>
        <w:spacing w:line="240" w:lineRule="atLeast"/>
      </w:pPr>
      <w:bookmarkStart w:id="105" w:name="_Toc443387547"/>
      <w:bookmarkStart w:id="106" w:name="_Toc443397133"/>
      <w:bookmarkStart w:id="107" w:name="_Toc445909212"/>
      <w:r w:rsidRPr="00CF6110">
        <w:tab/>
        <w:t xml:space="preserve">4. </w:t>
      </w:r>
      <w:r w:rsidRPr="00CF6110">
        <w:tab/>
      </w:r>
      <w:r w:rsidRPr="00CF6110">
        <w:rPr>
          <w:bCs/>
        </w:rPr>
        <w:t>Note-taking/data collection and compiling an inventory</w:t>
      </w:r>
    </w:p>
    <w:bookmarkEnd w:id="105"/>
    <w:bookmarkEnd w:id="106"/>
    <w:bookmarkEnd w:id="107"/>
    <w:p w14:paraId="3A6B55D6" w14:textId="77777777" w:rsidR="00FB3053" w:rsidRPr="00CF6110" w:rsidRDefault="00C230FE" w:rsidP="00FB3053">
      <w:pPr>
        <w:pStyle w:val="SingleTxtG"/>
      </w:pPr>
      <w:r w:rsidRPr="00CF6110">
        <w:t>189.</w:t>
      </w:r>
      <w:r w:rsidRPr="00CF6110">
        <w:tab/>
      </w:r>
      <w:r w:rsidR="00FB3053" w:rsidRPr="00CF6110">
        <w:t>Existing forms are available. Notes establish a written record by an individual death scene examiner or forensic expert. Often, such notes are handwritten, adding to the credibility of the work by individualizing the record itself through the handwriting. It also increases credibility since such records are relatively difficult to falsify and/or manipulate subsequently.</w:t>
      </w:r>
    </w:p>
    <w:p w14:paraId="42C8B74D" w14:textId="77777777" w:rsidR="00FB3053" w:rsidRPr="00CF6110" w:rsidRDefault="00C230FE" w:rsidP="00FB3053">
      <w:pPr>
        <w:pStyle w:val="SingleTxtG"/>
      </w:pPr>
      <w:r w:rsidRPr="00CF6110">
        <w:lastRenderedPageBreak/>
        <w:t>190.</w:t>
      </w:r>
      <w:r w:rsidRPr="00CF6110">
        <w:tab/>
      </w:r>
      <w:r w:rsidR="00FB3053" w:rsidRPr="00CF6110">
        <w:t>Notes should include, at a minimum, the name of the investigator, a date and time, and chronological log of activities conducted (such as search criteria, when the search was conducted, when and where photographs were taken, when and where measurements were taken, when and where evidence was collected and packaged, and what types of analysis were conducted). Notes should include an inventory and detailed description of items of evidence identified with their corresponding photo markers, and should be signed by the investigator carrying out the investigation or analysis.</w:t>
      </w:r>
    </w:p>
    <w:p w14:paraId="292CE688" w14:textId="77777777" w:rsidR="00FB3053" w:rsidRPr="00CF6110" w:rsidRDefault="00C230FE" w:rsidP="00FB3053">
      <w:pPr>
        <w:pStyle w:val="SingleTxtG"/>
      </w:pPr>
      <w:r w:rsidRPr="00CF6110">
        <w:t>191.</w:t>
      </w:r>
      <w:r w:rsidRPr="00CF6110">
        <w:tab/>
      </w:r>
      <w:r w:rsidR="00FB3053" w:rsidRPr="00CF6110">
        <w:t xml:space="preserve">Such methodical scientific documentation techniques (i.e. photography, measurements, and notes) should be included in any forensic documentation, whether that is at a crime scene, or in the laboratory, for example, when documenting bloodstains on an article of clothing, a chemist analysing a particular item of ordnance for the presence of nerve agents, or a medical examiner documenting a human body. </w:t>
      </w:r>
    </w:p>
    <w:p w14:paraId="3A94B5EA" w14:textId="77777777" w:rsidR="00C230FE" w:rsidRPr="00CF6110" w:rsidRDefault="00C230FE" w:rsidP="00C230FE">
      <w:pPr>
        <w:pStyle w:val="H1G"/>
        <w:spacing w:line="240" w:lineRule="atLeast"/>
      </w:pPr>
      <w:bookmarkStart w:id="108" w:name="_Toc443387554"/>
      <w:bookmarkStart w:id="109" w:name="_Toc443397140"/>
      <w:bookmarkStart w:id="110" w:name="_Toc445909213"/>
      <w:r w:rsidRPr="00CF6110">
        <w:tab/>
        <w:t xml:space="preserve">B. </w:t>
      </w:r>
      <w:r w:rsidRPr="00CF6110">
        <w:tab/>
      </w:r>
      <w:r w:rsidRPr="00CF6110">
        <w:rPr>
          <w:bCs/>
        </w:rPr>
        <w:t>Detailed Guidelines on Interviews</w:t>
      </w:r>
    </w:p>
    <w:p w14:paraId="7613A8EC" w14:textId="77777777" w:rsidR="00C230FE" w:rsidRPr="00CF6110" w:rsidRDefault="00C230FE" w:rsidP="00C230FE">
      <w:pPr>
        <w:pStyle w:val="H23G"/>
        <w:spacing w:line="240" w:lineRule="atLeast"/>
      </w:pPr>
      <w:bookmarkStart w:id="111" w:name="_Toc445909214"/>
      <w:bookmarkEnd w:id="108"/>
      <w:bookmarkEnd w:id="109"/>
      <w:bookmarkEnd w:id="110"/>
      <w:r w:rsidRPr="00CF6110">
        <w:tab/>
        <w:t xml:space="preserve">1. </w:t>
      </w:r>
      <w:r w:rsidRPr="00CF6110">
        <w:tab/>
      </w:r>
      <w:r w:rsidRPr="00CF6110">
        <w:rPr>
          <w:bCs/>
        </w:rPr>
        <w:t>Introduction</w:t>
      </w:r>
    </w:p>
    <w:bookmarkEnd w:id="111"/>
    <w:p w14:paraId="6B445A8C" w14:textId="77777777" w:rsidR="00FB3053" w:rsidRPr="00CF6110" w:rsidRDefault="00C230FE" w:rsidP="00FB3053">
      <w:pPr>
        <w:pStyle w:val="SingleTxtG"/>
      </w:pPr>
      <w:r w:rsidRPr="00CF6110">
        <w:t>192.</w:t>
      </w:r>
      <w:r w:rsidRPr="00CF6110">
        <w:tab/>
      </w:r>
      <w:r w:rsidR="00FB3053" w:rsidRPr="00CF6110">
        <w:t>These Guidelines offer guidance on how to conduct an interview. They deal with the preparation for an interview, how to start the interview, fact-finding, and concluding the interview, as well as how to interview a suspect, the role of interpreters, and recording the interview.</w:t>
      </w:r>
    </w:p>
    <w:p w14:paraId="38528D98" w14:textId="77777777" w:rsidR="00C230FE" w:rsidRPr="00CF6110" w:rsidRDefault="00C230FE" w:rsidP="00C230FE">
      <w:pPr>
        <w:pStyle w:val="H23G"/>
        <w:spacing w:line="240" w:lineRule="atLeast"/>
      </w:pPr>
      <w:r w:rsidRPr="00CF6110">
        <w:tab/>
        <w:t xml:space="preserve">2. </w:t>
      </w:r>
      <w:r w:rsidRPr="00CF6110">
        <w:tab/>
      </w:r>
      <w:r w:rsidRPr="00CF6110">
        <w:rPr>
          <w:bCs/>
        </w:rPr>
        <w:t>Preparation and setting</w:t>
      </w:r>
    </w:p>
    <w:p w14:paraId="520EC6E0" w14:textId="77777777" w:rsidR="00FB3053" w:rsidRPr="00CF6110" w:rsidRDefault="00C230FE" w:rsidP="00FB3053">
      <w:pPr>
        <w:pStyle w:val="SingleTxtG"/>
      </w:pPr>
      <w:r w:rsidRPr="00CF6110">
        <w:t>193.</w:t>
      </w:r>
      <w:r w:rsidRPr="00CF6110">
        <w:tab/>
      </w:r>
      <w:r w:rsidR="00FB3053" w:rsidRPr="00CF6110">
        <w:t>Identify the purpose of the interview and how it fits into the overall investigative strategy.</w:t>
      </w:r>
    </w:p>
    <w:p w14:paraId="1BF0643B" w14:textId="77777777" w:rsidR="00FB3053" w:rsidRPr="00CF6110" w:rsidRDefault="00C230FE" w:rsidP="00FB3053">
      <w:pPr>
        <w:pStyle w:val="SingleTxtG"/>
      </w:pPr>
      <w:r w:rsidRPr="00CF6110">
        <w:t>194.</w:t>
      </w:r>
      <w:r w:rsidRPr="00CF6110">
        <w:tab/>
      </w:r>
      <w:r w:rsidR="00FB3053" w:rsidRPr="00CF6110">
        <w:t>Learn what you can about the interviewee prior to the interview, such as their relationship to events, possible biases, and potential security risks.</w:t>
      </w:r>
    </w:p>
    <w:p w14:paraId="7041F1A4" w14:textId="77777777" w:rsidR="00FB3053" w:rsidRPr="00CF6110" w:rsidRDefault="00C230FE" w:rsidP="00FB3053">
      <w:pPr>
        <w:pStyle w:val="SingleTxtG"/>
      </w:pPr>
      <w:r w:rsidRPr="00CF6110">
        <w:t>195.</w:t>
      </w:r>
      <w:r w:rsidRPr="00CF6110">
        <w:tab/>
      </w:r>
      <w:r w:rsidR="00FB3053" w:rsidRPr="00CF6110">
        <w:t>Gather information, including documents and photographs, which might be referred to during the interview.</w:t>
      </w:r>
    </w:p>
    <w:p w14:paraId="2CE001FD" w14:textId="77777777" w:rsidR="00FB3053" w:rsidRPr="00CF6110" w:rsidRDefault="00C230FE" w:rsidP="00FB3053">
      <w:pPr>
        <w:pStyle w:val="SingleTxtG"/>
      </w:pPr>
      <w:r w:rsidRPr="00CF6110">
        <w:t>196.</w:t>
      </w:r>
      <w:r w:rsidRPr="00CF6110">
        <w:tab/>
      </w:r>
      <w:r w:rsidR="00FB3053" w:rsidRPr="00CF6110">
        <w:t>Prepare a strategy and interview structure in mind to best elicit information but remain flexible. Compile a list of key points to cover during the interview.</w:t>
      </w:r>
    </w:p>
    <w:p w14:paraId="28B8FF7C" w14:textId="77777777" w:rsidR="00FB3053" w:rsidRPr="00CF6110" w:rsidRDefault="00C230FE" w:rsidP="00FB3053">
      <w:pPr>
        <w:pStyle w:val="SingleTxtG"/>
      </w:pPr>
      <w:bookmarkStart w:id="112" w:name="h.1fob9te" w:colFirst="0" w:colLast="0"/>
      <w:bookmarkEnd w:id="112"/>
      <w:r w:rsidRPr="00CF6110">
        <w:t>197.</w:t>
      </w:r>
      <w:r w:rsidRPr="00CF6110">
        <w:tab/>
      </w:r>
      <w:r w:rsidR="00FB3053" w:rsidRPr="00CF6110">
        <w:t>Consider the gender and other profile factors of interviewers and interpreters to respect culture and help put interviewees at ease, especially in interviews about sexual or gender-based crimes.</w:t>
      </w:r>
    </w:p>
    <w:p w14:paraId="5C2DF0D7" w14:textId="386908BA" w:rsidR="00FB3053" w:rsidRPr="00CF6110" w:rsidRDefault="00C230FE" w:rsidP="00FB3053">
      <w:pPr>
        <w:pStyle w:val="SingleTxtG"/>
      </w:pPr>
      <w:r w:rsidRPr="00CF6110">
        <w:t>198.</w:t>
      </w:r>
      <w:r w:rsidRPr="00CF6110">
        <w:tab/>
      </w:r>
      <w:r w:rsidR="00FB3053" w:rsidRPr="00CF6110">
        <w:t xml:space="preserve">Consult with experts on approaches to interviewing victims of sexual violence, children, </w:t>
      </w:r>
      <w:proofErr w:type="gramStart"/>
      <w:r w:rsidR="00FB3053" w:rsidRPr="00CF6110">
        <w:t>people</w:t>
      </w:r>
      <w:proofErr w:type="gramEnd"/>
      <w:r w:rsidR="00FB3053" w:rsidRPr="00CF6110">
        <w:t xml:space="preserve"> with disabilities, </w:t>
      </w:r>
      <w:r w:rsidR="008A00A5" w:rsidRPr="00CF6110">
        <w:t xml:space="preserve">such as the bereaved, </w:t>
      </w:r>
      <w:r w:rsidR="00FB3053" w:rsidRPr="00CF6110">
        <w:t>and others who are vulnerable or potentially prone to retraumatization. Examples include shorter interviews, simpler language, and the presence of trusted support persons.</w:t>
      </w:r>
    </w:p>
    <w:p w14:paraId="697D5C2B" w14:textId="77777777" w:rsidR="00FB3053" w:rsidRPr="00CF6110" w:rsidRDefault="00C230FE" w:rsidP="00FB3053">
      <w:pPr>
        <w:pStyle w:val="SingleTxtG"/>
      </w:pPr>
      <w:r w:rsidRPr="00CF6110">
        <w:t>199.</w:t>
      </w:r>
      <w:r w:rsidRPr="00CF6110">
        <w:tab/>
      </w:r>
      <w:r w:rsidR="00FB3053" w:rsidRPr="00CF6110">
        <w:t>Conduct the interview, whenever possible, in a secure and private place.</w:t>
      </w:r>
    </w:p>
    <w:p w14:paraId="0945C553" w14:textId="77777777" w:rsidR="00FB3053" w:rsidRPr="00CF6110" w:rsidRDefault="00C230FE" w:rsidP="00FB3053">
      <w:pPr>
        <w:pStyle w:val="SingleTxtG"/>
      </w:pPr>
      <w:r w:rsidRPr="00CF6110">
        <w:t>200.</w:t>
      </w:r>
      <w:r w:rsidRPr="00CF6110">
        <w:tab/>
      </w:r>
      <w:r w:rsidR="00FB3053" w:rsidRPr="00CF6110">
        <w:t>Conduct the interview, whenever possible, in a one-to-one setting, considering the interviewee’s preferences and needs. Plan how to minimize or prevent interruptions during the interview.</w:t>
      </w:r>
    </w:p>
    <w:p w14:paraId="54AFC39D" w14:textId="77777777" w:rsidR="00FB3053" w:rsidRPr="00CF6110" w:rsidRDefault="00C230FE" w:rsidP="00FB3053">
      <w:pPr>
        <w:pStyle w:val="SingleTxtG"/>
      </w:pPr>
      <w:r w:rsidRPr="00CF6110">
        <w:t>201.</w:t>
      </w:r>
      <w:r w:rsidRPr="00CF6110">
        <w:tab/>
      </w:r>
      <w:r w:rsidR="00FB3053" w:rsidRPr="00CF6110">
        <w:t>Allocate enough time to conduct a thorough interview without rushing, and allow time for breaks.</w:t>
      </w:r>
    </w:p>
    <w:p w14:paraId="75F03C4B" w14:textId="77777777" w:rsidR="00C230FE" w:rsidRPr="00CF6110" w:rsidRDefault="00C230FE" w:rsidP="00C230FE">
      <w:pPr>
        <w:pStyle w:val="H23G"/>
        <w:spacing w:line="240" w:lineRule="atLeast"/>
      </w:pPr>
      <w:bookmarkStart w:id="113" w:name="_Toc443387556"/>
      <w:bookmarkStart w:id="114" w:name="_Toc443397142"/>
      <w:bookmarkStart w:id="115" w:name="_Toc445909216"/>
      <w:r w:rsidRPr="00CF6110">
        <w:tab/>
        <w:t xml:space="preserve">3. </w:t>
      </w:r>
      <w:r w:rsidRPr="00CF6110">
        <w:tab/>
      </w:r>
      <w:r w:rsidRPr="00CF6110">
        <w:rPr>
          <w:bCs/>
        </w:rPr>
        <w:t>Starting the interview</w:t>
      </w:r>
    </w:p>
    <w:bookmarkEnd w:id="113"/>
    <w:bookmarkEnd w:id="114"/>
    <w:bookmarkEnd w:id="115"/>
    <w:p w14:paraId="1C45F66B" w14:textId="77777777" w:rsidR="00FB3053" w:rsidRPr="00CF6110" w:rsidRDefault="00C230FE" w:rsidP="00FB3053">
      <w:pPr>
        <w:pStyle w:val="SingleTxtG"/>
      </w:pPr>
      <w:r w:rsidRPr="00CF6110">
        <w:t>202.</w:t>
      </w:r>
      <w:r w:rsidRPr="00CF6110">
        <w:tab/>
      </w:r>
      <w:r w:rsidR="00FB3053" w:rsidRPr="00CF6110">
        <w:t>Record the interview from the very beginning using the means chosen.</w:t>
      </w:r>
    </w:p>
    <w:p w14:paraId="430B335F" w14:textId="77777777" w:rsidR="00FB3053" w:rsidRPr="00CF6110" w:rsidRDefault="00C230FE" w:rsidP="00FB3053">
      <w:pPr>
        <w:pStyle w:val="SingleTxtG"/>
      </w:pPr>
      <w:r w:rsidRPr="00CF6110">
        <w:lastRenderedPageBreak/>
        <w:t>203.</w:t>
      </w:r>
      <w:r w:rsidRPr="00CF6110">
        <w:tab/>
      </w:r>
      <w:r w:rsidR="00FB3053" w:rsidRPr="00CF6110">
        <w:t>Introduce yourself and your affiliation and clearly communicate the purpose and use of the interview.</w:t>
      </w:r>
    </w:p>
    <w:p w14:paraId="1FBEAED0" w14:textId="77777777" w:rsidR="00FB3053" w:rsidRPr="00CF6110" w:rsidRDefault="00C230FE" w:rsidP="00FB3053">
      <w:pPr>
        <w:pStyle w:val="SingleTxtG"/>
      </w:pPr>
      <w:r w:rsidRPr="00CF6110">
        <w:t>204.</w:t>
      </w:r>
      <w:r w:rsidRPr="00CF6110">
        <w:tab/>
      </w:r>
      <w:r w:rsidR="00FB3053" w:rsidRPr="00CF6110">
        <w:t>Seek informed consent from the interviewee before proceeding. This requires:</w:t>
      </w:r>
    </w:p>
    <w:p w14:paraId="7145193B" w14:textId="77777777" w:rsidR="00FB3053" w:rsidRPr="00CF6110" w:rsidRDefault="00C230FE" w:rsidP="00C230FE">
      <w:pPr>
        <w:pStyle w:val="SingleTxtG"/>
        <w:ind w:firstLine="567"/>
      </w:pPr>
      <w:r w:rsidRPr="00CF6110">
        <w:t>(a)</w:t>
      </w:r>
      <w:r w:rsidRPr="00CF6110">
        <w:tab/>
      </w:r>
      <w:r w:rsidR="00FB3053" w:rsidRPr="00CF6110">
        <w:t>Discussing any risks associated with the interview</w:t>
      </w:r>
    </w:p>
    <w:p w14:paraId="02E5EB11" w14:textId="77777777" w:rsidR="00FB3053" w:rsidRPr="00CF6110" w:rsidRDefault="00C230FE" w:rsidP="007150FC">
      <w:pPr>
        <w:pStyle w:val="SingleTxtG"/>
        <w:ind w:left="1701"/>
      </w:pPr>
      <w:r w:rsidRPr="00CF6110">
        <w:t>(b)</w:t>
      </w:r>
      <w:r w:rsidRPr="00CF6110">
        <w:tab/>
      </w:r>
      <w:r w:rsidR="00FB3053" w:rsidRPr="00CF6110">
        <w:t>Agreeing on security measures to protect the interviewee and others, without offering assurances that cannot be guaranteed. This includes whether a person’s identity will be kept confidential and how</w:t>
      </w:r>
    </w:p>
    <w:p w14:paraId="49779DC1" w14:textId="77777777" w:rsidR="00FB3053" w:rsidRPr="00CF6110" w:rsidRDefault="00C230FE" w:rsidP="007150FC">
      <w:pPr>
        <w:pStyle w:val="SingleTxtG"/>
        <w:ind w:left="1701"/>
      </w:pPr>
      <w:r w:rsidRPr="00CF6110">
        <w:t>(c)</w:t>
      </w:r>
      <w:r w:rsidRPr="00CF6110">
        <w:tab/>
      </w:r>
      <w:r w:rsidR="00FB3053" w:rsidRPr="00CF6110">
        <w:t>Explaining that participation is voluntary and the interviewee may stop the interview at any time or choose not to answer any questions without adverse consequences</w:t>
      </w:r>
    </w:p>
    <w:p w14:paraId="0CEBBFE6" w14:textId="77777777" w:rsidR="00FB3053" w:rsidRPr="00CF6110" w:rsidRDefault="00C230FE" w:rsidP="007150FC">
      <w:pPr>
        <w:pStyle w:val="SingleTxtG"/>
        <w:ind w:left="1701"/>
      </w:pPr>
      <w:r w:rsidRPr="00CF6110">
        <w:t>(d)</w:t>
      </w:r>
      <w:r w:rsidRPr="00CF6110">
        <w:tab/>
      </w:r>
      <w:r w:rsidR="00FB3053" w:rsidRPr="00CF6110">
        <w:t>When interviewing children, consider the best interests of the child, including whether there are other ways to obtain the information besides the interview. Ensure that the child understands the purpose and intended use of the interview, and obtain consent from the child. Whenever possible, inform the child’s parents or legal guardians of the interview, unless there are reasonable grounds not to</w:t>
      </w:r>
    </w:p>
    <w:p w14:paraId="4B2D894F" w14:textId="77777777" w:rsidR="00FB3053" w:rsidRPr="00CF6110" w:rsidRDefault="00C230FE" w:rsidP="007150FC">
      <w:pPr>
        <w:pStyle w:val="SingleTxtG"/>
        <w:ind w:left="1701"/>
      </w:pPr>
      <w:r w:rsidRPr="00CF6110">
        <w:t>(e)</w:t>
      </w:r>
      <w:r w:rsidRPr="00CF6110">
        <w:tab/>
      </w:r>
      <w:r w:rsidR="00FB3053" w:rsidRPr="00CF6110">
        <w:t>When interviewing people with mental or intellectual disabilities, clearly explain, and repeat if necessary, the purpose and use of the interview. Use accessible, simple language (orally and/or in written format) and allow the interviewee sufficient time to make a decision.</w:t>
      </w:r>
    </w:p>
    <w:p w14:paraId="2CF982BA" w14:textId="77777777" w:rsidR="00FB3053" w:rsidRPr="00CF6110" w:rsidRDefault="00602A85" w:rsidP="00FB3053">
      <w:pPr>
        <w:pStyle w:val="SingleTxtG"/>
      </w:pPr>
      <w:r w:rsidRPr="00CF6110">
        <w:t>205.</w:t>
      </w:r>
      <w:r w:rsidRPr="00CF6110">
        <w:tab/>
      </w:r>
      <w:r w:rsidR="00FB3053" w:rsidRPr="00CF6110">
        <w:t>Ask the interviewee to describe everything that he/she knows to the best of their ability, and make clear when the person is talking about something they have observed or heard directly versus information he/she has obtained from others.</w:t>
      </w:r>
    </w:p>
    <w:p w14:paraId="7B18EA0A" w14:textId="77777777" w:rsidR="00FB3053" w:rsidRPr="00CF6110" w:rsidRDefault="00602A85" w:rsidP="00FB3053">
      <w:pPr>
        <w:pStyle w:val="SingleTxtG"/>
      </w:pPr>
      <w:r w:rsidRPr="00CF6110">
        <w:t>206.</w:t>
      </w:r>
      <w:r w:rsidRPr="00CF6110">
        <w:tab/>
      </w:r>
      <w:r w:rsidR="00FB3053" w:rsidRPr="00CF6110">
        <w:t>Act fairly and with integrity. The use of duress, deception, or unfair means to elicit information or to obtain a confession is never justified and could result in evidence being excluded from consideration by a court. It is not permissible in any circumstances to use torture or cruel, inhuman, or degrading treatment to obtain information from an interviewee.</w:t>
      </w:r>
    </w:p>
    <w:p w14:paraId="05D784FC" w14:textId="77777777" w:rsidR="00FB3053" w:rsidRPr="00CF6110" w:rsidRDefault="00602A85" w:rsidP="00FB3053">
      <w:pPr>
        <w:pStyle w:val="SingleTxtG"/>
      </w:pPr>
      <w:r w:rsidRPr="00CF6110">
        <w:t>207.</w:t>
      </w:r>
      <w:r w:rsidRPr="00CF6110">
        <w:tab/>
      </w:r>
      <w:r w:rsidR="00FB3053" w:rsidRPr="00CF6110">
        <w:t>For interviews with people who may be traumatized, try to ensure their privacy and comfort. Avoid questions that imply victim-blaming; avoid jumping back and forth between sensitive and “safe” topics; and limit questions about sexual and gender-based crimes to what is essential for the investigation.</w:t>
      </w:r>
    </w:p>
    <w:p w14:paraId="38157B0F" w14:textId="77777777" w:rsidR="00FB3053" w:rsidRPr="00CF6110" w:rsidRDefault="00602A85" w:rsidP="00FB3053">
      <w:pPr>
        <w:pStyle w:val="SingleTxtG"/>
      </w:pPr>
      <w:r w:rsidRPr="00CF6110">
        <w:t>208.</w:t>
      </w:r>
      <w:r w:rsidRPr="00CF6110">
        <w:tab/>
      </w:r>
      <w:r w:rsidR="00FB3053" w:rsidRPr="00CF6110">
        <w:t>Build rapport and show empathy as appropriate.</w:t>
      </w:r>
    </w:p>
    <w:p w14:paraId="2B1EBB2D" w14:textId="77777777" w:rsidR="00FB3053" w:rsidRPr="00CF6110" w:rsidRDefault="00602A85" w:rsidP="00FB3053">
      <w:pPr>
        <w:pStyle w:val="SingleTxtG"/>
      </w:pPr>
      <w:r w:rsidRPr="00CF6110">
        <w:t>209.</w:t>
      </w:r>
      <w:r w:rsidRPr="00CF6110">
        <w:tab/>
      </w:r>
      <w:r w:rsidR="00FB3053" w:rsidRPr="00CF6110">
        <w:t>Use neutral and culturally sensitive language.</w:t>
      </w:r>
    </w:p>
    <w:p w14:paraId="54FF8730" w14:textId="77777777" w:rsidR="00FB3053" w:rsidRPr="00CF6110" w:rsidRDefault="00602A85" w:rsidP="00FB3053">
      <w:pPr>
        <w:pStyle w:val="SingleTxtG"/>
      </w:pPr>
      <w:r w:rsidRPr="00CF6110">
        <w:t>210.</w:t>
      </w:r>
      <w:r w:rsidRPr="00CF6110">
        <w:tab/>
      </w:r>
      <w:r w:rsidR="00FB3053" w:rsidRPr="00CF6110">
        <w:t>Keep an open mind, be objective and remain non-judgmental.</w:t>
      </w:r>
    </w:p>
    <w:p w14:paraId="69F20E1B" w14:textId="77777777" w:rsidR="00602A85" w:rsidRPr="00CF6110" w:rsidRDefault="00602A85" w:rsidP="00602A85">
      <w:pPr>
        <w:pStyle w:val="H23G"/>
        <w:spacing w:line="240" w:lineRule="atLeast"/>
      </w:pPr>
      <w:bookmarkStart w:id="116" w:name="_Toc443387557"/>
      <w:bookmarkStart w:id="117" w:name="_Toc443397143"/>
      <w:bookmarkStart w:id="118" w:name="_Toc445909217"/>
      <w:r w:rsidRPr="00CF6110">
        <w:tab/>
        <w:t xml:space="preserve">4. </w:t>
      </w:r>
      <w:r w:rsidRPr="00CF6110">
        <w:tab/>
      </w:r>
      <w:r w:rsidRPr="00CF6110">
        <w:rPr>
          <w:bCs/>
        </w:rPr>
        <w:t>Fact-finding</w:t>
      </w:r>
    </w:p>
    <w:bookmarkEnd w:id="116"/>
    <w:bookmarkEnd w:id="117"/>
    <w:bookmarkEnd w:id="118"/>
    <w:p w14:paraId="06142191" w14:textId="77777777" w:rsidR="00FB3053" w:rsidRPr="00CF6110" w:rsidRDefault="00602A85" w:rsidP="00FB3053">
      <w:pPr>
        <w:pStyle w:val="SingleTxtG"/>
      </w:pPr>
      <w:r w:rsidRPr="00CF6110">
        <w:t>211.</w:t>
      </w:r>
      <w:r w:rsidRPr="00CF6110">
        <w:tab/>
      </w:r>
      <w:r w:rsidR="00FB3053" w:rsidRPr="00CF6110">
        <w:t>Record the interviewee’s identity, personal, and contact details in a way that takes into account any security concerns.</w:t>
      </w:r>
    </w:p>
    <w:p w14:paraId="4D585F8A" w14:textId="77777777" w:rsidR="00FB3053" w:rsidRPr="00CF6110" w:rsidRDefault="00602A85" w:rsidP="00FB3053">
      <w:pPr>
        <w:pStyle w:val="SingleTxtG"/>
      </w:pPr>
      <w:r w:rsidRPr="00CF6110">
        <w:t>212.</w:t>
      </w:r>
      <w:r w:rsidRPr="00CF6110">
        <w:tab/>
      </w:r>
      <w:r w:rsidR="00FB3053" w:rsidRPr="00CF6110">
        <w:t>Record the identity, personal, and contact details of all others present at any time during the interview, taking into account security concerns.</w:t>
      </w:r>
    </w:p>
    <w:p w14:paraId="5255FCE2" w14:textId="77777777" w:rsidR="00FB3053" w:rsidRPr="00CF6110" w:rsidRDefault="00602A85" w:rsidP="00FB3053">
      <w:pPr>
        <w:pStyle w:val="SingleTxtG"/>
      </w:pPr>
      <w:r w:rsidRPr="00CF6110">
        <w:t>213.</w:t>
      </w:r>
      <w:r w:rsidRPr="00CF6110">
        <w:tab/>
      </w:r>
      <w:r w:rsidR="00FB3053" w:rsidRPr="00CF6110">
        <w:t>Begin with non-controversial and less sensitive questions to establish a rapport before addressing difficult topics.</w:t>
      </w:r>
    </w:p>
    <w:p w14:paraId="47D35C71" w14:textId="77777777" w:rsidR="00FB3053" w:rsidRPr="00CF6110" w:rsidRDefault="00602A85" w:rsidP="00FB3053">
      <w:pPr>
        <w:pStyle w:val="SingleTxtG"/>
      </w:pPr>
      <w:r w:rsidRPr="00CF6110">
        <w:t>214.</w:t>
      </w:r>
      <w:r w:rsidRPr="00CF6110">
        <w:tab/>
      </w:r>
      <w:r w:rsidR="00FB3053" w:rsidRPr="00CF6110">
        <w:t>Establish the interviewee’s relationship to events (e.g. is the person an eyewitness, a relative, an expert?).</w:t>
      </w:r>
    </w:p>
    <w:p w14:paraId="128E3BF0" w14:textId="77777777" w:rsidR="00FB3053" w:rsidRPr="00CF6110" w:rsidRDefault="00602A85" w:rsidP="00FB3053">
      <w:pPr>
        <w:pStyle w:val="SingleTxtG"/>
      </w:pPr>
      <w:r w:rsidRPr="00CF6110">
        <w:lastRenderedPageBreak/>
        <w:t>215.</w:t>
      </w:r>
      <w:r w:rsidRPr="00CF6110">
        <w:tab/>
      </w:r>
      <w:r w:rsidR="00FB3053" w:rsidRPr="00CF6110">
        <w:t>Ask open-ended questions to understand the general account, such as “describe”, “explain”, and “what happened next?</w:t>
      </w:r>
      <w:proofErr w:type="gramStart"/>
      <w:r w:rsidR="00FB3053" w:rsidRPr="00CF6110">
        <w:t>”.</w:t>
      </w:r>
      <w:proofErr w:type="gramEnd"/>
      <w:r w:rsidR="00FB3053" w:rsidRPr="00CF6110">
        <w:t xml:space="preserve"> </w:t>
      </w:r>
    </w:p>
    <w:p w14:paraId="759E1457" w14:textId="77777777" w:rsidR="00FB3053" w:rsidRPr="00CF6110" w:rsidRDefault="00602A85" w:rsidP="00FB3053">
      <w:pPr>
        <w:pStyle w:val="SingleTxtG"/>
      </w:pPr>
      <w:r w:rsidRPr="00CF6110">
        <w:t>216.</w:t>
      </w:r>
      <w:r w:rsidRPr="00CF6110">
        <w:tab/>
      </w:r>
      <w:r w:rsidR="00FB3053" w:rsidRPr="00CF6110">
        <w:t xml:space="preserve">Avoid questions that imply a certain answer (leading questions) or </w:t>
      </w:r>
      <w:proofErr w:type="gramStart"/>
      <w:r w:rsidR="00FB3053" w:rsidRPr="00CF6110">
        <w:t>that elicit</w:t>
      </w:r>
      <w:proofErr w:type="gramEnd"/>
      <w:r w:rsidR="00FB3053" w:rsidRPr="00CF6110">
        <w:t xml:space="preserve"> yes/no answers (closed questions).</w:t>
      </w:r>
    </w:p>
    <w:p w14:paraId="4C7F499D" w14:textId="77777777" w:rsidR="00FB3053" w:rsidRPr="00CF6110" w:rsidRDefault="00602A85" w:rsidP="00FB3053">
      <w:pPr>
        <w:pStyle w:val="SingleTxtG"/>
      </w:pPr>
      <w:r w:rsidRPr="00CF6110">
        <w:t>217.</w:t>
      </w:r>
      <w:r w:rsidRPr="00CF6110">
        <w:tab/>
      </w:r>
      <w:r w:rsidR="00FB3053" w:rsidRPr="00CF6110">
        <w:t>Keep questions as short and simple as possible; repeat or rephrase a question if the answer was unclear.</w:t>
      </w:r>
    </w:p>
    <w:p w14:paraId="4A37D730" w14:textId="77777777" w:rsidR="00FB3053" w:rsidRPr="00CF6110" w:rsidRDefault="00602A85" w:rsidP="00FB3053">
      <w:pPr>
        <w:pStyle w:val="SingleTxtG"/>
      </w:pPr>
      <w:r w:rsidRPr="00CF6110">
        <w:t>218.</w:t>
      </w:r>
      <w:r w:rsidRPr="00CF6110">
        <w:tab/>
      </w:r>
      <w:proofErr w:type="gramStart"/>
      <w:r w:rsidR="00FB3053" w:rsidRPr="00CF6110">
        <w:t>As</w:t>
      </w:r>
      <w:proofErr w:type="gramEnd"/>
      <w:r w:rsidR="00FB3053" w:rsidRPr="00CF6110">
        <w:t xml:space="preserve"> the interview progresses, ask for details to establish timelines, identify relevant individuals, and clarify facts that can later be corroborated. </w:t>
      </w:r>
    </w:p>
    <w:p w14:paraId="5B472D65" w14:textId="77777777" w:rsidR="00FB3053" w:rsidRPr="00CF6110" w:rsidRDefault="00602A85" w:rsidP="00FB3053">
      <w:pPr>
        <w:pStyle w:val="SingleTxtG"/>
      </w:pPr>
      <w:r w:rsidRPr="00CF6110">
        <w:t>219.</w:t>
      </w:r>
      <w:r w:rsidRPr="00CF6110">
        <w:tab/>
      </w:r>
      <w:r w:rsidR="00FB3053" w:rsidRPr="00CF6110">
        <w:t>Do not always accept the first answer given: persistent questioning, done respectfully, helps to obtain accurate information.</w:t>
      </w:r>
    </w:p>
    <w:p w14:paraId="54A5572E" w14:textId="77777777" w:rsidR="00FB3053" w:rsidRPr="00CF6110" w:rsidRDefault="00602A85" w:rsidP="00FB3053">
      <w:pPr>
        <w:pStyle w:val="SingleTxtG"/>
      </w:pPr>
      <w:r w:rsidRPr="00CF6110">
        <w:t>220.</w:t>
      </w:r>
      <w:r w:rsidRPr="00CF6110">
        <w:tab/>
      </w:r>
      <w:r w:rsidR="00FB3053" w:rsidRPr="00CF6110">
        <w:t>Test information obtained from an interviewee against what the interviewer already knows or what can reasonably be established.</w:t>
      </w:r>
    </w:p>
    <w:p w14:paraId="660E513B" w14:textId="77777777" w:rsidR="00FB3053" w:rsidRPr="00CF6110" w:rsidRDefault="00602A85" w:rsidP="00FB3053">
      <w:pPr>
        <w:pStyle w:val="SingleTxtG"/>
      </w:pPr>
      <w:r w:rsidRPr="00CF6110">
        <w:t>221.</w:t>
      </w:r>
      <w:r w:rsidRPr="00CF6110">
        <w:tab/>
      </w:r>
      <w:r w:rsidR="00FB3053" w:rsidRPr="00CF6110">
        <w:t>Ask interviewees to support their assertions with documents and other corroborative material.</w:t>
      </w:r>
    </w:p>
    <w:p w14:paraId="4E4F3640" w14:textId="77777777" w:rsidR="00FB3053" w:rsidRPr="00CF6110" w:rsidRDefault="00602A85" w:rsidP="00FB3053">
      <w:pPr>
        <w:pStyle w:val="SingleTxtG"/>
      </w:pPr>
      <w:r w:rsidRPr="00CF6110">
        <w:t>222.</w:t>
      </w:r>
      <w:r w:rsidRPr="00CF6110">
        <w:tab/>
      </w:r>
      <w:r w:rsidR="00FB3053" w:rsidRPr="00CF6110">
        <w:t>Ask the interviewee to draw maps and diagrams for clarification and, when safe, to show the interviewer locations relevant to the investigation.</w:t>
      </w:r>
    </w:p>
    <w:p w14:paraId="4FE10BB7" w14:textId="77777777" w:rsidR="00FB3053" w:rsidRPr="00CF6110" w:rsidRDefault="00602A85" w:rsidP="00FB3053">
      <w:pPr>
        <w:pStyle w:val="SingleTxtG"/>
      </w:pPr>
      <w:r w:rsidRPr="00CF6110">
        <w:t>223.</w:t>
      </w:r>
      <w:r w:rsidRPr="00CF6110">
        <w:tab/>
      </w:r>
      <w:r w:rsidR="00FB3053" w:rsidRPr="00CF6110">
        <w:t>Ask a wide range of questions to obtain information but keep questions appropriate to the case.</w:t>
      </w:r>
    </w:p>
    <w:p w14:paraId="078B5CDA" w14:textId="77777777" w:rsidR="00FB3053" w:rsidRPr="00CF6110" w:rsidRDefault="00602A85" w:rsidP="00FB3053">
      <w:pPr>
        <w:pStyle w:val="SingleTxtG"/>
      </w:pPr>
      <w:r w:rsidRPr="00CF6110">
        <w:t>224.</w:t>
      </w:r>
      <w:r w:rsidRPr="00CF6110">
        <w:tab/>
      </w:r>
      <w:r w:rsidR="00FB3053" w:rsidRPr="00CF6110">
        <w:t>When the interviewing of more than one person at a time is unavoidable, clearly record which person has provided what information.</w:t>
      </w:r>
    </w:p>
    <w:p w14:paraId="0875C3DB" w14:textId="77777777" w:rsidR="00FB3053" w:rsidRPr="00CF6110" w:rsidRDefault="00602A85" w:rsidP="00FB3053">
      <w:pPr>
        <w:pStyle w:val="SingleTxtG"/>
      </w:pPr>
      <w:r w:rsidRPr="00CF6110">
        <w:t>225.</w:t>
      </w:r>
      <w:r w:rsidRPr="00CF6110">
        <w:tab/>
      </w:r>
      <w:r w:rsidR="00FB3053" w:rsidRPr="00CF6110">
        <w:t>Carefully observe the interviewee for signs of retraumatization. Take breaks or stop an interview when appropriate. Traumatized interviewees may have gaps or inconsistencies in their recollection of events.</w:t>
      </w:r>
    </w:p>
    <w:p w14:paraId="28E765ED" w14:textId="77777777" w:rsidR="00FB3053" w:rsidRPr="00CF6110" w:rsidRDefault="00602A85" w:rsidP="00FB3053">
      <w:pPr>
        <w:pStyle w:val="SingleTxtG"/>
      </w:pPr>
      <w:r w:rsidRPr="00CF6110">
        <w:t>226.</w:t>
      </w:r>
      <w:r w:rsidRPr="00CF6110">
        <w:tab/>
      </w:r>
      <w:r w:rsidR="00FB3053" w:rsidRPr="00CF6110">
        <w:t xml:space="preserve">When interviewing children, which, preferably, should occur with a specially trained interviewer, use plain language, ask short questions, and take frequent breaks. </w:t>
      </w:r>
      <w:proofErr w:type="gramStart"/>
      <w:r w:rsidR="00FB3053" w:rsidRPr="00CF6110">
        <w:t>Stay attuned to the child’s medical and psychosocial needs and provide</w:t>
      </w:r>
      <w:proofErr w:type="gramEnd"/>
      <w:r w:rsidR="00FB3053" w:rsidRPr="00CF6110">
        <w:t xml:space="preserve"> service referrals as appropriate.</w:t>
      </w:r>
    </w:p>
    <w:p w14:paraId="503E05DF" w14:textId="77777777" w:rsidR="00FB3053" w:rsidRPr="00CF6110" w:rsidRDefault="00602A85" w:rsidP="00FB3053">
      <w:pPr>
        <w:pStyle w:val="SingleTxtG"/>
      </w:pPr>
      <w:r w:rsidRPr="00CF6110">
        <w:t>227.</w:t>
      </w:r>
      <w:r w:rsidRPr="00CF6110">
        <w:tab/>
      </w:r>
      <w:r w:rsidR="00FB3053" w:rsidRPr="00CF6110">
        <w:t>When interviewing people with disabilities, make sure they feel comfortable and safe. Speak directly to the person and maintain eye contact rather than interact directly with a support person or, if present, the sign language interpreter. When interviewing someone who is blind or with limited vision, identify yourself and others who are with you. When interviewing someone with a mental or intellectual disability, ask simple questions and repeat them until understood. Provide referrals for medical and psychosocial needs as appropriate.</w:t>
      </w:r>
    </w:p>
    <w:p w14:paraId="76740E81" w14:textId="77777777" w:rsidR="00602A85" w:rsidRPr="00CF6110" w:rsidRDefault="00602A85" w:rsidP="00602A85">
      <w:pPr>
        <w:pStyle w:val="H23G"/>
        <w:spacing w:line="240" w:lineRule="atLeast"/>
      </w:pPr>
      <w:bookmarkStart w:id="119" w:name="_Toc443387558"/>
      <w:bookmarkStart w:id="120" w:name="_Toc443397144"/>
      <w:bookmarkStart w:id="121" w:name="_Toc445909218"/>
      <w:r w:rsidRPr="00CF6110">
        <w:tab/>
        <w:t xml:space="preserve">5. </w:t>
      </w:r>
      <w:r w:rsidRPr="00CF6110">
        <w:tab/>
      </w:r>
      <w:r w:rsidRPr="00CF6110">
        <w:rPr>
          <w:bCs/>
        </w:rPr>
        <w:t>Concluding the interview</w:t>
      </w:r>
    </w:p>
    <w:bookmarkEnd w:id="119"/>
    <w:bookmarkEnd w:id="120"/>
    <w:bookmarkEnd w:id="121"/>
    <w:p w14:paraId="5D5D6A8A" w14:textId="77777777" w:rsidR="00FB3053" w:rsidRPr="00CF6110" w:rsidRDefault="00602A85" w:rsidP="00FB3053">
      <w:pPr>
        <w:pStyle w:val="SingleTxtG"/>
      </w:pPr>
      <w:r w:rsidRPr="00CF6110">
        <w:t>228.</w:t>
      </w:r>
      <w:r w:rsidRPr="00CF6110">
        <w:tab/>
      </w:r>
      <w:r w:rsidR="00FB3053" w:rsidRPr="00CF6110">
        <w:t>Read or play the record of interview back to the interviewee and allow the person to correct or clarify the contents.</w:t>
      </w:r>
    </w:p>
    <w:p w14:paraId="63CD1DC0" w14:textId="77777777" w:rsidR="00FB3053" w:rsidRPr="00CF6110" w:rsidRDefault="00602A85" w:rsidP="00FB3053">
      <w:pPr>
        <w:pStyle w:val="SingleTxtG"/>
      </w:pPr>
      <w:r w:rsidRPr="00CF6110">
        <w:t>229.</w:t>
      </w:r>
      <w:r w:rsidRPr="00CF6110">
        <w:tab/>
      </w:r>
      <w:r w:rsidR="00FB3053" w:rsidRPr="00CF6110">
        <w:t>Ask if the interviewee has anything to add.</w:t>
      </w:r>
    </w:p>
    <w:p w14:paraId="4EFB44FC" w14:textId="77777777" w:rsidR="00FB3053" w:rsidRPr="00CF6110" w:rsidRDefault="00602A85" w:rsidP="00FB3053">
      <w:pPr>
        <w:pStyle w:val="SingleTxtG"/>
      </w:pPr>
      <w:r w:rsidRPr="00CF6110">
        <w:t>230.</w:t>
      </w:r>
      <w:r w:rsidRPr="00CF6110">
        <w:tab/>
      </w:r>
      <w:r w:rsidR="00FB3053" w:rsidRPr="00CF6110">
        <w:t>Ask if the interviewee has suggestions for others to interview.</w:t>
      </w:r>
    </w:p>
    <w:p w14:paraId="18926984" w14:textId="77777777" w:rsidR="00FB3053" w:rsidRPr="00CF6110" w:rsidRDefault="00602A85" w:rsidP="00FB3053">
      <w:pPr>
        <w:pStyle w:val="SingleTxtG"/>
      </w:pPr>
      <w:r w:rsidRPr="00CF6110">
        <w:t>231.</w:t>
      </w:r>
      <w:r w:rsidRPr="00CF6110">
        <w:tab/>
      </w:r>
      <w:r w:rsidR="00FB3053" w:rsidRPr="00CF6110">
        <w:t>Obtain, with permission, any material referred to the interview, such as photographs, medical reports and court records.</w:t>
      </w:r>
    </w:p>
    <w:p w14:paraId="43E6AAFE" w14:textId="77777777" w:rsidR="00FB3053" w:rsidRPr="00CF6110" w:rsidRDefault="00602A85" w:rsidP="00FB3053">
      <w:pPr>
        <w:pStyle w:val="SingleTxtG"/>
      </w:pPr>
      <w:r w:rsidRPr="00CF6110">
        <w:t>232.</w:t>
      </w:r>
      <w:r w:rsidRPr="00CF6110">
        <w:tab/>
      </w:r>
      <w:r w:rsidR="00FB3053" w:rsidRPr="00CF6110">
        <w:t>Review security measures with the interviewee and ways to stay in contact after the interview.</w:t>
      </w:r>
    </w:p>
    <w:p w14:paraId="033ABB67" w14:textId="77777777" w:rsidR="00FB3053" w:rsidRPr="00CF6110" w:rsidRDefault="00602A85" w:rsidP="00FB3053">
      <w:pPr>
        <w:pStyle w:val="SingleTxtG"/>
      </w:pPr>
      <w:r w:rsidRPr="00CF6110">
        <w:t>233.</w:t>
      </w:r>
      <w:r w:rsidRPr="00CF6110">
        <w:tab/>
      </w:r>
      <w:r w:rsidR="00FB3053" w:rsidRPr="00CF6110">
        <w:t>Ensure that the interviewee certifies in writing or on audio or video that:</w:t>
      </w:r>
    </w:p>
    <w:p w14:paraId="7F340BD2" w14:textId="77777777" w:rsidR="00FB3053" w:rsidRPr="00CF6110" w:rsidRDefault="00602A85" w:rsidP="007150FC">
      <w:pPr>
        <w:pStyle w:val="SingleTxtG"/>
        <w:ind w:left="1701"/>
      </w:pPr>
      <w:r w:rsidRPr="00CF6110">
        <w:lastRenderedPageBreak/>
        <w:t>(a)</w:t>
      </w:r>
      <w:r w:rsidRPr="00CF6110">
        <w:tab/>
      </w:r>
      <w:r w:rsidR="00FB3053" w:rsidRPr="00CF6110">
        <w:t xml:space="preserve">The interviewee’s statement has not been made under any form of unlawful duress </w:t>
      </w:r>
    </w:p>
    <w:p w14:paraId="0AB67A58" w14:textId="77777777" w:rsidR="00FB3053" w:rsidRPr="00CF6110" w:rsidRDefault="00602A85" w:rsidP="007150FC">
      <w:pPr>
        <w:pStyle w:val="SingleTxtG"/>
        <w:ind w:left="1701"/>
      </w:pPr>
      <w:r w:rsidRPr="00CF6110">
        <w:t>(b)</w:t>
      </w:r>
      <w:r w:rsidRPr="00CF6110">
        <w:tab/>
      </w:r>
      <w:r w:rsidR="00FB3053" w:rsidRPr="00CF6110">
        <w:t>The content of the interview is true and correct to the best of the person’s knowledge and recollection</w:t>
      </w:r>
    </w:p>
    <w:p w14:paraId="15804089" w14:textId="77777777" w:rsidR="00FB3053" w:rsidRPr="00CF6110" w:rsidRDefault="00602A85" w:rsidP="007150FC">
      <w:pPr>
        <w:pStyle w:val="SingleTxtG"/>
        <w:ind w:left="1701"/>
      </w:pPr>
      <w:r w:rsidRPr="00CF6110">
        <w:t>(c)</w:t>
      </w:r>
      <w:r w:rsidRPr="00CF6110">
        <w:tab/>
      </w:r>
      <w:r w:rsidR="00FB3053" w:rsidRPr="00CF6110">
        <w:t>The interviewee was not threatened or forced to give the statement, nor were any promises or inducements offered in this regard</w:t>
      </w:r>
    </w:p>
    <w:p w14:paraId="743894F1" w14:textId="77777777" w:rsidR="00FB3053" w:rsidRPr="00CF6110" w:rsidRDefault="00602A85" w:rsidP="007150FC">
      <w:pPr>
        <w:pStyle w:val="SingleTxtG"/>
        <w:ind w:left="1701"/>
      </w:pPr>
      <w:r w:rsidRPr="00CF6110">
        <w:t>(d)</w:t>
      </w:r>
      <w:r w:rsidRPr="00CF6110">
        <w:tab/>
      </w:r>
      <w:r w:rsidR="00FB3053" w:rsidRPr="00CF6110">
        <w:t>The interviewee is aware that the statement may be used in legal proceedings and that they may be called to give evidence</w:t>
      </w:r>
    </w:p>
    <w:p w14:paraId="39B6E533" w14:textId="77777777" w:rsidR="00FB3053" w:rsidRPr="00CF6110" w:rsidRDefault="00602A85" w:rsidP="007150FC">
      <w:pPr>
        <w:pStyle w:val="SingleTxtG"/>
        <w:ind w:left="1701"/>
      </w:pPr>
      <w:r w:rsidRPr="00CF6110">
        <w:t>(e)</w:t>
      </w:r>
      <w:r w:rsidRPr="00CF6110">
        <w:tab/>
      </w:r>
      <w:r w:rsidR="00FB3053" w:rsidRPr="00CF6110">
        <w:t>The interviewee may be liable to prosecution for contempt of, for interfering in the administration of justice, or for giving false testimony if they say anything in the statement they know to be false or do not believe to be true.</w:t>
      </w:r>
    </w:p>
    <w:p w14:paraId="3883B4E9" w14:textId="77777777" w:rsidR="00FB3053" w:rsidRPr="00CF6110" w:rsidRDefault="00602A85" w:rsidP="00FB3053">
      <w:pPr>
        <w:pStyle w:val="SingleTxtG"/>
      </w:pPr>
      <w:r w:rsidRPr="00CF6110">
        <w:t>234.</w:t>
      </w:r>
      <w:r w:rsidRPr="00CF6110">
        <w:tab/>
      </w:r>
      <w:r w:rsidR="00FB3053" w:rsidRPr="00CF6110">
        <w:t>Ensure that the interviewee signs and dates every page of a written interview record. Any document or material, such as diagrams and photographs, to which the interviewee refers or creates during the interview should also be signed or otherwise authenticated and attached to the interview record.</w:t>
      </w:r>
    </w:p>
    <w:p w14:paraId="2FC03140" w14:textId="77777777" w:rsidR="00FB3053" w:rsidRPr="00CF6110" w:rsidRDefault="00602A85" w:rsidP="00FB3053">
      <w:pPr>
        <w:pStyle w:val="SingleTxtG"/>
      </w:pPr>
      <w:r w:rsidRPr="00CF6110">
        <w:t>235.</w:t>
      </w:r>
      <w:r w:rsidRPr="00CF6110">
        <w:tab/>
      </w:r>
      <w:r w:rsidR="00FB3053" w:rsidRPr="00CF6110">
        <w:t>Identify points arising from the interview to follow up in the investigation, including other people to interview and potential lines of inquiry.</w:t>
      </w:r>
    </w:p>
    <w:p w14:paraId="7B2E3F96" w14:textId="77777777" w:rsidR="00FB3053" w:rsidRPr="00CF6110" w:rsidRDefault="00602A85" w:rsidP="00FB3053">
      <w:pPr>
        <w:pStyle w:val="SingleTxtG"/>
      </w:pPr>
      <w:r w:rsidRPr="00CF6110">
        <w:t>236.</w:t>
      </w:r>
      <w:r w:rsidRPr="00CF6110">
        <w:tab/>
      </w:r>
      <w:r w:rsidR="00FB3053" w:rsidRPr="00CF6110">
        <w:t>Ensure that all records from the interview are stored securely to protect privacy and maintain security.</w:t>
      </w:r>
    </w:p>
    <w:p w14:paraId="384A4771" w14:textId="77777777" w:rsidR="00602A85" w:rsidRPr="00CF6110" w:rsidRDefault="00602A85" w:rsidP="00602A85">
      <w:pPr>
        <w:pStyle w:val="H23G"/>
        <w:spacing w:line="240" w:lineRule="atLeast"/>
      </w:pPr>
      <w:bookmarkStart w:id="122" w:name="h.3znysh7" w:colFirst="0" w:colLast="0"/>
      <w:bookmarkStart w:id="123" w:name="_Toc443387559"/>
      <w:bookmarkStart w:id="124" w:name="_Toc443397145"/>
      <w:bookmarkStart w:id="125" w:name="_Toc445909219"/>
      <w:bookmarkEnd w:id="122"/>
      <w:r w:rsidRPr="00CF6110">
        <w:tab/>
        <w:t xml:space="preserve">6. </w:t>
      </w:r>
      <w:r w:rsidRPr="00CF6110">
        <w:tab/>
      </w:r>
      <w:r w:rsidRPr="00CF6110">
        <w:rPr>
          <w:bCs/>
        </w:rPr>
        <w:t>Additional guidance when interviewing a suspect</w:t>
      </w:r>
    </w:p>
    <w:bookmarkEnd w:id="123"/>
    <w:bookmarkEnd w:id="124"/>
    <w:bookmarkEnd w:id="125"/>
    <w:p w14:paraId="14A38DE6" w14:textId="77777777" w:rsidR="00FB3053" w:rsidRPr="00CF6110" w:rsidRDefault="00602A85" w:rsidP="00FB3053">
      <w:pPr>
        <w:pStyle w:val="SingleTxtG"/>
      </w:pPr>
      <w:r w:rsidRPr="00CF6110">
        <w:t>237.</w:t>
      </w:r>
      <w:r w:rsidRPr="00CF6110">
        <w:tab/>
      </w:r>
      <w:r w:rsidR="00FB3053" w:rsidRPr="00CF6110">
        <w:t>In addition to the guidance set out above, suspects must be granted and informed of at least the following rights:</w:t>
      </w:r>
    </w:p>
    <w:p w14:paraId="61876DD8" w14:textId="77777777" w:rsidR="00FB3053" w:rsidRPr="00CF6110" w:rsidRDefault="00602A85" w:rsidP="007150FC">
      <w:pPr>
        <w:pStyle w:val="SingleTxtG"/>
        <w:ind w:left="1701"/>
      </w:pPr>
      <w:r w:rsidRPr="00CF6110">
        <w:t>(a)</w:t>
      </w:r>
      <w:r w:rsidRPr="00CF6110">
        <w:tab/>
      </w:r>
      <w:r w:rsidR="00FB3053" w:rsidRPr="00CF6110">
        <w:t xml:space="preserve">To be presumed innocent until proven guilty </w:t>
      </w:r>
      <w:proofErr w:type="gramStart"/>
      <w:r w:rsidR="00FB3053" w:rsidRPr="00CF6110">
        <w:t>which includes a fair opportunity to provide their account of relevant events</w:t>
      </w:r>
      <w:proofErr w:type="gramEnd"/>
    </w:p>
    <w:p w14:paraId="238DE7A3" w14:textId="77777777" w:rsidR="00FB3053" w:rsidRPr="00CF6110" w:rsidRDefault="00602A85" w:rsidP="00602A85">
      <w:pPr>
        <w:pStyle w:val="SingleTxtG"/>
        <w:ind w:firstLine="567"/>
      </w:pPr>
      <w:r w:rsidRPr="00CF6110">
        <w:t>(b)</w:t>
      </w:r>
      <w:r w:rsidRPr="00CF6110">
        <w:tab/>
      </w:r>
      <w:r w:rsidR="00FB3053" w:rsidRPr="00CF6110">
        <w:t>Not to be compelled to incriminate themselves</w:t>
      </w:r>
    </w:p>
    <w:p w14:paraId="15FC2ED6" w14:textId="77777777" w:rsidR="00FB3053" w:rsidRPr="00CF6110" w:rsidRDefault="00602A85" w:rsidP="00602A85">
      <w:pPr>
        <w:pStyle w:val="SingleTxtG"/>
        <w:ind w:firstLine="567"/>
      </w:pPr>
      <w:r w:rsidRPr="00CF6110">
        <w:t>(c)</w:t>
      </w:r>
      <w:r w:rsidRPr="00CF6110">
        <w:tab/>
      </w:r>
      <w:r w:rsidR="00FB3053" w:rsidRPr="00CF6110">
        <w:t>To remain silent</w:t>
      </w:r>
    </w:p>
    <w:p w14:paraId="069D7A53" w14:textId="77777777" w:rsidR="00FB3053" w:rsidRPr="00CF6110" w:rsidRDefault="00602A85" w:rsidP="007150FC">
      <w:pPr>
        <w:pStyle w:val="SingleTxtG"/>
        <w:ind w:left="1701"/>
      </w:pPr>
      <w:r w:rsidRPr="00CF6110">
        <w:t>(d)</w:t>
      </w:r>
      <w:r w:rsidRPr="00CF6110">
        <w:tab/>
      </w:r>
      <w:r w:rsidR="00FB3053" w:rsidRPr="00CF6110">
        <w:t>To the presence and assistance of a lawyer during questioning, and to consult the lawyer in private</w:t>
      </w:r>
    </w:p>
    <w:p w14:paraId="626A6691" w14:textId="77777777" w:rsidR="00FB3053" w:rsidRPr="00CF6110" w:rsidRDefault="00602A85" w:rsidP="007150FC">
      <w:pPr>
        <w:pStyle w:val="SingleTxtG"/>
        <w:ind w:left="1701"/>
      </w:pPr>
      <w:r w:rsidRPr="00CF6110">
        <w:t>(e)</w:t>
      </w:r>
      <w:r w:rsidRPr="00CF6110">
        <w:tab/>
      </w:r>
      <w:r w:rsidR="00FB3053" w:rsidRPr="00CF6110">
        <w:t>To have the interview recorded, including place(s) and date(s) of questioning; the place of detention, if any; the start and end times of each interrogation session; the intervals between sessions (including rest periods); the identities of the interviewer(s) and all others present; and any requests made by the individual being questioned</w:t>
      </w:r>
    </w:p>
    <w:p w14:paraId="26EDAD28" w14:textId="77777777" w:rsidR="00FB3053" w:rsidRPr="00CF6110" w:rsidRDefault="00602A85" w:rsidP="00602A85">
      <w:pPr>
        <w:pStyle w:val="SingleTxtG"/>
        <w:ind w:firstLine="567"/>
      </w:pPr>
      <w:r w:rsidRPr="00CF6110">
        <w:t>(f)</w:t>
      </w:r>
      <w:r w:rsidRPr="00CF6110">
        <w:tab/>
      </w:r>
      <w:r w:rsidR="00FB3053" w:rsidRPr="00CF6110">
        <w:t>To be interviewed in a language he/she understands.</w:t>
      </w:r>
    </w:p>
    <w:p w14:paraId="0718A144" w14:textId="77777777" w:rsidR="00602A85" w:rsidRPr="00CF6110" w:rsidRDefault="00602A85" w:rsidP="00602A85">
      <w:pPr>
        <w:pStyle w:val="H23G"/>
        <w:spacing w:line="240" w:lineRule="atLeast"/>
      </w:pPr>
      <w:bookmarkStart w:id="126" w:name="_Toc443387560"/>
      <w:bookmarkStart w:id="127" w:name="_Toc443397146"/>
      <w:bookmarkStart w:id="128" w:name="_Toc445909220"/>
      <w:r w:rsidRPr="00CF6110">
        <w:tab/>
        <w:t xml:space="preserve">7. </w:t>
      </w:r>
      <w:r w:rsidRPr="00CF6110">
        <w:tab/>
      </w:r>
      <w:r w:rsidRPr="00CF6110">
        <w:rPr>
          <w:bCs/>
        </w:rPr>
        <w:t>The role of interpreters</w:t>
      </w:r>
    </w:p>
    <w:bookmarkEnd w:id="126"/>
    <w:bookmarkEnd w:id="127"/>
    <w:bookmarkEnd w:id="128"/>
    <w:p w14:paraId="56EF56FD" w14:textId="77777777" w:rsidR="00FB3053" w:rsidRPr="00CF6110" w:rsidRDefault="00602A85" w:rsidP="00FB3053">
      <w:pPr>
        <w:pStyle w:val="SingleTxtG"/>
      </w:pPr>
      <w:r w:rsidRPr="00CF6110">
        <w:t>238.</w:t>
      </w:r>
      <w:r w:rsidRPr="00CF6110">
        <w:tab/>
      </w:r>
      <w:r w:rsidR="00FB3053" w:rsidRPr="00CF6110">
        <w:t>In some situations, an interpreter may be required to assist with the interview of a witness, victim, suspect, or other person relevant for the investigation. The interpreter’s role is to facilitate communication in a neutral and objective manner. Interpreters should be limited to that role; have appropriate interview training; be accredited; understand the terminology specific to the investigation; and apply internationally agreed standards and best practice. The interpreter should declare any potential conflict of interest in advance.</w:t>
      </w:r>
    </w:p>
    <w:p w14:paraId="36E904F9" w14:textId="77777777" w:rsidR="00FB3053" w:rsidRPr="00CF6110" w:rsidRDefault="00602A85" w:rsidP="00FB3053">
      <w:pPr>
        <w:pStyle w:val="SingleTxtG"/>
      </w:pPr>
      <w:r w:rsidRPr="00CF6110">
        <w:t>239.</w:t>
      </w:r>
      <w:r w:rsidRPr="00CF6110">
        <w:tab/>
      </w:r>
      <w:r w:rsidR="00FB3053" w:rsidRPr="00CF6110">
        <w:t xml:space="preserve">When selecting an appropriate interpreter, consider the interviewee’s gender, sexual orientation, gender identity, nationality, ethnicity, religion, education, literacy, language, </w:t>
      </w:r>
      <w:r w:rsidR="00FB3053" w:rsidRPr="00CF6110">
        <w:lastRenderedPageBreak/>
        <w:t>and dialect, and any preferences of the interviewee. (An interviewee should have the right to express the wish for a different interpreter.)</w:t>
      </w:r>
    </w:p>
    <w:p w14:paraId="24708EDD" w14:textId="77777777" w:rsidR="00FB3053" w:rsidRPr="00CF6110" w:rsidRDefault="00602A85" w:rsidP="00FB3053">
      <w:pPr>
        <w:pStyle w:val="SingleTxtG"/>
      </w:pPr>
      <w:r w:rsidRPr="00CF6110">
        <w:t>240.</w:t>
      </w:r>
      <w:r w:rsidRPr="00CF6110">
        <w:tab/>
      </w:r>
      <w:r w:rsidR="00FB3053" w:rsidRPr="00CF6110">
        <w:t>An interpreter should:</w:t>
      </w:r>
    </w:p>
    <w:p w14:paraId="0D2575ED" w14:textId="77777777" w:rsidR="00FB3053" w:rsidRPr="00CF6110" w:rsidRDefault="00602A85" w:rsidP="007150FC">
      <w:pPr>
        <w:pStyle w:val="SingleTxtG"/>
        <w:ind w:left="1701"/>
      </w:pPr>
      <w:r w:rsidRPr="00CF6110">
        <w:t>(a)</w:t>
      </w:r>
      <w:r w:rsidRPr="00CF6110">
        <w:tab/>
      </w:r>
      <w:r w:rsidR="00FB3053" w:rsidRPr="00CF6110">
        <w:t>Only interpret for the language(s) for which they are qualified, authorized, or accredited</w:t>
      </w:r>
    </w:p>
    <w:p w14:paraId="7129BD11" w14:textId="77777777" w:rsidR="00FB3053" w:rsidRPr="00CF6110" w:rsidRDefault="00602A85" w:rsidP="007150FC">
      <w:pPr>
        <w:pStyle w:val="SingleTxtG"/>
        <w:ind w:left="1701"/>
      </w:pPr>
      <w:r w:rsidRPr="00CF6110">
        <w:t>(b)</w:t>
      </w:r>
      <w:r w:rsidRPr="00CF6110">
        <w:tab/>
      </w:r>
      <w:r w:rsidR="00FB3053" w:rsidRPr="00CF6110">
        <w:t>Provide a complete and accurate interpretation without alterations or omissions</w:t>
      </w:r>
    </w:p>
    <w:p w14:paraId="69472950" w14:textId="77777777" w:rsidR="00FB3053" w:rsidRPr="00CF6110" w:rsidRDefault="00602A85" w:rsidP="007150FC">
      <w:pPr>
        <w:pStyle w:val="SingleTxtG"/>
        <w:ind w:left="1701"/>
      </w:pPr>
      <w:r w:rsidRPr="00CF6110">
        <w:t>(c)</w:t>
      </w:r>
      <w:r w:rsidRPr="00CF6110">
        <w:tab/>
      </w:r>
      <w:r w:rsidR="00FB3053" w:rsidRPr="00CF6110">
        <w:t>Demonstrate a high level of professionalism, ethics, and maintain their integrity, impartiality and independence</w:t>
      </w:r>
    </w:p>
    <w:p w14:paraId="6A08D0E1" w14:textId="77777777" w:rsidR="00FB3053" w:rsidRPr="00CF6110" w:rsidRDefault="00602A85" w:rsidP="007150FC">
      <w:pPr>
        <w:pStyle w:val="SingleTxtG"/>
        <w:ind w:left="1701"/>
      </w:pPr>
      <w:r w:rsidRPr="00CF6110">
        <w:t>(d)</w:t>
      </w:r>
      <w:r w:rsidRPr="00CF6110">
        <w:tab/>
      </w:r>
      <w:r w:rsidR="00FB3053" w:rsidRPr="00CF6110">
        <w:t>Disclose any real or perceived conflicts of interest, including prior knowledge or dealings with the person being interviewed</w:t>
      </w:r>
    </w:p>
    <w:p w14:paraId="6F423A60" w14:textId="77777777" w:rsidR="00FB3053" w:rsidRPr="00CF6110" w:rsidRDefault="00602A85" w:rsidP="007150FC">
      <w:pPr>
        <w:pStyle w:val="SingleTxtG"/>
        <w:ind w:left="1701"/>
      </w:pPr>
      <w:r w:rsidRPr="00CF6110">
        <w:t>(e)</w:t>
      </w:r>
      <w:r w:rsidRPr="00CF6110">
        <w:tab/>
      </w:r>
      <w:r w:rsidR="00FB3053" w:rsidRPr="00CF6110">
        <w:t>Avoid soliciting or accepting any gratuities or taking personal advantage of any information obtained in the course of their work</w:t>
      </w:r>
    </w:p>
    <w:p w14:paraId="5AC671A1" w14:textId="77777777" w:rsidR="00FB3053" w:rsidRPr="00CF6110" w:rsidRDefault="00602A85" w:rsidP="007150FC">
      <w:pPr>
        <w:pStyle w:val="SingleTxtG"/>
        <w:ind w:left="1701"/>
      </w:pPr>
      <w:r w:rsidRPr="00CF6110">
        <w:t>(f)</w:t>
      </w:r>
      <w:r w:rsidRPr="00CF6110">
        <w:tab/>
      </w:r>
      <w:r w:rsidR="00FB3053" w:rsidRPr="00CF6110">
        <w:t>Maintain confidentiality and protect information obtained in the course of their work from unauthorized individuals</w:t>
      </w:r>
    </w:p>
    <w:p w14:paraId="0A0217F7" w14:textId="77777777" w:rsidR="00FB3053" w:rsidRPr="00CF6110" w:rsidRDefault="00602A85" w:rsidP="007150FC">
      <w:pPr>
        <w:pStyle w:val="SingleTxtG"/>
        <w:ind w:left="1701"/>
      </w:pPr>
      <w:r w:rsidRPr="00CF6110">
        <w:t>(g)</w:t>
      </w:r>
      <w:r w:rsidRPr="00CF6110">
        <w:tab/>
      </w:r>
      <w:r w:rsidR="00FB3053" w:rsidRPr="00CF6110">
        <w:t>Sign and give any notes the interpreter has made during the interview to the primary interviewer.</w:t>
      </w:r>
    </w:p>
    <w:p w14:paraId="0D5E167B" w14:textId="77777777" w:rsidR="00FB3053" w:rsidRPr="00CF6110" w:rsidRDefault="00602A85" w:rsidP="00FB3053">
      <w:pPr>
        <w:pStyle w:val="SingleTxtG"/>
      </w:pPr>
      <w:bookmarkStart w:id="129" w:name="h.sljreukx6teo" w:colFirst="0" w:colLast="0"/>
      <w:bookmarkEnd w:id="129"/>
      <w:r w:rsidRPr="00CF6110">
        <w:t>241.</w:t>
      </w:r>
      <w:r w:rsidRPr="00CF6110">
        <w:tab/>
      </w:r>
      <w:r w:rsidR="00FB3053" w:rsidRPr="00CF6110">
        <w:t>At the end of the interview, the interpreter should certify, either in writing, or on audio or video, that:</w:t>
      </w:r>
    </w:p>
    <w:p w14:paraId="6D91258D" w14:textId="77777777" w:rsidR="00FB3053" w:rsidRPr="00CF6110" w:rsidRDefault="00602A85" w:rsidP="00602A85">
      <w:pPr>
        <w:pStyle w:val="SingleTxtG"/>
        <w:ind w:firstLine="567"/>
      </w:pPr>
      <w:r w:rsidRPr="00CF6110">
        <w:t>(a)</w:t>
      </w:r>
      <w:r w:rsidRPr="00CF6110">
        <w:tab/>
      </w:r>
      <w:r w:rsidR="00FB3053" w:rsidRPr="00CF6110">
        <w:t xml:space="preserve">They are qualified to provide the interpretation services as set out above, and </w:t>
      </w:r>
    </w:p>
    <w:p w14:paraId="745A8D41" w14:textId="77777777" w:rsidR="00FB3053" w:rsidRPr="00CF6110" w:rsidRDefault="00602A85" w:rsidP="007150FC">
      <w:pPr>
        <w:pStyle w:val="SingleTxtG"/>
        <w:ind w:left="1701"/>
      </w:pPr>
      <w:r w:rsidRPr="00CF6110">
        <w:t>(b)</w:t>
      </w:r>
      <w:r w:rsidRPr="00CF6110">
        <w:tab/>
      </w:r>
      <w:r w:rsidR="00FB3053" w:rsidRPr="00CF6110">
        <w:t>That they have read the record of interview back to the interviewee and the interviewee has confirmed its accuracy.</w:t>
      </w:r>
    </w:p>
    <w:p w14:paraId="50E9DA58" w14:textId="77777777" w:rsidR="00602A85" w:rsidRPr="00CF6110" w:rsidRDefault="00602A85" w:rsidP="00602A85">
      <w:pPr>
        <w:pStyle w:val="H1G"/>
        <w:spacing w:line="240" w:lineRule="atLeast"/>
      </w:pPr>
      <w:r w:rsidRPr="00CF6110">
        <w:tab/>
        <w:t xml:space="preserve">C. </w:t>
      </w:r>
      <w:r w:rsidRPr="00CF6110">
        <w:tab/>
      </w:r>
      <w:r w:rsidRPr="00CF6110">
        <w:rPr>
          <w:bCs/>
        </w:rPr>
        <w:t>Detailed Guidelines on the Excavation of Graves</w:t>
      </w:r>
    </w:p>
    <w:p w14:paraId="366A32D1" w14:textId="77777777" w:rsidR="00FB3053" w:rsidRPr="00CF6110" w:rsidRDefault="00FB3053" w:rsidP="00FB3053">
      <w:pPr>
        <w:pStyle w:val="SingleTxtG"/>
      </w:pPr>
      <w:r w:rsidRPr="00CF6110">
        <w:t>The following procedures apply to the excavation of all areas containing buried human remains.</w:t>
      </w:r>
    </w:p>
    <w:p w14:paraId="232C5564" w14:textId="77777777" w:rsidR="00FB3053" w:rsidRPr="00CF6110" w:rsidRDefault="00602A85" w:rsidP="00FB3053">
      <w:pPr>
        <w:pStyle w:val="SingleTxtG"/>
      </w:pPr>
      <w:r w:rsidRPr="00CF6110">
        <w:t>242</w:t>
      </w:r>
      <w:r w:rsidR="006622D2" w:rsidRPr="00CF6110">
        <w:t>.</w:t>
      </w:r>
      <w:r w:rsidRPr="00CF6110">
        <w:tab/>
      </w:r>
      <w:r w:rsidR="00FB3053" w:rsidRPr="00CF6110">
        <w:t>Record the date, location, start and finishing times of the disinterment, and the names of all workers.</w:t>
      </w:r>
    </w:p>
    <w:p w14:paraId="76D4B285" w14:textId="77777777" w:rsidR="00FB3053" w:rsidRPr="00CF6110" w:rsidRDefault="006622D2" w:rsidP="00FB3053">
      <w:pPr>
        <w:pStyle w:val="SingleTxtG"/>
      </w:pPr>
      <w:r w:rsidRPr="00CF6110">
        <w:t>243.</w:t>
      </w:r>
      <w:r w:rsidRPr="00CF6110">
        <w:tab/>
      </w:r>
      <w:r w:rsidR="00FB3053" w:rsidRPr="00CF6110">
        <w:t>Record the information in narrative form, supplemented by sketches and photographs.</w:t>
      </w:r>
    </w:p>
    <w:p w14:paraId="58D1864F" w14:textId="77777777" w:rsidR="00FB3053" w:rsidRPr="00CF6110" w:rsidRDefault="006622D2" w:rsidP="00FB3053">
      <w:pPr>
        <w:pStyle w:val="SingleTxtG"/>
      </w:pPr>
      <w:r w:rsidRPr="00CF6110">
        <w:t>244.</w:t>
      </w:r>
      <w:r w:rsidRPr="00CF6110">
        <w:tab/>
      </w:r>
      <w:r w:rsidR="00FB3053" w:rsidRPr="00CF6110">
        <w:t>Photograph the work area from the same perspective before work begins and after it ends every day to document any disturbance not related to the official procedure.</w:t>
      </w:r>
    </w:p>
    <w:p w14:paraId="791A7769" w14:textId="77777777" w:rsidR="00FB3053" w:rsidRPr="00CF6110" w:rsidRDefault="006622D2" w:rsidP="00FB3053">
      <w:pPr>
        <w:pStyle w:val="SingleTxtG"/>
      </w:pPr>
      <w:r w:rsidRPr="00CF6110">
        <w:t>245.</w:t>
      </w:r>
      <w:r w:rsidRPr="00CF6110">
        <w:tab/>
      </w:r>
      <w:r w:rsidR="00FB3053" w:rsidRPr="00CF6110">
        <w:t>Establish a datum point, then block and map the burial site using an appropriate-sized grid and standard archaeological techniques. In some cases, it may be adequate simply to measure the depth of the grave from the surface to the skull and from the surface to the feet. Associated material may then be recorded in terms of their position relative to the skeleton.</w:t>
      </w:r>
    </w:p>
    <w:p w14:paraId="0763FADF" w14:textId="77777777" w:rsidR="00FB3053" w:rsidRPr="00CF6110" w:rsidRDefault="006622D2" w:rsidP="00FB3053">
      <w:pPr>
        <w:pStyle w:val="SingleTxtG"/>
      </w:pPr>
      <w:r w:rsidRPr="00CF6110">
        <w:t>246.</w:t>
      </w:r>
      <w:r w:rsidRPr="00CF6110">
        <w:tab/>
      </w:r>
      <w:r w:rsidR="00FB3053" w:rsidRPr="00CF6110">
        <w:t>Remove the overburden of earth, screening the dirt for associated materials. Record the level (depth) and relative co-ordinates of any such findings. The type of burial, especially whether primary or secondary, influences the care and attention that needs to be given to this step. Associated materials located at a secondary burial site are unlikely to reveal the circumstances of the primary burial but may provide information on events that have occurred after that burial.</w:t>
      </w:r>
    </w:p>
    <w:p w14:paraId="219BFD14" w14:textId="77777777" w:rsidR="00FB3053" w:rsidRPr="00CF6110" w:rsidRDefault="006622D2" w:rsidP="00FB3053">
      <w:pPr>
        <w:pStyle w:val="SingleTxtG"/>
      </w:pPr>
      <w:r w:rsidRPr="00CF6110">
        <w:lastRenderedPageBreak/>
        <w:t>247.</w:t>
      </w:r>
      <w:r w:rsidRPr="00CF6110">
        <w:tab/>
      </w:r>
      <w:r w:rsidR="00FB3053" w:rsidRPr="00CF6110">
        <w:t>Search for items such as bullets or personal items, such as jewellery, for which a metal detector can be useful, particularly in the levels immediately above and below the level of the remains.</w:t>
      </w:r>
    </w:p>
    <w:p w14:paraId="7848A75A" w14:textId="77777777" w:rsidR="00FB3053" w:rsidRPr="00CF6110" w:rsidRDefault="006622D2" w:rsidP="00FB3053">
      <w:pPr>
        <w:pStyle w:val="SingleTxtG"/>
      </w:pPr>
      <w:r w:rsidRPr="00CF6110">
        <w:t>248.</w:t>
      </w:r>
      <w:r w:rsidRPr="00CF6110">
        <w:tab/>
      </w:r>
      <w:r w:rsidR="00FB3053" w:rsidRPr="00CF6110">
        <w:t>Circumscribe the body, when the level of the burial is located, and, when possible, open the burial pit to a minimum of 30cm on all sides of the body.</w:t>
      </w:r>
    </w:p>
    <w:p w14:paraId="164925A7" w14:textId="35A3A01D" w:rsidR="00FB3053" w:rsidRPr="00CF6110" w:rsidRDefault="006622D2" w:rsidP="00FB3053">
      <w:pPr>
        <w:pStyle w:val="SingleTxtG"/>
      </w:pPr>
      <w:r w:rsidRPr="00CF6110">
        <w:t>249.</w:t>
      </w:r>
      <w:r w:rsidRPr="00CF6110">
        <w:tab/>
      </w:r>
      <w:r w:rsidR="00FB3053" w:rsidRPr="00CF6110">
        <w:t>Expose the body as clearly as possible to ensure that the full extent of the body is visible before removal from the scene.</w:t>
      </w:r>
      <w:r w:rsidR="00346947" w:rsidRPr="00CF6110">
        <w:t xml:space="preserve"> </w:t>
      </w:r>
      <w:r w:rsidR="00FB3053" w:rsidRPr="00CF6110">
        <w:t>Make sure to similarly expose all associated artefact before removal. Pedestal the burial by digging on all sides to the lowest level of the body (approximately 30cm). Also pedestal any associated artefacts.</w:t>
      </w:r>
    </w:p>
    <w:p w14:paraId="0F36382F" w14:textId="77777777" w:rsidR="00FB3053" w:rsidRPr="00CF6110" w:rsidRDefault="006622D2" w:rsidP="00FB3053">
      <w:pPr>
        <w:pStyle w:val="SingleTxtG"/>
      </w:pPr>
      <w:r w:rsidRPr="00CF6110">
        <w:t>250.</w:t>
      </w:r>
      <w:r w:rsidRPr="00CF6110">
        <w:tab/>
      </w:r>
      <w:r w:rsidR="00FB3053" w:rsidRPr="00CF6110">
        <w:t>Expose the remains with the use of a soft brush or whisk broom. The remains may be fragile, and interrelationships of elements are important and may be easily disrupted. Damage can seriously reduce the amount of information available for analysis.</w:t>
      </w:r>
    </w:p>
    <w:p w14:paraId="2E16259D" w14:textId="77777777" w:rsidR="00FB3053" w:rsidRPr="00CF6110" w:rsidRDefault="006622D2" w:rsidP="00FB3053">
      <w:pPr>
        <w:pStyle w:val="SingleTxtG"/>
      </w:pPr>
      <w:r w:rsidRPr="00CF6110">
        <w:t>251.</w:t>
      </w:r>
      <w:r w:rsidRPr="00CF6110">
        <w:tab/>
      </w:r>
      <w:r w:rsidR="00FB3053" w:rsidRPr="00CF6110">
        <w:t>Photograph and map the remains in situ. All photographs should include an identification number, the date, a scale and an indication of magnetic north.</w:t>
      </w:r>
    </w:p>
    <w:p w14:paraId="22ADB6E7" w14:textId="77777777" w:rsidR="00FB3053" w:rsidRPr="00CF6110" w:rsidRDefault="006622D2" w:rsidP="007150FC">
      <w:pPr>
        <w:pStyle w:val="SingleTxtG"/>
        <w:ind w:left="1701"/>
      </w:pPr>
      <w:r w:rsidRPr="00CF6110">
        <w:t>(a)</w:t>
      </w:r>
      <w:r w:rsidRPr="00CF6110">
        <w:tab/>
      </w:r>
      <w:r w:rsidR="00FB3053" w:rsidRPr="00CF6110">
        <w:t xml:space="preserve">First photograph the entire burial, </w:t>
      </w:r>
      <w:proofErr w:type="gramStart"/>
      <w:r w:rsidR="00FB3053" w:rsidRPr="00CF6110">
        <w:t>then</w:t>
      </w:r>
      <w:proofErr w:type="gramEnd"/>
      <w:r w:rsidR="00FB3053" w:rsidRPr="00CF6110">
        <w:t xml:space="preserve"> focus on significant details so that their relation to the whole can be easily visualized</w:t>
      </w:r>
    </w:p>
    <w:p w14:paraId="7D4E7E9A" w14:textId="77777777" w:rsidR="00FB3053" w:rsidRPr="00CF6110" w:rsidRDefault="006622D2" w:rsidP="007150FC">
      <w:pPr>
        <w:pStyle w:val="SingleTxtG"/>
        <w:ind w:left="1701"/>
      </w:pPr>
      <w:r w:rsidRPr="00CF6110">
        <w:t>(b)</w:t>
      </w:r>
      <w:r w:rsidRPr="00CF6110">
        <w:tab/>
      </w:r>
      <w:r w:rsidR="00FB3053" w:rsidRPr="00CF6110">
        <w:t>Anything that seems unusual or remarkable should be photographed at close range. Careful attention should be given to evidence of trauma or pathological change, either recent or healed</w:t>
      </w:r>
    </w:p>
    <w:p w14:paraId="475BCD1C" w14:textId="77777777" w:rsidR="00FB3053" w:rsidRPr="00CF6110" w:rsidRDefault="006622D2" w:rsidP="007150FC">
      <w:pPr>
        <w:pStyle w:val="SingleTxtG"/>
        <w:ind w:left="1701"/>
      </w:pPr>
      <w:r w:rsidRPr="00CF6110">
        <w:t>(c)</w:t>
      </w:r>
      <w:r w:rsidRPr="00CF6110">
        <w:tab/>
      </w:r>
      <w:r w:rsidR="00FB3053" w:rsidRPr="00CF6110">
        <w:t>Photograph and map all associated materials (e.g. clothes, hair, coffin, artefacts, bullets, casings). The map should include a rough sketch of the skeleton as well as any associated materials.</w:t>
      </w:r>
    </w:p>
    <w:p w14:paraId="27D88C0E" w14:textId="77777777" w:rsidR="00FB3053" w:rsidRPr="00CF6110" w:rsidRDefault="006622D2" w:rsidP="00FB3053">
      <w:pPr>
        <w:pStyle w:val="SingleTxtG"/>
      </w:pPr>
      <w:r w:rsidRPr="00CF6110">
        <w:t>252.</w:t>
      </w:r>
      <w:r w:rsidRPr="00CF6110">
        <w:tab/>
      </w:r>
      <w:r w:rsidR="00FB3053" w:rsidRPr="00CF6110">
        <w:t>Before displacing anything, measure the individual:</w:t>
      </w:r>
    </w:p>
    <w:p w14:paraId="3981C99B" w14:textId="77777777" w:rsidR="00FB3053" w:rsidRPr="00CF6110" w:rsidRDefault="006622D2" w:rsidP="007150FC">
      <w:pPr>
        <w:pStyle w:val="SingleTxtG"/>
        <w:ind w:left="1701"/>
      </w:pPr>
      <w:r w:rsidRPr="00CF6110">
        <w:t>(a)</w:t>
      </w:r>
      <w:r w:rsidRPr="00CF6110">
        <w:tab/>
      </w:r>
      <w:r w:rsidR="00FB3053" w:rsidRPr="00CF6110">
        <w:t>Measure the total length of the remains and record the position of the remains in the grave</w:t>
      </w:r>
    </w:p>
    <w:p w14:paraId="432014F4" w14:textId="77777777" w:rsidR="00FB3053" w:rsidRPr="00CF6110" w:rsidRDefault="006622D2" w:rsidP="007150FC">
      <w:pPr>
        <w:pStyle w:val="SingleTxtG"/>
        <w:ind w:left="1701"/>
      </w:pPr>
      <w:r w:rsidRPr="00CF6110">
        <w:t>(b)</w:t>
      </w:r>
      <w:r w:rsidRPr="00CF6110">
        <w:tab/>
      </w:r>
      <w:r w:rsidR="00FB3053" w:rsidRPr="00CF6110">
        <w:t xml:space="preserve">If the skeleton is so fragile that it may break when lifted, measure as much as possible before removing it from the ground. </w:t>
      </w:r>
    </w:p>
    <w:p w14:paraId="40D09FB8" w14:textId="77777777" w:rsidR="00FB3053" w:rsidRPr="00CF6110" w:rsidRDefault="006622D2" w:rsidP="00FB3053">
      <w:pPr>
        <w:pStyle w:val="SingleTxtG"/>
      </w:pPr>
      <w:r w:rsidRPr="00CF6110">
        <w:t>253.</w:t>
      </w:r>
      <w:r w:rsidRPr="00CF6110">
        <w:tab/>
      </w:r>
      <w:r w:rsidR="00FB3053" w:rsidRPr="00CF6110">
        <w:t xml:space="preserve">When exhuming skeletal remains, the only means to ensure the recovery of complete and individual bodies is the removal of its skeletal elements according to the anatomical articulation of skeleton in the grave. </w:t>
      </w:r>
    </w:p>
    <w:p w14:paraId="1E8C2FD6" w14:textId="77777777" w:rsidR="00FB3053" w:rsidRPr="00CF6110" w:rsidRDefault="006622D2" w:rsidP="00FB3053">
      <w:pPr>
        <w:pStyle w:val="SingleTxtG"/>
      </w:pPr>
      <w:r w:rsidRPr="00CF6110">
        <w:t>254.</w:t>
      </w:r>
      <w:r w:rsidRPr="00CF6110">
        <w:tab/>
      </w:r>
      <w:r w:rsidR="00FB3053" w:rsidRPr="00CF6110">
        <w:t>In the case of recovering skeletal remains, it might be necessary to remove clothing in order to recover the bones. This might require cutting the clothing in order to access the bones for collection. Any such cuts must be documented and carried out with due care so as not to destroy any evidence, such as firearm discharge residue. Clothing should be packaged separately from the bones in correctly labelled paper bags. Each individual set of remains (bones, clothing, and associated evidence) needs to be packaged in a correctly labelled cardboard box for transport to the laboratory.</w:t>
      </w:r>
    </w:p>
    <w:p w14:paraId="0313DDFE" w14:textId="77777777" w:rsidR="00FB3053" w:rsidRPr="00CF6110" w:rsidRDefault="006622D2" w:rsidP="00FB3053">
      <w:pPr>
        <w:pStyle w:val="SingleTxtG"/>
      </w:pPr>
      <w:r w:rsidRPr="00CF6110">
        <w:t>255.</w:t>
      </w:r>
      <w:r w:rsidRPr="00CF6110">
        <w:tab/>
      </w:r>
      <w:r w:rsidR="00FB3053" w:rsidRPr="00CF6110">
        <w:t>Special attention must be given to commingled bodies. It might not be possible to exhume complete bodies at one time as they are intertwined. In such cases, it is important to follow the anatomical articulation of remains. Either partially remove remains (in cases of skeletal remains), or move and free remains from each other in order to recover a complete set of remains. This needs to be carefully documented to ensure that remains are recovered whole and as individual bodies.</w:t>
      </w:r>
    </w:p>
    <w:p w14:paraId="2C38040F" w14:textId="77777777" w:rsidR="00FB3053" w:rsidRPr="00CF6110" w:rsidRDefault="006622D2" w:rsidP="00FB3053">
      <w:pPr>
        <w:pStyle w:val="SingleTxtG"/>
      </w:pPr>
      <w:r w:rsidRPr="00CF6110">
        <w:t>256.</w:t>
      </w:r>
      <w:r w:rsidRPr="00CF6110">
        <w:tab/>
      </w:r>
      <w:r w:rsidR="00FB3053" w:rsidRPr="00CF6110">
        <w:t>Special attention must be paid to the exhumation, labelling, and packaging of each individual set of remains in order to ensure that no mixing of individual bodies or body parts, their clothing, and any associated evidence occurs.</w:t>
      </w:r>
    </w:p>
    <w:p w14:paraId="7C00826C" w14:textId="77777777" w:rsidR="00FB3053" w:rsidRPr="00CF6110" w:rsidRDefault="006622D2" w:rsidP="00FB3053">
      <w:pPr>
        <w:pStyle w:val="SingleTxtG"/>
      </w:pPr>
      <w:r w:rsidRPr="00CF6110">
        <w:lastRenderedPageBreak/>
        <w:t>257.</w:t>
      </w:r>
      <w:r w:rsidRPr="00CF6110">
        <w:tab/>
      </w:r>
      <w:r w:rsidR="00FB3053" w:rsidRPr="00CF6110">
        <w:t>Excavate and screen the level of soil immediately under the burial. A level of “sterile” (artefact-free) soil should be located before ceasing excavation.</w:t>
      </w:r>
    </w:p>
    <w:p w14:paraId="3A986B4F" w14:textId="77777777" w:rsidR="006622D2" w:rsidRPr="00CF6110" w:rsidRDefault="006622D2" w:rsidP="006622D2">
      <w:pPr>
        <w:pStyle w:val="H1G"/>
        <w:spacing w:line="240" w:lineRule="atLeast"/>
      </w:pPr>
      <w:r w:rsidRPr="00CF6110">
        <w:tab/>
        <w:t xml:space="preserve">D. </w:t>
      </w:r>
      <w:r w:rsidRPr="00CF6110">
        <w:tab/>
      </w:r>
      <w:r w:rsidRPr="00CF6110">
        <w:rPr>
          <w:bCs/>
        </w:rPr>
        <w:t>Detailed Guidelines on Autopsy</w:t>
      </w:r>
    </w:p>
    <w:p w14:paraId="04599C21" w14:textId="77777777" w:rsidR="006622D2" w:rsidRPr="00CF6110" w:rsidRDefault="006622D2" w:rsidP="006622D2">
      <w:pPr>
        <w:pStyle w:val="H23G"/>
        <w:spacing w:line="240" w:lineRule="atLeast"/>
      </w:pPr>
      <w:bookmarkStart w:id="130" w:name="_Toc441645942"/>
      <w:bookmarkStart w:id="131" w:name="_Toc443387561"/>
      <w:bookmarkStart w:id="132" w:name="_Toc443397147"/>
      <w:bookmarkStart w:id="133" w:name="_Toc445909222"/>
      <w:r w:rsidRPr="00CF6110">
        <w:tab/>
        <w:t xml:space="preserve">1. </w:t>
      </w:r>
      <w:r w:rsidRPr="00CF6110">
        <w:tab/>
      </w:r>
      <w:r w:rsidRPr="00CF6110">
        <w:rPr>
          <w:bCs/>
        </w:rPr>
        <w:t>Background and key principles</w:t>
      </w:r>
    </w:p>
    <w:bookmarkEnd w:id="130"/>
    <w:bookmarkEnd w:id="131"/>
    <w:bookmarkEnd w:id="132"/>
    <w:bookmarkEnd w:id="133"/>
    <w:p w14:paraId="7CC75D13" w14:textId="77777777" w:rsidR="00FB3053" w:rsidRPr="00CF6110" w:rsidRDefault="006622D2" w:rsidP="00FB3053">
      <w:pPr>
        <w:pStyle w:val="SingleTxtG"/>
      </w:pPr>
      <w:r w:rsidRPr="00CF6110">
        <w:t>258.</w:t>
      </w:r>
      <w:r w:rsidRPr="00CF6110">
        <w:tab/>
      </w:r>
      <w:r w:rsidR="00FB3053" w:rsidRPr="00CF6110">
        <w:t>These Guidelines should be followed during an autopsy of a potentially unlawful death.</w:t>
      </w:r>
      <w:r w:rsidR="00FB3053" w:rsidRPr="00CF6110">
        <w:rPr>
          <w:vertAlign w:val="superscript"/>
        </w:rPr>
        <w:footnoteReference w:id="105"/>
      </w:r>
      <w:r w:rsidR="00FB3053" w:rsidRPr="00CF6110">
        <w:t xml:space="preserve"> The order in which things are done needs to be carefully thought about in advance, priorities established, and procedures prepared for, according to the particular circumstances of the case. A complex autopsy may take an entire working day or even longer, as the examiner may need to return for further examinations.</w:t>
      </w:r>
    </w:p>
    <w:p w14:paraId="074A9FDC" w14:textId="77777777" w:rsidR="00FB3053" w:rsidRPr="00CF6110" w:rsidRDefault="006622D2" w:rsidP="00FB3053">
      <w:pPr>
        <w:pStyle w:val="SingleTxtG"/>
      </w:pPr>
      <w:r w:rsidRPr="00CF6110">
        <w:t>259.</w:t>
      </w:r>
      <w:r w:rsidRPr="00CF6110">
        <w:tab/>
      </w:r>
      <w:r w:rsidR="00FB3053" w:rsidRPr="00CF6110">
        <w:t xml:space="preserve">These Guidelines may be of value to the following: </w:t>
      </w:r>
    </w:p>
    <w:p w14:paraId="54E37B6F" w14:textId="77777777" w:rsidR="00FB3053" w:rsidRPr="00CF6110" w:rsidRDefault="006622D2" w:rsidP="007150FC">
      <w:pPr>
        <w:pStyle w:val="SingleTxtG"/>
        <w:ind w:left="1701"/>
      </w:pPr>
      <w:r w:rsidRPr="00CF6110">
        <w:t>(a)</w:t>
      </w:r>
      <w:r w:rsidRPr="00CF6110">
        <w:tab/>
      </w:r>
      <w:r w:rsidR="00FB3053" w:rsidRPr="00CF6110">
        <w:t xml:space="preserve">Experienced forensic doctors or pathologists may follow it to ensure a systematic examination and to facilitate meaningful positive or negative criticism by later observers </w:t>
      </w:r>
    </w:p>
    <w:p w14:paraId="36033A3A" w14:textId="77777777" w:rsidR="00FB3053" w:rsidRPr="00CF6110" w:rsidRDefault="006622D2" w:rsidP="007150FC">
      <w:pPr>
        <w:pStyle w:val="SingleTxtG"/>
        <w:ind w:left="1701"/>
      </w:pPr>
      <w:r w:rsidRPr="00CF6110">
        <w:t>(b)</w:t>
      </w:r>
      <w:r w:rsidRPr="00CF6110">
        <w:tab/>
      </w:r>
      <w:r w:rsidR="00FB3053" w:rsidRPr="00CF6110">
        <w:t>General pathologists or other physicians who have not been trained in forensic pathology or medicine but are familiar with basic autopsy techniques. It may also alert them to situations in which they should seek consultation</w:t>
      </w:r>
    </w:p>
    <w:p w14:paraId="34DD81F0" w14:textId="77777777" w:rsidR="00FB3053" w:rsidRPr="00CF6110" w:rsidRDefault="006622D2" w:rsidP="007150FC">
      <w:pPr>
        <w:pStyle w:val="SingleTxtG"/>
        <w:ind w:left="1701"/>
      </w:pPr>
      <w:r w:rsidRPr="00CF6110">
        <w:t>(c)</w:t>
      </w:r>
      <w:r w:rsidRPr="00CF6110">
        <w:tab/>
      </w:r>
      <w:r w:rsidR="00FB3053" w:rsidRPr="00CF6110">
        <w:t xml:space="preserve">Independent consultants whose expertise has been requested in observing, performing, or reviewing an autopsy may cite these Guidelines and their proposed minimum criteria as a basis for their actions or opinions </w:t>
      </w:r>
    </w:p>
    <w:p w14:paraId="30CE96E0" w14:textId="77777777" w:rsidR="00FB3053" w:rsidRPr="00CF6110" w:rsidRDefault="006622D2" w:rsidP="007150FC">
      <w:pPr>
        <w:pStyle w:val="SingleTxtG"/>
        <w:ind w:left="1701"/>
      </w:pPr>
      <w:r w:rsidRPr="00CF6110">
        <w:t>(d)</w:t>
      </w:r>
      <w:r w:rsidRPr="00CF6110">
        <w:tab/>
      </w:r>
      <w:r w:rsidR="00FB3053" w:rsidRPr="00CF6110">
        <w:t xml:space="preserve">Governmental authorities, international political organizations, law enforcement agencies, families or friends of decedents, or representatives of potential defendants charged with responsibility for a death </w:t>
      </w:r>
    </w:p>
    <w:p w14:paraId="007EDC2E" w14:textId="77777777" w:rsidR="00FB3053" w:rsidRPr="00CF6110" w:rsidRDefault="006622D2" w:rsidP="007150FC">
      <w:pPr>
        <w:pStyle w:val="SingleTxtG"/>
        <w:ind w:left="1701"/>
      </w:pPr>
      <w:r w:rsidRPr="00CF6110">
        <w:t>(e)</w:t>
      </w:r>
      <w:r w:rsidRPr="00CF6110">
        <w:tab/>
      </w:r>
      <w:r w:rsidR="00FB3053" w:rsidRPr="00CF6110">
        <w:t xml:space="preserve">Historians, journalists, attorneys, judges, other physicians, and representatives of the public may use these Guidelines as a benchmark for evaluating an autopsy and its findings </w:t>
      </w:r>
    </w:p>
    <w:p w14:paraId="1DD18B28" w14:textId="77777777" w:rsidR="00FB3053" w:rsidRPr="00CF6110" w:rsidRDefault="006622D2" w:rsidP="007150FC">
      <w:pPr>
        <w:pStyle w:val="SingleTxtG"/>
        <w:ind w:left="1701"/>
      </w:pPr>
      <w:r w:rsidRPr="00CF6110">
        <w:t>(f)</w:t>
      </w:r>
      <w:r w:rsidRPr="00CF6110">
        <w:tab/>
      </w:r>
      <w:r w:rsidR="00FB3053" w:rsidRPr="00CF6110">
        <w:t xml:space="preserve">Governments or individuals who are attempting either to establish or to upgrade their medico-legal system for investigating deaths may use these Guidelines as a basis. </w:t>
      </w:r>
    </w:p>
    <w:p w14:paraId="0AD44B16" w14:textId="77777777" w:rsidR="00FB3053" w:rsidRPr="00CF6110" w:rsidRDefault="006622D2" w:rsidP="006622D2">
      <w:pPr>
        <w:pStyle w:val="SingleTxtG"/>
      </w:pPr>
      <w:r w:rsidRPr="00CF6110">
        <w:t>260.</w:t>
      </w:r>
      <w:r w:rsidRPr="00CF6110">
        <w:tab/>
      </w:r>
      <w:r w:rsidR="00FB3053" w:rsidRPr="00CF6110">
        <w:t xml:space="preserve">Use of these Guidelines will help thwart the speculation and innuendo that are fuelled by unanswered, partially answered, or poorly answered questions arising from the investigation of a potentially unlawful death. </w:t>
      </w:r>
    </w:p>
    <w:p w14:paraId="0D5149E6" w14:textId="77777777" w:rsidR="00FB3053" w:rsidRPr="00CF6110" w:rsidRDefault="006622D2" w:rsidP="00FB3053">
      <w:pPr>
        <w:pStyle w:val="SingleTxtG"/>
      </w:pPr>
      <w:r w:rsidRPr="00CF6110">
        <w:t>261.</w:t>
      </w:r>
      <w:r w:rsidRPr="00CF6110">
        <w:tab/>
      </w:r>
      <w:r w:rsidR="00FB3053" w:rsidRPr="00CF6110">
        <w:t>The date, start and finishing times, and place of the autopsy should be recorded.</w:t>
      </w:r>
    </w:p>
    <w:p w14:paraId="028CAF8C" w14:textId="77777777" w:rsidR="00FB3053" w:rsidRPr="00CF6110" w:rsidRDefault="006622D2" w:rsidP="00FB3053">
      <w:pPr>
        <w:pStyle w:val="SingleTxtG"/>
      </w:pPr>
      <w:r w:rsidRPr="00CF6110">
        <w:t>262.</w:t>
      </w:r>
      <w:r w:rsidRPr="00CF6110">
        <w:tab/>
      </w:r>
      <w:r w:rsidR="00FB3053" w:rsidRPr="00CF6110">
        <w:t xml:space="preserve">The name(s) of the prosector(s), the participating assistant(s), and all other persons present during the autopsy should be recorded, including the medical and/or scientific degrees and professional, political or administrative affiliations(s) of each. Each person’s role in the autopsy should be indicated. If there are multiple prosectors, one should be designated as the principal prosector with authority to direct the performance of the autopsy. </w:t>
      </w:r>
    </w:p>
    <w:p w14:paraId="6A37456B" w14:textId="77777777" w:rsidR="00FB3053" w:rsidRPr="00CF6110" w:rsidRDefault="006622D2" w:rsidP="00FB3053">
      <w:pPr>
        <w:pStyle w:val="SingleTxtG"/>
      </w:pPr>
      <w:r w:rsidRPr="00CF6110">
        <w:lastRenderedPageBreak/>
        <w:t>263.</w:t>
      </w:r>
      <w:r w:rsidRPr="00CF6110">
        <w:tab/>
      </w:r>
      <w:r w:rsidR="00FB3053" w:rsidRPr="00CF6110">
        <w:t>Adequate photographs are crucial for thorough documentation of autopsy findings and enabling them to be independently reviewed:</w:t>
      </w:r>
      <w:r w:rsidR="00FB3053" w:rsidRPr="00CF6110">
        <w:rPr>
          <w:vertAlign w:val="superscript"/>
        </w:rPr>
        <w:footnoteReference w:id="106"/>
      </w:r>
    </w:p>
    <w:p w14:paraId="656EFADE" w14:textId="77777777" w:rsidR="00FB3053" w:rsidRPr="00CF6110" w:rsidRDefault="00C73FFE" w:rsidP="007150FC">
      <w:pPr>
        <w:pStyle w:val="SingleTxtG"/>
        <w:ind w:left="1701"/>
      </w:pPr>
      <w:r w:rsidRPr="00CF6110">
        <w:t>(a)</w:t>
      </w:r>
      <w:r w:rsidRPr="00CF6110">
        <w:tab/>
      </w:r>
      <w:r w:rsidR="00FB3053" w:rsidRPr="00CF6110">
        <w:t>Photographs should be taken using a high-quality camera/lens. Each photograph should contain a ruled reference scale and an identifying case name or number. A description of the camera and the lighting system should be included in the autopsy report. If more than one camera is used, the identifying information should be recorded for each. Photographs should also include information indicating which camera took each picture, if more than one camera is used. The identity of the person taking the photographs should be recorded.</w:t>
      </w:r>
    </w:p>
    <w:p w14:paraId="6D9AF967" w14:textId="77777777" w:rsidR="00FB3053" w:rsidRPr="00CF6110" w:rsidRDefault="00C73FFE" w:rsidP="007150FC">
      <w:pPr>
        <w:pStyle w:val="SingleTxtG"/>
        <w:ind w:left="1701"/>
      </w:pPr>
      <w:r w:rsidRPr="00CF6110">
        <w:t>(b)</w:t>
      </w:r>
      <w:r w:rsidRPr="00CF6110">
        <w:tab/>
      </w:r>
      <w:r w:rsidR="00FB3053" w:rsidRPr="00CF6110">
        <w:t>Serial photographs reflecting the course of the external examination should be included. Photograph the body prior to and following undressing, washing, shaving or hair cutting.</w:t>
      </w:r>
    </w:p>
    <w:p w14:paraId="6D5ECDB1" w14:textId="77777777" w:rsidR="00FB3053" w:rsidRPr="00CF6110" w:rsidRDefault="00C73FFE" w:rsidP="007150FC">
      <w:pPr>
        <w:pStyle w:val="SingleTxtG"/>
        <w:ind w:left="1701"/>
      </w:pPr>
      <w:r w:rsidRPr="00CF6110">
        <w:t>(c)</w:t>
      </w:r>
      <w:r w:rsidRPr="00CF6110">
        <w:tab/>
      </w:r>
      <w:r w:rsidR="00FB3053" w:rsidRPr="00CF6110">
        <w:t>Close-up photographs should be supplemented with distant and/or immediate range photographs to permit orientation and identification of the close-up photographs.</w:t>
      </w:r>
    </w:p>
    <w:p w14:paraId="6905E114" w14:textId="77777777" w:rsidR="00FB3053" w:rsidRPr="00CF6110" w:rsidRDefault="00C73FFE" w:rsidP="007150FC">
      <w:pPr>
        <w:pStyle w:val="SingleTxtG"/>
        <w:ind w:left="1701"/>
      </w:pPr>
      <w:r w:rsidRPr="00CF6110">
        <w:t>(d)</w:t>
      </w:r>
      <w:r w:rsidRPr="00CF6110">
        <w:tab/>
      </w:r>
      <w:r w:rsidR="00FB3053" w:rsidRPr="00CF6110">
        <w:t>Photographs should be comprehensive and must confirm the presence and detail of all demonstrable signs of injury or disease commented upon in the autopsy report. Photographs of injuries should include a scale with the autopsy number.</w:t>
      </w:r>
    </w:p>
    <w:p w14:paraId="2198BE1E" w14:textId="77777777" w:rsidR="00FB3053" w:rsidRPr="00CF6110" w:rsidRDefault="00C73FFE" w:rsidP="007150FC">
      <w:pPr>
        <w:pStyle w:val="SingleTxtG"/>
        <w:ind w:left="1701"/>
      </w:pPr>
      <w:r w:rsidRPr="00CF6110">
        <w:t>(e)</w:t>
      </w:r>
      <w:r w:rsidRPr="00CF6110">
        <w:tab/>
      </w:r>
      <w:r w:rsidR="00FB3053" w:rsidRPr="00CF6110">
        <w:t>Identifying facial features should be portrayed after washing or cleaning the body with photographs of a full frontal aspect of the face and right and left profiles of the face.</w:t>
      </w:r>
    </w:p>
    <w:p w14:paraId="7BC2566B" w14:textId="77777777" w:rsidR="00FB3053" w:rsidRPr="00CF6110" w:rsidRDefault="00C73FFE" w:rsidP="00FB3053">
      <w:pPr>
        <w:pStyle w:val="SingleTxtG"/>
      </w:pPr>
      <w:r w:rsidRPr="00CF6110">
        <w:t>264.</w:t>
      </w:r>
      <w:r w:rsidRPr="00CF6110">
        <w:tab/>
      </w:r>
      <w:r w:rsidR="00FB3053" w:rsidRPr="00CF6110">
        <w:t xml:space="preserve">The role of cross-sectional scanning has been discussed at IV </w:t>
      </w:r>
      <w:proofErr w:type="gramStart"/>
      <w:r w:rsidR="00FB3053" w:rsidRPr="00CF6110">
        <w:t>G(</w:t>
      </w:r>
      <w:proofErr w:type="gramEnd"/>
      <w:r w:rsidR="00FB3053" w:rsidRPr="00CF6110">
        <w:t xml:space="preserve">2) above. If it is available, then whole body CT scanning of the body enclosed in the body bag should be undertaken. (If this is done, further consideration of the need for plain X-rays will still be needed). In the likely event that cross-sectional imaging is not </w:t>
      </w:r>
      <w:proofErr w:type="gramStart"/>
      <w:r w:rsidR="00FB3053" w:rsidRPr="00CF6110">
        <w:t>available,</w:t>
      </w:r>
      <w:proofErr w:type="gramEnd"/>
      <w:r w:rsidR="00FB3053" w:rsidRPr="00CF6110">
        <w:t xml:space="preserve"> the body should be radiographed with plain X-rays before it is removed from its packaging. X-rays should be repeated both before and after undressing the body. Fluoroscopy (looking for foreign bodies such as projectiles) may also be performed.</w:t>
      </w:r>
      <w:r w:rsidR="00FB3053" w:rsidRPr="00CF6110">
        <w:rPr>
          <w:vertAlign w:val="superscript"/>
        </w:rPr>
        <w:footnoteReference w:id="107"/>
      </w:r>
      <w:r w:rsidR="00FB3053" w:rsidRPr="00CF6110">
        <w:t xml:space="preserve"> </w:t>
      </w:r>
    </w:p>
    <w:p w14:paraId="697A38AF" w14:textId="77777777" w:rsidR="00FB3053" w:rsidRPr="00CF6110" w:rsidRDefault="00C73FFE" w:rsidP="00C73FFE">
      <w:pPr>
        <w:pStyle w:val="SingleTxtG"/>
        <w:ind w:firstLine="567"/>
      </w:pPr>
      <w:r w:rsidRPr="00CF6110">
        <w:t>(a)</w:t>
      </w:r>
      <w:r w:rsidRPr="00CF6110">
        <w:tab/>
      </w:r>
      <w:r w:rsidR="00FB3053" w:rsidRPr="00CF6110">
        <w:t>Dental X-rays may be necessary for identification purposes.</w:t>
      </w:r>
    </w:p>
    <w:p w14:paraId="10DD8E7C" w14:textId="77777777" w:rsidR="00FB3053" w:rsidRPr="00CF6110" w:rsidRDefault="00C73FFE" w:rsidP="007150FC">
      <w:pPr>
        <w:pStyle w:val="SingleTxtG"/>
        <w:ind w:left="1701"/>
      </w:pPr>
      <w:r w:rsidRPr="00CF6110">
        <w:t>(b)</w:t>
      </w:r>
      <w:r w:rsidRPr="00CF6110">
        <w:tab/>
      </w:r>
      <w:r w:rsidR="00FB3053" w:rsidRPr="00CF6110">
        <w:t xml:space="preserve">Any skeletal system injury should be documented by X-ray. Skeletal X-rays may also record anatomic defects or surgical procedures. Check especially for fractures of the fingers, toes, and other bones in the hands and feet. </w:t>
      </w:r>
    </w:p>
    <w:p w14:paraId="1EAFD6A8" w14:textId="77777777" w:rsidR="00FB3053" w:rsidRPr="00CF6110" w:rsidRDefault="00C73FFE" w:rsidP="007150FC">
      <w:pPr>
        <w:pStyle w:val="SingleTxtG"/>
        <w:ind w:left="1701"/>
      </w:pPr>
      <w:r w:rsidRPr="00CF6110">
        <w:t>(c)</w:t>
      </w:r>
      <w:r w:rsidRPr="00CF6110">
        <w:tab/>
      </w:r>
      <w:r w:rsidR="00FB3053" w:rsidRPr="00CF6110">
        <w:t>X-rays should be taken in gunshot cases to aid in locating the projectile(s). Any projectile or major projectile fragment seen on an X-ray must be recovered, photographed, recorded as an exhibit, and secured. Other radio-opaque objects (such as knife fragments) should also be documented with X-rays, removed, photographed, recorded as exhibits, and secured. If necessary for the purposes of identification, metallic prostheses must be removed and examined, and any identifying features recorded, photographed, and secured. Any pacemakers must be removed, especially if cremation is to take place, as they will explode in a fire.</w:t>
      </w:r>
    </w:p>
    <w:p w14:paraId="5ACAB9EE" w14:textId="77777777" w:rsidR="00FB3053" w:rsidRPr="00CF6110" w:rsidRDefault="00C73FFE" w:rsidP="007150FC">
      <w:pPr>
        <w:pStyle w:val="SingleTxtG"/>
        <w:ind w:left="1701"/>
      </w:pPr>
      <w:r w:rsidRPr="00CF6110">
        <w:t>(d)</w:t>
      </w:r>
      <w:r w:rsidRPr="00CF6110">
        <w:tab/>
      </w:r>
      <w:r w:rsidR="00FB3053" w:rsidRPr="00CF6110">
        <w:t>Skeletal X-rays assist in determining the age and developmental status of children and young adults.</w:t>
      </w:r>
    </w:p>
    <w:p w14:paraId="2E4BC391" w14:textId="77777777" w:rsidR="00C73FFE" w:rsidRPr="00CF6110" w:rsidRDefault="00C73FFE" w:rsidP="00C73FFE">
      <w:pPr>
        <w:pStyle w:val="H23G"/>
        <w:spacing w:line="240" w:lineRule="atLeast"/>
      </w:pPr>
      <w:bookmarkStart w:id="134" w:name="_Toc443387563"/>
      <w:bookmarkStart w:id="135" w:name="_Toc443397149"/>
      <w:bookmarkStart w:id="136" w:name="_Toc445909224"/>
      <w:r w:rsidRPr="00CF6110">
        <w:lastRenderedPageBreak/>
        <w:tab/>
        <w:t xml:space="preserve">2. </w:t>
      </w:r>
      <w:r w:rsidRPr="00CF6110">
        <w:tab/>
      </w:r>
      <w:r w:rsidRPr="00CF6110">
        <w:rPr>
          <w:bCs/>
        </w:rPr>
        <w:t>The clothed body</w:t>
      </w:r>
    </w:p>
    <w:bookmarkEnd w:id="134"/>
    <w:bookmarkEnd w:id="135"/>
    <w:bookmarkEnd w:id="136"/>
    <w:p w14:paraId="2B9A5EEE" w14:textId="77777777" w:rsidR="00FB3053" w:rsidRPr="00CF6110" w:rsidRDefault="00F923BC" w:rsidP="00FB3053">
      <w:pPr>
        <w:pStyle w:val="SingleTxtG"/>
      </w:pPr>
      <w:r w:rsidRPr="00CF6110">
        <w:t>265.</w:t>
      </w:r>
      <w:r w:rsidRPr="00CF6110">
        <w:tab/>
      </w:r>
      <w:r w:rsidR="00FB3053" w:rsidRPr="00CF6110">
        <w:t xml:space="preserve">Before clothing is removed, the clothed body should be photographed. </w:t>
      </w:r>
    </w:p>
    <w:p w14:paraId="00B9EDE3" w14:textId="77777777" w:rsidR="00FB3053" w:rsidRPr="00CF6110" w:rsidRDefault="00F923BC" w:rsidP="00FB3053">
      <w:pPr>
        <w:pStyle w:val="SingleTxtG"/>
      </w:pPr>
      <w:r w:rsidRPr="00CF6110">
        <w:t>266.</w:t>
      </w:r>
      <w:r w:rsidRPr="00CF6110">
        <w:tab/>
      </w:r>
      <w:r w:rsidR="00FB3053" w:rsidRPr="00CF6110">
        <w:t xml:space="preserve">If it has not already been done, and is indicated in the circumstances, the hands should now be swabbed for firearm discharge residues. If not done at the scene, the clothed body should be carefully inspected for any traces which might constitute evidence. </w:t>
      </w:r>
      <w:proofErr w:type="gramStart"/>
      <w:r w:rsidR="00FB3053" w:rsidRPr="00CF6110">
        <w:t>If found, the traces should be described, retrieved, recorded as exhibits, and secured.</w:t>
      </w:r>
      <w:proofErr w:type="gramEnd"/>
      <w:r w:rsidR="00FB3053" w:rsidRPr="00CF6110">
        <w:t xml:space="preserve"> </w:t>
      </w:r>
    </w:p>
    <w:p w14:paraId="77E7D31C" w14:textId="77777777" w:rsidR="00FB3053" w:rsidRPr="00CF6110" w:rsidRDefault="00F923BC" w:rsidP="00FB3053">
      <w:pPr>
        <w:pStyle w:val="SingleTxtG"/>
      </w:pPr>
      <w:r w:rsidRPr="00CF6110">
        <w:t>267.</w:t>
      </w:r>
      <w:r w:rsidRPr="00CF6110">
        <w:tab/>
      </w:r>
      <w:r w:rsidR="00FB3053" w:rsidRPr="00CF6110">
        <w:t>The clothing should be carefully removed (preferably without damage) over a clean sheet or body pouch. The clothing and any jewellery should all be individually examined, described, recorded, labelled, photographed, and secured.</w:t>
      </w:r>
    </w:p>
    <w:p w14:paraId="139ADB7A" w14:textId="77777777" w:rsidR="00F923BC" w:rsidRPr="00CF6110" w:rsidRDefault="00F923BC" w:rsidP="00F923BC">
      <w:pPr>
        <w:pStyle w:val="H23G"/>
        <w:spacing w:line="240" w:lineRule="atLeast"/>
      </w:pPr>
      <w:bookmarkStart w:id="137" w:name="_Toc443387564"/>
      <w:bookmarkStart w:id="138" w:name="_Toc443397150"/>
      <w:bookmarkStart w:id="139" w:name="_Toc445909225"/>
      <w:r w:rsidRPr="00CF6110">
        <w:tab/>
        <w:t xml:space="preserve">3. </w:t>
      </w:r>
      <w:r w:rsidRPr="00CF6110">
        <w:tab/>
      </w:r>
      <w:r w:rsidRPr="00CF6110">
        <w:rPr>
          <w:bCs/>
        </w:rPr>
        <w:t>External examination</w:t>
      </w:r>
    </w:p>
    <w:bookmarkEnd w:id="137"/>
    <w:bookmarkEnd w:id="138"/>
    <w:bookmarkEnd w:id="139"/>
    <w:p w14:paraId="36E2918A" w14:textId="77777777" w:rsidR="00FB3053" w:rsidRPr="00CF6110" w:rsidRDefault="00F923BC" w:rsidP="00FB3053">
      <w:pPr>
        <w:pStyle w:val="SingleTxtG"/>
      </w:pPr>
      <w:r w:rsidRPr="00CF6110">
        <w:t>268.</w:t>
      </w:r>
      <w:r w:rsidRPr="00CF6110">
        <w:tab/>
      </w:r>
      <w:r w:rsidR="00FB3053" w:rsidRPr="00CF6110">
        <w:t>The external examination, focusing on a search for external evidence of injury is, in most cases, the critically important part of the autopsy.</w:t>
      </w:r>
    </w:p>
    <w:p w14:paraId="2CF63A25" w14:textId="77777777" w:rsidR="00FB3053" w:rsidRPr="00CF6110" w:rsidRDefault="00F923BC" w:rsidP="00F923BC">
      <w:pPr>
        <w:pStyle w:val="SingleTxtG"/>
        <w:ind w:firstLine="567"/>
      </w:pPr>
      <w:r w:rsidRPr="00CF6110">
        <w:t>(a)</w:t>
      </w:r>
      <w:r w:rsidRPr="00CF6110">
        <w:tab/>
      </w:r>
      <w:r w:rsidR="00FB3053" w:rsidRPr="00CF6110">
        <w:t xml:space="preserve">All of the body area must be photographed (as per Paragraph 263 above). </w:t>
      </w:r>
    </w:p>
    <w:p w14:paraId="7D215D34" w14:textId="77777777" w:rsidR="00FB3053" w:rsidRPr="00CF6110" w:rsidRDefault="00F923BC" w:rsidP="007150FC">
      <w:pPr>
        <w:pStyle w:val="SingleTxtG"/>
        <w:ind w:left="1701"/>
      </w:pPr>
      <w:r w:rsidRPr="00CF6110">
        <w:t>(b)</w:t>
      </w:r>
      <w:r w:rsidRPr="00CF6110">
        <w:tab/>
      </w:r>
      <w:r w:rsidR="00FB3053" w:rsidRPr="00CF6110">
        <w:t>The body must be examined and the deceased’s apparent age, length, weight, sex, head hair style and length, nutritional status, muscular development, and colour of skin, eyes, and hair (head, facial, and body) must be examined and recorded.</w:t>
      </w:r>
    </w:p>
    <w:p w14:paraId="040183D6" w14:textId="77777777" w:rsidR="00FB3053" w:rsidRPr="00CF6110" w:rsidRDefault="00F923BC" w:rsidP="007150FC">
      <w:pPr>
        <w:pStyle w:val="SingleTxtG"/>
        <w:ind w:left="1701"/>
      </w:pPr>
      <w:r w:rsidRPr="00CF6110">
        <w:t>(c)</w:t>
      </w:r>
      <w:r w:rsidRPr="00CF6110">
        <w:tab/>
      </w:r>
      <w:r w:rsidR="00FB3053" w:rsidRPr="00CF6110">
        <w:t>In children, the head circumference, crown-rump length, and crown-heel length should also be measured.</w:t>
      </w:r>
    </w:p>
    <w:p w14:paraId="492B6A9B" w14:textId="77777777" w:rsidR="00FB3053" w:rsidRPr="00CF6110" w:rsidRDefault="00F923BC" w:rsidP="007150FC">
      <w:pPr>
        <w:pStyle w:val="SingleTxtG"/>
        <w:ind w:left="1701"/>
      </w:pPr>
      <w:r w:rsidRPr="00CF6110">
        <w:t>(d)</w:t>
      </w:r>
      <w:r w:rsidRPr="00CF6110">
        <w:tab/>
      </w:r>
      <w:r w:rsidR="00FB3053" w:rsidRPr="00CF6110">
        <w:t>The degree, location, and fixation of rigor and livor mortis should be recorded.</w:t>
      </w:r>
    </w:p>
    <w:p w14:paraId="21A58930" w14:textId="77777777" w:rsidR="00FB3053" w:rsidRPr="00CF6110" w:rsidRDefault="00F923BC" w:rsidP="007150FC">
      <w:pPr>
        <w:pStyle w:val="SingleTxtG"/>
        <w:ind w:left="1701"/>
      </w:pPr>
      <w:r w:rsidRPr="00CF6110">
        <w:t>(e)</w:t>
      </w:r>
      <w:r w:rsidRPr="00CF6110">
        <w:tab/>
      </w:r>
      <w:r w:rsidR="00FB3053" w:rsidRPr="00CF6110">
        <w:t>Body warmth or coolness and state of preservation should be noted as should any decomposition changes, such as skin slippage. The general condition of the body should be evaluated and adipocere formation, maggots, eggs, or anything else that suggests the time or place of death noted.</w:t>
      </w:r>
    </w:p>
    <w:p w14:paraId="668CB7D9" w14:textId="77777777" w:rsidR="00FB3053" w:rsidRPr="00CF6110" w:rsidRDefault="00F923BC" w:rsidP="007150FC">
      <w:pPr>
        <w:pStyle w:val="SingleTxtG"/>
        <w:ind w:left="1701"/>
      </w:pPr>
      <w:r w:rsidRPr="00CF6110">
        <w:t>(f)</w:t>
      </w:r>
      <w:r w:rsidRPr="00CF6110">
        <w:tab/>
      </w:r>
      <w:r w:rsidR="00FB3053" w:rsidRPr="00CF6110">
        <w:t xml:space="preserve">With all injuries, their location (related to static anatomic landmarks), size, shape, surrounds, pattern, contents, colour, course, direction and depth, must be recorded. Injuries resulting from therapeutic measures should be distinguished wherever possible from those unrelated to medical treatment. </w:t>
      </w:r>
    </w:p>
    <w:p w14:paraId="3F75EFA0" w14:textId="77777777" w:rsidR="00FB3053" w:rsidRPr="00CF6110" w:rsidRDefault="00F923BC" w:rsidP="007150FC">
      <w:pPr>
        <w:pStyle w:val="SingleTxtG"/>
        <w:ind w:left="1701"/>
      </w:pPr>
      <w:r w:rsidRPr="00CF6110">
        <w:t>(g)</w:t>
      </w:r>
      <w:r w:rsidRPr="00CF6110">
        <w:tab/>
      </w:r>
      <w:r w:rsidR="00FB3053" w:rsidRPr="00CF6110">
        <w:t xml:space="preserve">In the description of firearm wounds, note the presence or absence of marginal abrasions, lacerations or defects in the margins of the wound, foreign contents within the wound, singeing or grease marking the margins of the wound, soot and/or gunpowder stippling or tattooing around the wound. If firearm discharge residue is present, this should be photographed and preserved for analysis. It should be determined whether the bullet wound is an entry or exit wound. If an entry wound is present and no exit wound is seen, the projectile must be found and secured or accounted for. </w:t>
      </w:r>
    </w:p>
    <w:p w14:paraId="2A76A744" w14:textId="77777777" w:rsidR="00FB3053" w:rsidRPr="00CF6110" w:rsidRDefault="00F923BC" w:rsidP="007150FC">
      <w:pPr>
        <w:pStyle w:val="SingleTxtG"/>
        <w:ind w:left="1701"/>
      </w:pPr>
      <w:r w:rsidRPr="00CF6110">
        <w:t>(h)</w:t>
      </w:r>
      <w:r w:rsidRPr="00CF6110">
        <w:tab/>
      </w:r>
      <w:r w:rsidR="00FB3053" w:rsidRPr="00CF6110">
        <w:t>All injuries should be photographed, labelled with the autopsy identification number on a scale that is oriented parallel or perpendicular to the injury. Shave hair where necessary to clarify an injury, and take photographs before and after shaving. Save all hair removed from the site of the injury. Take photographs before and after washing the site of any injury. Wash the body only after any blood or material that may have come from an assailant has been collected and secured.</w:t>
      </w:r>
    </w:p>
    <w:p w14:paraId="24FBA2E3" w14:textId="77777777" w:rsidR="00FB3053" w:rsidRPr="00CF6110" w:rsidRDefault="00F923BC" w:rsidP="007150FC">
      <w:pPr>
        <w:pStyle w:val="SingleTxtG"/>
        <w:ind w:left="1701"/>
      </w:pPr>
      <w:r w:rsidRPr="00CF6110">
        <w:t>(</w:t>
      </w:r>
      <w:proofErr w:type="spellStart"/>
      <w:r w:rsidRPr="00CF6110">
        <w:t>i</w:t>
      </w:r>
      <w:proofErr w:type="spellEnd"/>
      <w:r w:rsidRPr="00CF6110">
        <w:t>)</w:t>
      </w:r>
      <w:r w:rsidRPr="00CF6110">
        <w:tab/>
      </w:r>
      <w:r w:rsidR="00FB3053" w:rsidRPr="00CF6110">
        <w:t xml:space="preserve">Examine the skin. Note and photograph any scars, areas of keloid formation, tattoos, prominent moles, areas of increased or decreased pigmentation, and anything distinctive or identifying, such as birthmarks. Note any bruises and incise them for delineation of their extent. Some of them, if not all of them, should be </w:t>
      </w:r>
      <w:r w:rsidR="00FB3053" w:rsidRPr="00CF6110">
        <w:lastRenderedPageBreak/>
        <w:t xml:space="preserve">excised for microscopic examination as this may be useful for assessing the time between injury and death. The head and genital area should be checked with special care. Note any injection sites or puncture wounds. Note any bite marks; these should be photographed to record the dental pattern, swabbed for saliva testing (before the body is washed), and excised for microscopic examination. The evaluation of bite marks is highly contentious and they should also be evaluated by a forensic dentist, if possible, with training and experience in such evaluation. Note any burn marks and assess the possible cause (e.g. burning rubber, a cigarette, electricity, a blowtorch, </w:t>
      </w:r>
      <w:proofErr w:type="gramStart"/>
      <w:r w:rsidR="00FB3053" w:rsidRPr="00CF6110">
        <w:t>acid</w:t>
      </w:r>
      <w:proofErr w:type="gramEnd"/>
      <w:r w:rsidR="00FB3053" w:rsidRPr="00CF6110">
        <w:t>, hot oil) by sampling for histology and other analysis if possible. Note any gunpowder residue on the hands. Document photographically and save it for analysis. Excise any suspicious areas for microscopic examination, as it may be possible in some circumstances to distinguish between burns caused by electricity and those caused by heat or cold.</w:t>
      </w:r>
    </w:p>
    <w:p w14:paraId="64A4A75E" w14:textId="77777777" w:rsidR="00FB3053" w:rsidRPr="00CF6110" w:rsidRDefault="00F923BC" w:rsidP="007150FC">
      <w:pPr>
        <w:pStyle w:val="SingleTxtG"/>
        <w:ind w:left="1701"/>
      </w:pPr>
      <w:r w:rsidRPr="00CF6110">
        <w:t>(j)</w:t>
      </w:r>
      <w:r w:rsidRPr="00CF6110">
        <w:tab/>
      </w:r>
      <w:r w:rsidR="00FB3053" w:rsidRPr="00CF6110">
        <w:t>Identify and label any foreign object that is recovered, including its relation to specific injuries. Do not scratch the sides or tip of any projectiles. Photograph each projectile and large projectile fragment with an identifying label, and secure them individually in a sealed, padded, and labelled container in order to maintain the chain of custody.</w:t>
      </w:r>
      <w:r w:rsidR="00FB3053" w:rsidRPr="00CF6110">
        <w:rPr>
          <w:vertAlign w:val="superscript"/>
        </w:rPr>
        <w:footnoteReference w:id="108"/>
      </w:r>
    </w:p>
    <w:p w14:paraId="1BB5B73D" w14:textId="77777777" w:rsidR="00FB3053" w:rsidRPr="00CF6110" w:rsidRDefault="00F923BC" w:rsidP="007150FC">
      <w:pPr>
        <w:pStyle w:val="SingleTxtG"/>
        <w:ind w:left="1701"/>
      </w:pPr>
      <w:r w:rsidRPr="00CF6110">
        <w:t>(k)</w:t>
      </w:r>
      <w:r w:rsidRPr="00CF6110">
        <w:tab/>
      </w:r>
      <w:r w:rsidR="00FB3053" w:rsidRPr="00CF6110">
        <w:t>Examine the head and external scalp, bearing in mind that injuries may be hidden by the hair. Shave hair where necessary. Check for fleas and lice, as these may indicate unsanitary conditions prior to death. Note any alopecia as this may be caused by malnutrition, heavy metals (e.g. thallium), drugs, or traction. Pull — do not cut — 20 representative head hairs and save them, as hair may be useful for detecting some drugs and poisons. (It may also be of value in stable isotope analysis.)</w:t>
      </w:r>
    </w:p>
    <w:p w14:paraId="25435CD4" w14:textId="77777777" w:rsidR="00FB3053" w:rsidRPr="00CF6110" w:rsidRDefault="00F923BC" w:rsidP="007150FC">
      <w:pPr>
        <w:pStyle w:val="SingleTxtG"/>
        <w:ind w:left="1701"/>
      </w:pPr>
      <w:r w:rsidRPr="00CF6110">
        <w:t>(l)</w:t>
      </w:r>
      <w:r w:rsidRPr="00CF6110">
        <w:tab/>
      </w:r>
      <w:r w:rsidR="00FB3053" w:rsidRPr="00CF6110">
        <w:t xml:space="preserve">Examine the teeth and note their condition. Record any that are absent, loose, or damaged, and record all dental work (e.g. restorations, fillings), using a dental identification system to identify each tooth. Check the gums for periodontal disease. Photograph dentures, if any, and save them if the deceased’s identity is unknown. Check the inside of the mouth and note any evidence of trauma, injection sites, needle marks or biting of the lips, cheeks or tongue. Note any articles or substances in the mouth. </w:t>
      </w:r>
      <w:proofErr w:type="gramStart"/>
      <w:r w:rsidR="00FB3053" w:rsidRPr="00CF6110">
        <w:t>In cases of suspected sexual assault, save oral fluid, or get a swab for spermatozoa and acid phosphatase evaluation.</w:t>
      </w:r>
      <w:proofErr w:type="gramEnd"/>
      <w:r w:rsidR="00FB3053" w:rsidRPr="00CF6110">
        <w:t xml:space="preserve"> (Swabs taken at the tooth-gum junction and samples from between the teeth provide the best specimens for identifying spermatozoa.) Also take swabs from the oral cavity for seminal fluid typing. Dry the swabs quickly with cool, blown air if possible, and secure them in clean plain paper envelopes. (If rigor mortis prevents adequate examination, complete oral examination may need to be deferred until later, during the internal examination. At that time, after subcutaneous dissection to expose the structures of the neck and face to permit better exposure of the oral cavity, the masseter muscles may be divided).</w:t>
      </w:r>
    </w:p>
    <w:p w14:paraId="244CF74D" w14:textId="77777777" w:rsidR="00FB3053" w:rsidRPr="00CF6110" w:rsidRDefault="00F923BC" w:rsidP="00F923BC">
      <w:pPr>
        <w:pStyle w:val="SingleTxtG"/>
        <w:ind w:firstLine="567"/>
      </w:pPr>
      <w:r w:rsidRPr="00CF6110">
        <w:t>(m)</w:t>
      </w:r>
      <w:r w:rsidRPr="00CF6110">
        <w:tab/>
      </w:r>
      <w:r w:rsidR="00FB3053" w:rsidRPr="00CF6110">
        <w:t>Examine the face and note if lividity, congestion and/or petechiae are present.</w:t>
      </w:r>
    </w:p>
    <w:p w14:paraId="37B806FC" w14:textId="77777777" w:rsidR="00FB3053" w:rsidRPr="00CF6110" w:rsidRDefault="00F923BC" w:rsidP="007150FC">
      <w:pPr>
        <w:pStyle w:val="SingleTxtG"/>
        <w:ind w:left="2268"/>
      </w:pPr>
      <w:r w:rsidRPr="00CF6110">
        <w:t>(</w:t>
      </w:r>
      <w:proofErr w:type="spellStart"/>
      <w:r w:rsidRPr="00CF6110">
        <w:t>i</w:t>
      </w:r>
      <w:proofErr w:type="spellEnd"/>
      <w:r w:rsidRPr="00CF6110">
        <w:t>)</w:t>
      </w:r>
      <w:r w:rsidRPr="00CF6110">
        <w:tab/>
      </w:r>
      <w:r w:rsidR="00FB3053" w:rsidRPr="00CF6110">
        <w:t xml:space="preserve">Examine the eyes and view the conjunctivae of both the globes and the eyelids. Note any petechiae in the upper or lower eyelids. Note any scleral </w:t>
      </w:r>
      <w:r w:rsidR="00FB3053" w:rsidRPr="00CF6110">
        <w:lastRenderedPageBreak/>
        <w:t>icterus. Save contact lenses, if any are present. Collect at least 1ml of vitreous humor from each eye.</w:t>
      </w:r>
    </w:p>
    <w:p w14:paraId="29F0CC5D" w14:textId="77777777" w:rsidR="00FB3053" w:rsidRPr="00CF6110" w:rsidRDefault="00F923BC" w:rsidP="007150FC">
      <w:pPr>
        <w:pStyle w:val="SingleTxtG"/>
        <w:ind w:left="2268"/>
      </w:pPr>
      <w:r w:rsidRPr="00CF6110">
        <w:t>(ii)</w:t>
      </w:r>
      <w:r w:rsidRPr="00CF6110">
        <w:tab/>
      </w:r>
      <w:r w:rsidR="00FB3053" w:rsidRPr="00CF6110">
        <w:t>Examine the nose and ears and note any evidence of trauma, haemorrhage, or other abnormalities. Examine the tympanic membranes.</w:t>
      </w:r>
    </w:p>
    <w:p w14:paraId="15DCC4F5" w14:textId="77777777" w:rsidR="00FB3053" w:rsidRPr="00CF6110" w:rsidRDefault="00FB3053" w:rsidP="007150FC">
      <w:pPr>
        <w:pStyle w:val="SingleTxtG"/>
        <w:ind w:left="1701"/>
      </w:pPr>
      <w:r w:rsidRPr="00CF6110">
        <w:t xml:space="preserve">(n) </w:t>
      </w:r>
      <w:r w:rsidRPr="00CF6110">
        <w:tab/>
        <w:t>Examine the neck externally on all aspects and note any contusions, abrasions, or petechiae. Describe and document injury patterns to help differentiate manual, ligature, and hanging strangulation. Examine the neck at the conclusion of the autopsy (after removal of the brain and the thoracic contents), when the blood has drained out of the area, as this limits the formation of artefactual bruising associated with dissection.</w:t>
      </w:r>
    </w:p>
    <w:p w14:paraId="517CB52F" w14:textId="77777777" w:rsidR="00FB3053" w:rsidRPr="00CF6110" w:rsidRDefault="00FB3053" w:rsidP="007150FC">
      <w:pPr>
        <w:pStyle w:val="SingleTxtG"/>
        <w:ind w:left="1701"/>
      </w:pPr>
      <w:r w:rsidRPr="00CF6110">
        <w:t xml:space="preserve">(o) </w:t>
      </w:r>
      <w:r w:rsidRPr="00CF6110">
        <w:tab/>
        <w:t xml:space="preserve">Examine all surfaces of the extremities: arms, forearms, wrists, hands, legs, and feet, and note any “defence” wounds. Dissect and describe any injuries. Note any bruises about the wrists or ankles that may suggest restraints such as handcuffs or suspension. Examine the medial and lateral surfaces of the fingers, the anterior forearms, and the backs of the knees for bruises. </w:t>
      </w:r>
    </w:p>
    <w:p w14:paraId="383F9F2C" w14:textId="77777777" w:rsidR="00FB3053" w:rsidRPr="00CF6110" w:rsidRDefault="00FB3053" w:rsidP="007150FC">
      <w:pPr>
        <w:pStyle w:val="SingleTxtG"/>
        <w:ind w:left="1701"/>
      </w:pPr>
      <w:r w:rsidRPr="00CF6110">
        <w:t xml:space="preserve">(p) </w:t>
      </w:r>
      <w:r w:rsidRPr="00CF6110">
        <w:tab/>
        <w:t>Note any broken or missing fingernails. Take fingerprints in all cases. (If it is not possible to have fingerprints taken, explore all possible avenues – e.g. removing the epidermal “glove” of the fingers, or keeping the body so that fingerprints can be taken in the following days – to avoid the unacceptable prospect of having to remove the fingers). Save fingernail clippings and any under-nail tissue (nail scrapings). Examine the fingernail and toenail beds for evidence of objects having been pushed beneath the nails. Nails can be removed by dissecting the lateral margins and proximal base, and then the under-surface of the nails can be inspected. If this is done, the hands must be photographed before and after this dissection. Carefully examine the soles of the feet, noting any evidence of beating. Incise the soles to delineate the extent of any injuries. Examine the palms and knees, looking especially for glass shards or lacerations.</w:t>
      </w:r>
    </w:p>
    <w:p w14:paraId="7BCA1F51" w14:textId="77777777" w:rsidR="00FB3053" w:rsidRPr="00CF6110" w:rsidRDefault="00FB3053" w:rsidP="007150FC">
      <w:pPr>
        <w:pStyle w:val="SingleTxtG"/>
        <w:ind w:left="1701"/>
      </w:pPr>
      <w:r w:rsidRPr="00CF6110">
        <w:t>(</w:t>
      </w:r>
      <w:r w:rsidR="00F923BC" w:rsidRPr="00CF6110">
        <w:t>q</w:t>
      </w:r>
      <w:r w:rsidRPr="00CF6110">
        <w:t>)</w:t>
      </w:r>
      <w:r w:rsidRPr="00CF6110">
        <w:tab/>
        <w:t>Examine the external genitalia and note the presence of any foreign material or semen. Note the size, location and number of any abrasions or contusions. Note any injury to the inner thighs or peri-anal area. Look for peri-anal burns.</w:t>
      </w:r>
    </w:p>
    <w:p w14:paraId="14205972" w14:textId="77777777" w:rsidR="00FB3053" w:rsidRPr="00CF6110" w:rsidRDefault="00FB3053" w:rsidP="007150FC">
      <w:pPr>
        <w:pStyle w:val="SingleTxtG"/>
        <w:ind w:left="1701"/>
      </w:pPr>
      <w:r w:rsidRPr="00CF6110">
        <w:t>(</w:t>
      </w:r>
      <w:r w:rsidR="00F923BC" w:rsidRPr="00CF6110">
        <w:t>r</w:t>
      </w:r>
      <w:r w:rsidRPr="00CF6110">
        <w:t>)</w:t>
      </w:r>
      <w:r w:rsidRPr="00CF6110">
        <w:tab/>
        <w:t>In cases of suspected sexual assault, examine all potentially involved orifices. A speculum should be used to examine the vaginal walls. Collect foreign hair by combing the pubic hair. Pull and save at least 20 of the deceased's own pubic hairs, including roots. Aspirate fluid from the vagina and/or rectum for analysis (e.g. acid phosphatase, blood group, and spermatozoa). Take swabs from the same areas for seminal fluid typing. Dry the swabs quickly with cool, blown air if possible, and secure them individually in clean plain-paper envelopes.</w:t>
      </w:r>
    </w:p>
    <w:p w14:paraId="381416FF" w14:textId="77777777" w:rsidR="00FB3053" w:rsidRPr="00CF6110" w:rsidRDefault="00FB3053" w:rsidP="007150FC">
      <w:pPr>
        <w:pStyle w:val="SingleTxtG"/>
        <w:ind w:left="1701"/>
      </w:pPr>
      <w:r w:rsidRPr="00CF6110">
        <w:t>(</w:t>
      </w:r>
      <w:r w:rsidR="00F923BC" w:rsidRPr="00CF6110">
        <w:t>s</w:t>
      </w:r>
      <w:r w:rsidRPr="00CF6110">
        <w:t xml:space="preserve">) </w:t>
      </w:r>
      <w:r w:rsidRPr="00CF6110">
        <w:tab/>
        <w:t>The back, the buttocks, and extremities including wrists and ankles must be dissected subcutaneously to look for deeper injuries. The shoulders, elbows, hips, and knee joints must also be dissected subcutaneously, and possibly further, to look for ligamentous and related injury.</w:t>
      </w:r>
    </w:p>
    <w:p w14:paraId="75C31165" w14:textId="77777777" w:rsidR="00F923BC" w:rsidRPr="00CF6110" w:rsidRDefault="00F923BC" w:rsidP="00F923BC">
      <w:pPr>
        <w:pStyle w:val="H23G"/>
        <w:spacing w:line="240" w:lineRule="atLeast"/>
      </w:pPr>
      <w:bookmarkStart w:id="140" w:name="_Toc443387565"/>
      <w:bookmarkStart w:id="141" w:name="_Toc443397151"/>
      <w:bookmarkStart w:id="142" w:name="_Toc445909226"/>
      <w:r w:rsidRPr="00CF6110">
        <w:tab/>
      </w:r>
      <w:r w:rsidR="00FB0890" w:rsidRPr="00CF6110">
        <w:t>4</w:t>
      </w:r>
      <w:r w:rsidRPr="00CF6110">
        <w:t xml:space="preserve">. </w:t>
      </w:r>
      <w:r w:rsidRPr="00CF6110">
        <w:tab/>
      </w:r>
      <w:r w:rsidRPr="00CF6110">
        <w:rPr>
          <w:bCs/>
        </w:rPr>
        <w:t>Internal examination</w:t>
      </w:r>
      <w:r w:rsidRPr="00CF6110">
        <w:rPr>
          <w:bCs/>
          <w:vertAlign w:val="superscript"/>
        </w:rPr>
        <w:footnoteReference w:id="109"/>
      </w:r>
    </w:p>
    <w:bookmarkEnd w:id="140"/>
    <w:bookmarkEnd w:id="141"/>
    <w:bookmarkEnd w:id="142"/>
    <w:p w14:paraId="577F4AF3" w14:textId="77777777" w:rsidR="00FB3053" w:rsidRPr="00CF6110" w:rsidRDefault="00F923BC" w:rsidP="00FB3053">
      <w:pPr>
        <w:pStyle w:val="SingleTxtG"/>
      </w:pPr>
      <w:r w:rsidRPr="00CF6110">
        <w:t>269.</w:t>
      </w:r>
      <w:r w:rsidRPr="00CF6110">
        <w:tab/>
      </w:r>
      <w:r w:rsidR="00FB3053" w:rsidRPr="00CF6110">
        <w:t xml:space="preserve">The internal examination should clarify and augment the external examination insofar as injuries are concerned, and identify and characterize any and all natural disease </w:t>
      </w:r>
      <w:r w:rsidR="00FB3053" w:rsidRPr="00CF6110">
        <w:lastRenderedPageBreak/>
        <w:t>present. Remember to photograph the internal manifestations of injury and any other abnormalities identified. Ideally, photograph all organs and their cut surfaces. Before removing the organs, obtain fluid specimens e.g. blood, urine, bile.</w:t>
      </w:r>
    </w:p>
    <w:p w14:paraId="496B1E79" w14:textId="77777777" w:rsidR="00FB3053" w:rsidRPr="00CF6110" w:rsidRDefault="00F923BC" w:rsidP="007150FC">
      <w:pPr>
        <w:pStyle w:val="SingleTxtG"/>
        <w:ind w:left="1701"/>
      </w:pPr>
      <w:r w:rsidRPr="00CF6110">
        <w:t>(a)</w:t>
      </w:r>
      <w:r w:rsidRPr="00CF6110">
        <w:tab/>
      </w:r>
      <w:r w:rsidR="00FB3053" w:rsidRPr="00CF6110">
        <w:t>Be systematic in the internal examination. Perform the examination either by body regions or by systems, including cardiovascular, respiratory, biliary, gastrointestinal, reticuloendothelial, genitourinary, endocrine, musculoskeletal, and central nervous systems. Record the volume, colour, consistency and nature of any collections of fluid, and retain samples for further investigation if required. Record the weight, size, shape, colour, and consistency of each organ, and note any neoplasia, inflammation, anomalies, haemorrhage, ischemia, infarcts, surgical procedures, or injuries. Take sections of normal and any abnormal areas of each organ for microscopic examination. Take samples of any fractured bones for further radiographic and microscopic estimation of the age of the fracture.</w:t>
      </w:r>
    </w:p>
    <w:p w14:paraId="2D7CEBC3" w14:textId="77777777" w:rsidR="00FB3053" w:rsidRPr="00CF6110" w:rsidRDefault="00F923BC" w:rsidP="007150FC">
      <w:pPr>
        <w:pStyle w:val="SingleTxtG"/>
        <w:ind w:left="1701"/>
      </w:pPr>
      <w:r w:rsidRPr="00CF6110">
        <w:t>(b)</w:t>
      </w:r>
      <w:r w:rsidRPr="00CF6110">
        <w:tab/>
      </w:r>
      <w:r w:rsidR="00FB3053" w:rsidRPr="00CF6110">
        <w:t>Examine the chest. Note any abnormalities of the breasts. Record any rib fractures, noting whether cardiopulmonary resuscitation was attempted. Before opening the chest, check for pneumothoraces. Record the thickness of subcutaneous fat. Immediately after opening the chest, evaluate the pleural cavities and the pericardial sac for the presence of blood or other fluid, and describe and quantify any fluid present. Save any fluid present until foreign objects are accounted for. Note the presence of air embolism, characterized by frothy blood within the right atrium and right ventricle. Trace any injuries before removing the organs. If blood is not available from other sites, collect a sample directly from the heart. Examine the heart, noting degree and location of coronary artery disease or other abnormalities. Examine the lungs, noting any abnormalities including the presence of blood or other material in the trachea and bronchi.</w:t>
      </w:r>
    </w:p>
    <w:p w14:paraId="2C6D6F95" w14:textId="77777777" w:rsidR="00FB3053" w:rsidRPr="00CF6110" w:rsidRDefault="00F923BC" w:rsidP="007150FC">
      <w:pPr>
        <w:pStyle w:val="SingleTxtG"/>
        <w:ind w:left="1701"/>
      </w:pPr>
      <w:r w:rsidRPr="00CF6110">
        <w:t>(c)</w:t>
      </w:r>
      <w:r w:rsidRPr="00CF6110">
        <w:tab/>
      </w:r>
      <w:r w:rsidR="00FB3053" w:rsidRPr="00CF6110">
        <w:t xml:space="preserve">Examine the abdomen and record the amount of subcutaneous fat. Note the interrelationships of the organs. Trace any injuries before removing the organs. Note any fluid or blood present in the peritoneal cavity, and save it until foreign objects are accounted for. </w:t>
      </w:r>
    </w:p>
    <w:p w14:paraId="7D5E7580" w14:textId="77777777" w:rsidR="00FB3053" w:rsidRPr="00CF6110" w:rsidRDefault="00F923BC" w:rsidP="007150FC">
      <w:pPr>
        <w:pStyle w:val="SingleTxtG"/>
        <w:ind w:left="1701"/>
      </w:pPr>
      <w:r w:rsidRPr="00CF6110">
        <w:t>(d)</w:t>
      </w:r>
      <w:r w:rsidRPr="00CF6110">
        <w:tab/>
      </w:r>
      <w:r w:rsidR="00FB3053" w:rsidRPr="00CF6110">
        <w:t xml:space="preserve">Remove, examine, and record the quantitative information on the liver, spleen, pancreas, kidneys, and adrenal glands. Remove the gastrointestinal tract and examine the contents. </w:t>
      </w:r>
      <w:proofErr w:type="gramStart"/>
      <w:r w:rsidR="00FB3053" w:rsidRPr="00CF6110">
        <w:t>Note any food present (and photograph it) and its degree of digestion.</w:t>
      </w:r>
      <w:proofErr w:type="gramEnd"/>
      <w:r w:rsidR="00FB3053" w:rsidRPr="00CF6110">
        <w:t xml:space="preserve"> Save the contents of the stomach. If a more detailed toxicological evaluation is desired, the contents of other regions of the gastrointestinal tract may be saved. Examine the rectum and anus for burns, lacerations, or other injuries. Locate and retain any foreign bodies present. Examine the aorta, inferior vena cava, and iliac vessels.</w:t>
      </w:r>
    </w:p>
    <w:p w14:paraId="2BCEAF8E" w14:textId="77777777" w:rsidR="00FB3053" w:rsidRPr="00CF6110" w:rsidRDefault="00F923BC" w:rsidP="007150FC">
      <w:pPr>
        <w:pStyle w:val="SingleTxtG"/>
        <w:ind w:left="1701"/>
      </w:pPr>
      <w:r w:rsidRPr="00CF6110">
        <w:t>(e)</w:t>
      </w:r>
      <w:r w:rsidRPr="00CF6110">
        <w:tab/>
      </w:r>
      <w:r w:rsidR="00FB3053" w:rsidRPr="00CF6110">
        <w:t>Examine the organs in the pelvis, including ovaries, fallopian tubes, uterus, vagina, testes, prostate gland, seminal vesicles, urethra, and urinary bladder. Trace any injuries before removing the organs. Remove these organs carefully so as not to injure them artefactually. Note any evidence of previous or current pregnancy, miscarriage, or delivery. Save any foreign objects within the cervix, uterus, vagina, urethra, or rectum.</w:t>
      </w:r>
    </w:p>
    <w:p w14:paraId="33319E66" w14:textId="77777777" w:rsidR="00FB3053" w:rsidRPr="00CF6110" w:rsidRDefault="00F923BC" w:rsidP="007150FC">
      <w:pPr>
        <w:pStyle w:val="SingleTxtG"/>
        <w:ind w:left="1701"/>
      </w:pPr>
      <w:r w:rsidRPr="00CF6110">
        <w:t>(f)</w:t>
      </w:r>
      <w:r w:rsidRPr="00CF6110">
        <w:tab/>
      </w:r>
      <w:r w:rsidR="00FB3053" w:rsidRPr="00CF6110">
        <w:t xml:space="preserve">Palpate the head and examine the external and internal surfaces of the scalp, noting any trauma or haemorrhage. Note any skull fractures. Remove the calvarium carefully and note epidural and subdural haematomas. Quantify, estimate the age, and save any haematomas present. Remove the dura to examine the internal surface of the skull for fractures. Remove the brain and note any abnormalities. (Preferably, retain the brain in fixative for some days prior to examination, if possible, with the </w:t>
      </w:r>
      <w:r w:rsidR="00FB3053" w:rsidRPr="00CF6110">
        <w:lastRenderedPageBreak/>
        <w:t xml:space="preserve">assistance of a neuropathologist). Dissect and describe any injuries. Cerebral cortical atrophy, whether focal or generalized, should be specifically commented upon. </w:t>
      </w:r>
    </w:p>
    <w:p w14:paraId="1196714B" w14:textId="77777777" w:rsidR="00FB3053" w:rsidRPr="00CF6110" w:rsidRDefault="00F923BC" w:rsidP="00F923BC">
      <w:pPr>
        <w:pStyle w:val="SingleTxtG"/>
        <w:ind w:firstLine="567"/>
      </w:pPr>
      <w:r w:rsidRPr="00CF6110">
        <w:t>(g)</w:t>
      </w:r>
      <w:r w:rsidRPr="00CF6110">
        <w:tab/>
      </w:r>
      <w:r w:rsidR="00FB3053" w:rsidRPr="00CF6110">
        <w:t>Evaluate the cerebral vessels.</w:t>
      </w:r>
    </w:p>
    <w:p w14:paraId="5385139A" w14:textId="77777777" w:rsidR="00FB3053" w:rsidRPr="00CF6110" w:rsidRDefault="00F923BC" w:rsidP="007150FC">
      <w:pPr>
        <w:pStyle w:val="SingleTxtG"/>
        <w:ind w:left="1701"/>
      </w:pPr>
      <w:r w:rsidRPr="00CF6110">
        <w:t>(h)</w:t>
      </w:r>
      <w:r w:rsidRPr="00CF6110">
        <w:tab/>
      </w:r>
      <w:r w:rsidR="00FB3053" w:rsidRPr="00CF6110">
        <w:t xml:space="preserve">Examine the neck after the thoracic organs and brain have been removed and the neck vessels have been drained. Remove the neck organs, including the tongue, under direct vision having reflected the skin of the front of the neck. Take care not to fracture the hyoid bone or thyroid cartilage. Dissect and describe any injuries. Check the mucosa of the larynx, pyriform sinuses, and oesophagus, and note any petechiae, oedema, or burns caused by corrosive substances. Note any articles or substances within the lumina of these structures. Examine the thyroid gland. Separate and examine the parathyroid glands, if they are readily identifiable. </w:t>
      </w:r>
    </w:p>
    <w:p w14:paraId="334DCE1E" w14:textId="77777777" w:rsidR="00FB3053" w:rsidRPr="00CF6110" w:rsidRDefault="00F923BC" w:rsidP="007150FC">
      <w:pPr>
        <w:pStyle w:val="SingleTxtG"/>
        <w:ind w:left="1701"/>
      </w:pPr>
      <w:r w:rsidRPr="00CF6110">
        <w:t>(</w:t>
      </w:r>
      <w:proofErr w:type="spellStart"/>
      <w:r w:rsidRPr="00CF6110">
        <w:t>i</w:t>
      </w:r>
      <w:proofErr w:type="spellEnd"/>
      <w:r w:rsidRPr="00CF6110">
        <w:t>)</w:t>
      </w:r>
      <w:r w:rsidRPr="00CF6110">
        <w:tab/>
      </w:r>
      <w:r w:rsidR="00FB3053" w:rsidRPr="00CF6110">
        <w:t>Dissect the neck muscles, noting any haemorrhage. Dissect the muscles from, and note any fractures of, the hyoid bone or thyroid or cricoid cartilages. Consider also a posterior neck dissection if it is at all possible there may be soft tissue or skeletal injuries there.</w:t>
      </w:r>
    </w:p>
    <w:p w14:paraId="4AE92033" w14:textId="77777777" w:rsidR="00FB3053" w:rsidRPr="00CF6110" w:rsidRDefault="00F923BC" w:rsidP="007150FC">
      <w:pPr>
        <w:pStyle w:val="SingleTxtG"/>
        <w:ind w:left="1701"/>
      </w:pPr>
      <w:r w:rsidRPr="00CF6110">
        <w:t>(j)</w:t>
      </w:r>
      <w:r w:rsidRPr="00CF6110">
        <w:tab/>
      </w:r>
      <w:r w:rsidR="00FB3053" w:rsidRPr="00CF6110">
        <w:t xml:space="preserve">Examine the cervical, thoracic, and lumbar spine. Examine the vertebrae from their anterior aspects and note any fractures, dislocations, compressions or haemorrhages. Examine the vertebral bodies. </w:t>
      </w:r>
    </w:p>
    <w:p w14:paraId="6C85336B" w14:textId="77777777" w:rsidR="00FB3053" w:rsidRPr="00CF6110" w:rsidRDefault="00F923BC" w:rsidP="007150FC">
      <w:pPr>
        <w:pStyle w:val="SingleTxtG"/>
        <w:ind w:left="1701"/>
      </w:pPr>
      <w:r w:rsidRPr="00CF6110">
        <w:t>(k)</w:t>
      </w:r>
      <w:r w:rsidRPr="00CF6110">
        <w:tab/>
      </w:r>
      <w:r w:rsidR="00FB3053" w:rsidRPr="00CF6110">
        <w:t>In cases in which spinal injury is suspected, dissect and describe the spinal cord. Examine the cervical spine anteriorly and note any haemorrhage in the paravertebral muscles. The posterior approach is best for evaluating high cervical injuries. Open the spinal canal and remove the spinal cord. Make transverse sections every 0.5 cm and note any abnormalities.</w:t>
      </w:r>
    </w:p>
    <w:p w14:paraId="4D12897B" w14:textId="77777777" w:rsidR="00F923BC" w:rsidRPr="00CF6110" w:rsidRDefault="00F923BC" w:rsidP="00F923BC">
      <w:pPr>
        <w:pStyle w:val="H23G"/>
        <w:spacing w:line="240" w:lineRule="atLeast"/>
      </w:pPr>
      <w:bookmarkStart w:id="143" w:name="_Toc443387566"/>
      <w:bookmarkStart w:id="144" w:name="_Toc443397152"/>
      <w:bookmarkStart w:id="145" w:name="_Toc445909227"/>
      <w:r w:rsidRPr="00CF6110">
        <w:tab/>
      </w:r>
      <w:r w:rsidR="00FB0890" w:rsidRPr="00CF6110">
        <w:t>5</w:t>
      </w:r>
      <w:r w:rsidRPr="00CF6110">
        <w:t xml:space="preserve">. </w:t>
      </w:r>
      <w:r w:rsidRPr="00CF6110">
        <w:tab/>
      </w:r>
      <w:r w:rsidRPr="00CF6110">
        <w:rPr>
          <w:bCs/>
        </w:rPr>
        <w:t>Further testing</w:t>
      </w:r>
    </w:p>
    <w:bookmarkEnd w:id="143"/>
    <w:bookmarkEnd w:id="144"/>
    <w:bookmarkEnd w:id="145"/>
    <w:p w14:paraId="5B310607" w14:textId="77777777" w:rsidR="00FB3053" w:rsidRPr="00CF6110" w:rsidRDefault="00F923BC" w:rsidP="00FB3053">
      <w:pPr>
        <w:pStyle w:val="SingleTxtG"/>
      </w:pPr>
      <w:r w:rsidRPr="00CF6110">
        <w:t>270.</w:t>
      </w:r>
      <w:r w:rsidRPr="00CF6110">
        <w:tab/>
      </w:r>
      <w:r w:rsidR="00FB3053" w:rsidRPr="00CF6110">
        <w:t>The autopsy is a specialized medical investigation that includes the collection of samples, tissues and fluid for further testing.</w:t>
      </w:r>
      <w:r w:rsidR="00FB3053" w:rsidRPr="00CF6110">
        <w:rPr>
          <w:vertAlign w:val="superscript"/>
        </w:rPr>
        <w:footnoteReference w:id="110"/>
      </w:r>
      <w:r w:rsidR="00FB3053" w:rsidRPr="00CF6110">
        <w:t xml:space="preserve"> The specimens and manner of collection, as well as their storage and transport, should be agreed with the laboratory that will be undertaking the further testing. If there is no such laboratory, samples, tissues, and fluid should still be retained, as testing may be organized later.</w:t>
      </w:r>
    </w:p>
    <w:p w14:paraId="02C12C4A" w14:textId="477908E5" w:rsidR="00FB3053" w:rsidRPr="00CF6110" w:rsidRDefault="00F923BC" w:rsidP="00FB3053">
      <w:pPr>
        <w:pStyle w:val="SingleTxtG"/>
      </w:pPr>
      <w:r w:rsidRPr="00CF6110">
        <w:t>271.</w:t>
      </w:r>
      <w:r w:rsidRPr="00CF6110">
        <w:tab/>
      </w:r>
      <w:r w:rsidR="00FB3053" w:rsidRPr="00CF6110">
        <w:t>After the autopsy has been completed, saved specimens must be recorded and listed in the report. Label all specimens with the name of the deceased, the autopsy identification number, the date and time of collection, the name of the prosector, and the contents. Carefully secure all evidence and begin the chain of custody record with the appropriate release forms. There should be agreement with the investigating officer about how the samples will be stored and then</w:t>
      </w:r>
      <w:r w:rsidR="00346947" w:rsidRPr="00CF6110">
        <w:t xml:space="preserve"> </w:t>
      </w:r>
      <w:r w:rsidR="00FB3053" w:rsidRPr="00CF6110">
        <w:t>transported to the laboratory undertaking the analysis. Usually the transport of such samples is a police responsibility exercised following full chain of custody requirements which ensure the security of the samples.</w:t>
      </w:r>
    </w:p>
    <w:p w14:paraId="47CCBC05" w14:textId="77777777" w:rsidR="00FB3053" w:rsidRPr="00CF6110" w:rsidRDefault="00F923BC" w:rsidP="007150FC">
      <w:pPr>
        <w:pStyle w:val="SingleTxtG"/>
        <w:ind w:left="1701"/>
      </w:pPr>
      <w:r w:rsidRPr="00CF6110">
        <w:t>(a)</w:t>
      </w:r>
      <w:r w:rsidRPr="00CF6110">
        <w:tab/>
      </w:r>
      <w:r w:rsidR="00FB3053" w:rsidRPr="00CF6110">
        <w:t>Large organ and tissue specimens: Very occasionally, large organ and tissue specimens may be retained by the forensic doctor for:</w:t>
      </w:r>
    </w:p>
    <w:p w14:paraId="1455DAF2" w14:textId="77777777" w:rsidR="00FB3053" w:rsidRPr="00CF6110" w:rsidRDefault="00F923BC" w:rsidP="007150FC">
      <w:pPr>
        <w:pStyle w:val="SingleTxtG"/>
        <w:ind w:left="2268"/>
      </w:pPr>
      <w:r w:rsidRPr="00CF6110">
        <w:t>(</w:t>
      </w:r>
      <w:proofErr w:type="spellStart"/>
      <w:r w:rsidRPr="00CF6110">
        <w:t>i</w:t>
      </w:r>
      <w:proofErr w:type="spellEnd"/>
      <w:r w:rsidRPr="00CF6110">
        <w:t>)</w:t>
      </w:r>
      <w:r w:rsidRPr="00CF6110">
        <w:tab/>
      </w:r>
      <w:proofErr w:type="gramStart"/>
      <w:r w:rsidR="00FB3053" w:rsidRPr="00CF6110">
        <w:t>better</w:t>
      </w:r>
      <w:proofErr w:type="gramEnd"/>
      <w:r w:rsidR="00FB3053" w:rsidRPr="00CF6110">
        <w:t xml:space="preserve"> examination of an organ of particular importance in the case (e.g. the brain)</w:t>
      </w:r>
    </w:p>
    <w:p w14:paraId="3CBD3933" w14:textId="77777777" w:rsidR="00FB3053" w:rsidRPr="00CF6110" w:rsidRDefault="00F923BC" w:rsidP="00F923BC">
      <w:pPr>
        <w:pStyle w:val="SingleTxtG"/>
        <w:ind w:left="1701" w:firstLine="567"/>
      </w:pPr>
      <w:r w:rsidRPr="00CF6110">
        <w:t>(ii)</w:t>
      </w:r>
      <w:r w:rsidRPr="00CF6110">
        <w:tab/>
      </w:r>
      <w:proofErr w:type="gramStart"/>
      <w:r w:rsidR="00FB3053" w:rsidRPr="00CF6110">
        <w:t>further</w:t>
      </w:r>
      <w:proofErr w:type="gramEnd"/>
      <w:r w:rsidR="00FB3053" w:rsidRPr="00CF6110">
        <w:t xml:space="preserve"> examination by an expert, including one acting for an accused </w:t>
      </w:r>
    </w:p>
    <w:p w14:paraId="424837B6" w14:textId="77777777" w:rsidR="00FB3053" w:rsidRPr="00CF6110" w:rsidRDefault="00F923BC" w:rsidP="00F923BC">
      <w:pPr>
        <w:pStyle w:val="SingleTxtG"/>
        <w:ind w:left="1701" w:firstLine="567"/>
      </w:pPr>
      <w:r w:rsidRPr="00CF6110">
        <w:lastRenderedPageBreak/>
        <w:t>(iii)</w:t>
      </w:r>
      <w:r w:rsidRPr="00CF6110">
        <w:tab/>
      </w:r>
      <w:proofErr w:type="gramStart"/>
      <w:r w:rsidR="00FB3053" w:rsidRPr="00CF6110">
        <w:t>use</w:t>
      </w:r>
      <w:proofErr w:type="gramEnd"/>
      <w:r w:rsidR="00FB3053" w:rsidRPr="00CF6110">
        <w:t xml:space="preserve"> as direct evidence.</w:t>
      </w:r>
    </w:p>
    <w:p w14:paraId="678E2751" w14:textId="77777777" w:rsidR="00FB3053" w:rsidRPr="00CF6110" w:rsidRDefault="00FB3053" w:rsidP="007150FC">
      <w:pPr>
        <w:pStyle w:val="SingleTxtG"/>
        <w:ind w:left="1701"/>
      </w:pPr>
      <w:r w:rsidRPr="00CF6110">
        <w:t>The next of kin should be informed and preferably their consent obtained to the retention. If consent is not provided, and the retention is still regarded as being necessary, then formal authorization of the retention should be obtained. Such retention must be in accordance with local law and ethical guidelines, and take into account the family’s preferences for burial or disposal of such organs and tissues.</w:t>
      </w:r>
    </w:p>
    <w:p w14:paraId="53874556" w14:textId="77777777" w:rsidR="00FB3053" w:rsidRPr="00CF6110" w:rsidRDefault="00F923BC" w:rsidP="007150FC">
      <w:pPr>
        <w:pStyle w:val="SingleTxtG"/>
        <w:ind w:left="1701"/>
      </w:pPr>
      <w:r w:rsidRPr="00CF6110">
        <w:t>(b)</w:t>
      </w:r>
      <w:r w:rsidRPr="00CF6110">
        <w:tab/>
      </w:r>
      <w:r w:rsidR="00FB3053" w:rsidRPr="00CF6110">
        <w:t>Histology: Representative small samples of all major organs, including areas of normal and any abnormal tissue, should be retained in 10% formalin in all cases of potentially unlawful deaths, processed histologically, and stained with haematoxylin and eosin (and other stains as indicated). The wet tissue, paraffin blocks, and slides should be kept indefinitely. Many forensic doctors are not trained to evaluate histology material. Arrangements should be made for a suitable histopathologist, preferably one with forensic training and experience, to report on the histology. This should be done in consultation: the histopathologist needs to understand the history and findings from the autopsy; and the forensic doctor needs to understand the conclusions, and any limitations, of the histopathologist.</w:t>
      </w:r>
    </w:p>
    <w:p w14:paraId="077BD833" w14:textId="77777777" w:rsidR="00FB3053" w:rsidRPr="00CF6110" w:rsidRDefault="00FB3053" w:rsidP="007150FC">
      <w:pPr>
        <w:pStyle w:val="SingleTxtG"/>
        <w:ind w:left="1701"/>
      </w:pPr>
      <w:r w:rsidRPr="00CF6110">
        <w:t>(c)</w:t>
      </w:r>
      <w:r w:rsidR="00F923BC" w:rsidRPr="00CF6110">
        <w:tab/>
      </w:r>
      <w:r w:rsidRPr="00CF6110">
        <w:t>Toxicology (including biochemistry): Communication with the testing laboratory is very important. The fluids and volumes required, and the tissue required (if any) will vary from laboratory to laboratory. In all cases, the site from which the specimen has been obtained must be carefully recorded.</w:t>
      </w:r>
    </w:p>
    <w:p w14:paraId="3521DBD8" w14:textId="77777777" w:rsidR="00FB3053" w:rsidRPr="00CF6110" w:rsidRDefault="00F923BC" w:rsidP="007150FC">
      <w:pPr>
        <w:pStyle w:val="SingleTxtG"/>
        <w:ind w:left="2268"/>
      </w:pPr>
      <w:r w:rsidRPr="00CF6110">
        <w:t>(</w:t>
      </w:r>
      <w:proofErr w:type="spellStart"/>
      <w:r w:rsidRPr="00CF6110">
        <w:t>i</w:t>
      </w:r>
      <w:proofErr w:type="spellEnd"/>
      <w:r w:rsidRPr="00CF6110">
        <w:t>)</w:t>
      </w:r>
      <w:r w:rsidRPr="00CF6110">
        <w:tab/>
      </w:r>
      <w:r w:rsidR="00FB3053" w:rsidRPr="00CF6110">
        <w:t>Blood: At least 10ml, preferably obtained from a peripheral site (e.g. the femoral vein) prior to the commencement of the autopsy. To avoid post collection fermentation and putrefaction, add 1% w/v sodium fluoride (</w:t>
      </w:r>
      <w:proofErr w:type="spellStart"/>
      <w:r w:rsidR="00FB3053" w:rsidRPr="00CF6110">
        <w:t>NaF</w:t>
      </w:r>
      <w:proofErr w:type="spellEnd"/>
      <w:r w:rsidR="00FB3053" w:rsidRPr="00CF6110">
        <w:t xml:space="preserve">) to the collection tube. If peripheral blood is not available, a central site (e.g. the heart) can be used. As a last resort, blood from a body cavity can be obtained, though this will almost certainly be contaminated due to leakage from other structures (e.g. stomach or bowel contents, mucus, urine, pus or serous fluids) and thus the interpretation of the results seriously compromised. </w:t>
      </w:r>
    </w:p>
    <w:p w14:paraId="6EFBB399" w14:textId="77777777" w:rsidR="00FB3053" w:rsidRPr="00CF6110" w:rsidRDefault="00FB3053" w:rsidP="008A00A5">
      <w:pPr>
        <w:pStyle w:val="SingleTxtG"/>
        <w:widowControl w:val="0"/>
        <w:ind w:left="2268"/>
      </w:pPr>
      <w:r w:rsidRPr="00CF6110">
        <w:t>(ii)</w:t>
      </w:r>
      <w:r w:rsidR="00F923BC" w:rsidRPr="00CF6110">
        <w:tab/>
      </w:r>
      <w:r w:rsidRPr="00CF6110">
        <w:t>Urine:</w:t>
      </w:r>
      <w:r w:rsidRPr="00CF6110">
        <w:rPr>
          <w:vertAlign w:val="superscript"/>
        </w:rPr>
        <w:footnoteReference w:id="111"/>
      </w:r>
      <w:r w:rsidRPr="00CF6110">
        <w:t xml:space="preserve"> At least 10ml is usually obtained by direct needle puncture of the exposed bladder after the abdomen has been opened. Alternatively, a urinary catheter inserted via the urethra can be used.</w:t>
      </w:r>
    </w:p>
    <w:p w14:paraId="4925F562" w14:textId="77777777" w:rsidR="00FB3053" w:rsidRPr="00CF6110" w:rsidRDefault="00FB3053" w:rsidP="007150FC">
      <w:pPr>
        <w:pStyle w:val="SingleTxtG"/>
        <w:ind w:left="2268"/>
      </w:pPr>
      <w:r w:rsidRPr="00CF6110">
        <w:t>(iii)</w:t>
      </w:r>
      <w:r w:rsidR="00F923BC" w:rsidRPr="00CF6110">
        <w:tab/>
      </w:r>
      <w:r w:rsidRPr="00CF6110">
        <w:t>Vitreous Humor:</w:t>
      </w:r>
      <w:r w:rsidRPr="00CF6110">
        <w:rPr>
          <w:vertAlign w:val="superscript"/>
        </w:rPr>
        <w:footnoteReference w:id="112"/>
      </w:r>
      <w:r w:rsidRPr="00CF6110">
        <w:t xml:space="preserve"> 2–3ml can be obtained by needle puncture of each globe. As it is relatively viscous, a 15- or 17-gauge needle should be used. </w:t>
      </w:r>
    </w:p>
    <w:p w14:paraId="504393BB" w14:textId="77777777" w:rsidR="00FB3053" w:rsidRPr="00CF6110" w:rsidRDefault="00F923BC" w:rsidP="00F923BC">
      <w:pPr>
        <w:pStyle w:val="SingleTxtG"/>
        <w:ind w:left="1701" w:firstLine="567"/>
      </w:pPr>
      <w:proofErr w:type="gramStart"/>
      <w:r w:rsidRPr="00CF6110">
        <w:t>(iv)</w:t>
      </w:r>
      <w:r w:rsidRPr="00CF6110">
        <w:tab/>
      </w:r>
      <w:r w:rsidR="00FB3053" w:rsidRPr="00CF6110">
        <w:t>Bile</w:t>
      </w:r>
      <w:proofErr w:type="gramEnd"/>
      <w:r w:rsidR="00FB3053" w:rsidRPr="00CF6110">
        <w:t>: Up to 10ml.</w:t>
      </w:r>
    </w:p>
    <w:p w14:paraId="4B8752B0" w14:textId="77777777" w:rsidR="00FB3053" w:rsidRPr="00CF6110" w:rsidRDefault="00FB3053" w:rsidP="007150FC">
      <w:pPr>
        <w:pStyle w:val="SingleTxtG"/>
        <w:ind w:left="2268"/>
      </w:pPr>
      <w:r w:rsidRPr="00CF6110">
        <w:t>(v)</w:t>
      </w:r>
      <w:r w:rsidR="00F923BC" w:rsidRPr="00CF6110">
        <w:tab/>
      </w:r>
      <w:r w:rsidRPr="00CF6110">
        <w:t>Tissue: Liver, muscle, kidney, brain, adipose tissue (100mg of each), skin site (e.g. if an insulin injection is suspected). The tissues should be placed in separate, clean, glass or plastic jars without a fixative. Consider freezing the samples if delays are anticipated before transport to the laboratory, or before analysis.</w:t>
      </w:r>
    </w:p>
    <w:p w14:paraId="217BF70A" w14:textId="77777777" w:rsidR="00FB3053" w:rsidRPr="00CF6110" w:rsidRDefault="00FB3053" w:rsidP="007150FC">
      <w:pPr>
        <w:pStyle w:val="SingleTxtG"/>
        <w:ind w:left="2268"/>
      </w:pPr>
      <w:r w:rsidRPr="00CF6110">
        <w:t>If volatile substance inhalation is suspected, an entire lung should be taken and sealed in a nylon bag. (Polyethylene/plastic bags are permeable to volatile substances).</w:t>
      </w:r>
    </w:p>
    <w:p w14:paraId="2BC110F4" w14:textId="77777777" w:rsidR="00FB3053" w:rsidRPr="00CF6110" w:rsidRDefault="00FB3053" w:rsidP="007150FC">
      <w:pPr>
        <w:pStyle w:val="SingleTxtG"/>
        <w:ind w:left="2268"/>
      </w:pPr>
      <w:proofErr w:type="gramStart"/>
      <w:r w:rsidRPr="00CF6110">
        <w:lastRenderedPageBreak/>
        <w:t>(vi)</w:t>
      </w:r>
      <w:r w:rsidR="00F923BC" w:rsidRPr="00CF6110">
        <w:tab/>
      </w:r>
      <w:r w:rsidRPr="00CF6110">
        <w:t>Stomach</w:t>
      </w:r>
      <w:proofErr w:type="gramEnd"/>
      <w:r w:rsidRPr="00CF6110">
        <w:t xml:space="preserve"> contents: Ideally, prior to removing the abdominal contents, the stomach can be isolated by clamping or tying the lower oesophagus and duodenum. After removal, the stomach should be opened inside a large clean dish. After describing and photographing the contents, submit them in secure, clean, screw-top glass or plastic jars.</w:t>
      </w:r>
    </w:p>
    <w:p w14:paraId="28B41DB5" w14:textId="77777777" w:rsidR="00FB3053" w:rsidRPr="00CF6110" w:rsidRDefault="00FB3053" w:rsidP="007150FC">
      <w:pPr>
        <w:pStyle w:val="SingleTxtG"/>
        <w:ind w:left="2268"/>
      </w:pPr>
      <w:r w:rsidRPr="00CF6110">
        <w:t>(vii)</w:t>
      </w:r>
      <w:r w:rsidR="00F923BC" w:rsidRPr="00CF6110">
        <w:tab/>
      </w:r>
      <w:r w:rsidRPr="00CF6110">
        <w:t>Hair and fingernails: These may be useful in cases of heavy-metal poisoning or certain drugs. Obtain hair samples by plucking the hair, thereby including the root; do not cut with scissors. Nail samples should comprise the whole nail.</w:t>
      </w:r>
    </w:p>
    <w:p w14:paraId="20E48405" w14:textId="77777777" w:rsidR="00FB3053" w:rsidRPr="00CF6110" w:rsidRDefault="00FB3053" w:rsidP="007150FC">
      <w:pPr>
        <w:pStyle w:val="SingleTxtG"/>
        <w:ind w:left="1701"/>
      </w:pPr>
      <w:r w:rsidRPr="00CF6110">
        <w:t>(d)</w:t>
      </w:r>
      <w:r w:rsidR="00F923BC" w:rsidRPr="00CF6110">
        <w:tab/>
      </w:r>
      <w:r w:rsidRPr="00CF6110">
        <w:t>Microbiology: This is not a routine autopsy investigation but can be useful if the collection technique is good and samples are collected in the early post-mortem period. Differentiating between pathogens and normal post-mortem flora complicates the assessment of results. Possible samples include:</w:t>
      </w:r>
    </w:p>
    <w:p w14:paraId="79A9706E" w14:textId="77777777" w:rsidR="00FB3053" w:rsidRPr="00CF6110" w:rsidRDefault="00375B09" w:rsidP="007150FC">
      <w:pPr>
        <w:pStyle w:val="SingleTxtG"/>
        <w:ind w:left="2268"/>
      </w:pPr>
      <w:r w:rsidRPr="00CF6110">
        <w:t>(</w:t>
      </w:r>
      <w:proofErr w:type="spellStart"/>
      <w:proofErr w:type="gramStart"/>
      <w:r w:rsidRPr="00CF6110">
        <w:t>i</w:t>
      </w:r>
      <w:proofErr w:type="spellEnd"/>
      <w:proofErr w:type="gramEnd"/>
      <w:r w:rsidRPr="00CF6110">
        <w:t>)</w:t>
      </w:r>
      <w:r w:rsidRPr="00CF6110">
        <w:tab/>
      </w:r>
      <w:r w:rsidR="00FB3053" w:rsidRPr="00CF6110">
        <w:t>Blood, taken using a sterile needle and syringe under direct vision from the femoral vein or artery (or other suitable vessel), accessed in a sterile manner prior to commencing the autopsy</w:t>
      </w:r>
    </w:p>
    <w:p w14:paraId="744B2A23" w14:textId="77777777" w:rsidR="00FB3053" w:rsidRPr="00CF6110" w:rsidRDefault="00375B09" w:rsidP="007150FC">
      <w:pPr>
        <w:pStyle w:val="SingleTxtG"/>
        <w:ind w:left="2268"/>
      </w:pPr>
      <w:r w:rsidRPr="00CF6110">
        <w:t>(ii)</w:t>
      </w:r>
      <w:r w:rsidRPr="00CF6110">
        <w:tab/>
      </w:r>
      <w:r w:rsidR="00FB3053" w:rsidRPr="00CF6110">
        <w:t xml:space="preserve">Sampling a small piece of tissue (e.g. lung, spleen) under conditions that are as sterile as possible. </w:t>
      </w:r>
    </w:p>
    <w:p w14:paraId="029C7C6D" w14:textId="77777777" w:rsidR="00FB3053" w:rsidRPr="00CF6110" w:rsidRDefault="00FB3053" w:rsidP="007150FC">
      <w:pPr>
        <w:pStyle w:val="SingleTxtG"/>
        <w:ind w:left="1701"/>
      </w:pPr>
      <w:r w:rsidRPr="00CF6110">
        <w:t>The specimen should be taken to the microbiology laboratory without undue delay. Otherwise, the specimen should be kept in a refrigerator until transfer as soon as possible.</w:t>
      </w:r>
    </w:p>
    <w:p w14:paraId="485E10E1" w14:textId="77777777" w:rsidR="00FB3053" w:rsidRPr="00CF6110" w:rsidRDefault="00375B09" w:rsidP="007150FC">
      <w:pPr>
        <w:pStyle w:val="SingleTxtG"/>
        <w:ind w:left="1701"/>
      </w:pPr>
      <w:r w:rsidRPr="00CF6110">
        <w:t>(e)</w:t>
      </w:r>
      <w:r w:rsidRPr="00CF6110">
        <w:tab/>
      </w:r>
      <w:r w:rsidR="00FB3053" w:rsidRPr="00CF6110">
        <w:t xml:space="preserve">Entomology: Collection of appropriate samples of larvae, beetles, flies, and other insects on or in the body requires consultation with an entomologist. Samples may be useful for toxicological analysis as well as helping to assess the minimum post-mortem interval and/or to possibly assess if the body has been moved some distance after death. </w:t>
      </w:r>
    </w:p>
    <w:p w14:paraId="5BBA52D1" w14:textId="77777777" w:rsidR="00FB3053" w:rsidRPr="00CF6110" w:rsidRDefault="00FB3053" w:rsidP="007150FC">
      <w:pPr>
        <w:pStyle w:val="SingleTxtG"/>
        <w:ind w:left="1701"/>
      </w:pPr>
      <w:r w:rsidRPr="00CF6110">
        <w:t>(f)</w:t>
      </w:r>
      <w:r w:rsidR="00375B09" w:rsidRPr="00CF6110">
        <w:tab/>
      </w:r>
      <w:r w:rsidRPr="00CF6110">
        <w:t>Molecular/DNA testing: This is a rapidly developing technological area. The importance of liaising with the relevant laboratory cannot be overemphasized. Splenic tissue is one of the best organs for DNA recovery, although liver, muscle, kidney and brain may also be used. At least 2g of tissue should be placed in a plastic tube without fixative or preservative. The specimen may then be frozen if not to be used immediately. In decomposed or skeletonized cases, a sample of bone may be submitted, often the head or part of the shaft of the femur. Techniques using less invasive samples such as cartilage, phalanges, fingernails, or toenails have been developed in some centres.</w:t>
      </w:r>
    </w:p>
    <w:p w14:paraId="16080CEC" w14:textId="77777777" w:rsidR="00FB3053" w:rsidRPr="00CF6110" w:rsidRDefault="00375B09" w:rsidP="00FB3053">
      <w:pPr>
        <w:pStyle w:val="SingleTxtG"/>
      </w:pPr>
      <w:r w:rsidRPr="00CF6110">
        <w:t>272.</w:t>
      </w:r>
      <w:r w:rsidRPr="00CF6110">
        <w:tab/>
      </w:r>
      <w:r w:rsidR="00FB3053" w:rsidRPr="00CF6110">
        <w:t>In addition, other evidence which may need to be collected, recorded and secured including:</w:t>
      </w:r>
    </w:p>
    <w:p w14:paraId="4DE469EA" w14:textId="77777777" w:rsidR="00FB3053" w:rsidRPr="00CF6110" w:rsidRDefault="00375B09" w:rsidP="007150FC">
      <w:pPr>
        <w:pStyle w:val="SingleTxtG"/>
        <w:ind w:left="1701"/>
      </w:pPr>
      <w:r w:rsidRPr="00CF6110">
        <w:t>(a)</w:t>
      </w:r>
      <w:r w:rsidRPr="00CF6110">
        <w:tab/>
      </w:r>
      <w:r w:rsidR="00FB3053" w:rsidRPr="00CF6110">
        <w:t>All foreign objects, including projectiles, projectile fragments, pellets, knives and fibres. Projectiles must be subjected to ballistic analysis</w:t>
      </w:r>
    </w:p>
    <w:p w14:paraId="4EC007FB" w14:textId="77777777" w:rsidR="00FB3053" w:rsidRPr="00CF6110" w:rsidRDefault="00375B09" w:rsidP="007150FC">
      <w:pPr>
        <w:pStyle w:val="SingleTxtG"/>
        <w:ind w:left="1701"/>
      </w:pPr>
      <w:r w:rsidRPr="00CF6110">
        <w:t>(b)</w:t>
      </w:r>
      <w:r w:rsidRPr="00CF6110">
        <w:tab/>
      </w:r>
      <w:r w:rsidR="00FB3053" w:rsidRPr="00CF6110">
        <w:t>All clothes and personal effects of the deceased, worn by or in the possession of the deceased at the time of death</w:t>
      </w:r>
    </w:p>
    <w:p w14:paraId="37FEF715" w14:textId="77777777" w:rsidR="00FB3053" w:rsidRPr="00CF6110" w:rsidRDefault="00375B09" w:rsidP="00375B09">
      <w:pPr>
        <w:pStyle w:val="SingleTxtG"/>
        <w:ind w:firstLine="567"/>
      </w:pPr>
      <w:r w:rsidRPr="00CF6110">
        <w:t>(c)</w:t>
      </w:r>
      <w:r w:rsidRPr="00CF6110">
        <w:tab/>
      </w:r>
      <w:r w:rsidR="00FB3053" w:rsidRPr="00CF6110">
        <w:t>Fingernails and under nail scrapings</w:t>
      </w:r>
    </w:p>
    <w:p w14:paraId="4B59C4BC" w14:textId="77777777" w:rsidR="00FB3053" w:rsidRPr="00CF6110" w:rsidRDefault="00375B09" w:rsidP="00375B09">
      <w:pPr>
        <w:pStyle w:val="SingleTxtG"/>
        <w:ind w:firstLine="567"/>
      </w:pPr>
      <w:r w:rsidRPr="00CF6110">
        <w:t>(d)</w:t>
      </w:r>
      <w:r w:rsidRPr="00CF6110">
        <w:tab/>
      </w:r>
      <w:r w:rsidR="00FB3053" w:rsidRPr="00CF6110">
        <w:t>Hair, foreign and pubic, in cases of suspected sexual assault</w:t>
      </w:r>
    </w:p>
    <w:p w14:paraId="4DDD2D8C" w14:textId="77777777" w:rsidR="00FB3053" w:rsidRPr="00CF6110" w:rsidRDefault="00375B09" w:rsidP="007150FC">
      <w:pPr>
        <w:pStyle w:val="SingleTxtG"/>
        <w:ind w:left="1701"/>
      </w:pPr>
      <w:r w:rsidRPr="00CF6110">
        <w:t>(e)</w:t>
      </w:r>
      <w:r w:rsidRPr="00CF6110">
        <w:tab/>
      </w:r>
      <w:r w:rsidR="00FB3053" w:rsidRPr="00CF6110">
        <w:t>Head hair, in cases where the place of death or location of the body prior to its discovery may be an issue.</w:t>
      </w:r>
    </w:p>
    <w:p w14:paraId="3929381D" w14:textId="77777777" w:rsidR="00FB3053" w:rsidRPr="00CF6110" w:rsidRDefault="00FB3053" w:rsidP="00FB3053">
      <w:pPr>
        <w:pStyle w:val="SingleTxtG"/>
        <w:rPr>
          <w:b/>
        </w:rPr>
      </w:pPr>
      <w:r w:rsidRPr="00CF6110">
        <w:lastRenderedPageBreak/>
        <w:t xml:space="preserve">As mentioned at the beginning of this section on further testing, there must be active discussion between the prosector and the investigating police officer, and concrete decisions made about the fate of all the specimens. </w:t>
      </w:r>
    </w:p>
    <w:p w14:paraId="7D5A8BB8" w14:textId="77777777" w:rsidR="00FB3053" w:rsidRPr="00CF6110" w:rsidRDefault="00375B09" w:rsidP="00FB3053">
      <w:pPr>
        <w:pStyle w:val="SingleTxtG"/>
      </w:pPr>
      <w:r w:rsidRPr="00CF6110">
        <w:t>273.</w:t>
      </w:r>
      <w:r w:rsidRPr="00CF6110">
        <w:tab/>
      </w:r>
      <w:r w:rsidR="00FB3053" w:rsidRPr="00CF6110">
        <w:t>After the autopsy, all unretained organs should be replaced in the body, and the body should be well embalmed to facilitate a second autopsy in case one is desired at some future point.</w:t>
      </w:r>
    </w:p>
    <w:p w14:paraId="15AF1439" w14:textId="77777777" w:rsidR="00FB0890" w:rsidRPr="00CF6110" w:rsidRDefault="00FB0890" w:rsidP="00FB0890">
      <w:pPr>
        <w:pStyle w:val="H23G"/>
        <w:spacing w:line="240" w:lineRule="atLeast"/>
      </w:pPr>
      <w:bookmarkStart w:id="146" w:name="_Toc443387567"/>
      <w:bookmarkStart w:id="147" w:name="_Toc443397153"/>
      <w:bookmarkStart w:id="148" w:name="_Toc445909228"/>
      <w:r w:rsidRPr="00CF6110">
        <w:tab/>
        <w:t xml:space="preserve">6. </w:t>
      </w:r>
      <w:r w:rsidRPr="00CF6110">
        <w:tab/>
      </w:r>
      <w:r w:rsidRPr="00CF6110">
        <w:rPr>
          <w:bCs/>
        </w:rPr>
        <w:t>Concluding the cause of death</w:t>
      </w:r>
    </w:p>
    <w:bookmarkEnd w:id="146"/>
    <w:bookmarkEnd w:id="147"/>
    <w:bookmarkEnd w:id="148"/>
    <w:p w14:paraId="78A78447" w14:textId="7B0D39FA" w:rsidR="00FB3053" w:rsidRPr="00CF6110" w:rsidRDefault="00FB0890" w:rsidP="00FB3053">
      <w:pPr>
        <w:pStyle w:val="SingleTxtG"/>
      </w:pPr>
      <w:r w:rsidRPr="00CF6110">
        <w:t>274.</w:t>
      </w:r>
      <w:r w:rsidRPr="00CF6110">
        <w:tab/>
      </w:r>
      <w:r w:rsidR="00FB3053" w:rsidRPr="00CF6110">
        <w:t>At the end of his/her investigation of the death, it is a fundamental responsibility for the prosector to conclude the cause of death</w:t>
      </w:r>
      <w:r w:rsidR="008A00A5" w:rsidRPr="00CF6110">
        <w:t xml:space="preserve"> and identification of the deceased</w:t>
      </w:r>
      <w:r w:rsidR="00FB3053" w:rsidRPr="00CF6110">
        <w:t xml:space="preserve">. It is a surprise for many that only in a small number of deaths can the cause of death be determined from the autopsy findings alone without any other information about the death. In some jurisdictions, the forensic doctor is also required to conclude the manner of death as well; in other jurisdictions, the system leaves this conclusion to judicial officers. </w:t>
      </w:r>
    </w:p>
    <w:p w14:paraId="4D8A9320" w14:textId="7D9B5B9C" w:rsidR="00FB3053" w:rsidRPr="00CF6110" w:rsidRDefault="00FB0890" w:rsidP="00FB3053">
      <w:pPr>
        <w:pStyle w:val="SingleTxtG"/>
      </w:pPr>
      <w:r w:rsidRPr="00CF6110">
        <w:t>275.</w:t>
      </w:r>
      <w:r w:rsidRPr="00CF6110">
        <w:tab/>
      </w:r>
      <w:r w:rsidR="00FB3053" w:rsidRPr="00CF6110">
        <w:t>The internationally accepted format for recording the cause of death is set out by</w:t>
      </w:r>
      <w:r w:rsidR="008A00A5" w:rsidRPr="00CF6110">
        <w:t xml:space="preserve"> the </w:t>
      </w:r>
      <w:r w:rsidR="00FB3053" w:rsidRPr="00CF6110">
        <w:t>WHO in “The International Form of Medical Certificate of Cause of Death”.</w:t>
      </w:r>
      <w:r w:rsidR="00FB3053" w:rsidRPr="00CF6110">
        <w:rPr>
          <w:vertAlign w:val="superscript"/>
        </w:rPr>
        <w:footnoteReference w:id="113"/>
      </w:r>
      <w:r w:rsidR="00FB3053" w:rsidRPr="00CF6110">
        <w:t xml:space="preserve"> The cause of death part of the form includes the following sections:</w:t>
      </w:r>
    </w:p>
    <w:p w14:paraId="583B0BDD" w14:textId="77777777" w:rsidR="00FB3053" w:rsidRPr="00CF6110" w:rsidRDefault="00FB0890" w:rsidP="007150FC">
      <w:pPr>
        <w:pStyle w:val="SingleTxtG"/>
        <w:ind w:left="1701"/>
      </w:pPr>
      <w:r w:rsidRPr="00CF6110">
        <w:t>(a)</w:t>
      </w:r>
      <w:r w:rsidRPr="00CF6110">
        <w:tab/>
      </w:r>
      <w:r w:rsidR="00FB3053" w:rsidRPr="00CF6110">
        <w:t>Part I – includes diseases or conditions directly leading to death (immediate causes), and antecedent causes (or underlying causes)</w:t>
      </w:r>
    </w:p>
    <w:p w14:paraId="6C4303EF" w14:textId="77777777" w:rsidR="00FB3053" w:rsidRPr="00CF6110" w:rsidRDefault="00FB0890" w:rsidP="007150FC">
      <w:pPr>
        <w:pStyle w:val="SingleTxtG"/>
        <w:ind w:left="1701"/>
      </w:pPr>
      <w:r w:rsidRPr="00CF6110">
        <w:t>(b)</w:t>
      </w:r>
      <w:r w:rsidRPr="00CF6110">
        <w:tab/>
      </w:r>
      <w:r w:rsidR="00FB3053" w:rsidRPr="00CF6110">
        <w:t>Part II – other significant conditions contributing to death, but not contributing to or causing the conditions listed in Part I.</w:t>
      </w:r>
    </w:p>
    <w:p w14:paraId="61FAE22E" w14:textId="77777777" w:rsidR="00FB3053" w:rsidRPr="00CF6110" w:rsidRDefault="00FB0890" w:rsidP="00FB3053">
      <w:pPr>
        <w:pStyle w:val="SingleTxtG"/>
      </w:pPr>
      <w:r w:rsidRPr="00CF6110">
        <w:t>276.</w:t>
      </w:r>
      <w:r w:rsidRPr="00CF6110">
        <w:tab/>
      </w:r>
      <w:r w:rsidR="00FB3053" w:rsidRPr="00CF6110">
        <w:t>All forensic doctors should clearly understand the following concepts involved in correctly concluding the cause of death according to the standard WHO format:</w:t>
      </w:r>
    </w:p>
    <w:p w14:paraId="70C3F060" w14:textId="77777777" w:rsidR="00FB3053" w:rsidRPr="00CF6110" w:rsidRDefault="00FB0890" w:rsidP="007150FC">
      <w:pPr>
        <w:pStyle w:val="SingleTxtG"/>
        <w:ind w:left="1701"/>
      </w:pPr>
      <w:r w:rsidRPr="00CF6110">
        <w:t>(a)</w:t>
      </w:r>
      <w:r w:rsidRPr="00CF6110">
        <w:tab/>
      </w:r>
      <w:r w:rsidR="00FB3053" w:rsidRPr="00CF6110">
        <w:t>Underlying cause of death – defined as the disease or injury that initiated the train of morbid events leading directly to death or the circumstances of the accident or violence that led to the fatal injury.</w:t>
      </w:r>
    </w:p>
    <w:p w14:paraId="27E981C5" w14:textId="77777777" w:rsidR="00FB3053" w:rsidRPr="00CF6110" w:rsidRDefault="00FB0890" w:rsidP="007150FC">
      <w:pPr>
        <w:pStyle w:val="SingleTxtG"/>
        <w:ind w:left="1701"/>
      </w:pPr>
      <w:r w:rsidRPr="00CF6110">
        <w:t>(b)</w:t>
      </w:r>
      <w:r w:rsidRPr="00CF6110">
        <w:tab/>
      </w:r>
      <w:r w:rsidR="00FB3053" w:rsidRPr="00CF6110">
        <w:t>Contributory cause(s) of death – other significant diseases or conditions which contributed to the death but not to the disease(s) or condition(s) listed in the sequence in Part I as causing the death.</w:t>
      </w:r>
    </w:p>
    <w:p w14:paraId="442435D0" w14:textId="77777777" w:rsidR="00FB3053" w:rsidRPr="00CF6110" w:rsidRDefault="00FB0890" w:rsidP="007150FC">
      <w:pPr>
        <w:pStyle w:val="SingleTxtG"/>
        <w:ind w:left="1701"/>
      </w:pPr>
      <w:r w:rsidRPr="00CF6110">
        <w:t>(c)</w:t>
      </w:r>
      <w:r w:rsidRPr="00CF6110">
        <w:tab/>
      </w:r>
      <w:r w:rsidR="00FB3053" w:rsidRPr="00CF6110">
        <w:t xml:space="preserve">A common error is to list the mode of death, such as cardio-respiratory arrest, respiratory failure or coma as the immediate cause of death. </w:t>
      </w:r>
    </w:p>
    <w:p w14:paraId="3C313ED6" w14:textId="77777777" w:rsidR="00FB3053" w:rsidRPr="00CF6110" w:rsidRDefault="00FB0890" w:rsidP="007150FC">
      <w:pPr>
        <w:pStyle w:val="SingleTxtG"/>
        <w:ind w:left="1701"/>
      </w:pPr>
      <w:r w:rsidRPr="00CF6110">
        <w:t>(d)</w:t>
      </w:r>
      <w:r w:rsidRPr="00CF6110">
        <w:tab/>
      </w:r>
      <w:r w:rsidR="00FB3053" w:rsidRPr="00CF6110">
        <w:t xml:space="preserve">If there is only one cause of death (e.g. Gunshot wound to the head; where death has apparently occurred rapidly at the scene) this should be listed as </w:t>
      </w:r>
      <w:proofErr w:type="gramStart"/>
      <w:r w:rsidR="00FB3053" w:rsidRPr="00CF6110">
        <w:t>I(</w:t>
      </w:r>
      <w:proofErr w:type="gramEnd"/>
      <w:r w:rsidR="00FB3053" w:rsidRPr="00CF6110">
        <w:t xml:space="preserve">a). In the terminology above, this is both the immediate and underlying cause of the death. </w:t>
      </w:r>
    </w:p>
    <w:p w14:paraId="48445C27" w14:textId="77777777" w:rsidR="00FB3053" w:rsidRPr="00CF6110" w:rsidRDefault="00FB0890" w:rsidP="007150FC">
      <w:pPr>
        <w:pStyle w:val="SingleTxtG"/>
        <w:ind w:left="1701"/>
      </w:pPr>
      <w:r w:rsidRPr="00CF6110">
        <w:t>(e)</w:t>
      </w:r>
      <w:r w:rsidRPr="00CF6110">
        <w:tab/>
      </w:r>
      <w:r w:rsidR="00FB3053" w:rsidRPr="00CF6110">
        <w:t xml:space="preserve">If the cause of death is unknown even after all investigations are complete, then it is correct to record it as “unknown” or “unascertained”. </w:t>
      </w:r>
    </w:p>
    <w:p w14:paraId="019017CB" w14:textId="77777777" w:rsidR="00FB0890" w:rsidRPr="00CF6110" w:rsidRDefault="00FB0890" w:rsidP="00FB0890">
      <w:pPr>
        <w:pStyle w:val="H23G"/>
        <w:spacing w:line="240" w:lineRule="atLeast"/>
      </w:pPr>
      <w:bookmarkStart w:id="149" w:name="_Toc443387568"/>
      <w:bookmarkStart w:id="150" w:name="_Toc443397154"/>
      <w:bookmarkStart w:id="151" w:name="_Toc445909229"/>
      <w:r w:rsidRPr="00CF6110">
        <w:tab/>
        <w:t xml:space="preserve">7. </w:t>
      </w:r>
      <w:r w:rsidRPr="00CF6110">
        <w:tab/>
      </w:r>
      <w:r w:rsidRPr="00CF6110">
        <w:rPr>
          <w:bCs/>
        </w:rPr>
        <w:t>The autopsy report</w:t>
      </w:r>
    </w:p>
    <w:bookmarkEnd w:id="149"/>
    <w:bookmarkEnd w:id="150"/>
    <w:bookmarkEnd w:id="151"/>
    <w:p w14:paraId="0FED6F23" w14:textId="51C6C79E" w:rsidR="00FB3053" w:rsidRPr="00CF6110" w:rsidRDefault="00FB0890" w:rsidP="00FB3053">
      <w:pPr>
        <w:pStyle w:val="SingleTxtG"/>
      </w:pPr>
      <w:r w:rsidRPr="00CF6110">
        <w:t>277.</w:t>
      </w:r>
      <w:r w:rsidRPr="00CF6110">
        <w:tab/>
      </w:r>
      <w:r w:rsidR="00FB3053" w:rsidRPr="00CF6110">
        <w:t xml:space="preserve">The autopsy report should be sufficiently comprehensive for another forensic doctor, at another time and place (and supported by access to the photographs) to be in possession of all the relevant observations to come to his/her own conclusions about the death. At the end of the autopsy report should be a summary of the findings, including the results of special tests. In addition, the prosector should provide his/her opinion about the </w:t>
      </w:r>
      <w:r w:rsidR="00C512ED" w:rsidRPr="00CF6110">
        <w:t xml:space="preserve">identity, </w:t>
      </w:r>
      <w:r w:rsidR="00C512ED" w:rsidRPr="00CF6110">
        <w:lastRenderedPageBreak/>
        <w:t xml:space="preserve">and </w:t>
      </w:r>
      <w:r w:rsidR="00FB3053" w:rsidRPr="00CF6110">
        <w:t>injuries and disease present, attributing any injuries to external trauma, therapeutic efforts, post-mortem change, or other causes. As mentioned above (see Paragraph 160 above), an opinion of how the injuries might have been caused, and whether they caused or contributed to the death, should be provided. Reasonable, evidence-based conclusions about the circumstances of the death (including where appropriate the manner of death) should be made. Finally, the formal cause of death, as discussed above, should be provided and explained. The full report should be given to the appropriate authorities and (except if they are implicated in having caused the death) to the deceased’s family.</w:t>
      </w:r>
    </w:p>
    <w:p w14:paraId="22CD4186" w14:textId="77777777" w:rsidR="00FB0890" w:rsidRPr="00CF6110" w:rsidRDefault="00FB0890" w:rsidP="00FB0890">
      <w:pPr>
        <w:pStyle w:val="H23G"/>
        <w:spacing w:line="240" w:lineRule="atLeast"/>
      </w:pPr>
      <w:bookmarkStart w:id="152" w:name="_Toc443387569"/>
      <w:bookmarkStart w:id="153" w:name="_Toc443397155"/>
      <w:bookmarkStart w:id="154" w:name="_Toc445909230"/>
      <w:r w:rsidRPr="00CF6110">
        <w:tab/>
        <w:t xml:space="preserve">8. </w:t>
      </w:r>
      <w:r w:rsidRPr="00CF6110">
        <w:tab/>
      </w:r>
      <w:r w:rsidRPr="00CF6110">
        <w:rPr>
          <w:bCs/>
        </w:rPr>
        <w:t>Autopsy signs of possible torture</w:t>
      </w:r>
    </w:p>
    <w:bookmarkEnd w:id="152"/>
    <w:bookmarkEnd w:id="153"/>
    <w:bookmarkEnd w:id="154"/>
    <w:p w14:paraId="37576C50" w14:textId="77777777" w:rsidR="00FB3053" w:rsidRPr="00CF6110" w:rsidRDefault="00FB0890" w:rsidP="00FB3053">
      <w:pPr>
        <w:pStyle w:val="SingleTxtG"/>
      </w:pPr>
      <w:r w:rsidRPr="00CF6110">
        <w:t>278.</w:t>
      </w:r>
      <w:r w:rsidRPr="00CF6110">
        <w:tab/>
      </w:r>
      <w:r w:rsidR="00FB3053" w:rsidRPr="00CF6110">
        <w:t xml:space="preserve">Torture, in brief, is the intentional infliction of severe mental or physical pain or suffering by or with the consent of State authorities for a specific purpose. Article 1 of the UN Convention Against Torture and other Cruel, Inhuman or Degrading Treatment or Punishment defines torture as: </w:t>
      </w:r>
      <w:r w:rsidR="00FB3053" w:rsidRPr="00CF6110">
        <w:rPr>
          <w:iCs/>
        </w:rPr>
        <w:t>“any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w:t>
      </w:r>
      <w:r w:rsidR="00FB3053" w:rsidRPr="00CF6110">
        <w:rPr>
          <w:iCs/>
          <w:vertAlign w:val="superscript"/>
        </w:rPr>
        <w:footnoteReference w:id="114"/>
      </w:r>
      <w:r w:rsidR="00FB3053" w:rsidRPr="00CF6110">
        <w:rPr>
          <w:iCs/>
        </w:rPr>
        <w:t xml:space="preserve"> </w:t>
      </w:r>
    </w:p>
    <w:p w14:paraId="2FE304DB" w14:textId="77777777" w:rsidR="00FB3053" w:rsidRPr="00CF6110" w:rsidRDefault="00FB0890" w:rsidP="00FB3053">
      <w:pPr>
        <w:pStyle w:val="SingleTxtG"/>
      </w:pPr>
      <w:r w:rsidRPr="00CF6110">
        <w:t>279.</w:t>
      </w:r>
      <w:r w:rsidRPr="00CF6110">
        <w:tab/>
      </w:r>
      <w:r w:rsidR="00FB3053" w:rsidRPr="00CF6110">
        <w:t xml:space="preserve">Forensic doctors are at the forefront of detecting torture, and never more so when undertaking the autopsy of a person who has died in the custody of the State. </w:t>
      </w:r>
    </w:p>
    <w:p w14:paraId="333E01CD" w14:textId="77777777" w:rsidR="00FB3053" w:rsidRPr="00CF6110" w:rsidRDefault="00FB0890" w:rsidP="00FB3053">
      <w:pPr>
        <w:pStyle w:val="SingleTxtG"/>
      </w:pPr>
      <w:r w:rsidRPr="00CF6110">
        <w:t>280.</w:t>
      </w:r>
      <w:r w:rsidRPr="00CF6110">
        <w:tab/>
      </w:r>
      <w:r w:rsidR="00FB3053" w:rsidRPr="00CF6110">
        <w:t>This section has extracted much of the following information from both the original Minnesota Protocol and also from the Istanbul Protocol: Manual on the Effective Investigation and documentation of Torture and other Cruel, Inhuman or Degrading Treatment or Punishment.</w:t>
      </w:r>
      <w:r w:rsidR="00FB3053" w:rsidRPr="00CF6110">
        <w:rPr>
          <w:vertAlign w:val="superscript"/>
        </w:rPr>
        <w:footnoteReference w:id="115"/>
      </w:r>
      <w:r w:rsidR="00FB3053" w:rsidRPr="00CF6110">
        <w:t xml:space="preserve"> It is intended as an aide-memoire for forensic doctors who may be about to undertake the autopsy of a potentially unlawful death where the deceased has been, or may have been, in the custody of the State. The annex is not a comprehensive list of all signs of torture or mistreatment which could occur. In particular it does not cover the myriad effects of neglect (including deprivation of food and water) and withholding medical care.</w:t>
      </w:r>
    </w:p>
    <w:p w14:paraId="6CD7F0CF" w14:textId="77777777" w:rsidR="00FB3053" w:rsidRPr="00CF6110" w:rsidRDefault="00FB0890" w:rsidP="00FB3053">
      <w:pPr>
        <w:pStyle w:val="SingleTxtG"/>
      </w:pPr>
      <w:r w:rsidRPr="00CF6110">
        <w:t>281.</w:t>
      </w:r>
      <w:r w:rsidRPr="00CF6110">
        <w:tab/>
      </w:r>
      <w:r w:rsidR="00FB3053" w:rsidRPr="00CF6110">
        <w:t xml:space="preserve">Notwithstanding the aide-memoire, it is crucial that as part of the autopsy examination the prosector detect, photograph and record in writing all injuries, whether old or recent. This means recording their site, size, shape, symmetry, surrounds, colour, contour, surface (scaly, crusty, </w:t>
      </w:r>
      <w:proofErr w:type="gramStart"/>
      <w:r w:rsidR="00FB3053" w:rsidRPr="00CF6110">
        <w:t>ulcerating</w:t>
      </w:r>
      <w:proofErr w:type="gramEnd"/>
      <w:r w:rsidR="00FB3053" w:rsidRPr="00CF6110">
        <w:t xml:space="preserve">), course, direction, depth, any associated bruising or oedema, any surrounding pallor/melanosis. Much torture will be missed if there is not an enquiring approach to the autopsy. There should be a willingness to undertake subcutaneous dissection – it is a well-known principle of forensic medicine that deeper injury is often not visible externally and must be sought. Fractures and dislocations may occur in relatively unusual places for autopsy dissection, often the limbs and the facial bones. Again, these will be missed if not searched for. For these reasons, if whole body cross-sectional scanning (e.g. CT scanning) is available, its use should be very seriously considered, even if it means having to transport the body to another location. </w:t>
      </w:r>
    </w:p>
    <w:p w14:paraId="333E1F26" w14:textId="77777777" w:rsidR="00FB3053" w:rsidRPr="00CF6110" w:rsidRDefault="00FB0890" w:rsidP="00FB3053">
      <w:pPr>
        <w:pStyle w:val="SingleTxtG"/>
      </w:pPr>
      <w:r w:rsidRPr="00CF6110">
        <w:t>282.</w:t>
      </w:r>
      <w:r w:rsidRPr="00CF6110">
        <w:tab/>
      </w:r>
      <w:r w:rsidR="00FB3053" w:rsidRPr="00CF6110">
        <w:t>In the conclusions of the report, comments should be made on the overall pattern of the injuries (the number and location of different injury types) and what this might mean, as well as comments on individual injuries with sufficient specificity to suggest their cause.</w:t>
      </w:r>
    </w:p>
    <w:p w14:paraId="713DC8A6" w14:textId="77777777" w:rsidR="00FB3053" w:rsidRPr="00CF6110" w:rsidRDefault="00FB3053" w:rsidP="00FB3053">
      <w:pPr>
        <w:pStyle w:val="SingleTxtG"/>
      </w:pPr>
    </w:p>
    <w:p w14:paraId="6A476BF5" w14:textId="77777777" w:rsidR="00FB3053" w:rsidRPr="00CF6110" w:rsidRDefault="00FB3053" w:rsidP="00FB3053">
      <w:pPr>
        <w:pStyle w:val="SingleTxtG"/>
        <w:rPr>
          <w:b/>
        </w:rPr>
      </w:pPr>
      <w:r w:rsidRPr="00CF6110">
        <w:rPr>
          <w:b/>
        </w:rPr>
        <w:t>Table 2: Torture Techniques and Related Findings</w:t>
      </w:r>
    </w:p>
    <w:p w14:paraId="51058652" w14:textId="77777777" w:rsidR="00FB3053" w:rsidRPr="00CF6110" w:rsidRDefault="00FB3053" w:rsidP="00FB3053">
      <w:pPr>
        <w:pStyle w:val="SingleTxtG"/>
        <w:rPr>
          <w:b/>
        </w:rPr>
      </w:pPr>
    </w:p>
    <w:tbl>
      <w:tblPr>
        <w:tblStyle w:val="Grilledutableau"/>
        <w:tblW w:w="83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8"/>
        <w:gridCol w:w="5190"/>
      </w:tblGrid>
      <w:tr w:rsidR="00FB3053" w:rsidRPr="00CF6110" w14:paraId="571F27A6" w14:textId="77777777" w:rsidTr="007502FD">
        <w:trPr>
          <w:tblHeader/>
          <w:jc w:val="center"/>
        </w:trPr>
        <w:tc>
          <w:tcPr>
            <w:tcW w:w="3208" w:type="dxa"/>
            <w:tcBorders>
              <w:top w:val="single" w:sz="4" w:space="0" w:color="auto"/>
              <w:bottom w:val="single" w:sz="4" w:space="0" w:color="auto"/>
            </w:tcBorders>
          </w:tcPr>
          <w:p w14:paraId="5BFEDC57" w14:textId="77777777" w:rsidR="00FB3053" w:rsidRPr="00CF6110" w:rsidRDefault="00FB3053" w:rsidP="007502FD">
            <w:pPr>
              <w:pStyle w:val="SingleTxtG"/>
              <w:tabs>
                <w:tab w:val="left" w:pos="2839"/>
              </w:tabs>
              <w:ind w:left="89" w:right="142"/>
              <w:rPr>
                <w:i/>
                <w:lang w:val="en-GB"/>
              </w:rPr>
            </w:pPr>
            <w:r w:rsidRPr="00CF6110">
              <w:rPr>
                <w:i/>
                <w:lang w:val="en-GB"/>
              </w:rPr>
              <w:t>Torture technique</w:t>
            </w:r>
          </w:p>
        </w:tc>
        <w:tc>
          <w:tcPr>
            <w:tcW w:w="5190" w:type="dxa"/>
            <w:tcBorders>
              <w:top w:val="single" w:sz="4" w:space="0" w:color="auto"/>
              <w:bottom w:val="single" w:sz="4" w:space="0" w:color="auto"/>
            </w:tcBorders>
          </w:tcPr>
          <w:p w14:paraId="5B57ECAA" w14:textId="6A1AC740" w:rsidR="00FB3053" w:rsidRPr="00CF6110" w:rsidRDefault="00FB3053" w:rsidP="007502FD">
            <w:pPr>
              <w:pStyle w:val="SingleTxtG"/>
              <w:ind w:left="141" w:right="87"/>
              <w:rPr>
                <w:i/>
                <w:lang w:val="en-GB"/>
              </w:rPr>
            </w:pPr>
            <w:r w:rsidRPr="00CF6110">
              <w:rPr>
                <w:i/>
                <w:lang w:val="en-GB"/>
              </w:rPr>
              <w:t>Physical findings and notes on their</w:t>
            </w:r>
            <w:r w:rsidR="00346947" w:rsidRPr="00CF6110">
              <w:rPr>
                <w:i/>
                <w:lang w:val="en-GB"/>
              </w:rPr>
              <w:t xml:space="preserve"> </w:t>
            </w:r>
            <w:r w:rsidRPr="00CF6110">
              <w:rPr>
                <w:i/>
                <w:lang w:val="en-GB"/>
              </w:rPr>
              <w:t xml:space="preserve">detection </w:t>
            </w:r>
          </w:p>
        </w:tc>
      </w:tr>
      <w:tr w:rsidR="009931B5" w:rsidRPr="00CF6110" w14:paraId="3619A243" w14:textId="77777777" w:rsidTr="007502FD">
        <w:trPr>
          <w:jc w:val="center"/>
        </w:trPr>
        <w:tc>
          <w:tcPr>
            <w:tcW w:w="3208" w:type="dxa"/>
            <w:tcBorders>
              <w:top w:val="single" w:sz="4" w:space="0" w:color="auto"/>
            </w:tcBorders>
          </w:tcPr>
          <w:p w14:paraId="6140E8BD" w14:textId="77777777" w:rsidR="009931B5" w:rsidRPr="00CF6110" w:rsidRDefault="009931B5" w:rsidP="007502FD">
            <w:pPr>
              <w:pStyle w:val="SingleTxtG"/>
              <w:tabs>
                <w:tab w:val="left" w:pos="2839"/>
              </w:tabs>
              <w:ind w:left="89" w:right="142"/>
              <w:rPr>
                <w:lang w:val="en-GB"/>
              </w:rPr>
            </w:pPr>
            <w:r w:rsidRPr="00CF6110">
              <w:rPr>
                <w:lang w:val="en-GB"/>
              </w:rPr>
              <w:t>Acute (single episode) and chronic (repeated episodes of) injury:</w:t>
            </w:r>
          </w:p>
          <w:p w14:paraId="122D87E9" w14:textId="77777777" w:rsidR="009931B5" w:rsidRPr="00CF6110" w:rsidRDefault="009931B5" w:rsidP="007502FD">
            <w:pPr>
              <w:pStyle w:val="SingleTxtG"/>
              <w:tabs>
                <w:tab w:val="left" w:pos="2839"/>
              </w:tabs>
              <w:ind w:left="89" w:right="142"/>
              <w:rPr>
                <w:lang w:val="en-GB"/>
              </w:rPr>
            </w:pPr>
          </w:p>
        </w:tc>
        <w:tc>
          <w:tcPr>
            <w:tcW w:w="5190" w:type="dxa"/>
            <w:tcBorders>
              <w:top w:val="single" w:sz="4" w:space="0" w:color="auto"/>
            </w:tcBorders>
          </w:tcPr>
          <w:p w14:paraId="77C3A2AC" w14:textId="598BCF5D" w:rsidR="009931B5" w:rsidRPr="00CF6110" w:rsidRDefault="009931B5" w:rsidP="007502FD">
            <w:pPr>
              <w:pStyle w:val="SingleTxtG"/>
              <w:ind w:left="141" w:right="87"/>
              <w:rPr>
                <w:lang w:val="en-GB"/>
              </w:rPr>
            </w:pPr>
            <w:r w:rsidRPr="00CF6110">
              <w:rPr>
                <w:lang w:val="en-GB"/>
              </w:rPr>
              <w:t>Abrasions, bruises, lacerations, scars; fractures, and if multiple, some at different stages of healing, especially in unusual</w:t>
            </w:r>
            <w:r w:rsidR="00346947" w:rsidRPr="00CF6110">
              <w:rPr>
                <w:lang w:val="en-GB"/>
              </w:rPr>
              <w:t xml:space="preserve"> </w:t>
            </w:r>
            <w:r w:rsidRPr="00CF6110">
              <w:rPr>
                <w:lang w:val="en-GB"/>
              </w:rPr>
              <w:t>locations, which have not been treated</w:t>
            </w:r>
          </w:p>
          <w:p w14:paraId="2744A70F" w14:textId="77777777" w:rsidR="009931B5" w:rsidRPr="00CF6110" w:rsidRDefault="009931B5" w:rsidP="007502FD">
            <w:pPr>
              <w:pStyle w:val="SingleTxtG"/>
              <w:ind w:left="141" w:right="87"/>
              <w:rPr>
                <w:lang w:val="en-GB"/>
              </w:rPr>
            </w:pPr>
            <w:r w:rsidRPr="00CF6110">
              <w:rPr>
                <w:lang w:val="en-GB"/>
              </w:rPr>
              <w:t>Skull fractures, scalp bruising, laceration, cerebral contusions and other intracranial manifestations of trauma; after time, cerebral cortical scars and atrophy.</w:t>
            </w:r>
          </w:p>
          <w:p w14:paraId="0FC9A69F" w14:textId="77777777" w:rsidR="009931B5" w:rsidRPr="00CF6110" w:rsidRDefault="009931B5" w:rsidP="007502FD">
            <w:pPr>
              <w:pStyle w:val="SingleTxtG"/>
              <w:ind w:left="141" w:right="87"/>
              <w:rPr>
                <w:lang w:val="en-GB"/>
              </w:rPr>
            </w:pPr>
            <w:r w:rsidRPr="00CF6110">
              <w:rPr>
                <w:lang w:val="en-GB"/>
              </w:rPr>
              <w:t>Consider cervical spine trauma when facial trauma present.</w:t>
            </w:r>
          </w:p>
          <w:p w14:paraId="4609CFC5" w14:textId="77777777" w:rsidR="009931B5" w:rsidRPr="00CF6110" w:rsidRDefault="009931B5" w:rsidP="007502FD">
            <w:pPr>
              <w:pStyle w:val="SingleTxtG"/>
              <w:ind w:left="141" w:right="87"/>
              <w:rPr>
                <w:lang w:val="en-GB"/>
              </w:rPr>
            </w:pPr>
            <w:r w:rsidRPr="00CF6110">
              <w:rPr>
                <w:lang w:val="en-GB"/>
              </w:rPr>
              <w:t xml:space="preserve">Assess nasal bone alignment, crepitation, </w:t>
            </w:r>
            <w:proofErr w:type="gramStart"/>
            <w:r w:rsidRPr="00CF6110">
              <w:rPr>
                <w:lang w:val="en-GB"/>
              </w:rPr>
              <w:t>deviation</w:t>
            </w:r>
            <w:proofErr w:type="gramEnd"/>
            <w:r w:rsidRPr="00CF6110">
              <w:rPr>
                <w:lang w:val="en-GB"/>
              </w:rPr>
              <w:t xml:space="preserve"> of the septum; consider plain X-ray, CT scan for the septum. Assess for </w:t>
            </w:r>
            <w:proofErr w:type="spellStart"/>
            <w:r w:rsidRPr="00CF6110">
              <w:rPr>
                <w:lang w:val="en-GB"/>
              </w:rPr>
              <w:t>rhinorrhea</w:t>
            </w:r>
            <w:proofErr w:type="spellEnd"/>
            <w:r w:rsidRPr="00CF6110">
              <w:rPr>
                <w:lang w:val="en-GB"/>
              </w:rPr>
              <w:t xml:space="preserve"> and orbital plate/crista galli fracture.</w:t>
            </w:r>
          </w:p>
          <w:p w14:paraId="01748047" w14:textId="66E6856E" w:rsidR="009931B5" w:rsidRPr="00CF6110" w:rsidRDefault="009931B5" w:rsidP="007502FD">
            <w:pPr>
              <w:pStyle w:val="SingleTxtG"/>
              <w:ind w:left="141" w:right="87"/>
              <w:rPr>
                <w:lang w:val="en-GB"/>
              </w:rPr>
            </w:pPr>
            <w:r w:rsidRPr="00CF6110">
              <w:rPr>
                <w:lang w:val="en-GB"/>
              </w:rPr>
              <w:t xml:space="preserve">Consider fractures of the </w:t>
            </w:r>
            <w:proofErr w:type="spellStart"/>
            <w:r w:rsidRPr="00CF6110">
              <w:rPr>
                <w:lang w:val="en-GB"/>
              </w:rPr>
              <w:t>temporo</w:t>
            </w:r>
            <w:proofErr w:type="spellEnd"/>
            <w:r w:rsidRPr="00CF6110">
              <w:rPr>
                <w:lang w:val="en-GB"/>
              </w:rPr>
              <w:t xml:space="preserve">-mandibular and laryngeal structures. Assess these as part of a detailed neck and facial examination following subcutaneous dissection. At the same time also look for tooth avulsions and fractures; dislocated dental fillings; broken dental prosthesis; bruised tongue; lesions from </w:t>
            </w:r>
            <w:proofErr w:type="spellStart"/>
            <w:r w:rsidRPr="00CF6110">
              <w:rPr>
                <w:lang w:val="en-GB"/>
              </w:rPr>
              <w:t>forceable</w:t>
            </w:r>
            <w:proofErr w:type="spellEnd"/>
            <w:r w:rsidRPr="00CF6110">
              <w:rPr>
                <w:lang w:val="en-GB"/>
              </w:rPr>
              <w:t xml:space="preserve"> insertion of objects into the mouth, electric shocks, and</w:t>
            </w:r>
            <w:r w:rsidR="00346947" w:rsidRPr="00CF6110">
              <w:rPr>
                <w:lang w:val="en-GB"/>
              </w:rPr>
              <w:t xml:space="preserve"> </w:t>
            </w:r>
            <w:r w:rsidRPr="00CF6110">
              <w:rPr>
                <w:lang w:val="en-GB"/>
              </w:rPr>
              <w:t>burns</w:t>
            </w:r>
          </w:p>
          <w:p w14:paraId="6D69D0BF" w14:textId="77777777" w:rsidR="009931B5" w:rsidRPr="00CF6110" w:rsidRDefault="009931B5" w:rsidP="007502FD">
            <w:pPr>
              <w:pStyle w:val="SingleTxtG"/>
              <w:ind w:left="141" w:right="87"/>
              <w:rPr>
                <w:lang w:val="en-GB"/>
              </w:rPr>
            </w:pPr>
            <w:r w:rsidRPr="00CF6110">
              <w:rPr>
                <w:lang w:val="en-GB"/>
              </w:rPr>
              <w:t>Specific injuries may disclose a shape suggestive of the causative object</w:t>
            </w:r>
          </w:p>
          <w:p w14:paraId="0F7A2EFE" w14:textId="77777777" w:rsidR="009931B5" w:rsidRPr="00CF6110" w:rsidRDefault="009931B5" w:rsidP="007502FD">
            <w:pPr>
              <w:pStyle w:val="SingleTxtG"/>
              <w:ind w:left="141" w:right="87"/>
              <w:rPr>
                <w:lang w:val="en-GB"/>
              </w:rPr>
            </w:pPr>
            <w:r w:rsidRPr="00CF6110">
              <w:rPr>
                <w:lang w:val="en-GB"/>
              </w:rPr>
              <w:t xml:space="preserve">Tramline bruising from rods, truncheons, or canes </w:t>
            </w:r>
          </w:p>
          <w:p w14:paraId="5D69922D" w14:textId="77777777" w:rsidR="009931B5" w:rsidRPr="00CF6110" w:rsidRDefault="009931B5" w:rsidP="007502FD">
            <w:pPr>
              <w:pStyle w:val="SingleTxtG"/>
              <w:ind w:left="141" w:right="87"/>
              <w:rPr>
                <w:lang w:val="en-GB"/>
              </w:rPr>
            </w:pPr>
            <w:r w:rsidRPr="00CF6110">
              <w:rPr>
                <w:lang w:val="en-GB"/>
              </w:rPr>
              <w:t>Consequences of blunt force injuries to the orbit, include ‘blow out’ fractures (and/or loss of integrity of the globe), conjunctival haemorrhage, lens dislocation, subhyaloid haemorrhage, retrobulbar haemorrhage, retinal haemorrhage.</w:t>
            </w:r>
          </w:p>
        </w:tc>
      </w:tr>
      <w:tr w:rsidR="009931B5" w:rsidRPr="00CF6110" w14:paraId="7B389E58" w14:textId="77777777" w:rsidTr="007502FD">
        <w:trPr>
          <w:jc w:val="center"/>
        </w:trPr>
        <w:tc>
          <w:tcPr>
            <w:tcW w:w="3208" w:type="dxa"/>
          </w:tcPr>
          <w:p w14:paraId="1072BCFC" w14:textId="77777777" w:rsidR="009931B5" w:rsidRPr="00CF6110" w:rsidRDefault="009931B5" w:rsidP="007502FD">
            <w:pPr>
              <w:pStyle w:val="SingleTxtG"/>
              <w:tabs>
                <w:tab w:val="left" w:pos="2839"/>
              </w:tabs>
              <w:ind w:left="89" w:right="142"/>
              <w:rPr>
                <w:lang w:val="en-GB"/>
              </w:rPr>
            </w:pPr>
            <w:r w:rsidRPr="00CF6110">
              <w:rPr>
                <w:lang w:val="en-GB"/>
              </w:rPr>
              <w:t xml:space="preserve">Suspension by the wrists (“La </w:t>
            </w:r>
            <w:proofErr w:type="spellStart"/>
            <w:r w:rsidRPr="00CF6110">
              <w:rPr>
                <w:lang w:val="en-GB"/>
              </w:rPr>
              <w:t>bandera</w:t>
            </w:r>
            <w:proofErr w:type="spellEnd"/>
            <w:r w:rsidRPr="00CF6110">
              <w:rPr>
                <w:lang w:val="en-GB"/>
              </w:rPr>
              <w:t>”)</w:t>
            </w:r>
            <w:r w:rsidRPr="00CF6110">
              <w:rPr>
                <w:vertAlign w:val="superscript"/>
                <w:lang w:val="en-GB"/>
              </w:rPr>
              <w:footnoteReference w:id="116"/>
            </w:r>
          </w:p>
          <w:p w14:paraId="1CC8BE74" w14:textId="77777777" w:rsidR="009931B5" w:rsidRPr="00CF6110" w:rsidRDefault="009931B5" w:rsidP="007502FD">
            <w:pPr>
              <w:pStyle w:val="SingleTxtG"/>
              <w:tabs>
                <w:tab w:val="left" w:pos="2839"/>
              </w:tabs>
              <w:ind w:left="89" w:right="142"/>
              <w:rPr>
                <w:lang w:val="en-GB"/>
              </w:rPr>
            </w:pPr>
          </w:p>
        </w:tc>
        <w:tc>
          <w:tcPr>
            <w:tcW w:w="5190" w:type="dxa"/>
          </w:tcPr>
          <w:p w14:paraId="5C3F36BD" w14:textId="77777777" w:rsidR="009931B5" w:rsidRPr="00CF6110" w:rsidRDefault="009931B5" w:rsidP="007502FD">
            <w:pPr>
              <w:pStyle w:val="SingleTxtG"/>
              <w:ind w:left="141" w:right="87"/>
              <w:rPr>
                <w:lang w:val="en-GB"/>
              </w:rPr>
            </w:pPr>
            <w:r w:rsidRPr="00CF6110">
              <w:rPr>
                <w:lang w:val="en-GB"/>
              </w:rPr>
              <w:t>Bruises or scars around the wrists; a chronic linear zone around a wrist or ankle, with few hairs or follicles is most likely to be a cicatricial alopecia from prolonged application of a tight ligature. There is no differential diagnosis of spontaneous skin disease for such an appearance.</w:t>
            </w:r>
          </w:p>
          <w:p w14:paraId="0023DF42" w14:textId="77777777" w:rsidR="009931B5" w:rsidRPr="00CF6110" w:rsidRDefault="009931B5" w:rsidP="007502FD">
            <w:pPr>
              <w:pStyle w:val="SingleTxtG"/>
              <w:ind w:left="141" w:right="87"/>
              <w:rPr>
                <w:lang w:val="en-GB"/>
              </w:rPr>
            </w:pPr>
          </w:p>
        </w:tc>
      </w:tr>
      <w:tr w:rsidR="009931B5" w:rsidRPr="00CF6110" w14:paraId="1F09E077" w14:textId="77777777" w:rsidTr="007502FD">
        <w:trPr>
          <w:jc w:val="center"/>
        </w:trPr>
        <w:tc>
          <w:tcPr>
            <w:tcW w:w="3208" w:type="dxa"/>
          </w:tcPr>
          <w:p w14:paraId="461F9F17" w14:textId="77777777" w:rsidR="009931B5" w:rsidRPr="00CF6110" w:rsidRDefault="009931B5" w:rsidP="007502FD">
            <w:pPr>
              <w:pStyle w:val="SingleTxtG"/>
              <w:tabs>
                <w:tab w:val="left" w:pos="2839"/>
              </w:tabs>
              <w:ind w:left="89" w:right="142"/>
              <w:rPr>
                <w:lang w:val="en-GB"/>
              </w:rPr>
            </w:pPr>
            <w:r w:rsidRPr="00CF6110">
              <w:rPr>
                <w:lang w:val="en-GB"/>
              </w:rPr>
              <w:t>Suspension by the arms (eg “cross suspension” – spreading the arms and tying them to a horizontal bar; “butchery” – tying the hands together upwards, or one by one) or neck</w:t>
            </w:r>
          </w:p>
          <w:p w14:paraId="462706A7" w14:textId="77777777" w:rsidR="009931B5" w:rsidRPr="00CF6110" w:rsidRDefault="009931B5" w:rsidP="007502FD">
            <w:pPr>
              <w:pStyle w:val="SingleTxtG"/>
              <w:tabs>
                <w:tab w:val="left" w:pos="2839"/>
              </w:tabs>
              <w:ind w:left="89" w:right="142"/>
              <w:rPr>
                <w:lang w:val="en-GB"/>
              </w:rPr>
            </w:pPr>
          </w:p>
        </w:tc>
        <w:tc>
          <w:tcPr>
            <w:tcW w:w="5190" w:type="dxa"/>
          </w:tcPr>
          <w:p w14:paraId="62371194" w14:textId="77777777" w:rsidR="009931B5" w:rsidRPr="00CF6110" w:rsidRDefault="009931B5" w:rsidP="007502FD">
            <w:pPr>
              <w:pStyle w:val="SingleTxtG"/>
              <w:ind w:left="141" w:right="87"/>
              <w:rPr>
                <w:lang w:val="en-GB"/>
              </w:rPr>
            </w:pPr>
            <w:r w:rsidRPr="00CF6110">
              <w:rPr>
                <w:lang w:val="en-GB"/>
              </w:rPr>
              <w:t>Bruising or scars at the site of binding; prominent lividity in lower extremities; neck trauma (often minimal but may include fractures to larynx).</w:t>
            </w:r>
          </w:p>
          <w:p w14:paraId="75AA3D98" w14:textId="77777777" w:rsidR="009931B5" w:rsidRPr="00CF6110" w:rsidRDefault="009931B5" w:rsidP="007502FD">
            <w:pPr>
              <w:pStyle w:val="SingleTxtG"/>
              <w:ind w:left="141" w:right="87"/>
              <w:rPr>
                <w:lang w:val="en-GB"/>
              </w:rPr>
            </w:pPr>
          </w:p>
        </w:tc>
      </w:tr>
      <w:tr w:rsidR="009931B5" w:rsidRPr="00CF6110" w14:paraId="0BB2DCA9" w14:textId="77777777" w:rsidTr="007502FD">
        <w:trPr>
          <w:jc w:val="center"/>
        </w:trPr>
        <w:tc>
          <w:tcPr>
            <w:tcW w:w="3208" w:type="dxa"/>
          </w:tcPr>
          <w:p w14:paraId="58F4EC9A" w14:textId="77777777" w:rsidR="009931B5" w:rsidRPr="00CF6110" w:rsidRDefault="009931B5" w:rsidP="007502FD">
            <w:pPr>
              <w:pStyle w:val="SingleTxtG"/>
              <w:tabs>
                <w:tab w:val="left" w:pos="2839"/>
              </w:tabs>
              <w:ind w:left="89" w:right="142"/>
              <w:rPr>
                <w:lang w:val="en-GB"/>
              </w:rPr>
            </w:pPr>
            <w:r w:rsidRPr="00CF6110">
              <w:rPr>
                <w:lang w:val="en-GB"/>
              </w:rPr>
              <w:lastRenderedPageBreak/>
              <w:t>Suspension by the feet upwards and head downwards (“reverse butchery”, “</w:t>
            </w:r>
            <w:proofErr w:type="spellStart"/>
            <w:r w:rsidRPr="00CF6110">
              <w:rPr>
                <w:lang w:val="en-GB"/>
              </w:rPr>
              <w:t>murcielago</w:t>
            </w:r>
            <w:proofErr w:type="spellEnd"/>
            <w:r w:rsidRPr="00CF6110">
              <w:rPr>
                <w:lang w:val="en-GB"/>
              </w:rPr>
              <w:t>”)</w:t>
            </w:r>
          </w:p>
          <w:p w14:paraId="4725B2B3" w14:textId="77777777" w:rsidR="009931B5" w:rsidRPr="00CF6110" w:rsidRDefault="009931B5" w:rsidP="007502FD">
            <w:pPr>
              <w:pStyle w:val="SingleTxtG"/>
              <w:tabs>
                <w:tab w:val="left" w:pos="2839"/>
              </w:tabs>
              <w:ind w:left="89" w:right="142"/>
              <w:rPr>
                <w:lang w:val="en-GB"/>
              </w:rPr>
            </w:pPr>
          </w:p>
        </w:tc>
        <w:tc>
          <w:tcPr>
            <w:tcW w:w="5190" w:type="dxa"/>
          </w:tcPr>
          <w:p w14:paraId="0C45664E" w14:textId="77777777" w:rsidR="009931B5" w:rsidRPr="00CF6110" w:rsidRDefault="009931B5" w:rsidP="007502FD">
            <w:pPr>
              <w:pStyle w:val="SingleTxtG"/>
              <w:ind w:left="141" w:right="87"/>
              <w:rPr>
                <w:lang w:val="en-GB"/>
              </w:rPr>
            </w:pPr>
            <w:r w:rsidRPr="00CF6110">
              <w:rPr>
                <w:lang w:val="en-GB"/>
              </w:rPr>
              <w:t>Bruises or scars around the ankles; ligamentous damage, dislocations to ankles or other joints.</w:t>
            </w:r>
          </w:p>
          <w:p w14:paraId="5D7279AD" w14:textId="77777777" w:rsidR="009931B5" w:rsidRPr="00CF6110" w:rsidRDefault="009931B5" w:rsidP="007502FD">
            <w:pPr>
              <w:pStyle w:val="SingleTxtG"/>
              <w:ind w:left="141" w:right="87"/>
              <w:rPr>
                <w:lang w:val="en-GB"/>
              </w:rPr>
            </w:pPr>
          </w:p>
        </w:tc>
      </w:tr>
      <w:tr w:rsidR="009931B5" w:rsidRPr="00CF6110" w14:paraId="493583BE" w14:textId="77777777" w:rsidTr="007502FD">
        <w:trPr>
          <w:jc w:val="center"/>
        </w:trPr>
        <w:tc>
          <w:tcPr>
            <w:tcW w:w="3208" w:type="dxa"/>
          </w:tcPr>
          <w:p w14:paraId="67C7E7B4" w14:textId="77777777" w:rsidR="009931B5" w:rsidRPr="00CF6110" w:rsidRDefault="009931B5" w:rsidP="007502FD">
            <w:pPr>
              <w:pStyle w:val="SingleTxtG"/>
              <w:tabs>
                <w:tab w:val="left" w:pos="2839"/>
              </w:tabs>
              <w:ind w:left="89" w:right="142"/>
              <w:rPr>
                <w:lang w:val="en-GB"/>
              </w:rPr>
            </w:pPr>
            <w:r w:rsidRPr="00CF6110">
              <w:rPr>
                <w:lang w:val="en-GB"/>
              </w:rPr>
              <w:t>Suspension from a ligature tied around the elbows or wrists with the arms behind the back; or the forearms bound together behind the back with the elbows flexed to 90 degrees and the forearms tied to a horizontal bar (“Palestinian hanging”)</w:t>
            </w:r>
          </w:p>
        </w:tc>
        <w:tc>
          <w:tcPr>
            <w:tcW w:w="5190" w:type="dxa"/>
          </w:tcPr>
          <w:p w14:paraId="7B10D9F3" w14:textId="77777777" w:rsidR="009931B5" w:rsidRPr="00CF6110" w:rsidRDefault="009931B5" w:rsidP="007502FD">
            <w:pPr>
              <w:pStyle w:val="SingleTxtG"/>
              <w:ind w:left="141" w:right="87"/>
              <w:rPr>
                <w:lang w:val="en-GB"/>
              </w:rPr>
            </w:pPr>
            <w:r w:rsidRPr="00CF6110">
              <w:rPr>
                <w:lang w:val="en-GB"/>
              </w:rPr>
              <w:t xml:space="preserve">Abrasions, bruises, scars around wrist(s); dislocation of shoulder joint, or ligamentous damage, muscular tears and/or necrosis to upper arm or pectoral muscles; </w:t>
            </w:r>
            <w:proofErr w:type="spellStart"/>
            <w:r w:rsidRPr="00CF6110">
              <w:rPr>
                <w:lang w:val="en-GB"/>
              </w:rPr>
              <w:t>myoglobinuric</w:t>
            </w:r>
            <w:proofErr w:type="spellEnd"/>
            <w:r w:rsidRPr="00CF6110">
              <w:rPr>
                <w:lang w:val="en-GB"/>
              </w:rPr>
              <w:t xml:space="preserve"> renal damage or failure.</w:t>
            </w:r>
          </w:p>
          <w:p w14:paraId="50863F41" w14:textId="77777777" w:rsidR="009931B5" w:rsidRPr="00CF6110" w:rsidRDefault="009931B5" w:rsidP="007502FD">
            <w:pPr>
              <w:pStyle w:val="SingleTxtG"/>
              <w:ind w:left="141" w:right="87"/>
              <w:rPr>
                <w:lang w:val="en-GB"/>
              </w:rPr>
            </w:pPr>
          </w:p>
        </w:tc>
      </w:tr>
      <w:tr w:rsidR="009931B5" w:rsidRPr="00CF6110" w14:paraId="02761903" w14:textId="77777777" w:rsidTr="007502FD">
        <w:trPr>
          <w:jc w:val="center"/>
        </w:trPr>
        <w:tc>
          <w:tcPr>
            <w:tcW w:w="3208" w:type="dxa"/>
          </w:tcPr>
          <w:p w14:paraId="250BF5C7" w14:textId="51374D48" w:rsidR="009931B5" w:rsidRPr="00CF6110" w:rsidRDefault="009931B5" w:rsidP="007502FD">
            <w:pPr>
              <w:pStyle w:val="SingleTxtG"/>
              <w:tabs>
                <w:tab w:val="left" w:pos="2839"/>
              </w:tabs>
              <w:ind w:left="89" w:right="142"/>
              <w:rPr>
                <w:lang w:val="en-GB"/>
              </w:rPr>
            </w:pPr>
            <w:r w:rsidRPr="00CF6110">
              <w:rPr>
                <w:lang w:val="en-GB"/>
              </w:rPr>
              <w:t>Suspension of a victim by the flexed knees from a bar passed below the popliteal region, usually while the wrists are tied to the ankles (“Pa</w:t>
            </w:r>
            <w:r w:rsidR="00C512ED" w:rsidRPr="00CF6110">
              <w:rPr>
                <w:lang w:val="en-GB"/>
              </w:rPr>
              <w:t>rrot perch”, “Jack”, “pau de ar</w:t>
            </w:r>
            <w:r w:rsidRPr="00CF6110">
              <w:rPr>
                <w:lang w:val="en-GB"/>
              </w:rPr>
              <w:t>ara”). (Can lead to cruciate ligament tears)</w:t>
            </w:r>
          </w:p>
        </w:tc>
        <w:tc>
          <w:tcPr>
            <w:tcW w:w="5190" w:type="dxa"/>
          </w:tcPr>
          <w:p w14:paraId="56E0A065" w14:textId="77777777" w:rsidR="009931B5" w:rsidRPr="00CF6110" w:rsidRDefault="009931B5" w:rsidP="007502FD">
            <w:pPr>
              <w:pStyle w:val="SingleTxtG"/>
              <w:ind w:left="141" w:right="87"/>
              <w:rPr>
                <w:lang w:val="en-GB"/>
              </w:rPr>
            </w:pPr>
            <w:r w:rsidRPr="00CF6110">
              <w:rPr>
                <w:lang w:val="en-GB"/>
              </w:rPr>
              <w:t>Abrasions, bruises, and/or lacerations, scars on the anterior forearms and backs of the knees; abrasions, bruises to the wrists and/or ankles.</w:t>
            </w:r>
          </w:p>
        </w:tc>
      </w:tr>
      <w:tr w:rsidR="009931B5" w:rsidRPr="00CF6110" w14:paraId="33FA8187" w14:textId="77777777" w:rsidTr="007502FD">
        <w:trPr>
          <w:jc w:val="center"/>
        </w:trPr>
        <w:tc>
          <w:tcPr>
            <w:tcW w:w="3208" w:type="dxa"/>
          </w:tcPr>
          <w:p w14:paraId="07AA4529" w14:textId="77777777" w:rsidR="009931B5" w:rsidRPr="00CF6110" w:rsidRDefault="009931B5" w:rsidP="007502FD">
            <w:pPr>
              <w:pStyle w:val="SingleTxtG"/>
              <w:tabs>
                <w:tab w:val="left" w:pos="2839"/>
              </w:tabs>
              <w:ind w:left="89" w:right="142"/>
              <w:rPr>
                <w:lang w:val="en-GB"/>
              </w:rPr>
            </w:pPr>
            <w:r w:rsidRPr="00CF6110">
              <w:rPr>
                <w:lang w:val="en-GB"/>
              </w:rPr>
              <w:t>Forcible immersions of head in water often contaminated with urine, faeces, vomit or other impurities (“wet submarine”, “</w:t>
            </w:r>
            <w:proofErr w:type="spellStart"/>
            <w:r w:rsidRPr="00CF6110">
              <w:rPr>
                <w:lang w:val="en-GB"/>
              </w:rPr>
              <w:t>pileta</w:t>
            </w:r>
            <w:proofErr w:type="spellEnd"/>
            <w:r w:rsidRPr="00CF6110">
              <w:rPr>
                <w:lang w:val="en-GB"/>
              </w:rPr>
              <w:t>”, “</w:t>
            </w:r>
            <w:proofErr w:type="spellStart"/>
            <w:r w:rsidRPr="00CF6110">
              <w:rPr>
                <w:lang w:val="en-GB"/>
              </w:rPr>
              <w:t>latina</w:t>
            </w:r>
            <w:proofErr w:type="spellEnd"/>
            <w:r w:rsidRPr="00CF6110">
              <w:rPr>
                <w:lang w:val="en-GB"/>
              </w:rPr>
              <w:t>”)</w:t>
            </w:r>
          </w:p>
          <w:p w14:paraId="2A2BEACC" w14:textId="77777777" w:rsidR="009931B5" w:rsidRPr="00CF6110" w:rsidRDefault="009931B5" w:rsidP="007502FD">
            <w:pPr>
              <w:pStyle w:val="SingleTxtG"/>
              <w:tabs>
                <w:tab w:val="left" w:pos="2839"/>
              </w:tabs>
              <w:ind w:left="89" w:right="142"/>
              <w:rPr>
                <w:lang w:val="en-GB"/>
              </w:rPr>
            </w:pPr>
          </w:p>
        </w:tc>
        <w:tc>
          <w:tcPr>
            <w:tcW w:w="5190" w:type="dxa"/>
          </w:tcPr>
          <w:p w14:paraId="71DB67B8" w14:textId="77777777" w:rsidR="009931B5" w:rsidRPr="00CF6110" w:rsidRDefault="009931B5" w:rsidP="007502FD">
            <w:pPr>
              <w:pStyle w:val="SingleTxtG"/>
              <w:ind w:left="141" w:right="87"/>
              <w:rPr>
                <w:lang w:val="en-GB"/>
              </w:rPr>
            </w:pPr>
            <w:r w:rsidRPr="00CF6110">
              <w:rPr>
                <w:lang w:val="en-GB"/>
              </w:rPr>
              <w:t>Signs of drowning/near drowning; faecal or other debris in the mouth, pharynx, trachea, oesophagus or lungs. If survival, pneumonia.</w:t>
            </w:r>
          </w:p>
          <w:p w14:paraId="0926E3B6" w14:textId="77777777" w:rsidR="009931B5" w:rsidRPr="00CF6110" w:rsidRDefault="009931B5" w:rsidP="007502FD">
            <w:pPr>
              <w:pStyle w:val="SingleTxtG"/>
              <w:ind w:left="141" w:right="87"/>
              <w:rPr>
                <w:lang w:val="en-GB"/>
              </w:rPr>
            </w:pPr>
          </w:p>
        </w:tc>
      </w:tr>
      <w:tr w:rsidR="009931B5" w:rsidRPr="00CF6110" w14:paraId="707CE294" w14:textId="77777777" w:rsidTr="007502FD">
        <w:trPr>
          <w:jc w:val="center"/>
        </w:trPr>
        <w:tc>
          <w:tcPr>
            <w:tcW w:w="3208" w:type="dxa"/>
          </w:tcPr>
          <w:p w14:paraId="2C47EBAA" w14:textId="77777777" w:rsidR="009931B5" w:rsidRPr="00CF6110" w:rsidRDefault="009931B5" w:rsidP="007502FD">
            <w:pPr>
              <w:pStyle w:val="SingleTxtG"/>
              <w:tabs>
                <w:tab w:val="left" w:pos="2839"/>
              </w:tabs>
              <w:ind w:left="89" w:right="142"/>
              <w:rPr>
                <w:lang w:val="en-GB"/>
              </w:rPr>
            </w:pPr>
            <w:r w:rsidRPr="00CF6110">
              <w:rPr>
                <w:lang w:val="en-GB"/>
              </w:rPr>
              <w:t>Many other forms of positional torture, tying or restraining victims in contorted, hyperextended or other unnatural positions</w:t>
            </w:r>
          </w:p>
          <w:p w14:paraId="5E28A782" w14:textId="77777777" w:rsidR="009931B5" w:rsidRPr="00CF6110" w:rsidRDefault="009931B5" w:rsidP="007502FD">
            <w:pPr>
              <w:pStyle w:val="SingleTxtG"/>
              <w:tabs>
                <w:tab w:val="left" w:pos="2839"/>
              </w:tabs>
              <w:ind w:left="89" w:right="142"/>
              <w:rPr>
                <w:lang w:val="en-GB"/>
              </w:rPr>
            </w:pPr>
          </w:p>
        </w:tc>
        <w:tc>
          <w:tcPr>
            <w:tcW w:w="5190" w:type="dxa"/>
          </w:tcPr>
          <w:p w14:paraId="58AEFC65" w14:textId="77777777" w:rsidR="009931B5" w:rsidRPr="00CF6110" w:rsidRDefault="009931B5" w:rsidP="007502FD">
            <w:pPr>
              <w:pStyle w:val="SingleTxtG"/>
              <w:ind w:left="141" w:right="87"/>
              <w:rPr>
                <w:lang w:val="en-GB"/>
              </w:rPr>
            </w:pPr>
            <w:r w:rsidRPr="00CF6110">
              <w:rPr>
                <w:lang w:val="en-GB"/>
              </w:rPr>
              <w:t>Producing fractures, dislocations, injuries to ligaments, tendons, nerves and blood vessels, both recent and old.</w:t>
            </w:r>
          </w:p>
          <w:p w14:paraId="4C15842F" w14:textId="77777777" w:rsidR="009931B5" w:rsidRPr="00CF6110" w:rsidRDefault="009931B5" w:rsidP="007502FD">
            <w:pPr>
              <w:pStyle w:val="SingleTxtG"/>
              <w:ind w:left="141" w:right="87"/>
              <w:rPr>
                <w:lang w:val="en-GB"/>
              </w:rPr>
            </w:pPr>
          </w:p>
        </w:tc>
      </w:tr>
      <w:tr w:rsidR="009931B5" w:rsidRPr="00CF6110" w14:paraId="0B8F1D12" w14:textId="77777777" w:rsidTr="007502FD">
        <w:trPr>
          <w:jc w:val="center"/>
        </w:trPr>
        <w:tc>
          <w:tcPr>
            <w:tcW w:w="3208" w:type="dxa"/>
          </w:tcPr>
          <w:p w14:paraId="020D2A00" w14:textId="77777777" w:rsidR="009931B5" w:rsidRPr="00CF6110" w:rsidRDefault="009931B5" w:rsidP="007502FD">
            <w:pPr>
              <w:pStyle w:val="SingleTxtG"/>
              <w:tabs>
                <w:tab w:val="left" w:pos="2839"/>
              </w:tabs>
              <w:ind w:left="89" w:right="142"/>
              <w:rPr>
                <w:lang w:val="en-GB"/>
              </w:rPr>
            </w:pPr>
            <w:r w:rsidRPr="00CF6110">
              <w:rPr>
                <w:lang w:val="en-GB"/>
              </w:rPr>
              <w:t xml:space="preserve">Blunt abdominal trauma while lying on a table with the upper half of the body unsupported (“operating table”, “el </w:t>
            </w:r>
            <w:proofErr w:type="spellStart"/>
            <w:r w:rsidRPr="00CF6110">
              <w:rPr>
                <w:lang w:val="en-GB"/>
              </w:rPr>
              <w:t>quirofano</w:t>
            </w:r>
            <w:proofErr w:type="spellEnd"/>
            <w:r w:rsidRPr="00CF6110">
              <w:rPr>
                <w:lang w:val="en-GB"/>
              </w:rPr>
              <w:t>”)</w:t>
            </w:r>
          </w:p>
          <w:p w14:paraId="4E10FA92" w14:textId="77777777" w:rsidR="009931B5" w:rsidRPr="00CF6110" w:rsidRDefault="009931B5" w:rsidP="007502FD">
            <w:pPr>
              <w:pStyle w:val="SingleTxtG"/>
              <w:tabs>
                <w:tab w:val="left" w:pos="2839"/>
              </w:tabs>
              <w:ind w:left="89" w:right="142"/>
              <w:rPr>
                <w:lang w:val="en-GB"/>
              </w:rPr>
            </w:pPr>
          </w:p>
        </w:tc>
        <w:tc>
          <w:tcPr>
            <w:tcW w:w="5190" w:type="dxa"/>
          </w:tcPr>
          <w:p w14:paraId="7C699232" w14:textId="77777777" w:rsidR="009931B5" w:rsidRPr="00CF6110" w:rsidRDefault="009931B5" w:rsidP="007502FD">
            <w:pPr>
              <w:pStyle w:val="SingleTxtG"/>
              <w:ind w:left="141" w:right="87"/>
              <w:rPr>
                <w:lang w:val="en-GB"/>
              </w:rPr>
            </w:pPr>
            <w:proofErr w:type="gramStart"/>
            <w:r w:rsidRPr="00CF6110">
              <w:rPr>
                <w:lang w:val="en-GB"/>
              </w:rPr>
              <w:t>abdominal</w:t>
            </w:r>
            <w:proofErr w:type="gramEnd"/>
            <w:r w:rsidRPr="00CF6110">
              <w:rPr>
                <w:lang w:val="en-GB"/>
              </w:rPr>
              <w:t xml:space="preserve"> bruises, back injuries, injuries to abdominal viscera including rupture. Intramuscular, retroperitoneal, intra-abdominal haemorrhage.</w:t>
            </w:r>
          </w:p>
          <w:p w14:paraId="791A933A" w14:textId="77777777" w:rsidR="009931B5" w:rsidRPr="00CF6110" w:rsidRDefault="009931B5" w:rsidP="007502FD">
            <w:pPr>
              <w:pStyle w:val="SingleTxtG"/>
              <w:ind w:left="141" w:right="87"/>
              <w:rPr>
                <w:lang w:val="en-GB"/>
              </w:rPr>
            </w:pPr>
          </w:p>
        </w:tc>
      </w:tr>
      <w:tr w:rsidR="009931B5" w:rsidRPr="00CF6110" w14:paraId="0C6E6732" w14:textId="77777777" w:rsidTr="007502FD">
        <w:trPr>
          <w:jc w:val="center"/>
        </w:trPr>
        <w:tc>
          <w:tcPr>
            <w:tcW w:w="3208" w:type="dxa"/>
          </w:tcPr>
          <w:p w14:paraId="0C5AFEE7" w14:textId="77777777" w:rsidR="009931B5" w:rsidRPr="00CF6110" w:rsidRDefault="009931B5" w:rsidP="007502FD">
            <w:pPr>
              <w:pStyle w:val="SingleTxtG"/>
              <w:tabs>
                <w:tab w:val="left" w:pos="2839"/>
              </w:tabs>
              <w:ind w:left="89" w:right="142"/>
              <w:rPr>
                <w:lang w:val="en-GB"/>
              </w:rPr>
            </w:pPr>
            <w:r w:rsidRPr="00CF6110">
              <w:rPr>
                <w:lang w:val="en-GB"/>
              </w:rPr>
              <w:t>Hard slap of palm to one or both ears (“</w:t>
            </w:r>
            <w:proofErr w:type="spellStart"/>
            <w:r w:rsidRPr="00CF6110">
              <w:rPr>
                <w:lang w:val="en-GB"/>
              </w:rPr>
              <w:t>telefono</w:t>
            </w:r>
            <w:proofErr w:type="spellEnd"/>
            <w:r w:rsidRPr="00CF6110">
              <w:rPr>
                <w:lang w:val="en-GB"/>
              </w:rPr>
              <w:t>”)</w:t>
            </w:r>
          </w:p>
          <w:p w14:paraId="19F1A2B6" w14:textId="77777777" w:rsidR="009931B5" w:rsidRPr="00CF6110" w:rsidRDefault="009931B5" w:rsidP="007502FD">
            <w:pPr>
              <w:pStyle w:val="SingleTxtG"/>
              <w:tabs>
                <w:tab w:val="left" w:pos="2839"/>
              </w:tabs>
              <w:ind w:left="89" w:right="142"/>
              <w:rPr>
                <w:lang w:val="en-GB"/>
              </w:rPr>
            </w:pPr>
          </w:p>
        </w:tc>
        <w:tc>
          <w:tcPr>
            <w:tcW w:w="5190" w:type="dxa"/>
          </w:tcPr>
          <w:p w14:paraId="65FBDBD5" w14:textId="77777777" w:rsidR="009931B5" w:rsidRPr="00CF6110" w:rsidRDefault="009931B5" w:rsidP="007502FD">
            <w:pPr>
              <w:pStyle w:val="SingleTxtG"/>
              <w:ind w:left="141" w:right="87"/>
              <w:rPr>
                <w:lang w:val="en-GB"/>
              </w:rPr>
            </w:pPr>
            <w:proofErr w:type="gramStart"/>
            <w:r w:rsidRPr="00CF6110">
              <w:rPr>
                <w:lang w:val="en-GB"/>
              </w:rPr>
              <w:t>rapid</w:t>
            </w:r>
            <w:proofErr w:type="gramEnd"/>
            <w:r w:rsidRPr="00CF6110">
              <w:rPr>
                <w:lang w:val="en-GB"/>
              </w:rPr>
              <w:t xml:space="preserve"> increase of pressure in ear canals causes ruptured ear drum(s); after time, these will appear scarred. There may be injuries to the external ear. Use otoscope.</w:t>
            </w:r>
          </w:p>
          <w:p w14:paraId="0A2D71AB" w14:textId="77777777" w:rsidR="009931B5" w:rsidRPr="00CF6110" w:rsidRDefault="009931B5" w:rsidP="007502FD">
            <w:pPr>
              <w:pStyle w:val="SingleTxtG"/>
              <w:ind w:left="141" w:right="87"/>
              <w:rPr>
                <w:lang w:val="en-GB"/>
              </w:rPr>
            </w:pPr>
          </w:p>
        </w:tc>
      </w:tr>
      <w:tr w:rsidR="009931B5" w:rsidRPr="00CF6110" w14:paraId="5612DAB3" w14:textId="77777777" w:rsidTr="007502FD">
        <w:trPr>
          <w:jc w:val="center"/>
        </w:trPr>
        <w:tc>
          <w:tcPr>
            <w:tcW w:w="3208" w:type="dxa"/>
          </w:tcPr>
          <w:p w14:paraId="027993E1" w14:textId="77777777" w:rsidR="009931B5" w:rsidRPr="00CF6110" w:rsidRDefault="009931B5" w:rsidP="007502FD">
            <w:pPr>
              <w:pStyle w:val="SingleTxtG"/>
              <w:tabs>
                <w:tab w:val="left" w:pos="2839"/>
              </w:tabs>
              <w:ind w:left="89" w:right="142"/>
              <w:rPr>
                <w:lang w:val="en-GB"/>
              </w:rPr>
            </w:pPr>
            <w:r w:rsidRPr="00CF6110">
              <w:rPr>
                <w:lang w:val="en-GB"/>
              </w:rPr>
              <w:t>Whipping</w:t>
            </w:r>
          </w:p>
          <w:p w14:paraId="0D2AC062" w14:textId="77777777" w:rsidR="009931B5" w:rsidRPr="00CF6110" w:rsidRDefault="009931B5" w:rsidP="007502FD">
            <w:pPr>
              <w:pStyle w:val="SingleTxtG"/>
              <w:tabs>
                <w:tab w:val="left" w:pos="2839"/>
              </w:tabs>
              <w:ind w:left="89" w:right="142"/>
              <w:rPr>
                <w:lang w:val="en-GB"/>
              </w:rPr>
            </w:pPr>
          </w:p>
        </w:tc>
        <w:tc>
          <w:tcPr>
            <w:tcW w:w="5190" w:type="dxa"/>
          </w:tcPr>
          <w:p w14:paraId="3C23386F" w14:textId="77777777" w:rsidR="009931B5" w:rsidRPr="00CF6110" w:rsidRDefault="009931B5" w:rsidP="007502FD">
            <w:pPr>
              <w:pStyle w:val="SingleTxtG"/>
              <w:ind w:left="141" w:right="87"/>
              <w:rPr>
                <w:lang w:val="en-GB"/>
              </w:rPr>
            </w:pPr>
            <w:r w:rsidRPr="00CF6110">
              <w:rPr>
                <w:lang w:val="en-GB"/>
              </w:rPr>
              <w:t xml:space="preserve">Multiple depigmented, hypertrophic linear scars surrounded by a zone of hyperpigmentation most likely are the consequence of whipping. Exclude plant dermatitis </w:t>
            </w:r>
          </w:p>
          <w:p w14:paraId="2E38DA13" w14:textId="77777777" w:rsidR="009931B5" w:rsidRPr="00CF6110" w:rsidRDefault="009931B5" w:rsidP="007502FD">
            <w:pPr>
              <w:pStyle w:val="SingleTxtG"/>
              <w:ind w:left="141" w:right="87"/>
              <w:rPr>
                <w:lang w:val="en-GB"/>
              </w:rPr>
            </w:pPr>
          </w:p>
        </w:tc>
      </w:tr>
      <w:tr w:rsidR="009931B5" w:rsidRPr="00CF6110" w14:paraId="7DE82823" w14:textId="77777777" w:rsidTr="007502FD">
        <w:trPr>
          <w:jc w:val="center"/>
        </w:trPr>
        <w:tc>
          <w:tcPr>
            <w:tcW w:w="3208" w:type="dxa"/>
          </w:tcPr>
          <w:p w14:paraId="2C5CF007" w14:textId="77777777" w:rsidR="009931B5" w:rsidRPr="00CF6110" w:rsidRDefault="009931B5" w:rsidP="007502FD">
            <w:pPr>
              <w:pStyle w:val="SingleTxtG"/>
              <w:tabs>
                <w:tab w:val="left" w:pos="2839"/>
              </w:tabs>
              <w:ind w:left="89" w:right="142"/>
              <w:rPr>
                <w:lang w:val="en-GB"/>
              </w:rPr>
            </w:pPr>
            <w:r w:rsidRPr="00CF6110">
              <w:rPr>
                <w:lang w:val="en-GB"/>
              </w:rPr>
              <w:t>Forcible removal of a fingernail or toenail</w:t>
            </w:r>
          </w:p>
        </w:tc>
        <w:tc>
          <w:tcPr>
            <w:tcW w:w="5190" w:type="dxa"/>
          </w:tcPr>
          <w:p w14:paraId="0470FEB5" w14:textId="77777777" w:rsidR="009931B5" w:rsidRPr="00CF6110" w:rsidRDefault="009931B5" w:rsidP="007502FD">
            <w:pPr>
              <w:pStyle w:val="SingleTxtG"/>
              <w:ind w:left="141" w:right="87"/>
              <w:rPr>
                <w:lang w:val="en-GB"/>
              </w:rPr>
            </w:pPr>
            <w:r w:rsidRPr="00CF6110">
              <w:rPr>
                <w:lang w:val="en-GB"/>
              </w:rPr>
              <w:t xml:space="preserve">Acutely, laceration and bruising to the nail bed and skin of the distal phalanx; other injuries associated with restraint. Later, an overgrowth of tissue may be produced at the nail fold forming a pterygium. Lichen planus is the relevant </w:t>
            </w:r>
            <w:r w:rsidRPr="00CF6110">
              <w:rPr>
                <w:lang w:val="en-GB"/>
              </w:rPr>
              <w:lastRenderedPageBreak/>
              <w:t>differential diagnosis, and this is usually accompanied by other skin lesions. Fungal infections produce thickened yellowish crumbling nails</w:t>
            </w:r>
          </w:p>
        </w:tc>
      </w:tr>
      <w:tr w:rsidR="009931B5" w:rsidRPr="00CF6110" w14:paraId="3F6209F9" w14:textId="77777777" w:rsidTr="007502FD">
        <w:trPr>
          <w:jc w:val="center"/>
        </w:trPr>
        <w:tc>
          <w:tcPr>
            <w:tcW w:w="3208" w:type="dxa"/>
          </w:tcPr>
          <w:p w14:paraId="4E58C45E" w14:textId="77777777" w:rsidR="009931B5" w:rsidRPr="00CF6110" w:rsidRDefault="009931B5" w:rsidP="007502FD">
            <w:pPr>
              <w:pStyle w:val="SingleTxtG"/>
              <w:tabs>
                <w:tab w:val="left" w:pos="2839"/>
              </w:tabs>
              <w:ind w:left="89" w:right="142"/>
              <w:rPr>
                <w:lang w:val="en-GB"/>
              </w:rPr>
            </w:pPr>
            <w:r w:rsidRPr="00CF6110">
              <w:rPr>
                <w:lang w:val="en-GB"/>
              </w:rPr>
              <w:lastRenderedPageBreak/>
              <w:t>Burns</w:t>
            </w:r>
          </w:p>
        </w:tc>
        <w:tc>
          <w:tcPr>
            <w:tcW w:w="5190" w:type="dxa"/>
          </w:tcPr>
          <w:p w14:paraId="3E723B84" w14:textId="77777777" w:rsidR="009931B5" w:rsidRPr="00CF6110" w:rsidRDefault="009931B5" w:rsidP="007502FD">
            <w:pPr>
              <w:pStyle w:val="SingleTxtG"/>
              <w:ind w:left="141" w:right="87"/>
              <w:rPr>
                <w:lang w:val="en-GB"/>
              </w:rPr>
            </w:pPr>
            <w:r w:rsidRPr="00CF6110">
              <w:rPr>
                <w:lang w:val="en-GB"/>
              </w:rPr>
              <w:t xml:space="preserve">Cigarette, hot objects acutely result in characteristic burns (after time, these cause atrophic scars with narrow hypertrophic and hyper-pigmented periphery. Spontaneously occurring inflammatory processes lack this characteristic marginal zone); when the nail matrix is burnt subsequent growth produces striped thin deformed nails, sometimes broken up in longitudinal segments </w:t>
            </w:r>
          </w:p>
        </w:tc>
      </w:tr>
      <w:tr w:rsidR="009931B5" w:rsidRPr="00CF6110" w14:paraId="481ACC74" w14:textId="77777777" w:rsidTr="007502FD">
        <w:trPr>
          <w:jc w:val="center"/>
        </w:trPr>
        <w:tc>
          <w:tcPr>
            <w:tcW w:w="3208" w:type="dxa"/>
          </w:tcPr>
          <w:p w14:paraId="2F257930" w14:textId="77777777" w:rsidR="009931B5" w:rsidRPr="00CF6110" w:rsidRDefault="009931B5" w:rsidP="007502FD">
            <w:pPr>
              <w:pStyle w:val="SingleTxtG"/>
              <w:tabs>
                <w:tab w:val="left" w:pos="2839"/>
              </w:tabs>
              <w:ind w:left="89" w:right="142"/>
              <w:rPr>
                <w:lang w:val="en-GB"/>
              </w:rPr>
            </w:pPr>
            <w:r w:rsidRPr="00CF6110">
              <w:rPr>
                <w:lang w:val="en-GB"/>
              </w:rPr>
              <w:t xml:space="preserve">Electric shock (eg wires connected to a source of electricity; cattle prod - “La </w:t>
            </w:r>
            <w:proofErr w:type="spellStart"/>
            <w:r w:rsidRPr="00CF6110">
              <w:rPr>
                <w:lang w:val="en-GB"/>
              </w:rPr>
              <w:t>Picana</w:t>
            </w:r>
            <w:proofErr w:type="spellEnd"/>
            <w:r w:rsidRPr="00CF6110">
              <w:rPr>
                <w:lang w:val="en-GB"/>
              </w:rPr>
              <w:t>”; heated metal skewer inserted into the anus (“black slave”)</w:t>
            </w:r>
          </w:p>
          <w:p w14:paraId="4BA6F736" w14:textId="77777777" w:rsidR="009931B5" w:rsidRPr="00CF6110" w:rsidRDefault="009931B5" w:rsidP="007502FD">
            <w:pPr>
              <w:pStyle w:val="SingleTxtG"/>
              <w:tabs>
                <w:tab w:val="left" w:pos="2839"/>
              </w:tabs>
              <w:ind w:left="89" w:right="142"/>
              <w:rPr>
                <w:lang w:val="en-GB"/>
              </w:rPr>
            </w:pPr>
          </w:p>
        </w:tc>
        <w:tc>
          <w:tcPr>
            <w:tcW w:w="5190" w:type="dxa"/>
          </w:tcPr>
          <w:p w14:paraId="5F66A51D" w14:textId="09D9A786" w:rsidR="009931B5" w:rsidRPr="00CF6110" w:rsidRDefault="009931B5" w:rsidP="007502FD">
            <w:pPr>
              <w:pStyle w:val="SingleTxtG"/>
              <w:ind w:left="141" w:right="87"/>
              <w:rPr>
                <w:lang w:val="en-GB"/>
              </w:rPr>
            </w:pPr>
            <w:r w:rsidRPr="00CF6110">
              <w:rPr>
                <w:lang w:val="en-GB"/>
              </w:rPr>
              <w:t>Electric shock to hands, feet, fingers, toes, ears, nipples, mouth, lips and genitalia. Gels or water often used to prevent detectable burns. The appearance is of burns and depends upon the age of the injury. Immediately: red spots, vesicles and/or black exudate. Within</w:t>
            </w:r>
            <w:r w:rsidR="00346947" w:rsidRPr="00CF6110">
              <w:rPr>
                <w:lang w:val="en-GB"/>
              </w:rPr>
              <w:t xml:space="preserve"> </w:t>
            </w:r>
            <w:r w:rsidRPr="00CF6110">
              <w:rPr>
                <w:lang w:val="en-GB"/>
              </w:rPr>
              <w:t xml:space="preserve">a few weeks: circular reddish macular scars. At several months: small, white, reddish or brown or </w:t>
            </w:r>
            <w:proofErr w:type="spellStart"/>
            <w:r w:rsidRPr="00CF6110">
              <w:rPr>
                <w:lang w:val="en-GB"/>
              </w:rPr>
              <w:t>hyperpigmented</w:t>
            </w:r>
            <w:proofErr w:type="spellEnd"/>
            <w:r w:rsidRPr="00CF6110">
              <w:rPr>
                <w:lang w:val="en-GB"/>
              </w:rPr>
              <w:t xml:space="preserve"> spots. Peri-anal or rectal burns.</w:t>
            </w:r>
          </w:p>
          <w:p w14:paraId="7FD922D9" w14:textId="77777777" w:rsidR="009931B5" w:rsidRPr="00CF6110" w:rsidRDefault="009931B5" w:rsidP="007502FD">
            <w:pPr>
              <w:pStyle w:val="SingleTxtG"/>
              <w:ind w:left="141" w:right="87"/>
              <w:rPr>
                <w:lang w:val="en-GB"/>
              </w:rPr>
            </w:pPr>
          </w:p>
        </w:tc>
      </w:tr>
      <w:tr w:rsidR="00FB3053" w:rsidRPr="00CF6110" w14:paraId="39B65662" w14:textId="77777777" w:rsidTr="007502FD">
        <w:trPr>
          <w:jc w:val="center"/>
        </w:trPr>
        <w:tc>
          <w:tcPr>
            <w:tcW w:w="3208" w:type="dxa"/>
          </w:tcPr>
          <w:p w14:paraId="47224E17" w14:textId="77777777" w:rsidR="00FB3053" w:rsidRPr="00CF6110" w:rsidRDefault="00FB3053" w:rsidP="007502FD">
            <w:pPr>
              <w:pStyle w:val="SingleTxtG"/>
              <w:tabs>
                <w:tab w:val="left" w:pos="2839"/>
              </w:tabs>
              <w:ind w:left="89" w:right="142"/>
              <w:rPr>
                <w:lang w:val="en-GB"/>
              </w:rPr>
            </w:pPr>
            <w:r w:rsidRPr="00CF6110">
              <w:rPr>
                <w:lang w:val="en-GB"/>
              </w:rPr>
              <w:t xml:space="preserve">Repeated blunt trauma to the soles of the feet (and occasionally the hands or hips) (Falanga, </w:t>
            </w:r>
            <w:proofErr w:type="spellStart"/>
            <w:r w:rsidRPr="00CF6110">
              <w:rPr>
                <w:lang w:val="en-GB"/>
              </w:rPr>
              <w:t>Falaka</w:t>
            </w:r>
            <w:proofErr w:type="spellEnd"/>
            <w:r w:rsidRPr="00CF6110">
              <w:rPr>
                <w:lang w:val="en-GB"/>
              </w:rPr>
              <w:t>, Bastinado).</w:t>
            </w:r>
          </w:p>
        </w:tc>
        <w:tc>
          <w:tcPr>
            <w:tcW w:w="5190" w:type="dxa"/>
          </w:tcPr>
          <w:p w14:paraId="0A1A9AEE" w14:textId="77777777" w:rsidR="00FB3053" w:rsidRPr="00CF6110" w:rsidRDefault="00FB3053" w:rsidP="007502FD">
            <w:pPr>
              <w:pStyle w:val="SingleTxtG"/>
              <w:ind w:left="141" w:right="87"/>
              <w:rPr>
                <w:lang w:val="en-GB"/>
              </w:rPr>
            </w:pPr>
            <w:r w:rsidRPr="00CF6110">
              <w:rPr>
                <w:lang w:val="en-GB"/>
              </w:rPr>
              <w:t>May be missed on cursory external examination; even signs are present, swelling and not bruising may be the dominant appearance. Closed compartment syndrome may lead to muscle necrosis (aseptic), or vascular compromise of toes or even the distal foot. Fractures of carpal and metatarsals can occur. The aponeurosis and tendons may be torn. After time, irregular scars involving the skin may occur.</w:t>
            </w:r>
          </w:p>
        </w:tc>
      </w:tr>
      <w:tr w:rsidR="00FB3053" w:rsidRPr="00CF6110" w14:paraId="4552B025" w14:textId="77777777" w:rsidTr="007502FD">
        <w:trPr>
          <w:jc w:val="center"/>
        </w:trPr>
        <w:tc>
          <w:tcPr>
            <w:tcW w:w="3208" w:type="dxa"/>
          </w:tcPr>
          <w:p w14:paraId="231CB0BD" w14:textId="77777777" w:rsidR="00FB3053" w:rsidRPr="00CF6110" w:rsidRDefault="00FB3053" w:rsidP="007502FD">
            <w:pPr>
              <w:pStyle w:val="SingleTxtG"/>
              <w:tabs>
                <w:tab w:val="left" w:pos="2839"/>
              </w:tabs>
              <w:ind w:left="89" w:right="142"/>
              <w:rPr>
                <w:lang w:val="en-GB"/>
              </w:rPr>
            </w:pPr>
            <w:r w:rsidRPr="00CF6110">
              <w:rPr>
                <w:lang w:val="en-GB"/>
              </w:rPr>
              <w:t xml:space="preserve">Sexual assault. </w:t>
            </w:r>
          </w:p>
        </w:tc>
        <w:tc>
          <w:tcPr>
            <w:tcW w:w="5190" w:type="dxa"/>
          </w:tcPr>
          <w:p w14:paraId="1EB512E9" w14:textId="77777777" w:rsidR="00FB3053" w:rsidRPr="00CF6110" w:rsidRDefault="00FB3053" w:rsidP="007502FD">
            <w:pPr>
              <w:pStyle w:val="SingleTxtG"/>
              <w:ind w:left="141" w:right="87"/>
              <w:rPr>
                <w:lang w:val="en-GB"/>
              </w:rPr>
            </w:pPr>
            <w:r w:rsidRPr="00CF6110">
              <w:rPr>
                <w:lang w:val="en-GB"/>
              </w:rPr>
              <w:t xml:space="preserve">Sexually transmitted disease; pregnancy; injuries to the breasts and genitalia. </w:t>
            </w:r>
          </w:p>
          <w:p w14:paraId="23A33CBA" w14:textId="568A71D8" w:rsidR="00FB3053" w:rsidRPr="00CF6110" w:rsidRDefault="00FB3053" w:rsidP="007502FD">
            <w:pPr>
              <w:pStyle w:val="SingleTxtG"/>
              <w:ind w:left="141" w:right="87"/>
              <w:rPr>
                <w:lang w:val="en-GB"/>
              </w:rPr>
            </w:pPr>
            <w:r w:rsidRPr="00CF6110">
              <w:rPr>
                <w:lang w:val="en-GB"/>
              </w:rPr>
              <w:t>All the signs of penetration of vagina, anus and mouth</w:t>
            </w:r>
            <w:r w:rsidR="00346947" w:rsidRPr="00CF6110">
              <w:rPr>
                <w:lang w:val="en-GB"/>
              </w:rPr>
              <w:t xml:space="preserve"> </w:t>
            </w:r>
            <w:r w:rsidRPr="00CF6110">
              <w:rPr>
                <w:lang w:val="en-GB"/>
              </w:rPr>
              <w:t>and their differential diagnoses</w:t>
            </w:r>
          </w:p>
          <w:p w14:paraId="485D7B5E" w14:textId="77777777" w:rsidR="00FB3053" w:rsidRPr="00CF6110" w:rsidRDefault="00FB3053" w:rsidP="007502FD">
            <w:pPr>
              <w:pStyle w:val="SingleTxtG"/>
              <w:ind w:left="141" w:right="87"/>
              <w:rPr>
                <w:lang w:val="en-GB"/>
              </w:rPr>
            </w:pPr>
          </w:p>
        </w:tc>
      </w:tr>
    </w:tbl>
    <w:p w14:paraId="103C63F8" w14:textId="77777777" w:rsidR="00FB3053" w:rsidRPr="00CF6110" w:rsidRDefault="00FB3053" w:rsidP="00FB3053">
      <w:pPr>
        <w:pStyle w:val="SingleTxtG"/>
      </w:pPr>
    </w:p>
    <w:p w14:paraId="77D3E37A" w14:textId="77777777" w:rsidR="00FB0890" w:rsidRPr="00CF6110" w:rsidRDefault="00FB0890" w:rsidP="00FB0890">
      <w:pPr>
        <w:pStyle w:val="H1G"/>
        <w:spacing w:line="240" w:lineRule="atLeast"/>
      </w:pPr>
      <w:bookmarkStart w:id="155" w:name="_Toc443387549"/>
      <w:bookmarkStart w:id="156" w:name="_Toc443397135"/>
      <w:bookmarkStart w:id="157" w:name="_Toc445909231"/>
      <w:r w:rsidRPr="00CF6110">
        <w:tab/>
        <w:t xml:space="preserve">F. </w:t>
      </w:r>
      <w:r w:rsidRPr="00CF6110">
        <w:tab/>
      </w:r>
      <w:r w:rsidRPr="00CF6110">
        <w:rPr>
          <w:bCs/>
        </w:rPr>
        <w:t>Detailed Guidelines on Analysis of Skeletal Remains</w:t>
      </w:r>
    </w:p>
    <w:p w14:paraId="16CABCFA" w14:textId="77777777" w:rsidR="00FB0890" w:rsidRPr="00CF6110" w:rsidRDefault="00FB0890" w:rsidP="00FB0890">
      <w:pPr>
        <w:pStyle w:val="H23G"/>
        <w:spacing w:line="240" w:lineRule="atLeast"/>
      </w:pPr>
      <w:r w:rsidRPr="00CF6110">
        <w:tab/>
        <w:t xml:space="preserve">1. </w:t>
      </w:r>
      <w:r w:rsidRPr="00CF6110">
        <w:tab/>
      </w:r>
      <w:r w:rsidRPr="00CF6110">
        <w:rPr>
          <w:bCs/>
        </w:rPr>
        <w:t>Introduction</w:t>
      </w:r>
    </w:p>
    <w:bookmarkEnd w:id="155"/>
    <w:bookmarkEnd w:id="156"/>
    <w:bookmarkEnd w:id="157"/>
    <w:p w14:paraId="7AC08DD2" w14:textId="77777777" w:rsidR="00FB3053" w:rsidRPr="00CF6110" w:rsidRDefault="00FB0890" w:rsidP="00FB3053">
      <w:pPr>
        <w:pStyle w:val="SingleTxtG"/>
      </w:pPr>
      <w:r w:rsidRPr="00CF6110">
        <w:t>283.</w:t>
      </w:r>
      <w:r w:rsidRPr="00CF6110">
        <w:tab/>
      </w:r>
      <w:r w:rsidR="00FB3053" w:rsidRPr="00CF6110">
        <w:t xml:space="preserve">These Guidelines describe the process to be followed in the analysis of skeletal remains. </w:t>
      </w:r>
    </w:p>
    <w:p w14:paraId="480DAAAC" w14:textId="77777777" w:rsidR="00FB0890" w:rsidRPr="00CF6110" w:rsidRDefault="00FB0890" w:rsidP="00FB0890">
      <w:pPr>
        <w:pStyle w:val="H23G"/>
        <w:spacing w:line="240" w:lineRule="atLeast"/>
      </w:pPr>
      <w:bookmarkStart w:id="158" w:name="_Toc441645939"/>
      <w:bookmarkStart w:id="159" w:name="_Toc443387550"/>
      <w:bookmarkStart w:id="160" w:name="_Toc443397136"/>
      <w:bookmarkStart w:id="161" w:name="_Toc445909233"/>
      <w:r w:rsidRPr="00CF6110">
        <w:tab/>
        <w:t xml:space="preserve">2. </w:t>
      </w:r>
      <w:r w:rsidRPr="00CF6110">
        <w:tab/>
      </w:r>
      <w:r w:rsidRPr="00CF6110">
        <w:rPr>
          <w:bCs/>
        </w:rPr>
        <w:t>Infrastructure for the analysis of skeletal remains</w:t>
      </w:r>
    </w:p>
    <w:bookmarkEnd w:id="158"/>
    <w:bookmarkEnd w:id="159"/>
    <w:bookmarkEnd w:id="160"/>
    <w:bookmarkEnd w:id="161"/>
    <w:p w14:paraId="4F596C37" w14:textId="77777777" w:rsidR="00FB3053" w:rsidRPr="00CF6110" w:rsidRDefault="00FB0890" w:rsidP="00FB3053">
      <w:pPr>
        <w:pStyle w:val="SingleTxtG"/>
      </w:pPr>
      <w:r w:rsidRPr="00CF6110">
        <w:t>284.</w:t>
      </w:r>
      <w:r w:rsidRPr="00CF6110">
        <w:tab/>
      </w:r>
      <w:r w:rsidR="00FB3053" w:rsidRPr="00CF6110">
        <w:t>The analysis of skeletal remains requires infrastructure, particularly a laboratory. In terms of security, chain of custody and biosecurity, the laboratory is set up in the same way as a mortuary. The laboratory should be used exclusively for the analysis of skeletal remains as ordinarily it takes longer than an autopsy, and sometimes days or weeks for the analysis to be completed. The following list provides some of the basic conditions required. These will vary according to the number of cases under analysis at any one time:</w:t>
      </w:r>
    </w:p>
    <w:p w14:paraId="34994AC1" w14:textId="77777777" w:rsidR="00FB3053" w:rsidRPr="00CF6110" w:rsidRDefault="00FB0890" w:rsidP="007150FC">
      <w:pPr>
        <w:pStyle w:val="SingleTxtG"/>
        <w:ind w:left="1701"/>
      </w:pPr>
      <w:r w:rsidRPr="00CF6110">
        <w:lastRenderedPageBreak/>
        <w:t>(a)</w:t>
      </w:r>
      <w:r w:rsidRPr="00CF6110">
        <w:tab/>
      </w:r>
      <w:r w:rsidR="00FB3053" w:rsidRPr="00CF6110">
        <w:t>Sufficient space to place the tables where the remains will be analysed. The tables should be large enough to anatomically lay out skeletal remains</w:t>
      </w:r>
    </w:p>
    <w:p w14:paraId="77D5A09B" w14:textId="77777777" w:rsidR="00FB3053" w:rsidRPr="00CF6110" w:rsidRDefault="00FB0890" w:rsidP="00FB0890">
      <w:pPr>
        <w:pStyle w:val="SingleTxtG"/>
        <w:ind w:firstLine="567"/>
      </w:pPr>
      <w:r w:rsidRPr="00CF6110">
        <w:t>(b)</w:t>
      </w:r>
      <w:r w:rsidRPr="00CF6110">
        <w:tab/>
      </w:r>
      <w:r w:rsidR="00FB3053" w:rsidRPr="00CF6110">
        <w:t>Good lighting</w:t>
      </w:r>
    </w:p>
    <w:p w14:paraId="597F59FC" w14:textId="77777777" w:rsidR="00FB3053" w:rsidRPr="00CF6110" w:rsidRDefault="00FB0890" w:rsidP="00FB0890">
      <w:pPr>
        <w:pStyle w:val="SingleTxtG"/>
        <w:ind w:firstLine="567"/>
      </w:pPr>
      <w:r w:rsidRPr="00CF6110">
        <w:t>(c)</w:t>
      </w:r>
      <w:r w:rsidRPr="00CF6110">
        <w:tab/>
      </w:r>
      <w:r w:rsidR="00FB3053" w:rsidRPr="00CF6110">
        <w:t>Good ventilation</w:t>
      </w:r>
    </w:p>
    <w:p w14:paraId="05AC062C" w14:textId="77777777" w:rsidR="00FB3053" w:rsidRPr="00CF6110" w:rsidRDefault="00FB0890" w:rsidP="007150FC">
      <w:pPr>
        <w:pStyle w:val="SingleTxtG"/>
        <w:ind w:left="1701"/>
      </w:pPr>
      <w:r w:rsidRPr="00CF6110">
        <w:t>(d)</w:t>
      </w:r>
      <w:r w:rsidRPr="00CF6110">
        <w:tab/>
      </w:r>
      <w:r w:rsidR="00FB3053" w:rsidRPr="00CF6110">
        <w:t>Areas for the deposit and storage of remains and associated evidence (refrigeration is not required for skeletonized remains)</w:t>
      </w:r>
    </w:p>
    <w:p w14:paraId="33756F7F" w14:textId="77777777" w:rsidR="00FB3053" w:rsidRPr="00CF6110" w:rsidRDefault="00FB0890" w:rsidP="00FB0890">
      <w:pPr>
        <w:pStyle w:val="SingleTxtG"/>
        <w:ind w:firstLine="567"/>
      </w:pPr>
      <w:r w:rsidRPr="00CF6110">
        <w:t>(e)</w:t>
      </w:r>
      <w:r w:rsidRPr="00CF6110">
        <w:tab/>
      </w:r>
      <w:r w:rsidR="00FB3053" w:rsidRPr="00CF6110">
        <w:t>Cleaning area (with access to running water)</w:t>
      </w:r>
    </w:p>
    <w:p w14:paraId="3B4326BD" w14:textId="77777777" w:rsidR="00FB3053" w:rsidRPr="00CF6110" w:rsidRDefault="00FB0890" w:rsidP="00FB0890">
      <w:pPr>
        <w:pStyle w:val="SingleTxtG"/>
        <w:ind w:firstLine="567"/>
      </w:pPr>
      <w:r w:rsidRPr="00CF6110">
        <w:t>(f)</w:t>
      </w:r>
      <w:r w:rsidRPr="00CF6110">
        <w:tab/>
      </w:r>
      <w:r w:rsidR="00FB3053" w:rsidRPr="00CF6110">
        <w:t>Photography area</w:t>
      </w:r>
    </w:p>
    <w:p w14:paraId="1A320511" w14:textId="77777777" w:rsidR="00FB3053" w:rsidRPr="00CF6110" w:rsidRDefault="00FB0890" w:rsidP="007150FC">
      <w:pPr>
        <w:pStyle w:val="SingleTxtG"/>
        <w:ind w:left="1701"/>
      </w:pPr>
      <w:r w:rsidRPr="00CF6110">
        <w:t>(g)</w:t>
      </w:r>
      <w:r w:rsidRPr="00CF6110">
        <w:tab/>
      </w:r>
      <w:r w:rsidR="00FB3053" w:rsidRPr="00CF6110">
        <w:t>Area for taking of samples for genetic analysis (this needs to take into account potential cross contamination issues)</w:t>
      </w:r>
    </w:p>
    <w:p w14:paraId="0BF91FF1" w14:textId="77777777" w:rsidR="00FB3053" w:rsidRPr="00CF6110" w:rsidRDefault="00FB0890" w:rsidP="00FB0890">
      <w:pPr>
        <w:pStyle w:val="SingleTxtG"/>
        <w:ind w:firstLine="567"/>
      </w:pPr>
      <w:r w:rsidRPr="00CF6110">
        <w:t>(h)</w:t>
      </w:r>
      <w:r w:rsidRPr="00CF6110">
        <w:tab/>
      </w:r>
      <w:r w:rsidR="00FB3053" w:rsidRPr="00CF6110">
        <w:t>Access to plain X-rays</w:t>
      </w:r>
    </w:p>
    <w:p w14:paraId="6F4B0DF4" w14:textId="77777777" w:rsidR="00FB3053" w:rsidRPr="00CF6110" w:rsidRDefault="00FB0890" w:rsidP="007150FC">
      <w:pPr>
        <w:pStyle w:val="SingleTxtG"/>
        <w:ind w:left="1701"/>
      </w:pPr>
      <w:r w:rsidRPr="00CF6110">
        <w:t>(</w:t>
      </w:r>
      <w:proofErr w:type="spellStart"/>
      <w:r w:rsidRPr="00CF6110">
        <w:t>i</w:t>
      </w:r>
      <w:proofErr w:type="spellEnd"/>
      <w:r w:rsidRPr="00CF6110">
        <w:t>)</w:t>
      </w:r>
      <w:r w:rsidRPr="00CF6110">
        <w:tab/>
      </w:r>
      <w:r w:rsidR="00FB3053" w:rsidRPr="00CF6110">
        <w:t>When the body is in an advanced stage of decomposition, a special room for removing flesh to allow the bones to be examined.</w:t>
      </w:r>
    </w:p>
    <w:p w14:paraId="2D634CB1" w14:textId="77777777" w:rsidR="00FB0890" w:rsidRPr="00CF6110" w:rsidRDefault="00FB0890" w:rsidP="00FB0890">
      <w:pPr>
        <w:pStyle w:val="H23G"/>
        <w:spacing w:line="240" w:lineRule="atLeast"/>
      </w:pPr>
      <w:bookmarkStart w:id="162" w:name="_Toc441645940"/>
      <w:bookmarkStart w:id="163" w:name="_Toc443387551"/>
      <w:bookmarkStart w:id="164" w:name="_Toc443397137"/>
      <w:bookmarkStart w:id="165" w:name="_Toc445909234"/>
      <w:r w:rsidRPr="00CF6110">
        <w:tab/>
        <w:t xml:space="preserve">3. </w:t>
      </w:r>
      <w:r w:rsidRPr="00CF6110">
        <w:tab/>
      </w:r>
      <w:r w:rsidRPr="00CF6110">
        <w:rPr>
          <w:bCs/>
        </w:rPr>
        <w:t>Preparation of skeletal remains for analysis</w:t>
      </w:r>
    </w:p>
    <w:bookmarkEnd w:id="162"/>
    <w:bookmarkEnd w:id="163"/>
    <w:bookmarkEnd w:id="164"/>
    <w:bookmarkEnd w:id="165"/>
    <w:p w14:paraId="5581F04D" w14:textId="77777777" w:rsidR="00FB3053" w:rsidRPr="00CF6110" w:rsidRDefault="00FB0890" w:rsidP="00FB3053">
      <w:pPr>
        <w:pStyle w:val="SingleTxtG"/>
      </w:pPr>
      <w:r w:rsidRPr="00CF6110">
        <w:t>285.</w:t>
      </w:r>
      <w:r w:rsidRPr="00CF6110">
        <w:tab/>
      </w:r>
      <w:r w:rsidR="00FB3053" w:rsidRPr="00CF6110">
        <w:t xml:space="preserve">The importance of proper recovery of the remains cannot be over emphasized. Failures in recovery complicate an already complicated task, and may render it impossible to produce reliable and valid conclusions concerning all of the issues to be addressed in the analysis of the remains. </w:t>
      </w:r>
    </w:p>
    <w:p w14:paraId="74EC972E" w14:textId="77777777" w:rsidR="00FB3053" w:rsidRPr="00CF6110" w:rsidRDefault="00FB0890" w:rsidP="00FB3053">
      <w:pPr>
        <w:pStyle w:val="SingleTxtG"/>
      </w:pPr>
      <w:r w:rsidRPr="00CF6110">
        <w:t>286.</w:t>
      </w:r>
      <w:r w:rsidRPr="00CF6110">
        <w:tab/>
      </w:r>
      <w:r w:rsidR="00FB3053" w:rsidRPr="00CF6110">
        <w:t>After receiving the remains at the laboratory, and following all the steps related to chain of custody and documentation, the forensic anthropologist has to establish:</w:t>
      </w:r>
    </w:p>
    <w:p w14:paraId="3370BE6A" w14:textId="77777777" w:rsidR="00FB3053" w:rsidRPr="00CF6110" w:rsidRDefault="00FB0890" w:rsidP="00FB0890">
      <w:pPr>
        <w:pStyle w:val="SingleTxtG"/>
        <w:ind w:firstLine="567"/>
      </w:pPr>
      <w:r w:rsidRPr="00CF6110">
        <w:t>(a)</w:t>
      </w:r>
      <w:r w:rsidRPr="00CF6110">
        <w:tab/>
      </w:r>
      <w:proofErr w:type="gramStart"/>
      <w:r w:rsidR="00FB3053" w:rsidRPr="00CF6110">
        <w:t>whether</w:t>
      </w:r>
      <w:proofErr w:type="gramEnd"/>
      <w:r w:rsidR="00FB3053" w:rsidRPr="00CF6110">
        <w:t xml:space="preserve"> or not the remains are human</w:t>
      </w:r>
    </w:p>
    <w:p w14:paraId="0745C858" w14:textId="77777777" w:rsidR="00FB3053" w:rsidRPr="00CF6110" w:rsidRDefault="00FB0890" w:rsidP="007150FC">
      <w:pPr>
        <w:pStyle w:val="SingleTxtG"/>
        <w:ind w:left="1701"/>
      </w:pPr>
      <w:r w:rsidRPr="00CF6110">
        <w:t>(b)</w:t>
      </w:r>
      <w:r w:rsidRPr="00CF6110">
        <w:tab/>
      </w:r>
      <w:proofErr w:type="gramStart"/>
      <w:r w:rsidR="00FB3053" w:rsidRPr="00CF6110">
        <w:t>whether</w:t>
      </w:r>
      <w:proofErr w:type="gramEnd"/>
      <w:r w:rsidR="00FB3053" w:rsidRPr="00CF6110">
        <w:t xml:space="preserve"> the case is one of medico-legal interest, and not one related to a historical or pre-historical context </w:t>
      </w:r>
    </w:p>
    <w:p w14:paraId="1B2397A9" w14:textId="77777777" w:rsidR="00FB3053" w:rsidRPr="00CF6110" w:rsidRDefault="00FB0890" w:rsidP="00FB0890">
      <w:pPr>
        <w:pStyle w:val="SingleTxtG"/>
        <w:ind w:firstLine="567"/>
      </w:pPr>
      <w:r w:rsidRPr="00CF6110">
        <w:t>(c)</w:t>
      </w:r>
      <w:r w:rsidRPr="00CF6110">
        <w:tab/>
      </w:r>
      <w:proofErr w:type="gramStart"/>
      <w:r w:rsidR="00FB3053" w:rsidRPr="00CF6110">
        <w:t>what</w:t>
      </w:r>
      <w:proofErr w:type="gramEnd"/>
      <w:r w:rsidR="00FB3053" w:rsidRPr="00CF6110">
        <w:t xml:space="preserve"> is the minimum number of individuals represented by the remains. </w:t>
      </w:r>
    </w:p>
    <w:p w14:paraId="3F7DF102" w14:textId="77777777" w:rsidR="00FB3053" w:rsidRPr="00CF6110" w:rsidRDefault="00FB3053" w:rsidP="00FB3053">
      <w:pPr>
        <w:pStyle w:val="SingleTxtG"/>
      </w:pPr>
      <w:r w:rsidRPr="00CF6110">
        <w:t xml:space="preserve">This process should be done at the same time as the remains are taken out from their packaging and displayed on a table. </w:t>
      </w:r>
    </w:p>
    <w:p w14:paraId="5D939F8F" w14:textId="77777777" w:rsidR="00FB3053" w:rsidRPr="00CF6110" w:rsidRDefault="00FB0890" w:rsidP="00FB3053">
      <w:pPr>
        <w:pStyle w:val="SingleTxtG"/>
      </w:pPr>
      <w:r w:rsidRPr="00CF6110">
        <w:t>287.</w:t>
      </w:r>
      <w:r w:rsidRPr="00CF6110">
        <w:tab/>
      </w:r>
      <w:r w:rsidR="00FB3053" w:rsidRPr="00CF6110">
        <w:t>In cases of very fragmented remains it could be difficult to establish whether or not the remains are human macroscopically. If so, histological, genetic or chemical methods should be used.</w:t>
      </w:r>
    </w:p>
    <w:p w14:paraId="035D15E2" w14:textId="77777777" w:rsidR="00FB3053" w:rsidRPr="00CF6110" w:rsidRDefault="00FB0890" w:rsidP="00FB3053">
      <w:pPr>
        <w:pStyle w:val="SingleTxtG"/>
      </w:pPr>
      <w:r w:rsidRPr="00CF6110">
        <w:t>288.</w:t>
      </w:r>
      <w:r w:rsidRPr="00CF6110">
        <w:tab/>
      </w:r>
      <w:r w:rsidR="00FB3053" w:rsidRPr="00CF6110">
        <w:t>In some cases, it is critical to establish if the remains are of medico-legal interest, as they could be remains from historical or pre-historical times. In those situations, the methods of disposal of the remains, the associated objects (e.g. stone instruments) found with the remains, and their position inside the grave may play a key role in the assessment. Also, certain features of the bones (e.g. strong muscle insertions) and teeth (extreme dental wear), may indicate their historical nature. However, such features have to be interpreted with care as contemporary populations may also show such features. The presence of dental restorations will, obviously, indicate a more contemporary context.</w:t>
      </w:r>
    </w:p>
    <w:p w14:paraId="251D25EB" w14:textId="77777777" w:rsidR="00FB3053" w:rsidRPr="00CF6110" w:rsidRDefault="00FB0890" w:rsidP="00FB3053">
      <w:pPr>
        <w:pStyle w:val="SingleTxtG"/>
      </w:pPr>
      <w:r w:rsidRPr="00CF6110">
        <w:t>289.</w:t>
      </w:r>
      <w:r w:rsidRPr="00CF6110">
        <w:tab/>
      </w:r>
      <w:r w:rsidR="00FB3053" w:rsidRPr="00CF6110">
        <w:t>If the remains have arrived at the laboratory commingled, a proper strategy for sorting the remains is required to establish what is called the Minimum Number of Individuals (MNI) present. Possible approaches include: pair-matching, articulation, process of elimination, osteometric comparison, taphonomy, and finally genetic analysis.</w:t>
      </w:r>
    </w:p>
    <w:p w14:paraId="6A445F4B" w14:textId="77777777" w:rsidR="00FB3053" w:rsidRPr="00CF6110" w:rsidRDefault="007150FC" w:rsidP="00FB3053">
      <w:pPr>
        <w:pStyle w:val="SingleTxtG"/>
      </w:pPr>
      <w:r w:rsidRPr="00CF6110">
        <w:t>290.</w:t>
      </w:r>
      <w:r w:rsidRPr="00CF6110">
        <w:tab/>
      </w:r>
      <w:r w:rsidR="00FB3053" w:rsidRPr="00CF6110">
        <w:t>Once it is established as a case of forensic interest, the remains should be prepared according to the following sequence:</w:t>
      </w:r>
    </w:p>
    <w:p w14:paraId="5C089F8E" w14:textId="77777777" w:rsidR="00FB3053" w:rsidRPr="00CF6110" w:rsidRDefault="007150FC" w:rsidP="007150FC">
      <w:pPr>
        <w:pStyle w:val="SingleTxtG"/>
        <w:ind w:left="1701"/>
      </w:pPr>
      <w:r w:rsidRPr="00CF6110">
        <w:lastRenderedPageBreak/>
        <w:t>(a)</w:t>
      </w:r>
      <w:r w:rsidRPr="00CF6110">
        <w:tab/>
      </w:r>
      <w:r w:rsidR="00FB3053" w:rsidRPr="00CF6110">
        <w:rPr>
          <w:b/>
        </w:rPr>
        <w:t xml:space="preserve">Inventory: </w:t>
      </w:r>
      <w:r w:rsidR="00FB3053" w:rsidRPr="00CF6110">
        <w:t>which bones and teeth are present, the condition of these individual elements, and whether there is more than one individual (identified by repetition of same bones/teeth).</w:t>
      </w:r>
    </w:p>
    <w:p w14:paraId="51DDE639" w14:textId="77777777" w:rsidR="00FB3053" w:rsidRPr="00CF6110" w:rsidRDefault="007150FC" w:rsidP="007150FC">
      <w:pPr>
        <w:pStyle w:val="SingleTxtG"/>
        <w:ind w:left="1701"/>
      </w:pPr>
      <w:r w:rsidRPr="00CF6110">
        <w:t>(b)</w:t>
      </w:r>
      <w:r w:rsidRPr="00CF6110">
        <w:tab/>
      </w:r>
      <w:r w:rsidR="00FB3053" w:rsidRPr="00CF6110">
        <w:rPr>
          <w:b/>
        </w:rPr>
        <w:t>Plain X-rays:</w:t>
      </w:r>
      <w:r w:rsidR="00FB3053" w:rsidRPr="00CF6110">
        <w:t xml:space="preserve"> any bone showing signs of damage, for example by gunshots, must be X-rayed for metallic objects invisible to the naked eye. Chemical tests can be used to identify the presence of lead or copper, e.g. from projectiles. X-rays are also very useful for evaluating bone pathology.</w:t>
      </w:r>
    </w:p>
    <w:p w14:paraId="48D5F82A" w14:textId="77777777" w:rsidR="00FB3053" w:rsidRPr="00CF6110" w:rsidRDefault="00FB3053" w:rsidP="007150FC">
      <w:pPr>
        <w:pStyle w:val="SingleTxtG"/>
        <w:ind w:left="1701"/>
      </w:pPr>
      <w:r w:rsidRPr="00CF6110">
        <w:t>X-rays should be taken before any cleaning of the remains. This is particularly important in partially decomposed remains where commingling might not be detected upon exhumation.</w:t>
      </w:r>
    </w:p>
    <w:p w14:paraId="539E4CD5" w14:textId="77777777" w:rsidR="00FB3053" w:rsidRPr="00CF6110" w:rsidRDefault="007150FC" w:rsidP="007150FC">
      <w:pPr>
        <w:pStyle w:val="SingleTxtG"/>
        <w:ind w:left="1701"/>
      </w:pPr>
      <w:r w:rsidRPr="00CF6110">
        <w:t>(c)</w:t>
      </w:r>
      <w:r w:rsidRPr="00CF6110">
        <w:tab/>
      </w:r>
      <w:r w:rsidR="00FB3053" w:rsidRPr="00CF6110">
        <w:rPr>
          <w:b/>
        </w:rPr>
        <w:t>Cleaning/sampling:</w:t>
      </w:r>
      <w:r w:rsidR="00FB3053" w:rsidRPr="00CF6110">
        <w:t xml:space="preserve"> if their condition allows, all the bones and teeth should be washed with simple running water and no other product. In a case of severely decomposed skeletal remains, however, washing can be detrimental. A brush with soft bristles, such as a toothbrush, may be used to remove dirt, with special care being taken with worn bones, such as the epiphyses of the long bones and the faces of the pubic symphysis. Teeth not permanently attached to the alveoli should be removed and washed separately to prevent their loss. </w:t>
      </w:r>
    </w:p>
    <w:p w14:paraId="7AF65E98" w14:textId="77777777" w:rsidR="00FB3053" w:rsidRPr="00CF6110" w:rsidRDefault="00FB3053" w:rsidP="007150FC">
      <w:pPr>
        <w:pStyle w:val="SingleTxtG"/>
        <w:ind w:left="1701"/>
      </w:pPr>
      <w:r w:rsidRPr="00CF6110">
        <w:t>In cases where the remains are not completely reduced to bone and soft tissue is still attached, a non-chemical method should be used for cleaning, under strict control. Such a process shall only be undertaken after the forensic pathologist has evaluated and properly documented the remains and necessary samples have been collected. Once the remains have been washed, they should be allowed to dry, preferably away from light, and without exposing the bones to the sun. A fan can be used to speed up the process.</w:t>
      </w:r>
    </w:p>
    <w:p w14:paraId="5897D78A" w14:textId="77777777" w:rsidR="00FB3053" w:rsidRPr="00CF6110" w:rsidRDefault="007150FC" w:rsidP="007150FC">
      <w:pPr>
        <w:pStyle w:val="SingleTxtG"/>
        <w:ind w:left="1701"/>
      </w:pPr>
      <w:r w:rsidRPr="00CF6110">
        <w:t>(d)</w:t>
      </w:r>
      <w:r w:rsidRPr="00CF6110">
        <w:tab/>
      </w:r>
      <w:r w:rsidR="00FB3053" w:rsidRPr="00CF6110">
        <w:rPr>
          <w:b/>
        </w:rPr>
        <w:t xml:space="preserve">Sampling: </w:t>
      </w:r>
      <w:r w:rsidR="00FB3053" w:rsidRPr="00CF6110">
        <w:t>the main reason for taking samples when analysing skeletal remains is to perform a genetic analysis that could help in identification. This procedure must be coordinated, as sampling methods vary according to the requirements of the DNA laboratory. According to the condition of the skeleton and the number of individuals represented, the anthropologist has to decide how many samples to take. This decision is more complicated in commingled cases, and needs to take into account the wider strategy on how to analyse such complex cases. Usually, two or three healthy teeth and a fragment of a long bone such as a femur or tibia, is enough for the sampling process of a complete individual skeleton. (It is preferable for such sampling to occur before the teeth and bones are cleaned to avoid new contamination).</w:t>
      </w:r>
    </w:p>
    <w:p w14:paraId="5434BFBE" w14:textId="77777777" w:rsidR="00FB3053" w:rsidRPr="00CF6110" w:rsidRDefault="007150FC" w:rsidP="007150FC">
      <w:pPr>
        <w:pStyle w:val="SingleTxtG"/>
        <w:ind w:left="1701"/>
      </w:pPr>
      <w:r w:rsidRPr="00CF6110">
        <w:t>(e)</w:t>
      </w:r>
      <w:r w:rsidRPr="00CF6110">
        <w:tab/>
      </w:r>
      <w:r w:rsidR="00FB3053" w:rsidRPr="00CF6110">
        <w:rPr>
          <w:b/>
        </w:rPr>
        <w:t>Reconstruction:</w:t>
      </w:r>
      <w:r w:rsidR="00FB3053" w:rsidRPr="00CF6110">
        <w:t xml:space="preserve"> the bones presenting peri- or post-mortem trauma may have to be reconstructed. Special glue, which allows the fragments to be separated without damage in the event of an error, should be used.</w:t>
      </w:r>
    </w:p>
    <w:p w14:paraId="06ACCA79" w14:textId="77777777" w:rsidR="007150FC" w:rsidRPr="00CF6110" w:rsidRDefault="007150FC" w:rsidP="007150FC">
      <w:pPr>
        <w:pStyle w:val="H23G"/>
        <w:spacing w:line="240" w:lineRule="atLeast"/>
      </w:pPr>
      <w:bookmarkStart w:id="166" w:name="_Toc443387552"/>
      <w:bookmarkStart w:id="167" w:name="_Toc443397138"/>
      <w:bookmarkStart w:id="168" w:name="_Toc445909235"/>
      <w:bookmarkStart w:id="169" w:name="_Toc441645941"/>
      <w:r w:rsidRPr="00CF6110">
        <w:tab/>
        <w:t xml:space="preserve">4. </w:t>
      </w:r>
      <w:r w:rsidRPr="00CF6110">
        <w:tab/>
      </w:r>
      <w:r w:rsidRPr="00CF6110">
        <w:rPr>
          <w:bCs/>
        </w:rPr>
        <w:t>Establishing a biological profile of the remains</w:t>
      </w:r>
    </w:p>
    <w:bookmarkEnd w:id="166"/>
    <w:bookmarkEnd w:id="167"/>
    <w:bookmarkEnd w:id="168"/>
    <w:bookmarkEnd w:id="169"/>
    <w:p w14:paraId="2DE02D65" w14:textId="77777777" w:rsidR="00FB3053" w:rsidRPr="00CF6110" w:rsidRDefault="007150FC" w:rsidP="00FB3053">
      <w:pPr>
        <w:pStyle w:val="SingleTxtG"/>
      </w:pPr>
      <w:r w:rsidRPr="00CF6110">
        <w:t>291.</w:t>
      </w:r>
      <w:r w:rsidRPr="00CF6110">
        <w:tab/>
      </w:r>
      <w:r w:rsidR="00FB3053" w:rsidRPr="00CF6110">
        <w:t>Once the remains are prepared, the anthropologist compiles the biological profile of the individual: the assessment and determination of age, sex, ancestry, and stature.</w:t>
      </w:r>
    </w:p>
    <w:p w14:paraId="0C3A4054" w14:textId="77777777" w:rsidR="00FB3053" w:rsidRPr="00CF6110" w:rsidRDefault="007150FC" w:rsidP="00FB3053">
      <w:pPr>
        <w:pStyle w:val="SingleTxtG"/>
      </w:pPr>
      <w:r w:rsidRPr="00CF6110">
        <w:t>292.</w:t>
      </w:r>
      <w:r w:rsidRPr="00CF6110">
        <w:tab/>
      </w:r>
      <w:r w:rsidR="00FB3053" w:rsidRPr="00CF6110">
        <w:rPr>
          <w:b/>
        </w:rPr>
        <w:t xml:space="preserve">Age </w:t>
      </w:r>
      <w:r w:rsidR="00FB3053" w:rsidRPr="00CF6110">
        <w:t xml:space="preserve">is estimated within a range, and is not exact. </w:t>
      </w:r>
      <w:proofErr w:type="gramStart"/>
      <w:r w:rsidR="00FB3053" w:rsidRPr="00CF6110">
        <w:t>The older the individual, the wider the range.</w:t>
      </w:r>
      <w:proofErr w:type="gramEnd"/>
      <w:r w:rsidR="00FB3053" w:rsidRPr="00CF6110">
        <w:t xml:space="preserve"> From the fetal stage to approximately 25 years of age, the human skeleton undergoes continuous development and growth. Several indicators are evaluated, including dentition development, length of long bones, and the appearance and fusion of epiphyses in early ages; and, in later stages of development, the pubic symphysis and the morphology of the sternal end of the fourth </w:t>
      </w:r>
      <w:r w:rsidR="00FB3053" w:rsidRPr="00CF6110">
        <w:rPr>
          <w:bCs/>
        </w:rPr>
        <w:t>rib. Once development stops, degenerative changes begin to appear, especially in the joints, such as signs of osteoarthritis (e.g. osteophytes).</w:t>
      </w:r>
    </w:p>
    <w:p w14:paraId="31C298AE" w14:textId="77777777" w:rsidR="00FB3053" w:rsidRPr="00CF6110" w:rsidRDefault="007150FC" w:rsidP="00FB3053">
      <w:pPr>
        <w:pStyle w:val="SingleTxtG"/>
      </w:pPr>
      <w:r w:rsidRPr="00CF6110">
        <w:lastRenderedPageBreak/>
        <w:t>293.</w:t>
      </w:r>
      <w:r w:rsidRPr="00CF6110">
        <w:tab/>
      </w:r>
      <w:r w:rsidR="00FB3053" w:rsidRPr="00CF6110">
        <w:rPr>
          <w:b/>
        </w:rPr>
        <w:t xml:space="preserve">Sex: </w:t>
      </w:r>
      <w:r w:rsidR="00FB3053" w:rsidRPr="00CF6110">
        <w:t>the sexual dimorphism in the skeleton is seen after puberty, so before that period determination of sex is not very reliable. In older individuals, there are two main ways to determine the sex:</w:t>
      </w:r>
    </w:p>
    <w:p w14:paraId="11680D9A" w14:textId="77777777" w:rsidR="00FB3053" w:rsidRPr="00CF6110" w:rsidRDefault="007150FC" w:rsidP="007150FC">
      <w:pPr>
        <w:pStyle w:val="SingleTxtG"/>
        <w:ind w:firstLine="567"/>
      </w:pPr>
      <w:r w:rsidRPr="00CF6110">
        <w:t>(a)</w:t>
      </w:r>
      <w:r w:rsidRPr="00CF6110">
        <w:tab/>
      </w:r>
      <w:proofErr w:type="gramStart"/>
      <w:r w:rsidR="00FB3053" w:rsidRPr="00CF6110">
        <w:t>morphological</w:t>
      </w:r>
      <w:proofErr w:type="gramEnd"/>
      <w:r w:rsidR="00FB3053" w:rsidRPr="00CF6110">
        <w:t xml:space="preserve"> traits in specific areas of the pelvis and skull, and </w:t>
      </w:r>
    </w:p>
    <w:p w14:paraId="5FDE7DDF" w14:textId="77777777" w:rsidR="00FB3053" w:rsidRPr="00CF6110" w:rsidRDefault="007150FC" w:rsidP="007150FC">
      <w:pPr>
        <w:pStyle w:val="SingleTxtG"/>
        <w:ind w:left="1701"/>
      </w:pPr>
      <w:r w:rsidRPr="00CF6110">
        <w:t>(b)</w:t>
      </w:r>
      <w:r w:rsidRPr="00CF6110">
        <w:tab/>
      </w:r>
      <w:proofErr w:type="gramStart"/>
      <w:r w:rsidR="00FB3053" w:rsidRPr="00CF6110">
        <w:t>metric</w:t>
      </w:r>
      <w:proofErr w:type="gramEnd"/>
      <w:r w:rsidR="00FB3053" w:rsidRPr="00CF6110">
        <w:t xml:space="preserve"> assessments, which involve measurements of various dimensions of limb bones and articular surfaces. </w:t>
      </w:r>
    </w:p>
    <w:p w14:paraId="758FC54D" w14:textId="77777777" w:rsidR="00FB3053" w:rsidRPr="00CF6110" w:rsidRDefault="00FB3053" w:rsidP="00FB3053">
      <w:pPr>
        <w:pStyle w:val="SingleTxtG"/>
      </w:pPr>
      <w:r w:rsidRPr="00CF6110">
        <w:t>In cases where the remains are fragmented or no bones diagnostic of sex are available, a genetic analysis (</w:t>
      </w:r>
      <w:r w:rsidRPr="00CF6110">
        <w:rPr>
          <w:bCs/>
        </w:rPr>
        <w:t>amelogenin</w:t>
      </w:r>
      <w:r w:rsidRPr="00CF6110">
        <w:t>) could also be applied to determine the sex.</w:t>
      </w:r>
    </w:p>
    <w:p w14:paraId="27910D64" w14:textId="77777777" w:rsidR="00FB3053" w:rsidRPr="00CF6110" w:rsidRDefault="007150FC" w:rsidP="00FB3053">
      <w:pPr>
        <w:pStyle w:val="SingleTxtG"/>
      </w:pPr>
      <w:r w:rsidRPr="00CF6110">
        <w:t>294.</w:t>
      </w:r>
      <w:r w:rsidRPr="00CF6110">
        <w:tab/>
      </w:r>
      <w:r w:rsidR="00FB3053" w:rsidRPr="00CF6110">
        <w:rPr>
          <w:b/>
        </w:rPr>
        <w:t xml:space="preserve">Ancestry: </w:t>
      </w:r>
      <w:r w:rsidR="00FB3053" w:rsidRPr="00CF6110">
        <w:t xml:space="preserve">Ancestry refers to the geographic region and/or the ancestral origin of a particular population group. It is assessed by evaluation of specific traits in the skeleton, mainly in the skull, that can be present or absent, or present to some degree. At the same time, several measurements can be taken in the skull and post-cranial skeleton. Software is available to process the measurements to produce an assessment of ancestry of the skeleton under analysis. </w:t>
      </w:r>
    </w:p>
    <w:p w14:paraId="02BB76E5" w14:textId="77777777" w:rsidR="00FB3053" w:rsidRPr="00CF6110" w:rsidRDefault="007150FC" w:rsidP="00FB3053">
      <w:pPr>
        <w:pStyle w:val="SingleTxtG"/>
      </w:pPr>
      <w:r w:rsidRPr="00CF6110">
        <w:t>295.</w:t>
      </w:r>
      <w:r w:rsidRPr="00CF6110">
        <w:tab/>
      </w:r>
      <w:r w:rsidR="00FB3053" w:rsidRPr="00CF6110">
        <w:rPr>
          <w:b/>
        </w:rPr>
        <w:t xml:space="preserve">Stature: </w:t>
      </w:r>
      <w:r w:rsidR="00FB3053" w:rsidRPr="00CF6110">
        <w:t xml:space="preserve">Usually, the stature of a skeleton is estimated following one of two methods: </w:t>
      </w:r>
    </w:p>
    <w:p w14:paraId="6CCCE031" w14:textId="77777777" w:rsidR="00FB3053" w:rsidRPr="00CF6110" w:rsidRDefault="007150FC" w:rsidP="007150FC">
      <w:pPr>
        <w:pStyle w:val="SingleTxtG"/>
        <w:ind w:left="1701"/>
      </w:pPr>
      <w:r w:rsidRPr="00CF6110">
        <w:t>(a)</w:t>
      </w:r>
      <w:r w:rsidRPr="00CF6110">
        <w:tab/>
      </w:r>
      <w:proofErr w:type="gramStart"/>
      <w:r w:rsidR="00FB3053" w:rsidRPr="00CF6110">
        <w:t>measuring</w:t>
      </w:r>
      <w:proofErr w:type="gramEnd"/>
      <w:r w:rsidR="00FB3053" w:rsidRPr="00CF6110">
        <w:t xml:space="preserve"> the height/length of some specific bones (skull, spine, femur, tibia, and talus), summing those measurements and correcting for the missing soft tissue, or </w:t>
      </w:r>
    </w:p>
    <w:p w14:paraId="0AC1B011" w14:textId="77777777" w:rsidR="00FB3053" w:rsidRPr="00CF6110" w:rsidRDefault="007150FC" w:rsidP="007150FC">
      <w:pPr>
        <w:pStyle w:val="SingleTxtG"/>
        <w:ind w:left="1701"/>
      </w:pPr>
      <w:r w:rsidRPr="00CF6110">
        <w:t>(b)</w:t>
      </w:r>
      <w:r w:rsidRPr="00CF6110">
        <w:tab/>
      </w:r>
      <w:proofErr w:type="gramStart"/>
      <w:r w:rsidR="00FB3053" w:rsidRPr="00CF6110">
        <w:t>measuring</w:t>
      </w:r>
      <w:proofErr w:type="gramEnd"/>
      <w:r w:rsidR="00FB3053" w:rsidRPr="00CF6110">
        <w:t xml:space="preserve"> one complete long bone (such as the femur, tibia or humerus) or the combination of two such bones (femur and tibia ideally), and applying a regression formula to the result. </w:t>
      </w:r>
    </w:p>
    <w:p w14:paraId="438C34BF" w14:textId="77777777" w:rsidR="00FB3053" w:rsidRPr="00CF6110" w:rsidRDefault="00FB3053" w:rsidP="00FB3053">
      <w:pPr>
        <w:pStyle w:val="SingleTxtG"/>
      </w:pPr>
      <w:r w:rsidRPr="00CF6110">
        <w:t>Regression formulae are also available for fragmented bones. In all cases, sex and ancestry are required to select the correct reference table to use.</w:t>
      </w:r>
    </w:p>
    <w:p w14:paraId="74D0628B" w14:textId="77777777" w:rsidR="007150FC" w:rsidRPr="00CF6110" w:rsidRDefault="007150FC" w:rsidP="007150FC">
      <w:pPr>
        <w:pStyle w:val="H23G"/>
        <w:spacing w:line="240" w:lineRule="atLeast"/>
      </w:pPr>
      <w:bookmarkStart w:id="170" w:name="_Toc443387553"/>
      <w:bookmarkStart w:id="171" w:name="_Toc443397139"/>
      <w:bookmarkStart w:id="172" w:name="_Toc445909236"/>
      <w:r w:rsidRPr="00CF6110">
        <w:tab/>
        <w:t xml:space="preserve">5. </w:t>
      </w:r>
      <w:r w:rsidRPr="00CF6110">
        <w:tab/>
      </w:r>
      <w:r w:rsidR="00F8427A" w:rsidRPr="00CF6110">
        <w:rPr>
          <w:bCs/>
        </w:rPr>
        <w:t>Remaining analysis and report</w:t>
      </w:r>
    </w:p>
    <w:bookmarkEnd w:id="170"/>
    <w:bookmarkEnd w:id="171"/>
    <w:bookmarkEnd w:id="172"/>
    <w:p w14:paraId="7961628F" w14:textId="77777777" w:rsidR="00FB3053" w:rsidRPr="00CF6110" w:rsidRDefault="00F8427A" w:rsidP="00FB3053">
      <w:pPr>
        <w:pStyle w:val="SingleTxtG"/>
      </w:pPr>
      <w:r w:rsidRPr="00CF6110">
        <w:t>296.</w:t>
      </w:r>
      <w:r w:rsidRPr="00CF6110">
        <w:tab/>
      </w:r>
      <w:r w:rsidR="00FB3053" w:rsidRPr="00CF6110">
        <w:t>After a biological profile has been established, analysis continues with the following steps:</w:t>
      </w:r>
    </w:p>
    <w:p w14:paraId="280EEFBA" w14:textId="77777777" w:rsidR="00FB3053" w:rsidRPr="00CF6110" w:rsidRDefault="00F8427A" w:rsidP="00F8427A">
      <w:pPr>
        <w:pStyle w:val="SingleTxtG"/>
        <w:ind w:left="1701"/>
      </w:pPr>
      <w:r w:rsidRPr="00CF6110">
        <w:t>(a)</w:t>
      </w:r>
      <w:r w:rsidRPr="00CF6110">
        <w:tab/>
      </w:r>
      <w:r w:rsidR="00FB3053" w:rsidRPr="00CF6110">
        <w:t xml:space="preserve">Analysis of any indicator of </w:t>
      </w:r>
      <w:r w:rsidR="00FB3053" w:rsidRPr="00CF6110">
        <w:rPr>
          <w:b/>
        </w:rPr>
        <w:t>ante-mortem trauma</w:t>
      </w:r>
      <w:r w:rsidR="00FB3053" w:rsidRPr="00CF6110">
        <w:t>, pathological conditions, or skeletal variations (which may be symptomatic or not) that can provide information about the cause and circumstances of the death or specific information helping lead to identification.</w:t>
      </w:r>
    </w:p>
    <w:p w14:paraId="600F7C13" w14:textId="77777777" w:rsidR="00FB3053" w:rsidRPr="00CF6110" w:rsidRDefault="00F8427A" w:rsidP="00F8427A">
      <w:pPr>
        <w:pStyle w:val="SingleTxtG"/>
        <w:ind w:left="1701"/>
      </w:pPr>
      <w:r w:rsidRPr="00CF6110">
        <w:t>(b)</w:t>
      </w:r>
      <w:r w:rsidRPr="00CF6110">
        <w:tab/>
      </w:r>
      <w:r w:rsidR="00FB3053" w:rsidRPr="00CF6110">
        <w:t xml:space="preserve">Analysis of possible </w:t>
      </w:r>
      <w:r w:rsidR="00FB3053" w:rsidRPr="00CF6110">
        <w:rPr>
          <w:b/>
        </w:rPr>
        <w:t>post-mortem changes</w:t>
      </w:r>
      <w:r w:rsidR="00FB3053" w:rsidRPr="00CF6110">
        <w:t xml:space="preserve"> in the bones, due to taphonomic processes (see below) that could affect the body after death. This is critical to distinguish these changes from those injuries related to peri-mortem trauma. </w:t>
      </w:r>
    </w:p>
    <w:p w14:paraId="4D17C602" w14:textId="77777777" w:rsidR="00FB3053" w:rsidRPr="00CF6110" w:rsidRDefault="00F8427A" w:rsidP="00F8427A">
      <w:pPr>
        <w:pStyle w:val="SingleTxtG"/>
        <w:ind w:left="1701"/>
      </w:pPr>
      <w:r w:rsidRPr="00CF6110">
        <w:t>(c)</w:t>
      </w:r>
      <w:r w:rsidRPr="00CF6110">
        <w:tab/>
      </w:r>
      <w:r w:rsidR="00FB3053" w:rsidRPr="00CF6110">
        <w:t>Dental analysis, to contribute to age estimation and possibly even identification.</w:t>
      </w:r>
    </w:p>
    <w:p w14:paraId="24142427" w14:textId="77777777" w:rsidR="00FB3053" w:rsidRPr="00CF6110" w:rsidRDefault="00F8427A" w:rsidP="00FB3053">
      <w:pPr>
        <w:pStyle w:val="SingleTxtG"/>
      </w:pPr>
      <w:r w:rsidRPr="00CF6110">
        <w:t>297.</w:t>
      </w:r>
      <w:r w:rsidRPr="00CF6110">
        <w:tab/>
      </w:r>
      <w:r w:rsidR="00FB3053" w:rsidRPr="00CF6110">
        <w:t xml:space="preserve">To establish the </w:t>
      </w:r>
      <w:r w:rsidR="00FB3053" w:rsidRPr="00CF6110">
        <w:rPr>
          <w:b/>
        </w:rPr>
        <w:t>period of</w:t>
      </w:r>
      <w:r w:rsidR="00FB3053" w:rsidRPr="00CF6110">
        <w:t xml:space="preserve"> </w:t>
      </w:r>
      <w:r w:rsidR="00FB3053" w:rsidRPr="00CF6110">
        <w:rPr>
          <w:b/>
        </w:rPr>
        <w:t>time since death</w:t>
      </w:r>
      <w:r w:rsidR="00FB3053" w:rsidRPr="00CF6110">
        <w:t xml:space="preserve"> is difficult, especially in cases of skeletal remains. In historical or pre-historical cases, several methods of dating have been developed. For cases of forensic interest, from days to up to 30 or 40 years, there is no scientific method, from analysis of bones or teeth, to establish whether a person died one, five, or ten years ago. However, new studies of radiocarbon are being applied for some specific contexts. Circumstantial information and other material with the skeletal </w:t>
      </w:r>
      <w:proofErr w:type="gramStart"/>
      <w:r w:rsidR="00FB3053" w:rsidRPr="00CF6110">
        <w:t>remains</w:t>
      </w:r>
      <w:proofErr w:type="gramEnd"/>
      <w:r w:rsidR="00FB3053" w:rsidRPr="00CF6110">
        <w:t>, or in some instances even satellite imagery, may help to establish when the events (or burial) took place.</w:t>
      </w:r>
    </w:p>
    <w:p w14:paraId="33BBB573" w14:textId="77777777" w:rsidR="00FB3053" w:rsidRPr="00CF6110" w:rsidRDefault="00F8427A" w:rsidP="00FB3053">
      <w:pPr>
        <w:pStyle w:val="SingleTxtG"/>
      </w:pPr>
      <w:r w:rsidRPr="00CF6110">
        <w:lastRenderedPageBreak/>
        <w:t>298.</w:t>
      </w:r>
      <w:r w:rsidRPr="00CF6110">
        <w:tab/>
      </w:r>
      <w:r w:rsidR="00FB3053" w:rsidRPr="00CF6110">
        <w:rPr>
          <w:b/>
        </w:rPr>
        <w:t>Forensic taphonomy</w:t>
      </w:r>
      <w:r w:rsidR="00FB3053" w:rsidRPr="00CF6110">
        <w:t xml:space="preserve"> is a field that studies the various changes to the human body after death. On some occasions, this may enable post-mortem changes observed in the skeleton to be understood (e.g. action of scavengers, plant activity), but it will generally not provide any degree of certainty about the time since death. In that sense, archaeological dating methods, using objects associated to the remains, such as coins or cartridge case, may provide a better general estimation.</w:t>
      </w:r>
    </w:p>
    <w:p w14:paraId="432CC8FB" w14:textId="77777777" w:rsidR="00FB3053" w:rsidRPr="00CF6110" w:rsidRDefault="00F8427A" w:rsidP="00FB3053">
      <w:pPr>
        <w:pStyle w:val="SingleTxtG"/>
      </w:pPr>
      <w:r w:rsidRPr="00CF6110">
        <w:t>299.</w:t>
      </w:r>
      <w:r w:rsidRPr="00CF6110">
        <w:tab/>
      </w:r>
      <w:r w:rsidR="00FB3053" w:rsidRPr="00CF6110">
        <w:t>Methods used in the analysis of skeletal remains must meet standards accepted by the scientific community. In the event that indicators and databases relying on local data collection are used, these must be endorsed by publication in reputable peer-reviewed publications.</w:t>
      </w:r>
    </w:p>
    <w:p w14:paraId="2827149C" w14:textId="77777777" w:rsidR="00FB3053" w:rsidRPr="00CF6110" w:rsidRDefault="00F8427A" w:rsidP="00FB3053">
      <w:pPr>
        <w:pStyle w:val="SingleTxtG"/>
      </w:pPr>
      <w:r w:rsidRPr="00CF6110">
        <w:t>300.</w:t>
      </w:r>
      <w:r w:rsidRPr="00CF6110">
        <w:tab/>
      </w:r>
      <w:r w:rsidR="00FB3053" w:rsidRPr="00CF6110">
        <w:t>All analysis must be properly documented, with photos, drawings, notes, and specific forms. A precise record of the samples taken from the remains must be kept, the samples correctly labelled, and records of security and the chain of custody kept. If the remains are to be buried before formal identification, the process has to be properly documented. This includes recording the exact location of the disposal of the remains, proper labelling of the container holding the remains, and appropriate notation on the chain-of-custody form.</w:t>
      </w:r>
    </w:p>
    <w:p w14:paraId="7E4E6CD3" w14:textId="77777777" w:rsidR="00FB3053" w:rsidRPr="00CF6110" w:rsidRDefault="00F8427A" w:rsidP="00FB3053">
      <w:pPr>
        <w:pStyle w:val="SingleTxtG"/>
      </w:pPr>
      <w:r w:rsidRPr="00CF6110">
        <w:t>301.</w:t>
      </w:r>
      <w:r w:rsidRPr="00CF6110">
        <w:tab/>
      </w:r>
      <w:r w:rsidR="00FB3053" w:rsidRPr="00CF6110">
        <w:t>The final forensic anthropology report must include all information related to the reception of the remains; procedures followed for the analysis; samples taken and to whom they were given; and the conclusions and any recommendations. (In some circumstances it may be necessary or desirable to include forms and diagrams). This report must be integrated with those produced by other specialists in order to present to the authority an integrated forensic report.</w:t>
      </w:r>
    </w:p>
    <w:p w14:paraId="21B1D7C9" w14:textId="77777777" w:rsidR="007502FD" w:rsidRPr="00CF6110" w:rsidRDefault="007502FD" w:rsidP="007502FD">
      <w:pPr>
        <w:pStyle w:val="HChG"/>
        <w:spacing w:line="240" w:lineRule="atLeast"/>
      </w:pPr>
      <w:r w:rsidRPr="00CF6110">
        <w:tab/>
        <w:t>VI.</w:t>
      </w:r>
      <w:r w:rsidRPr="00CF6110">
        <w:tab/>
        <w:t>Glossary</w:t>
      </w:r>
    </w:p>
    <w:p w14:paraId="3EAFFAAF" w14:textId="77777777" w:rsidR="007502FD" w:rsidRPr="00CF6110" w:rsidRDefault="007502FD" w:rsidP="007502FD"/>
    <w:tbl>
      <w:tblPr>
        <w:tblStyle w:val="Grilledutableau"/>
        <w:tblW w:w="7513" w:type="dxa"/>
        <w:tblInd w:w="1139" w:type="dxa"/>
        <w:tblLook w:val="04A0" w:firstRow="1" w:lastRow="0" w:firstColumn="1" w:lastColumn="0" w:noHBand="0" w:noVBand="1"/>
      </w:tblPr>
      <w:tblGrid>
        <w:gridCol w:w="1843"/>
        <w:gridCol w:w="5670"/>
      </w:tblGrid>
      <w:tr w:rsidR="007502FD" w:rsidRPr="00CF6110" w14:paraId="794C3AC4" w14:textId="77777777" w:rsidTr="007502FD">
        <w:tc>
          <w:tcPr>
            <w:tcW w:w="1843" w:type="dxa"/>
          </w:tcPr>
          <w:p w14:paraId="0030DC0D" w14:textId="77777777" w:rsidR="007502FD" w:rsidRPr="00CF6110" w:rsidRDefault="007502FD" w:rsidP="007502FD">
            <w:pPr>
              <w:rPr>
                <w:lang w:val="en-GB"/>
              </w:rPr>
            </w:pPr>
            <w:r w:rsidRPr="00CF6110">
              <w:rPr>
                <w:lang w:val="en-GB"/>
              </w:rPr>
              <w:t>Abrasion</w:t>
            </w:r>
          </w:p>
        </w:tc>
        <w:tc>
          <w:tcPr>
            <w:tcW w:w="5670" w:type="dxa"/>
          </w:tcPr>
          <w:p w14:paraId="6D769558" w14:textId="77777777" w:rsidR="007502FD" w:rsidRPr="00CF6110" w:rsidRDefault="007502FD" w:rsidP="007502FD">
            <w:pPr>
              <w:spacing w:before="120"/>
              <w:ind w:left="39"/>
              <w:contextualSpacing/>
              <w:rPr>
                <w:lang w:val="en-GB"/>
              </w:rPr>
            </w:pPr>
            <w:r w:rsidRPr="00CF6110">
              <w:rPr>
                <w:lang w:val="en-GB"/>
              </w:rPr>
              <w:t xml:space="preserve">Superficial injury involving the skin; often called a scratch, scrape or graze. </w:t>
            </w:r>
          </w:p>
        </w:tc>
      </w:tr>
      <w:tr w:rsidR="007502FD" w:rsidRPr="00CF6110" w14:paraId="2609CFCA" w14:textId="77777777" w:rsidTr="007502FD">
        <w:tc>
          <w:tcPr>
            <w:tcW w:w="1843" w:type="dxa"/>
          </w:tcPr>
          <w:p w14:paraId="7C776BB5" w14:textId="77777777" w:rsidR="007502FD" w:rsidRPr="00CF6110" w:rsidRDefault="007502FD" w:rsidP="007502FD">
            <w:pPr>
              <w:rPr>
                <w:lang w:val="en-GB"/>
              </w:rPr>
            </w:pPr>
            <w:r w:rsidRPr="00CF6110">
              <w:rPr>
                <w:lang w:val="en-GB"/>
              </w:rPr>
              <w:t>Accountable</w:t>
            </w:r>
          </w:p>
        </w:tc>
        <w:tc>
          <w:tcPr>
            <w:tcW w:w="5670" w:type="dxa"/>
          </w:tcPr>
          <w:p w14:paraId="0C6BFE5C" w14:textId="77777777" w:rsidR="007502FD" w:rsidRPr="00CF6110" w:rsidRDefault="007502FD" w:rsidP="007502FD">
            <w:pPr>
              <w:spacing w:before="120"/>
              <w:ind w:left="39"/>
              <w:contextualSpacing/>
              <w:rPr>
                <w:lang w:val="en-GB"/>
              </w:rPr>
            </w:pPr>
            <w:r w:rsidRPr="00CF6110">
              <w:rPr>
                <w:lang w:val="en-GB"/>
              </w:rPr>
              <w:t>Subject to a system which is designed to assure the proper discharge of responsibility by a person or institution.</w:t>
            </w:r>
          </w:p>
        </w:tc>
      </w:tr>
      <w:tr w:rsidR="007502FD" w:rsidRPr="00CF6110" w14:paraId="57799CF8" w14:textId="77777777" w:rsidTr="007502FD">
        <w:tc>
          <w:tcPr>
            <w:tcW w:w="1843" w:type="dxa"/>
          </w:tcPr>
          <w:p w14:paraId="61752CFB" w14:textId="77777777" w:rsidR="007502FD" w:rsidRPr="00CF6110" w:rsidRDefault="007502FD" w:rsidP="007502FD">
            <w:pPr>
              <w:rPr>
                <w:lang w:val="en-GB"/>
              </w:rPr>
            </w:pPr>
            <w:r w:rsidRPr="00CF6110">
              <w:rPr>
                <w:lang w:val="en-GB"/>
              </w:rPr>
              <w:t>Alveoli</w:t>
            </w:r>
          </w:p>
        </w:tc>
        <w:tc>
          <w:tcPr>
            <w:tcW w:w="5670" w:type="dxa"/>
          </w:tcPr>
          <w:p w14:paraId="674B86A7" w14:textId="77777777" w:rsidR="007502FD" w:rsidRPr="00CF6110" w:rsidRDefault="007502FD" w:rsidP="007502FD">
            <w:pPr>
              <w:spacing w:before="120"/>
              <w:ind w:left="39"/>
              <w:contextualSpacing/>
              <w:rPr>
                <w:lang w:val="en-GB"/>
              </w:rPr>
            </w:pPr>
            <w:r w:rsidRPr="00CF6110">
              <w:rPr>
                <w:lang w:val="en-GB"/>
              </w:rPr>
              <w:t>In relation to teeth, the sockets holding the teeth.</w:t>
            </w:r>
          </w:p>
        </w:tc>
      </w:tr>
      <w:tr w:rsidR="007502FD" w:rsidRPr="00CF6110" w14:paraId="0C910B6D" w14:textId="77777777" w:rsidTr="007502FD">
        <w:tc>
          <w:tcPr>
            <w:tcW w:w="1843" w:type="dxa"/>
          </w:tcPr>
          <w:p w14:paraId="6F87A9F0" w14:textId="77777777" w:rsidR="007502FD" w:rsidRPr="00CF6110" w:rsidRDefault="007502FD" w:rsidP="007502FD">
            <w:pPr>
              <w:rPr>
                <w:lang w:val="en-GB"/>
              </w:rPr>
            </w:pPr>
            <w:r w:rsidRPr="00CF6110">
              <w:rPr>
                <w:lang w:val="en-GB"/>
              </w:rPr>
              <w:t>Ancestry</w:t>
            </w:r>
          </w:p>
        </w:tc>
        <w:tc>
          <w:tcPr>
            <w:tcW w:w="5670" w:type="dxa"/>
          </w:tcPr>
          <w:p w14:paraId="428F3FD8" w14:textId="77777777" w:rsidR="007502FD" w:rsidRPr="00CF6110" w:rsidRDefault="007502FD" w:rsidP="007502FD">
            <w:pPr>
              <w:spacing w:before="120"/>
              <w:ind w:left="39"/>
              <w:contextualSpacing/>
              <w:rPr>
                <w:lang w:val="en-GB"/>
              </w:rPr>
            </w:pPr>
            <w:r w:rsidRPr="00CF6110">
              <w:rPr>
                <w:lang w:val="en-GB"/>
              </w:rPr>
              <w:t>In relation to forensic anthropology, the biological heritage of the remains.</w:t>
            </w:r>
          </w:p>
        </w:tc>
      </w:tr>
      <w:tr w:rsidR="007502FD" w:rsidRPr="00CF6110" w14:paraId="6D431127" w14:textId="77777777" w:rsidTr="007502FD">
        <w:tc>
          <w:tcPr>
            <w:tcW w:w="1843" w:type="dxa"/>
          </w:tcPr>
          <w:p w14:paraId="337012CA" w14:textId="77777777" w:rsidR="007502FD" w:rsidRPr="00CF6110" w:rsidRDefault="007502FD" w:rsidP="007502FD">
            <w:pPr>
              <w:rPr>
                <w:lang w:val="en-GB"/>
              </w:rPr>
            </w:pPr>
            <w:r w:rsidRPr="00CF6110">
              <w:rPr>
                <w:lang w:val="en-GB"/>
              </w:rPr>
              <w:t>Ante-mortem data</w:t>
            </w:r>
          </w:p>
        </w:tc>
        <w:tc>
          <w:tcPr>
            <w:tcW w:w="5670" w:type="dxa"/>
          </w:tcPr>
          <w:p w14:paraId="6D8DA014" w14:textId="77777777" w:rsidR="007502FD" w:rsidRPr="00CF6110" w:rsidRDefault="007502FD" w:rsidP="007502FD">
            <w:pPr>
              <w:rPr>
                <w:lang w:val="en-GB"/>
              </w:rPr>
            </w:pPr>
            <w:r w:rsidRPr="00CF6110">
              <w:rPr>
                <w:lang w:val="en-GB"/>
              </w:rPr>
              <w:t>Data about a named individual while alive that can be used to compare with post mortem data collected from the body, usually for the purposes of identifying the body.</w:t>
            </w:r>
          </w:p>
        </w:tc>
      </w:tr>
      <w:tr w:rsidR="007502FD" w:rsidRPr="00CF6110" w14:paraId="030DA217" w14:textId="77777777" w:rsidTr="007502FD">
        <w:tc>
          <w:tcPr>
            <w:tcW w:w="1843" w:type="dxa"/>
          </w:tcPr>
          <w:p w14:paraId="40F608F8" w14:textId="77777777" w:rsidR="007502FD" w:rsidRPr="00CF6110" w:rsidRDefault="007502FD" w:rsidP="007502FD">
            <w:pPr>
              <w:rPr>
                <w:lang w:val="en-GB"/>
              </w:rPr>
            </w:pPr>
            <w:r w:rsidRPr="00CF6110">
              <w:rPr>
                <w:lang w:val="en-GB"/>
              </w:rPr>
              <w:t xml:space="preserve">Artefact </w:t>
            </w:r>
          </w:p>
        </w:tc>
        <w:tc>
          <w:tcPr>
            <w:tcW w:w="5670" w:type="dxa"/>
          </w:tcPr>
          <w:p w14:paraId="39C2D90D" w14:textId="77777777" w:rsidR="007502FD" w:rsidRPr="00CF6110" w:rsidRDefault="007502FD" w:rsidP="007502FD">
            <w:pPr>
              <w:spacing w:before="120"/>
              <w:ind w:left="39"/>
              <w:contextualSpacing/>
              <w:rPr>
                <w:lang w:val="en-GB"/>
              </w:rPr>
            </w:pPr>
            <w:r w:rsidRPr="00CF6110">
              <w:rPr>
                <w:lang w:val="en-GB"/>
              </w:rPr>
              <w:t>Artificial product. In relation to a dead body, it is a change (for example resulting from resuscitation or post-mortem damage) imitating pathology, disease, or injury occurring in life.</w:t>
            </w:r>
          </w:p>
        </w:tc>
      </w:tr>
      <w:tr w:rsidR="007502FD" w:rsidRPr="00CF6110" w14:paraId="0C702BD7" w14:textId="77777777" w:rsidTr="007502FD">
        <w:tc>
          <w:tcPr>
            <w:tcW w:w="1843" w:type="dxa"/>
          </w:tcPr>
          <w:p w14:paraId="3D100214" w14:textId="77777777" w:rsidR="007502FD" w:rsidRPr="00CF6110" w:rsidRDefault="007502FD" w:rsidP="007502FD">
            <w:pPr>
              <w:rPr>
                <w:lang w:val="en-GB"/>
              </w:rPr>
            </w:pPr>
            <w:r w:rsidRPr="00CF6110">
              <w:rPr>
                <w:lang w:val="en-GB"/>
              </w:rPr>
              <w:t>Autopsy</w:t>
            </w:r>
          </w:p>
        </w:tc>
        <w:tc>
          <w:tcPr>
            <w:tcW w:w="5670" w:type="dxa"/>
          </w:tcPr>
          <w:p w14:paraId="2A2C9C2D" w14:textId="77777777" w:rsidR="007502FD" w:rsidRPr="00CF6110" w:rsidRDefault="007502FD" w:rsidP="007502FD">
            <w:pPr>
              <w:spacing w:before="120"/>
              <w:ind w:left="39"/>
              <w:contextualSpacing/>
              <w:rPr>
                <w:lang w:val="en-GB"/>
              </w:rPr>
            </w:pPr>
            <w:r w:rsidRPr="00CF6110">
              <w:rPr>
                <w:lang w:val="en-GB"/>
              </w:rPr>
              <w:t xml:space="preserve">In this document, the examination of a dead body involving its external and internal examination and incorporating the results of special tests (including radiology). The internal examination involves, but is not limited to, examining the contents of the cranium, chest, and abdomen. Further dissection may occur in particular circumstances. </w:t>
            </w:r>
          </w:p>
        </w:tc>
      </w:tr>
      <w:tr w:rsidR="007502FD" w:rsidRPr="00CF6110" w14:paraId="0D523EA4" w14:textId="77777777" w:rsidTr="007502FD">
        <w:tc>
          <w:tcPr>
            <w:tcW w:w="1843" w:type="dxa"/>
          </w:tcPr>
          <w:p w14:paraId="464E8124" w14:textId="77777777" w:rsidR="007502FD" w:rsidRPr="00CF6110" w:rsidRDefault="007502FD" w:rsidP="007502FD">
            <w:pPr>
              <w:rPr>
                <w:lang w:val="en-GB"/>
              </w:rPr>
            </w:pPr>
            <w:r w:rsidRPr="00CF6110">
              <w:rPr>
                <w:lang w:val="en-GB"/>
              </w:rPr>
              <w:t>Biological profile</w:t>
            </w:r>
          </w:p>
        </w:tc>
        <w:tc>
          <w:tcPr>
            <w:tcW w:w="5670" w:type="dxa"/>
          </w:tcPr>
          <w:p w14:paraId="4CBD1818" w14:textId="77777777" w:rsidR="007502FD" w:rsidRPr="00CF6110" w:rsidRDefault="007502FD" w:rsidP="007502FD">
            <w:pPr>
              <w:spacing w:before="120"/>
              <w:ind w:left="39"/>
              <w:contextualSpacing/>
              <w:rPr>
                <w:lang w:val="en-GB"/>
              </w:rPr>
            </w:pPr>
            <w:r w:rsidRPr="00CF6110">
              <w:rPr>
                <w:lang w:val="en-GB"/>
              </w:rPr>
              <w:t>Term used in forensic anthropology to refer to the evaluation of skeletonized human remains to make conclusions about the age, sex, ancestry and stature of those remains to aid in their identification.</w:t>
            </w:r>
          </w:p>
        </w:tc>
      </w:tr>
      <w:tr w:rsidR="007502FD" w:rsidRPr="00CF6110" w14:paraId="05C8BEBD" w14:textId="77777777" w:rsidTr="007502FD">
        <w:tc>
          <w:tcPr>
            <w:tcW w:w="1843" w:type="dxa"/>
          </w:tcPr>
          <w:p w14:paraId="2739DEF7" w14:textId="77777777" w:rsidR="007502FD" w:rsidRPr="00CF6110" w:rsidRDefault="007502FD" w:rsidP="007502FD">
            <w:pPr>
              <w:rPr>
                <w:lang w:val="en-GB"/>
              </w:rPr>
            </w:pPr>
            <w:r w:rsidRPr="00CF6110">
              <w:rPr>
                <w:lang w:val="en-GB"/>
              </w:rPr>
              <w:t>Bruise</w:t>
            </w:r>
          </w:p>
        </w:tc>
        <w:tc>
          <w:tcPr>
            <w:tcW w:w="5670" w:type="dxa"/>
          </w:tcPr>
          <w:p w14:paraId="722B64D9" w14:textId="77777777" w:rsidR="007502FD" w:rsidRPr="00CF6110" w:rsidRDefault="007502FD" w:rsidP="007502FD">
            <w:pPr>
              <w:spacing w:before="120"/>
              <w:ind w:left="39"/>
              <w:contextualSpacing/>
              <w:rPr>
                <w:lang w:val="en-GB"/>
              </w:rPr>
            </w:pPr>
            <w:r w:rsidRPr="00CF6110">
              <w:rPr>
                <w:lang w:val="en-GB"/>
              </w:rPr>
              <w:t xml:space="preserve">An injury characterized by extravasation of blood into the </w:t>
            </w:r>
            <w:r w:rsidRPr="00CF6110">
              <w:rPr>
                <w:lang w:val="en-GB"/>
              </w:rPr>
              <w:lastRenderedPageBreak/>
              <w:t>surrounding tissues.</w:t>
            </w:r>
          </w:p>
        </w:tc>
      </w:tr>
      <w:tr w:rsidR="007502FD" w:rsidRPr="00CF6110" w14:paraId="4250FE53" w14:textId="77777777" w:rsidTr="007502FD">
        <w:tc>
          <w:tcPr>
            <w:tcW w:w="1843" w:type="dxa"/>
          </w:tcPr>
          <w:p w14:paraId="014A0D57" w14:textId="77777777" w:rsidR="007502FD" w:rsidRPr="00CF6110" w:rsidRDefault="007502FD" w:rsidP="007502FD">
            <w:pPr>
              <w:rPr>
                <w:lang w:val="en-GB"/>
              </w:rPr>
            </w:pPr>
            <w:r w:rsidRPr="00CF6110">
              <w:rPr>
                <w:lang w:val="en-GB"/>
              </w:rPr>
              <w:lastRenderedPageBreak/>
              <w:t>Cause of Death</w:t>
            </w:r>
          </w:p>
        </w:tc>
        <w:tc>
          <w:tcPr>
            <w:tcW w:w="5670" w:type="dxa"/>
          </w:tcPr>
          <w:p w14:paraId="10EE6A52" w14:textId="77777777" w:rsidR="007502FD" w:rsidRPr="00CF6110" w:rsidRDefault="007502FD" w:rsidP="007502FD">
            <w:pPr>
              <w:ind w:left="1"/>
              <w:rPr>
                <w:lang w:val="en-GB"/>
              </w:rPr>
            </w:pPr>
            <w:r w:rsidRPr="00CF6110">
              <w:rPr>
                <w:lang w:val="en-GB"/>
              </w:rPr>
              <w:t xml:space="preserve">The underlying cause, (the disease, condition or circumstance initiating the chain of events resulting in death), possibly proceeding through more immediate (or proximate) causes, ends the logically linked statements which constitute the cause of death. In concluding the cause of death according to the WHO format, which is the conventional and internationally understood format, the most immediate cause is stated first, and the underlying cause stated last. Thus, the cause of death of a young man who was shot in the chest resulting in massive haemorrhage as the bullet passed through the heart and the lungs should be recorded as: I(a) Haemorrhage (due to) I(b) Perforation of the heart and lungs (due to) I(c) Gunshot wound to the chest. </w:t>
            </w:r>
          </w:p>
          <w:p w14:paraId="2571899C" w14:textId="77777777" w:rsidR="007502FD" w:rsidRPr="00CF6110" w:rsidRDefault="007502FD" w:rsidP="007502FD">
            <w:pPr>
              <w:ind w:left="1"/>
              <w:rPr>
                <w:lang w:val="en-GB"/>
              </w:rPr>
            </w:pPr>
            <w:r w:rsidRPr="00CF6110">
              <w:rPr>
                <w:lang w:val="en-GB"/>
              </w:rPr>
              <w:t xml:space="preserve">Part II of the cause of death statement includes the disease(s), condition(s) or circumstance(s), if any, which contribute to the death, but NOT to the underlying cause listed in </w:t>
            </w:r>
            <w:proofErr w:type="gramStart"/>
            <w:r w:rsidRPr="00CF6110">
              <w:rPr>
                <w:lang w:val="en-GB"/>
              </w:rPr>
              <w:t>I</w:t>
            </w:r>
            <w:proofErr w:type="gramEnd"/>
            <w:r w:rsidRPr="00CF6110">
              <w:rPr>
                <w:lang w:val="en-GB"/>
              </w:rPr>
              <w:t>. The cause of death is Parts I and II considered together.</w:t>
            </w:r>
          </w:p>
          <w:p w14:paraId="0FB8DF08" w14:textId="77777777" w:rsidR="007502FD" w:rsidRPr="00CF6110" w:rsidRDefault="007502FD" w:rsidP="007502FD">
            <w:pPr>
              <w:ind w:left="1"/>
              <w:rPr>
                <w:lang w:val="en-GB"/>
              </w:rPr>
            </w:pPr>
            <w:r w:rsidRPr="00CF6110">
              <w:rPr>
                <w:lang w:val="en-GB"/>
              </w:rPr>
              <w:t>Note: the cause of death is distinguished from the manner of death (qv)</w:t>
            </w:r>
          </w:p>
        </w:tc>
      </w:tr>
      <w:tr w:rsidR="007502FD" w:rsidRPr="00CF6110" w14:paraId="25AC7B41" w14:textId="77777777" w:rsidTr="007502FD">
        <w:tc>
          <w:tcPr>
            <w:tcW w:w="1843" w:type="dxa"/>
          </w:tcPr>
          <w:p w14:paraId="38399221" w14:textId="77777777" w:rsidR="007502FD" w:rsidRPr="00CF6110" w:rsidRDefault="007502FD" w:rsidP="007502FD">
            <w:pPr>
              <w:rPr>
                <w:lang w:val="en-GB"/>
              </w:rPr>
            </w:pPr>
            <w:r w:rsidRPr="00CF6110">
              <w:rPr>
                <w:lang w:val="en-GB"/>
              </w:rPr>
              <w:t>Chain of custody (of an exhibit)</w:t>
            </w:r>
          </w:p>
        </w:tc>
        <w:tc>
          <w:tcPr>
            <w:tcW w:w="5670" w:type="dxa"/>
          </w:tcPr>
          <w:p w14:paraId="13A7C13A" w14:textId="77777777" w:rsidR="007502FD" w:rsidRPr="00CF6110" w:rsidRDefault="007502FD" w:rsidP="007502FD">
            <w:pPr>
              <w:spacing w:before="120"/>
              <w:ind w:firstLine="34"/>
              <w:contextualSpacing/>
              <w:rPr>
                <w:lang w:val="en-GB"/>
              </w:rPr>
            </w:pPr>
            <w:r w:rsidRPr="00CF6110">
              <w:rPr>
                <w:lang w:val="en-GB"/>
              </w:rPr>
              <w:t xml:space="preserve">A process enabling the complete history of the custody of an exhibit to be tracked and recreated; that </w:t>
            </w:r>
            <w:proofErr w:type="gramStart"/>
            <w:r w:rsidRPr="00CF6110">
              <w:rPr>
                <w:lang w:val="en-GB"/>
              </w:rPr>
              <w:t>is,</w:t>
            </w:r>
            <w:proofErr w:type="gramEnd"/>
            <w:r w:rsidRPr="00CF6110">
              <w:rPr>
                <w:lang w:val="en-GB"/>
              </w:rPr>
              <w:t xml:space="preserve"> who has had care and control of the exhibit from the time it was first secured to the present.</w:t>
            </w:r>
          </w:p>
        </w:tc>
      </w:tr>
      <w:tr w:rsidR="007502FD" w:rsidRPr="00CF6110" w14:paraId="191AD24E" w14:textId="77777777" w:rsidTr="007502FD">
        <w:tc>
          <w:tcPr>
            <w:tcW w:w="1843" w:type="dxa"/>
          </w:tcPr>
          <w:p w14:paraId="65013465" w14:textId="77777777" w:rsidR="007502FD" w:rsidRPr="00CF6110" w:rsidRDefault="007502FD" w:rsidP="007502FD">
            <w:pPr>
              <w:rPr>
                <w:lang w:val="en-GB"/>
              </w:rPr>
            </w:pPr>
            <w:r w:rsidRPr="00CF6110">
              <w:rPr>
                <w:lang w:val="en-GB"/>
              </w:rPr>
              <w:t>Commingled remains</w:t>
            </w:r>
          </w:p>
        </w:tc>
        <w:tc>
          <w:tcPr>
            <w:tcW w:w="5670" w:type="dxa"/>
          </w:tcPr>
          <w:p w14:paraId="7A43E0FA" w14:textId="77777777" w:rsidR="007502FD" w:rsidRPr="00CF6110" w:rsidRDefault="007502FD" w:rsidP="007502FD">
            <w:pPr>
              <w:rPr>
                <w:lang w:val="en-GB"/>
              </w:rPr>
            </w:pPr>
            <w:r w:rsidRPr="00CF6110">
              <w:rPr>
                <w:lang w:val="en-GB"/>
              </w:rPr>
              <w:t>Usually in relation to skeletal remains, the mixing of the remains of two or more individuals, for example in a mass grave.</w:t>
            </w:r>
          </w:p>
        </w:tc>
      </w:tr>
      <w:tr w:rsidR="007502FD" w:rsidRPr="00CF6110" w14:paraId="7DDA61F1" w14:textId="77777777" w:rsidTr="007502FD">
        <w:tc>
          <w:tcPr>
            <w:tcW w:w="1843" w:type="dxa"/>
          </w:tcPr>
          <w:p w14:paraId="3502BB00" w14:textId="77777777" w:rsidR="007502FD" w:rsidRPr="00CF6110" w:rsidRDefault="007502FD" w:rsidP="007502FD">
            <w:pPr>
              <w:rPr>
                <w:lang w:val="en-GB"/>
              </w:rPr>
            </w:pPr>
            <w:r w:rsidRPr="00CF6110">
              <w:rPr>
                <w:lang w:val="en-GB"/>
              </w:rPr>
              <w:t>Contamination</w:t>
            </w:r>
          </w:p>
        </w:tc>
        <w:tc>
          <w:tcPr>
            <w:tcW w:w="5670" w:type="dxa"/>
          </w:tcPr>
          <w:p w14:paraId="44CCBF79" w14:textId="77777777" w:rsidR="007502FD" w:rsidRPr="00CF6110" w:rsidRDefault="007502FD" w:rsidP="007502FD">
            <w:pPr>
              <w:spacing w:before="120"/>
              <w:ind w:left="39"/>
              <w:contextualSpacing/>
              <w:rPr>
                <w:lang w:val="en-GB"/>
              </w:rPr>
            </w:pPr>
            <w:r w:rsidRPr="00CF6110">
              <w:rPr>
                <w:lang w:val="en-GB"/>
              </w:rPr>
              <w:t>The location on a person or object of material, whether obvious or not, from another source. Such contamination can be useful forensically linking a suspect to a crime scene; or it can be confusing and damaging to justice (e.g. DNA contamination).</w:t>
            </w:r>
          </w:p>
        </w:tc>
      </w:tr>
      <w:tr w:rsidR="007502FD" w:rsidRPr="00CF6110" w14:paraId="22299E1A" w14:textId="77777777" w:rsidTr="007502FD">
        <w:tc>
          <w:tcPr>
            <w:tcW w:w="1843" w:type="dxa"/>
          </w:tcPr>
          <w:p w14:paraId="3DEC445A" w14:textId="77777777" w:rsidR="007502FD" w:rsidRPr="00CF6110" w:rsidRDefault="007502FD" w:rsidP="007502FD">
            <w:pPr>
              <w:rPr>
                <w:lang w:val="en-GB"/>
              </w:rPr>
            </w:pPr>
            <w:r w:rsidRPr="00CF6110">
              <w:rPr>
                <w:lang w:val="en-GB"/>
              </w:rPr>
              <w:t>Continuity</w:t>
            </w:r>
          </w:p>
        </w:tc>
        <w:tc>
          <w:tcPr>
            <w:tcW w:w="5670" w:type="dxa"/>
          </w:tcPr>
          <w:p w14:paraId="2C06F675" w14:textId="77777777" w:rsidR="007502FD" w:rsidRPr="00CF6110" w:rsidRDefault="007502FD" w:rsidP="007502FD">
            <w:pPr>
              <w:spacing w:before="120"/>
              <w:ind w:left="39"/>
              <w:contextualSpacing/>
              <w:rPr>
                <w:lang w:val="en-GB"/>
              </w:rPr>
            </w:pPr>
            <w:r w:rsidRPr="00CF6110">
              <w:rPr>
                <w:lang w:val="en-GB"/>
              </w:rPr>
              <w:t>See Chain of custody (above).</w:t>
            </w:r>
          </w:p>
        </w:tc>
      </w:tr>
      <w:tr w:rsidR="007502FD" w:rsidRPr="00CF6110" w14:paraId="648F90A7" w14:textId="77777777" w:rsidTr="007502FD">
        <w:tc>
          <w:tcPr>
            <w:tcW w:w="1843" w:type="dxa"/>
          </w:tcPr>
          <w:p w14:paraId="31A31CBE" w14:textId="77777777" w:rsidR="007502FD" w:rsidRPr="00CF6110" w:rsidRDefault="007502FD" w:rsidP="007502FD">
            <w:pPr>
              <w:rPr>
                <w:lang w:val="en-GB"/>
              </w:rPr>
            </w:pPr>
            <w:r w:rsidRPr="00CF6110">
              <w:rPr>
                <w:lang w:val="en-GB"/>
              </w:rPr>
              <w:t>Death</w:t>
            </w:r>
          </w:p>
        </w:tc>
        <w:tc>
          <w:tcPr>
            <w:tcW w:w="5670" w:type="dxa"/>
          </w:tcPr>
          <w:p w14:paraId="599281EF" w14:textId="77777777" w:rsidR="007502FD" w:rsidRPr="00CF6110" w:rsidRDefault="007502FD" w:rsidP="007502FD">
            <w:pPr>
              <w:spacing w:before="120"/>
              <w:ind w:left="39"/>
              <w:contextualSpacing/>
              <w:rPr>
                <w:lang w:val="en-GB"/>
              </w:rPr>
            </w:pPr>
            <w:r w:rsidRPr="00CF6110">
              <w:rPr>
                <w:lang w:val="en-GB"/>
              </w:rPr>
              <w:t>The irreversible cessation of all vital functions, including brain activity. Death is “natural” when it is caused solely by disease and/or the aging process. It is “unnatural” when its causes are external, such as intentional injury (homicide, suicide), negligence, or unintentional injury (death by accident).</w:t>
            </w:r>
          </w:p>
        </w:tc>
      </w:tr>
      <w:tr w:rsidR="007502FD" w:rsidRPr="00CF6110" w14:paraId="43DB4A54" w14:textId="77777777" w:rsidTr="007502FD">
        <w:tc>
          <w:tcPr>
            <w:tcW w:w="1843" w:type="dxa"/>
          </w:tcPr>
          <w:p w14:paraId="72AD46E8" w14:textId="77777777" w:rsidR="007502FD" w:rsidRPr="00CF6110" w:rsidRDefault="007502FD" w:rsidP="007502FD">
            <w:pPr>
              <w:rPr>
                <w:lang w:val="en-GB"/>
              </w:rPr>
            </w:pPr>
            <w:r w:rsidRPr="00CF6110">
              <w:rPr>
                <w:lang w:val="en-GB"/>
              </w:rPr>
              <w:t>Decomposition (post mortem)</w:t>
            </w:r>
          </w:p>
        </w:tc>
        <w:tc>
          <w:tcPr>
            <w:tcW w:w="5670" w:type="dxa"/>
          </w:tcPr>
          <w:p w14:paraId="7C86363A" w14:textId="77777777" w:rsidR="007502FD" w:rsidRPr="00CF6110" w:rsidRDefault="007502FD" w:rsidP="007502FD">
            <w:pPr>
              <w:spacing w:before="120"/>
              <w:ind w:left="39"/>
              <w:contextualSpacing/>
              <w:rPr>
                <w:lang w:val="en-GB"/>
              </w:rPr>
            </w:pPr>
            <w:r w:rsidRPr="00CF6110">
              <w:rPr>
                <w:lang w:val="en-GB"/>
              </w:rPr>
              <w:t>The process after death of dissolution of the body. In the early hours and days after death some of the changes can be mistaken for injuries (eg signs of putrefaction such as swelling and purplish discolouration of the face and body)</w:t>
            </w:r>
          </w:p>
        </w:tc>
      </w:tr>
      <w:tr w:rsidR="007502FD" w:rsidRPr="00CF6110" w14:paraId="32B0347A" w14:textId="77777777" w:rsidTr="007502FD">
        <w:tc>
          <w:tcPr>
            <w:tcW w:w="1843" w:type="dxa"/>
          </w:tcPr>
          <w:p w14:paraId="4EBF4AB6" w14:textId="77777777" w:rsidR="007502FD" w:rsidRPr="00CF6110" w:rsidRDefault="007502FD" w:rsidP="007502FD">
            <w:pPr>
              <w:rPr>
                <w:lang w:val="en-GB"/>
              </w:rPr>
            </w:pPr>
            <w:r w:rsidRPr="00CF6110">
              <w:rPr>
                <w:lang w:val="en-GB"/>
              </w:rPr>
              <w:t>Deceased</w:t>
            </w:r>
          </w:p>
        </w:tc>
        <w:tc>
          <w:tcPr>
            <w:tcW w:w="5670" w:type="dxa"/>
          </w:tcPr>
          <w:p w14:paraId="1BA20BED" w14:textId="77777777" w:rsidR="007502FD" w:rsidRPr="00CF6110" w:rsidRDefault="007502FD" w:rsidP="007502FD">
            <w:pPr>
              <w:spacing w:before="120"/>
              <w:ind w:left="39"/>
              <w:contextualSpacing/>
              <w:rPr>
                <w:lang w:val="en-GB"/>
              </w:rPr>
            </w:pPr>
            <w:r w:rsidRPr="00CF6110">
              <w:rPr>
                <w:lang w:val="en-GB"/>
              </w:rPr>
              <w:t>Depending upon the context, dead, or a dead person.</w:t>
            </w:r>
          </w:p>
        </w:tc>
      </w:tr>
      <w:tr w:rsidR="007502FD" w:rsidRPr="00CF6110" w14:paraId="01115ECC" w14:textId="77777777" w:rsidTr="007502FD">
        <w:tc>
          <w:tcPr>
            <w:tcW w:w="1843" w:type="dxa"/>
          </w:tcPr>
          <w:p w14:paraId="2CD9FAB2" w14:textId="77777777" w:rsidR="007502FD" w:rsidRPr="00CF6110" w:rsidRDefault="007502FD" w:rsidP="007502FD">
            <w:pPr>
              <w:rPr>
                <w:lang w:val="en-GB"/>
              </w:rPr>
            </w:pPr>
            <w:r w:rsidRPr="00CF6110">
              <w:rPr>
                <w:lang w:val="en-GB"/>
              </w:rPr>
              <w:t>Defence injuries/wounds</w:t>
            </w:r>
          </w:p>
        </w:tc>
        <w:tc>
          <w:tcPr>
            <w:tcW w:w="5670" w:type="dxa"/>
          </w:tcPr>
          <w:p w14:paraId="4173585A" w14:textId="77777777" w:rsidR="007502FD" w:rsidRPr="00CF6110" w:rsidRDefault="007502FD" w:rsidP="007502FD">
            <w:pPr>
              <w:rPr>
                <w:lang w:val="en-GB"/>
              </w:rPr>
            </w:pPr>
            <w:r w:rsidRPr="00CF6110">
              <w:rPr>
                <w:lang w:val="en-GB"/>
              </w:rPr>
              <w:t xml:space="preserve">Injuries/wounds sustained by a victim resulting from attempts at </w:t>
            </w:r>
            <w:proofErr w:type="spellStart"/>
            <w:r w:rsidRPr="00CF6110">
              <w:rPr>
                <w:lang w:val="en-GB"/>
              </w:rPr>
              <w:t>self defence</w:t>
            </w:r>
            <w:proofErr w:type="spellEnd"/>
            <w:r w:rsidRPr="00CF6110">
              <w:rPr>
                <w:lang w:val="en-GB"/>
              </w:rPr>
              <w:t xml:space="preserve"> during an assault.</w:t>
            </w:r>
          </w:p>
        </w:tc>
      </w:tr>
      <w:tr w:rsidR="007502FD" w:rsidRPr="00CF6110" w14:paraId="5379D3C7" w14:textId="77777777" w:rsidTr="007502FD">
        <w:tc>
          <w:tcPr>
            <w:tcW w:w="1843" w:type="dxa"/>
          </w:tcPr>
          <w:p w14:paraId="126E7361" w14:textId="77777777" w:rsidR="007502FD" w:rsidRPr="00CF6110" w:rsidRDefault="007502FD" w:rsidP="007502FD">
            <w:pPr>
              <w:rPr>
                <w:lang w:val="en-GB"/>
              </w:rPr>
            </w:pPr>
            <w:r w:rsidRPr="00CF6110">
              <w:rPr>
                <w:lang w:val="en-GB"/>
              </w:rPr>
              <w:t>Disaster Victim Identification (DVI)</w:t>
            </w:r>
          </w:p>
        </w:tc>
        <w:tc>
          <w:tcPr>
            <w:tcW w:w="5670" w:type="dxa"/>
          </w:tcPr>
          <w:p w14:paraId="324D1DB7" w14:textId="77777777" w:rsidR="007502FD" w:rsidRPr="00CF6110" w:rsidRDefault="007502FD" w:rsidP="007502FD">
            <w:pPr>
              <w:spacing w:before="120"/>
              <w:ind w:left="39"/>
              <w:contextualSpacing/>
              <w:rPr>
                <w:lang w:val="en-GB"/>
              </w:rPr>
            </w:pPr>
            <w:r w:rsidRPr="00CF6110">
              <w:rPr>
                <w:lang w:val="en-GB"/>
              </w:rPr>
              <w:t>The scene, mortuary based and related processes (e.g. ante-mortem data collection, reconciliation) of dealing with a multiple fatality event to ensure that individuals are correctly identified. Undertaken in accordance with Interpol guidelines.</w:t>
            </w:r>
          </w:p>
        </w:tc>
      </w:tr>
      <w:tr w:rsidR="007502FD" w:rsidRPr="00CF6110" w14:paraId="5E578C54" w14:textId="77777777" w:rsidTr="007502FD">
        <w:tc>
          <w:tcPr>
            <w:tcW w:w="1843" w:type="dxa"/>
          </w:tcPr>
          <w:p w14:paraId="03BE56C5" w14:textId="77777777" w:rsidR="007502FD" w:rsidRPr="00CF6110" w:rsidRDefault="007502FD" w:rsidP="007502FD">
            <w:pPr>
              <w:rPr>
                <w:lang w:val="en-GB"/>
              </w:rPr>
            </w:pPr>
            <w:r w:rsidRPr="00CF6110">
              <w:rPr>
                <w:lang w:val="en-GB"/>
              </w:rPr>
              <w:t>Epiphysis(es)</w:t>
            </w:r>
          </w:p>
        </w:tc>
        <w:tc>
          <w:tcPr>
            <w:tcW w:w="5670" w:type="dxa"/>
          </w:tcPr>
          <w:p w14:paraId="38137AB7" w14:textId="77777777" w:rsidR="007502FD" w:rsidRPr="00CF6110" w:rsidRDefault="007502FD" w:rsidP="007502FD">
            <w:pPr>
              <w:rPr>
                <w:lang w:val="en-GB"/>
              </w:rPr>
            </w:pPr>
            <w:r w:rsidRPr="00CF6110">
              <w:rPr>
                <w:lang w:val="en-GB"/>
              </w:rPr>
              <w:t xml:space="preserve">The end(s) of long bones; the process of the fusion of the epiphysis(es) with the shaft of the long bone enables conclusions about the age of the person </w:t>
            </w:r>
          </w:p>
        </w:tc>
      </w:tr>
      <w:tr w:rsidR="007502FD" w:rsidRPr="00CF6110" w14:paraId="70C724C2" w14:textId="77777777" w:rsidTr="007502FD">
        <w:tc>
          <w:tcPr>
            <w:tcW w:w="1843" w:type="dxa"/>
          </w:tcPr>
          <w:p w14:paraId="5FAF6827" w14:textId="77777777" w:rsidR="007502FD" w:rsidRPr="00CF6110" w:rsidRDefault="007502FD" w:rsidP="007502FD">
            <w:pPr>
              <w:rPr>
                <w:lang w:val="en-GB"/>
              </w:rPr>
            </w:pPr>
            <w:r w:rsidRPr="00CF6110">
              <w:rPr>
                <w:lang w:val="en-GB"/>
              </w:rPr>
              <w:t>Ethics</w:t>
            </w:r>
          </w:p>
        </w:tc>
        <w:tc>
          <w:tcPr>
            <w:tcW w:w="5670" w:type="dxa"/>
          </w:tcPr>
          <w:p w14:paraId="673B80C0" w14:textId="77777777" w:rsidR="007502FD" w:rsidRPr="00CF6110" w:rsidRDefault="007502FD" w:rsidP="007502FD">
            <w:pPr>
              <w:spacing w:before="120"/>
              <w:ind w:left="39"/>
              <w:contextualSpacing/>
              <w:rPr>
                <w:lang w:val="en-GB"/>
              </w:rPr>
            </w:pPr>
            <w:r w:rsidRPr="00CF6110">
              <w:rPr>
                <w:lang w:val="en-GB"/>
              </w:rPr>
              <w:t>The study of what is right and wrong. Professional ethics concentrates on the behaviour and attitudes of members of that profession.</w:t>
            </w:r>
          </w:p>
        </w:tc>
      </w:tr>
      <w:tr w:rsidR="007502FD" w:rsidRPr="00CF6110" w14:paraId="1BC84F6A" w14:textId="77777777" w:rsidTr="007502FD">
        <w:tc>
          <w:tcPr>
            <w:tcW w:w="1843" w:type="dxa"/>
          </w:tcPr>
          <w:p w14:paraId="22DA0C9B" w14:textId="77777777" w:rsidR="007502FD" w:rsidRPr="00CF6110" w:rsidRDefault="007502FD" w:rsidP="007502FD">
            <w:pPr>
              <w:rPr>
                <w:lang w:val="en-GB"/>
              </w:rPr>
            </w:pPr>
            <w:r w:rsidRPr="00CF6110">
              <w:rPr>
                <w:lang w:val="en-GB"/>
              </w:rPr>
              <w:t>Exhibits</w:t>
            </w:r>
          </w:p>
        </w:tc>
        <w:tc>
          <w:tcPr>
            <w:tcW w:w="5670" w:type="dxa"/>
          </w:tcPr>
          <w:p w14:paraId="22225FF7" w14:textId="77777777" w:rsidR="007502FD" w:rsidRPr="00CF6110" w:rsidRDefault="007502FD" w:rsidP="007502FD">
            <w:pPr>
              <w:spacing w:before="120"/>
              <w:ind w:left="39"/>
              <w:contextualSpacing/>
              <w:rPr>
                <w:lang w:val="en-GB"/>
              </w:rPr>
            </w:pPr>
            <w:r w:rsidRPr="00CF6110">
              <w:rPr>
                <w:lang w:val="en-GB"/>
              </w:rPr>
              <w:t>Physical evidence thought to be relevant to the investigation of a crime or death which are labelled and recorded as exhibits, and kept securely so that they cannot be interfered with or contaminated.</w:t>
            </w:r>
          </w:p>
        </w:tc>
      </w:tr>
      <w:tr w:rsidR="007502FD" w:rsidRPr="00CF6110" w14:paraId="699B7004" w14:textId="77777777" w:rsidTr="007502FD">
        <w:tc>
          <w:tcPr>
            <w:tcW w:w="1843" w:type="dxa"/>
          </w:tcPr>
          <w:p w14:paraId="6E9B5053" w14:textId="77777777" w:rsidR="007502FD" w:rsidRPr="00CF6110" w:rsidRDefault="007502FD" w:rsidP="007502FD">
            <w:pPr>
              <w:rPr>
                <w:lang w:val="en-GB"/>
              </w:rPr>
            </w:pPr>
            <w:r w:rsidRPr="00CF6110">
              <w:rPr>
                <w:lang w:val="en-GB"/>
              </w:rPr>
              <w:lastRenderedPageBreak/>
              <w:t>Femur</w:t>
            </w:r>
          </w:p>
        </w:tc>
        <w:tc>
          <w:tcPr>
            <w:tcW w:w="5670" w:type="dxa"/>
          </w:tcPr>
          <w:p w14:paraId="5765708B" w14:textId="77777777" w:rsidR="007502FD" w:rsidRPr="00CF6110" w:rsidRDefault="007502FD" w:rsidP="007502FD">
            <w:pPr>
              <w:spacing w:before="120"/>
              <w:ind w:left="39"/>
              <w:contextualSpacing/>
              <w:rPr>
                <w:lang w:val="en-GB"/>
              </w:rPr>
            </w:pPr>
            <w:r w:rsidRPr="00CF6110">
              <w:rPr>
                <w:lang w:val="en-GB"/>
              </w:rPr>
              <w:t>The thigh bone</w:t>
            </w:r>
          </w:p>
        </w:tc>
      </w:tr>
      <w:tr w:rsidR="007502FD" w:rsidRPr="00CF6110" w14:paraId="1B253323" w14:textId="77777777" w:rsidTr="007502FD">
        <w:tc>
          <w:tcPr>
            <w:tcW w:w="1843" w:type="dxa"/>
          </w:tcPr>
          <w:p w14:paraId="0B253C66" w14:textId="77777777" w:rsidR="007502FD" w:rsidRPr="00CF6110" w:rsidRDefault="007502FD" w:rsidP="007502FD">
            <w:pPr>
              <w:rPr>
                <w:lang w:val="en-GB"/>
              </w:rPr>
            </w:pPr>
            <w:r w:rsidRPr="00CF6110">
              <w:rPr>
                <w:lang w:val="en-GB"/>
              </w:rPr>
              <w:t>Fingerprints (latent)</w:t>
            </w:r>
          </w:p>
        </w:tc>
        <w:tc>
          <w:tcPr>
            <w:tcW w:w="5670" w:type="dxa"/>
          </w:tcPr>
          <w:p w14:paraId="2E8ABA98" w14:textId="77777777" w:rsidR="007502FD" w:rsidRPr="00CF6110" w:rsidRDefault="007502FD" w:rsidP="007502FD">
            <w:pPr>
              <w:rPr>
                <w:lang w:val="en-GB"/>
              </w:rPr>
            </w:pPr>
            <w:r w:rsidRPr="00CF6110">
              <w:rPr>
                <w:lang w:val="en-GB"/>
              </w:rPr>
              <w:t>Fingerprints present on a surface requiring a technical process to make them visible.</w:t>
            </w:r>
          </w:p>
        </w:tc>
      </w:tr>
      <w:tr w:rsidR="007502FD" w:rsidRPr="00CF6110" w14:paraId="3A74433F" w14:textId="77777777" w:rsidTr="007502FD">
        <w:tc>
          <w:tcPr>
            <w:tcW w:w="1843" w:type="dxa"/>
          </w:tcPr>
          <w:p w14:paraId="7D2777FD" w14:textId="77777777" w:rsidR="007502FD" w:rsidRPr="00CF6110" w:rsidRDefault="007502FD" w:rsidP="007502FD">
            <w:pPr>
              <w:rPr>
                <w:lang w:val="en-GB"/>
              </w:rPr>
            </w:pPr>
            <w:r w:rsidRPr="00CF6110">
              <w:rPr>
                <w:lang w:val="en-GB"/>
              </w:rPr>
              <w:t>Forensic</w:t>
            </w:r>
          </w:p>
        </w:tc>
        <w:tc>
          <w:tcPr>
            <w:tcW w:w="5670" w:type="dxa"/>
          </w:tcPr>
          <w:p w14:paraId="6E33208A" w14:textId="77777777" w:rsidR="007502FD" w:rsidRPr="00CF6110" w:rsidRDefault="007502FD" w:rsidP="007502FD">
            <w:pPr>
              <w:spacing w:before="120"/>
              <w:ind w:left="39"/>
              <w:contextualSpacing/>
              <w:rPr>
                <w:lang w:val="en-GB"/>
              </w:rPr>
            </w:pPr>
            <w:r w:rsidRPr="00CF6110">
              <w:rPr>
                <w:lang w:val="en-GB"/>
              </w:rPr>
              <w:t>Relating to the courts, or more generally, the law.</w:t>
            </w:r>
          </w:p>
        </w:tc>
      </w:tr>
      <w:tr w:rsidR="007502FD" w:rsidRPr="00CF6110" w14:paraId="76AFFF28" w14:textId="77777777" w:rsidTr="007502FD">
        <w:tc>
          <w:tcPr>
            <w:tcW w:w="1843" w:type="dxa"/>
          </w:tcPr>
          <w:p w14:paraId="19449E22" w14:textId="77777777" w:rsidR="007502FD" w:rsidRPr="00CF6110" w:rsidRDefault="007502FD" w:rsidP="007502FD">
            <w:pPr>
              <w:rPr>
                <w:lang w:val="en-GB"/>
              </w:rPr>
            </w:pPr>
            <w:r w:rsidRPr="00CF6110">
              <w:rPr>
                <w:lang w:val="en-GB"/>
              </w:rPr>
              <w:t>Forensic anthropology</w:t>
            </w:r>
          </w:p>
        </w:tc>
        <w:tc>
          <w:tcPr>
            <w:tcW w:w="5670" w:type="dxa"/>
          </w:tcPr>
          <w:p w14:paraId="78733472" w14:textId="77777777" w:rsidR="007502FD" w:rsidRPr="00CF6110" w:rsidRDefault="007502FD" w:rsidP="007502FD">
            <w:pPr>
              <w:spacing w:before="120"/>
              <w:ind w:left="39"/>
              <w:contextualSpacing/>
              <w:rPr>
                <w:lang w:val="en-GB"/>
              </w:rPr>
            </w:pPr>
            <w:r w:rsidRPr="00CF6110">
              <w:rPr>
                <w:lang w:val="en-GB"/>
              </w:rPr>
              <w:t>The examination of human skeletal material to answer medico-legal questions including those of identification.</w:t>
            </w:r>
          </w:p>
        </w:tc>
      </w:tr>
      <w:tr w:rsidR="007502FD" w:rsidRPr="00CF6110" w14:paraId="2A330474" w14:textId="77777777" w:rsidTr="007502FD">
        <w:tc>
          <w:tcPr>
            <w:tcW w:w="1843" w:type="dxa"/>
          </w:tcPr>
          <w:p w14:paraId="58DCAA93" w14:textId="77777777" w:rsidR="007502FD" w:rsidRPr="00CF6110" w:rsidRDefault="007502FD" w:rsidP="007502FD">
            <w:pPr>
              <w:rPr>
                <w:lang w:val="en-GB"/>
              </w:rPr>
            </w:pPr>
            <w:r w:rsidRPr="00CF6110">
              <w:rPr>
                <w:lang w:val="en-GB"/>
              </w:rPr>
              <w:t>Forensic archaeology</w:t>
            </w:r>
          </w:p>
        </w:tc>
        <w:tc>
          <w:tcPr>
            <w:tcW w:w="5670" w:type="dxa"/>
          </w:tcPr>
          <w:p w14:paraId="2488ABC9" w14:textId="77777777" w:rsidR="007502FD" w:rsidRPr="00CF6110" w:rsidRDefault="007502FD" w:rsidP="007502FD">
            <w:pPr>
              <w:rPr>
                <w:lang w:val="en-GB"/>
              </w:rPr>
            </w:pPr>
            <w:r w:rsidRPr="00CF6110">
              <w:rPr>
                <w:lang w:val="en-GB"/>
              </w:rPr>
              <w:t>The use of the skills employed in the study of ancient remains and objects for the purpose of the law, mainly related to excavation, recovery and the evaluation of scenes and sites.</w:t>
            </w:r>
          </w:p>
        </w:tc>
      </w:tr>
      <w:tr w:rsidR="007502FD" w:rsidRPr="00CF6110" w14:paraId="37EF6E62" w14:textId="77777777" w:rsidTr="007502FD">
        <w:tc>
          <w:tcPr>
            <w:tcW w:w="1843" w:type="dxa"/>
          </w:tcPr>
          <w:p w14:paraId="023EA618" w14:textId="77777777" w:rsidR="007502FD" w:rsidRPr="00CF6110" w:rsidRDefault="007502FD" w:rsidP="007502FD">
            <w:pPr>
              <w:rPr>
                <w:lang w:val="en-GB"/>
              </w:rPr>
            </w:pPr>
            <w:r w:rsidRPr="00CF6110">
              <w:rPr>
                <w:lang w:val="en-GB"/>
              </w:rPr>
              <w:t>Forensic ballistics/firearms and toolmarks</w:t>
            </w:r>
          </w:p>
        </w:tc>
        <w:tc>
          <w:tcPr>
            <w:tcW w:w="5670" w:type="dxa"/>
          </w:tcPr>
          <w:p w14:paraId="387692ED" w14:textId="77777777" w:rsidR="007502FD" w:rsidRPr="00CF6110" w:rsidRDefault="007502FD" w:rsidP="007502FD">
            <w:pPr>
              <w:rPr>
                <w:lang w:val="en-GB"/>
              </w:rPr>
            </w:pPr>
            <w:r w:rsidRPr="00CF6110">
              <w:rPr>
                <w:lang w:val="en-GB"/>
              </w:rPr>
              <w:t>These two categories of forensic science are often used interchangeably; in this document, the examinations leading to conclusions of forensic value about gunshot wounds and the projectiles recovered from them.</w:t>
            </w:r>
          </w:p>
        </w:tc>
      </w:tr>
      <w:tr w:rsidR="007502FD" w:rsidRPr="00CF6110" w14:paraId="3BF1B14F" w14:textId="77777777" w:rsidTr="007502FD">
        <w:tc>
          <w:tcPr>
            <w:tcW w:w="1843" w:type="dxa"/>
          </w:tcPr>
          <w:p w14:paraId="776A7FBD" w14:textId="77777777" w:rsidR="007502FD" w:rsidRPr="00CF6110" w:rsidRDefault="007502FD" w:rsidP="007502FD">
            <w:pPr>
              <w:rPr>
                <w:lang w:val="en-GB"/>
              </w:rPr>
            </w:pPr>
            <w:r w:rsidRPr="00CF6110">
              <w:rPr>
                <w:lang w:val="en-GB"/>
              </w:rPr>
              <w:t>Forensic doctor</w:t>
            </w:r>
          </w:p>
        </w:tc>
        <w:tc>
          <w:tcPr>
            <w:tcW w:w="5670" w:type="dxa"/>
          </w:tcPr>
          <w:p w14:paraId="4BB36334" w14:textId="77777777" w:rsidR="007502FD" w:rsidRPr="00CF6110" w:rsidRDefault="007502FD" w:rsidP="007502FD">
            <w:pPr>
              <w:spacing w:before="120"/>
              <w:ind w:left="39"/>
              <w:contextualSpacing/>
              <w:rPr>
                <w:lang w:val="en-GB"/>
              </w:rPr>
            </w:pPr>
            <w:r w:rsidRPr="00CF6110">
              <w:rPr>
                <w:lang w:val="en-GB"/>
              </w:rPr>
              <w:t>For the purposes of this document, a certified medical doctor who is authorized to perform forensic post-mortem examinations.</w:t>
            </w:r>
          </w:p>
        </w:tc>
      </w:tr>
      <w:tr w:rsidR="007502FD" w:rsidRPr="00CF6110" w14:paraId="188A98A7" w14:textId="77777777" w:rsidTr="007502FD">
        <w:tc>
          <w:tcPr>
            <w:tcW w:w="1843" w:type="dxa"/>
          </w:tcPr>
          <w:p w14:paraId="422C015C" w14:textId="77777777" w:rsidR="007502FD" w:rsidRPr="00CF6110" w:rsidRDefault="007502FD" w:rsidP="007502FD">
            <w:pPr>
              <w:rPr>
                <w:lang w:val="en-GB"/>
              </w:rPr>
            </w:pPr>
            <w:r w:rsidRPr="00CF6110">
              <w:rPr>
                <w:lang w:val="en-GB"/>
              </w:rPr>
              <w:t>Forensic entomology</w:t>
            </w:r>
          </w:p>
        </w:tc>
        <w:tc>
          <w:tcPr>
            <w:tcW w:w="5670" w:type="dxa"/>
          </w:tcPr>
          <w:p w14:paraId="2D3D0236" w14:textId="77777777" w:rsidR="007502FD" w:rsidRPr="00CF6110" w:rsidRDefault="007502FD" w:rsidP="007502FD">
            <w:pPr>
              <w:spacing w:before="120"/>
              <w:ind w:left="39"/>
              <w:contextualSpacing/>
              <w:rPr>
                <w:lang w:val="en-GB"/>
              </w:rPr>
            </w:pPr>
            <w:r w:rsidRPr="00CF6110">
              <w:rPr>
                <w:lang w:val="en-GB"/>
              </w:rPr>
              <w:t>The study of insects in a forensic setting, most often in forensic pathology as an indicator of the minimum time since death.</w:t>
            </w:r>
          </w:p>
        </w:tc>
      </w:tr>
      <w:tr w:rsidR="007502FD" w:rsidRPr="00CF6110" w14:paraId="387259FE" w14:textId="77777777" w:rsidTr="007502FD">
        <w:tc>
          <w:tcPr>
            <w:tcW w:w="1843" w:type="dxa"/>
          </w:tcPr>
          <w:p w14:paraId="180EF9A4" w14:textId="77777777" w:rsidR="007502FD" w:rsidRPr="00CF6110" w:rsidRDefault="007502FD" w:rsidP="007502FD">
            <w:pPr>
              <w:rPr>
                <w:lang w:val="en-GB"/>
              </w:rPr>
            </w:pPr>
            <w:r w:rsidRPr="00CF6110">
              <w:rPr>
                <w:lang w:val="en-GB"/>
              </w:rPr>
              <w:t>Forensic odontology</w:t>
            </w:r>
          </w:p>
        </w:tc>
        <w:tc>
          <w:tcPr>
            <w:tcW w:w="5670" w:type="dxa"/>
          </w:tcPr>
          <w:p w14:paraId="118BBA2F" w14:textId="77777777" w:rsidR="007502FD" w:rsidRPr="00CF6110" w:rsidRDefault="007502FD" w:rsidP="007502FD">
            <w:pPr>
              <w:spacing w:before="120"/>
              <w:ind w:left="39"/>
              <w:contextualSpacing/>
              <w:rPr>
                <w:lang w:val="en-GB"/>
              </w:rPr>
            </w:pPr>
            <w:r w:rsidRPr="00CF6110">
              <w:rPr>
                <w:lang w:val="en-GB"/>
              </w:rPr>
              <w:t>The study of dentistry in relation to the law, in particular to the investigation of death, especially the identification of human remains.</w:t>
            </w:r>
          </w:p>
        </w:tc>
      </w:tr>
      <w:tr w:rsidR="007502FD" w:rsidRPr="00CF6110" w14:paraId="5F1D6FE7" w14:textId="77777777" w:rsidTr="007502FD">
        <w:tc>
          <w:tcPr>
            <w:tcW w:w="1843" w:type="dxa"/>
          </w:tcPr>
          <w:p w14:paraId="15F3329A" w14:textId="77777777" w:rsidR="007502FD" w:rsidRPr="00CF6110" w:rsidRDefault="007502FD" w:rsidP="007502FD">
            <w:pPr>
              <w:rPr>
                <w:lang w:val="en-GB"/>
              </w:rPr>
            </w:pPr>
            <w:r w:rsidRPr="00CF6110">
              <w:rPr>
                <w:lang w:val="en-GB"/>
              </w:rPr>
              <w:t>Forensic medicine</w:t>
            </w:r>
          </w:p>
        </w:tc>
        <w:tc>
          <w:tcPr>
            <w:tcW w:w="5670" w:type="dxa"/>
          </w:tcPr>
          <w:p w14:paraId="2DE902CE" w14:textId="77777777" w:rsidR="007502FD" w:rsidRPr="00CF6110" w:rsidRDefault="007502FD" w:rsidP="007502FD">
            <w:pPr>
              <w:spacing w:before="120"/>
              <w:ind w:left="39"/>
              <w:contextualSpacing/>
              <w:rPr>
                <w:lang w:val="en-GB"/>
              </w:rPr>
            </w:pPr>
            <w:r w:rsidRPr="00CF6110">
              <w:rPr>
                <w:lang w:val="en-GB"/>
              </w:rPr>
              <w:t>The principles and practice of medicine as applied to the needs of the law and the courts.</w:t>
            </w:r>
          </w:p>
        </w:tc>
      </w:tr>
      <w:tr w:rsidR="007502FD" w:rsidRPr="00CF6110" w14:paraId="59E7097A" w14:textId="77777777" w:rsidTr="007502FD">
        <w:tc>
          <w:tcPr>
            <w:tcW w:w="1843" w:type="dxa"/>
          </w:tcPr>
          <w:p w14:paraId="075ACD4F" w14:textId="77777777" w:rsidR="007502FD" w:rsidRPr="00CF6110" w:rsidRDefault="007502FD" w:rsidP="007502FD">
            <w:pPr>
              <w:rPr>
                <w:lang w:val="en-GB"/>
              </w:rPr>
            </w:pPr>
            <w:r w:rsidRPr="00CF6110">
              <w:rPr>
                <w:lang w:val="en-GB"/>
              </w:rPr>
              <w:t>Forensic pathologist</w:t>
            </w:r>
          </w:p>
        </w:tc>
        <w:tc>
          <w:tcPr>
            <w:tcW w:w="5670" w:type="dxa"/>
          </w:tcPr>
          <w:p w14:paraId="418301C0" w14:textId="77777777" w:rsidR="007502FD" w:rsidRPr="00CF6110" w:rsidRDefault="007502FD" w:rsidP="007502FD">
            <w:pPr>
              <w:spacing w:before="120"/>
              <w:ind w:left="39"/>
              <w:contextualSpacing/>
              <w:rPr>
                <w:lang w:val="en-GB"/>
              </w:rPr>
            </w:pPr>
            <w:r w:rsidRPr="00CF6110">
              <w:rPr>
                <w:lang w:val="en-GB"/>
              </w:rPr>
              <w:t>The medical specialist concerned with the investigation of deaths in which the law has an interest; in this document, used inter-changeably with the term forensic doctor.</w:t>
            </w:r>
          </w:p>
        </w:tc>
      </w:tr>
      <w:tr w:rsidR="007502FD" w:rsidRPr="00CF6110" w14:paraId="08C1056E" w14:textId="77777777" w:rsidTr="007502FD">
        <w:tc>
          <w:tcPr>
            <w:tcW w:w="1843" w:type="dxa"/>
          </w:tcPr>
          <w:p w14:paraId="0F636849" w14:textId="77777777" w:rsidR="007502FD" w:rsidRPr="00CF6110" w:rsidRDefault="007502FD" w:rsidP="007502FD">
            <w:pPr>
              <w:rPr>
                <w:lang w:val="en-GB"/>
              </w:rPr>
            </w:pPr>
            <w:r w:rsidRPr="00CF6110">
              <w:rPr>
                <w:lang w:val="en-GB"/>
              </w:rPr>
              <w:t>Forensic science</w:t>
            </w:r>
          </w:p>
        </w:tc>
        <w:tc>
          <w:tcPr>
            <w:tcW w:w="5670" w:type="dxa"/>
          </w:tcPr>
          <w:p w14:paraId="73A47FA0" w14:textId="77777777" w:rsidR="007502FD" w:rsidRPr="00CF6110" w:rsidRDefault="007502FD" w:rsidP="007502FD">
            <w:pPr>
              <w:rPr>
                <w:lang w:val="en-GB"/>
              </w:rPr>
            </w:pPr>
            <w:r w:rsidRPr="00CF6110">
              <w:rPr>
                <w:lang w:val="en-GB"/>
              </w:rPr>
              <w:t>The application of the principles and practice of science to the needs of the law and the courts.</w:t>
            </w:r>
          </w:p>
        </w:tc>
      </w:tr>
      <w:tr w:rsidR="007502FD" w:rsidRPr="00CF6110" w14:paraId="61007DB5" w14:textId="77777777" w:rsidTr="007502FD">
        <w:tc>
          <w:tcPr>
            <w:tcW w:w="1843" w:type="dxa"/>
          </w:tcPr>
          <w:p w14:paraId="6FF9FA71" w14:textId="77777777" w:rsidR="007502FD" w:rsidRPr="00CF6110" w:rsidRDefault="007502FD" w:rsidP="007502FD">
            <w:pPr>
              <w:rPr>
                <w:lang w:val="en-GB"/>
              </w:rPr>
            </w:pPr>
            <w:r w:rsidRPr="00CF6110">
              <w:rPr>
                <w:lang w:val="en-GB"/>
              </w:rPr>
              <w:t>Forensic toolmarks</w:t>
            </w:r>
          </w:p>
        </w:tc>
        <w:tc>
          <w:tcPr>
            <w:tcW w:w="5670" w:type="dxa"/>
          </w:tcPr>
          <w:p w14:paraId="6409A4B4" w14:textId="77777777" w:rsidR="007502FD" w:rsidRPr="00CF6110" w:rsidRDefault="007502FD" w:rsidP="007502FD">
            <w:pPr>
              <w:rPr>
                <w:lang w:val="en-GB"/>
              </w:rPr>
            </w:pPr>
            <w:r w:rsidRPr="00CF6110">
              <w:rPr>
                <w:lang w:val="en-GB"/>
              </w:rPr>
              <w:t>The examination of marks left on exhibits and the comparison of these with possible causative implements/tools/weapons; in some laboratories, combined with the assessment of firearms.</w:t>
            </w:r>
          </w:p>
        </w:tc>
      </w:tr>
      <w:tr w:rsidR="007502FD" w:rsidRPr="00CF6110" w14:paraId="42E454A8" w14:textId="77777777" w:rsidTr="007502FD">
        <w:tc>
          <w:tcPr>
            <w:tcW w:w="1843" w:type="dxa"/>
          </w:tcPr>
          <w:p w14:paraId="6AE36D4E" w14:textId="77777777" w:rsidR="007502FD" w:rsidRPr="00CF6110" w:rsidRDefault="007502FD" w:rsidP="007502FD">
            <w:pPr>
              <w:rPr>
                <w:lang w:val="en-GB"/>
              </w:rPr>
            </w:pPr>
            <w:r w:rsidRPr="00CF6110">
              <w:rPr>
                <w:lang w:val="en-GB"/>
              </w:rPr>
              <w:t>Forensic toxicology</w:t>
            </w:r>
          </w:p>
        </w:tc>
        <w:tc>
          <w:tcPr>
            <w:tcW w:w="5670" w:type="dxa"/>
          </w:tcPr>
          <w:p w14:paraId="31E54066" w14:textId="77777777" w:rsidR="007502FD" w:rsidRPr="00CF6110" w:rsidRDefault="007502FD" w:rsidP="007502FD">
            <w:pPr>
              <w:rPr>
                <w:lang w:val="en-GB"/>
              </w:rPr>
            </w:pPr>
            <w:r w:rsidRPr="00CF6110">
              <w:rPr>
                <w:lang w:val="en-GB"/>
              </w:rPr>
              <w:t>The science of drugs and poisons applied to the needs of the law and the courts.</w:t>
            </w:r>
          </w:p>
        </w:tc>
      </w:tr>
      <w:tr w:rsidR="007502FD" w:rsidRPr="00CF6110" w14:paraId="5E018B8C" w14:textId="77777777" w:rsidTr="007502FD">
        <w:tc>
          <w:tcPr>
            <w:tcW w:w="1843" w:type="dxa"/>
          </w:tcPr>
          <w:p w14:paraId="4C90956F" w14:textId="77777777" w:rsidR="007502FD" w:rsidRPr="00CF6110" w:rsidRDefault="007502FD" w:rsidP="007502FD">
            <w:pPr>
              <w:rPr>
                <w:lang w:val="en-GB"/>
              </w:rPr>
            </w:pPr>
            <w:r w:rsidRPr="00CF6110">
              <w:rPr>
                <w:lang w:val="en-GB"/>
              </w:rPr>
              <w:t>Fracture</w:t>
            </w:r>
          </w:p>
        </w:tc>
        <w:tc>
          <w:tcPr>
            <w:tcW w:w="5670" w:type="dxa"/>
          </w:tcPr>
          <w:p w14:paraId="61C1AC72" w14:textId="77777777" w:rsidR="007502FD" w:rsidRPr="00CF6110" w:rsidRDefault="007502FD" w:rsidP="007502FD">
            <w:pPr>
              <w:spacing w:before="120"/>
              <w:ind w:left="39"/>
              <w:contextualSpacing/>
              <w:rPr>
                <w:lang w:val="en-GB"/>
              </w:rPr>
            </w:pPr>
            <w:r w:rsidRPr="00CF6110">
              <w:rPr>
                <w:lang w:val="en-GB"/>
              </w:rPr>
              <w:t>Break; a discontinuity in the cortex of a bone; sometimes used in relation to a cartilaginous structure such as a costal cartilage, or thyroid cartilage.</w:t>
            </w:r>
          </w:p>
        </w:tc>
      </w:tr>
      <w:tr w:rsidR="007502FD" w:rsidRPr="00CF6110" w14:paraId="480D2343" w14:textId="77777777" w:rsidTr="007502FD">
        <w:tc>
          <w:tcPr>
            <w:tcW w:w="1843" w:type="dxa"/>
          </w:tcPr>
          <w:p w14:paraId="7C53568B" w14:textId="77777777" w:rsidR="007502FD" w:rsidRPr="00CF6110" w:rsidRDefault="007502FD" w:rsidP="007502FD">
            <w:pPr>
              <w:rPr>
                <w:lang w:val="en-GB"/>
              </w:rPr>
            </w:pPr>
            <w:r w:rsidRPr="00CF6110">
              <w:rPr>
                <w:lang w:val="en-GB"/>
              </w:rPr>
              <w:t>Histology (histopathology)</w:t>
            </w:r>
          </w:p>
        </w:tc>
        <w:tc>
          <w:tcPr>
            <w:tcW w:w="5670" w:type="dxa"/>
          </w:tcPr>
          <w:p w14:paraId="242C06C9" w14:textId="77777777" w:rsidR="007502FD" w:rsidRPr="00CF6110" w:rsidRDefault="007502FD" w:rsidP="007502FD">
            <w:pPr>
              <w:spacing w:before="120"/>
              <w:ind w:left="39"/>
              <w:contextualSpacing/>
              <w:rPr>
                <w:lang w:val="en-GB"/>
              </w:rPr>
            </w:pPr>
            <w:r w:rsidRPr="00CF6110">
              <w:rPr>
                <w:lang w:val="en-GB"/>
              </w:rPr>
              <w:t>The study of the microscopic structure of tissues (histology) in a diseased state (histopathology).</w:t>
            </w:r>
          </w:p>
        </w:tc>
      </w:tr>
      <w:tr w:rsidR="007502FD" w:rsidRPr="00CF6110" w14:paraId="3DCFD42A" w14:textId="77777777" w:rsidTr="007502FD">
        <w:tc>
          <w:tcPr>
            <w:tcW w:w="1843" w:type="dxa"/>
          </w:tcPr>
          <w:p w14:paraId="3B0E9DCD" w14:textId="77777777" w:rsidR="007502FD" w:rsidRPr="00CF6110" w:rsidRDefault="007502FD" w:rsidP="007502FD">
            <w:pPr>
              <w:rPr>
                <w:lang w:val="en-GB"/>
              </w:rPr>
            </w:pPr>
            <w:r w:rsidRPr="00CF6110">
              <w:rPr>
                <w:lang w:val="en-GB"/>
              </w:rPr>
              <w:t>Human identification</w:t>
            </w:r>
          </w:p>
        </w:tc>
        <w:tc>
          <w:tcPr>
            <w:tcW w:w="5670" w:type="dxa"/>
          </w:tcPr>
          <w:p w14:paraId="3AC8A0DB" w14:textId="77777777" w:rsidR="007502FD" w:rsidRPr="00CF6110" w:rsidRDefault="007502FD" w:rsidP="007502FD">
            <w:pPr>
              <w:spacing w:before="120"/>
              <w:ind w:left="39"/>
              <w:contextualSpacing/>
              <w:rPr>
                <w:lang w:val="en-GB"/>
              </w:rPr>
            </w:pPr>
            <w:r w:rsidRPr="00CF6110">
              <w:rPr>
                <w:lang w:val="en-GB"/>
              </w:rPr>
              <w:t>In this document, the attachment of the correct name to a dead body.</w:t>
            </w:r>
          </w:p>
        </w:tc>
      </w:tr>
      <w:tr w:rsidR="007502FD" w:rsidRPr="00CF6110" w14:paraId="51168C51" w14:textId="77777777" w:rsidTr="007502FD">
        <w:tc>
          <w:tcPr>
            <w:tcW w:w="1843" w:type="dxa"/>
          </w:tcPr>
          <w:p w14:paraId="690B2A98" w14:textId="77777777" w:rsidR="007502FD" w:rsidRPr="00CF6110" w:rsidRDefault="007502FD" w:rsidP="007502FD">
            <w:pPr>
              <w:rPr>
                <w:lang w:val="en-GB"/>
              </w:rPr>
            </w:pPr>
            <w:r w:rsidRPr="00CF6110">
              <w:rPr>
                <w:lang w:val="en-GB"/>
              </w:rPr>
              <w:t>Human remains</w:t>
            </w:r>
          </w:p>
        </w:tc>
        <w:tc>
          <w:tcPr>
            <w:tcW w:w="5670" w:type="dxa"/>
          </w:tcPr>
          <w:p w14:paraId="6C6DF32A" w14:textId="77777777" w:rsidR="007502FD" w:rsidRPr="00CF6110" w:rsidRDefault="007502FD" w:rsidP="007502FD">
            <w:pPr>
              <w:spacing w:before="120"/>
              <w:ind w:left="39"/>
              <w:contextualSpacing/>
              <w:rPr>
                <w:lang w:val="en-GB"/>
              </w:rPr>
            </w:pPr>
            <w:r w:rsidRPr="00CF6110">
              <w:rPr>
                <w:lang w:val="en-GB"/>
              </w:rPr>
              <w:t>In this document, synonymous with deceased person, dead body, whether the body is freshly dead, decomposing or skeletonized.</w:t>
            </w:r>
          </w:p>
        </w:tc>
      </w:tr>
      <w:tr w:rsidR="007502FD" w:rsidRPr="00CF6110" w14:paraId="2D21012C" w14:textId="77777777" w:rsidTr="007502FD">
        <w:tc>
          <w:tcPr>
            <w:tcW w:w="1843" w:type="dxa"/>
          </w:tcPr>
          <w:p w14:paraId="6911D537" w14:textId="77777777" w:rsidR="007502FD" w:rsidRPr="00CF6110" w:rsidRDefault="007502FD" w:rsidP="007502FD">
            <w:pPr>
              <w:rPr>
                <w:lang w:val="en-GB"/>
              </w:rPr>
            </w:pPr>
            <w:r w:rsidRPr="00CF6110">
              <w:rPr>
                <w:lang w:val="en-GB"/>
              </w:rPr>
              <w:t>Humerus</w:t>
            </w:r>
          </w:p>
        </w:tc>
        <w:tc>
          <w:tcPr>
            <w:tcW w:w="5670" w:type="dxa"/>
          </w:tcPr>
          <w:p w14:paraId="6C2D9E5B" w14:textId="77777777" w:rsidR="007502FD" w:rsidRPr="00CF6110" w:rsidRDefault="007502FD" w:rsidP="007502FD">
            <w:pPr>
              <w:spacing w:before="120"/>
              <w:ind w:left="39"/>
              <w:contextualSpacing/>
              <w:rPr>
                <w:lang w:val="en-GB"/>
              </w:rPr>
            </w:pPr>
            <w:r w:rsidRPr="00CF6110">
              <w:rPr>
                <w:lang w:val="en-GB"/>
              </w:rPr>
              <w:t>The upper arm bone</w:t>
            </w:r>
          </w:p>
        </w:tc>
      </w:tr>
      <w:tr w:rsidR="007502FD" w:rsidRPr="00CF6110" w14:paraId="575C55E6" w14:textId="77777777" w:rsidTr="007502FD">
        <w:tc>
          <w:tcPr>
            <w:tcW w:w="1843" w:type="dxa"/>
          </w:tcPr>
          <w:p w14:paraId="6636AF0D" w14:textId="77777777" w:rsidR="007502FD" w:rsidRPr="00CF6110" w:rsidRDefault="007502FD" w:rsidP="007502FD">
            <w:pPr>
              <w:rPr>
                <w:lang w:val="en-GB"/>
              </w:rPr>
            </w:pPr>
            <w:r w:rsidRPr="00CF6110">
              <w:rPr>
                <w:lang w:val="en-GB"/>
              </w:rPr>
              <w:t>Immediate cause of death</w:t>
            </w:r>
          </w:p>
        </w:tc>
        <w:tc>
          <w:tcPr>
            <w:tcW w:w="5670" w:type="dxa"/>
          </w:tcPr>
          <w:p w14:paraId="5AE67D28" w14:textId="77777777" w:rsidR="007502FD" w:rsidRPr="00CF6110" w:rsidRDefault="007502FD" w:rsidP="007502FD">
            <w:pPr>
              <w:spacing w:before="120"/>
              <w:ind w:left="39"/>
              <w:contextualSpacing/>
              <w:rPr>
                <w:lang w:val="en-GB"/>
              </w:rPr>
            </w:pPr>
            <w:r w:rsidRPr="00CF6110">
              <w:rPr>
                <w:lang w:val="en-GB"/>
              </w:rPr>
              <w:t>The disease, condition or complication, resulting from the underlying or an intermediate cause, which immediately precedes death.</w:t>
            </w:r>
          </w:p>
        </w:tc>
      </w:tr>
      <w:tr w:rsidR="007502FD" w:rsidRPr="00CF6110" w14:paraId="7B079203" w14:textId="77777777" w:rsidTr="007502FD">
        <w:tc>
          <w:tcPr>
            <w:tcW w:w="1843" w:type="dxa"/>
          </w:tcPr>
          <w:p w14:paraId="0C5847C0" w14:textId="77777777" w:rsidR="007502FD" w:rsidRPr="00CF6110" w:rsidRDefault="007502FD" w:rsidP="007502FD">
            <w:pPr>
              <w:rPr>
                <w:lang w:val="en-GB"/>
              </w:rPr>
            </w:pPr>
            <w:r w:rsidRPr="00CF6110">
              <w:rPr>
                <w:lang w:val="en-GB"/>
              </w:rPr>
              <w:t>Inventory</w:t>
            </w:r>
          </w:p>
        </w:tc>
        <w:tc>
          <w:tcPr>
            <w:tcW w:w="5670" w:type="dxa"/>
          </w:tcPr>
          <w:p w14:paraId="31C55982" w14:textId="77777777" w:rsidR="007502FD" w:rsidRPr="00CF6110" w:rsidRDefault="007502FD" w:rsidP="007502FD">
            <w:pPr>
              <w:rPr>
                <w:lang w:val="en-GB"/>
              </w:rPr>
            </w:pPr>
            <w:r w:rsidRPr="00CF6110">
              <w:rPr>
                <w:lang w:val="en-GB"/>
              </w:rPr>
              <w:t>List</w:t>
            </w:r>
          </w:p>
        </w:tc>
      </w:tr>
      <w:tr w:rsidR="007502FD" w:rsidRPr="00CF6110" w14:paraId="0F8624CB" w14:textId="77777777" w:rsidTr="007502FD">
        <w:tc>
          <w:tcPr>
            <w:tcW w:w="1843" w:type="dxa"/>
          </w:tcPr>
          <w:p w14:paraId="6C79695C" w14:textId="77777777" w:rsidR="007502FD" w:rsidRPr="00CF6110" w:rsidRDefault="007502FD" w:rsidP="007502FD">
            <w:pPr>
              <w:rPr>
                <w:lang w:val="en-GB"/>
              </w:rPr>
            </w:pPr>
            <w:r w:rsidRPr="00CF6110">
              <w:rPr>
                <w:lang w:val="en-GB"/>
              </w:rPr>
              <w:t>Laceration</w:t>
            </w:r>
          </w:p>
        </w:tc>
        <w:tc>
          <w:tcPr>
            <w:tcW w:w="5670" w:type="dxa"/>
          </w:tcPr>
          <w:p w14:paraId="08CBDA66" w14:textId="77777777" w:rsidR="007502FD" w:rsidRPr="00CF6110" w:rsidRDefault="007502FD" w:rsidP="007502FD">
            <w:pPr>
              <w:spacing w:before="120"/>
              <w:ind w:left="39"/>
              <w:contextualSpacing/>
              <w:rPr>
                <w:lang w:val="en-GB"/>
              </w:rPr>
            </w:pPr>
            <w:r w:rsidRPr="00CF6110">
              <w:rPr>
                <w:lang w:val="en-GB"/>
              </w:rPr>
              <w:t>A tear or split in the skin or other organ or soft tissue due to blunt force.</w:t>
            </w:r>
          </w:p>
        </w:tc>
      </w:tr>
      <w:tr w:rsidR="007502FD" w:rsidRPr="00CF6110" w14:paraId="057DA9E7" w14:textId="77777777" w:rsidTr="007502FD">
        <w:tc>
          <w:tcPr>
            <w:tcW w:w="1843" w:type="dxa"/>
          </w:tcPr>
          <w:p w14:paraId="283E39E4" w14:textId="77777777" w:rsidR="007502FD" w:rsidRPr="00CF6110" w:rsidRDefault="007502FD" w:rsidP="007502FD">
            <w:pPr>
              <w:rPr>
                <w:lang w:val="en-GB"/>
              </w:rPr>
            </w:pPr>
            <w:r w:rsidRPr="00CF6110">
              <w:rPr>
                <w:lang w:val="en-GB"/>
              </w:rPr>
              <w:t>Livor mortis, lividity (post mortem)</w:t>
            </w:r>
          </w:p>
        </w:tc>
        <w:tc>
          <w:tcPr>
            <w:tcW w:w="5670" w:type="dxa"/>
          </w:tcPr>
          <w:p w14:paraId="763FB7DE" w14:textId="77777777" w:rsidR="007502FD" w:rsidRPr="00CF6110" w:rsidRDefault="007502FD" w:rsidP="007502FD">
            <w:pPr>
              <w:spacing w:before="120"/>
              <w:ind w:left="39"/>
              <w:contextualSpacing/>
              <w:rPr>
                <w:lang w:val="en-GB"/>
              </w:rPr>
            </w:pPr>
            <w:r w:rsidRPr="00CF6110">
              <w:rPr>
                <w:lang w:val="en-GB"/>
              </w:rPr>
              <w:t>The post-mortem phenomenon of blood settling under the influence of gravity.</w:t>
            </w:r>
          </w:p>
        </w:tc>
      </w:tr>
      <w:tr w:rsidR="007502FD" w:rsidRPr="00CF6110" w14:paraId="1E67533B" w14:textId="77777777" w:rsidTr="007502FD">
        <w:tc>
          <w:tcPr>
            <w:tcW w:w="1843" w:type="dxa"/>
          </w:tcPr>
          <w:p w14:paraId="40EBA5E9" w14:textId="77777777" w:rsidR="007502FD" w:rsidRPr="00CF6110" w:rsidRDefault="007502FD" w:rsidP="007502FD">
            <w:pPr>
              <w:rPr>
                <w:lang w:val="en-GB"/>
              </w:rPr>
            </w:pPr>
            <w:r w:rsidRPr="00CF6110">
              <w:rPr>
                <w:lang w:val="en-GB"/>
              </w:rPr>
              <w:t>Manner of death</w:t>
            </w:r>
          </w:p>
        </w:tc>
        <w:tc>
          <w:tcPr>
            <w:tcW w:w="5670" w:type="dxa"/>
          </w:tcPr>
          <w:p w14:paraId="2B48AED1" w14:textId="77777777" w:rsidR="007502FD" w:rsidRPr="00CF6110" w:rsidRDefault="007502FD" w:rsidP="007502FD">
            <w:pPr>
              <w:ind w:left="1"/>
              <w:rPr>
                <w:lang w:val="en-GB"/>
              </w:rPr>
            </w:pPr>
            <w:r w:rsidRPr="00CF6110">
              <w:rPr>
                <w:lang w:val="en-GB"/>
              </w:rPr>
              <w:t>The manner of death is the summary of the circumstances of the death; thus: homicide, suicide, accident, natural or undetermined.</w:t>
            </w:r>
          </w:p>
        </w:tc>
      </w:tr>
      <w:tr w:rsidR="007502FD" w:rsidRPr="00CF6110" w14:paraId="774A7D2A" w14:textId="77777777" w:rsidTr="007502FD">
        <w:tc>
          <w:tcPr>
            <w:tcW w:w="1843" w:type="dxa"/>
          </w:tcPr>
          <w:p w14:paraId="7CF0C6F6" w14:textId="77777777" w:rsidR="007502FD" w:rsidRPr="00CF6110" w:rsidRDefault="007502FD" w:rsidP="007502FD">
            <w:pPr>
              <w:rPr>
                <w:lang w:val="en-GB"/>
              </w:rPr>
            </w:pPr>
            <w:r w:rsidRPr="00CF6110">
              <w:rPr>
                <w:lang w:val="en-GB"/>
              </w:rPr>
              <w:t>Minimum Number of Individuals (MNI)</w:t>
            </w:r>
          </w:p>
        </w:tc>
        <w:tc>
          <w:tcPr>
            <w:tcW w:w="5670" w:type="dxa"/>
          </w:tcPr>
          <w:p w14:paraId="3C0DC4FA" w14:textId="77777777" w:rsidR="007502FD" w:rsidRPr="00CF6110" w:rsidRDefault="007502FD" w:rsidP="007502FD">
            <w:pPr>
              <w:rPr>
                <w:lang w:val="en-GB"/>
              </w:rPr>
            </w:pPr>
            <w:r w:rsidRPr="00CF6110">
              <w:rPr>
                <w:lang w:val="en-GB"/>
              </w:rPr>
              <w:t xml:space="preserve">Forensic anthropological term used in relation to the assessment of commingled remains referring to how many individuals, as a minimum, are represented in the commingled remains being </w:t>
            </w:r>
            <w:r w:rsidRPr="00CF6110">
              <w:rPr>
                <w:lang w:val="en-GB"/>
              </w:rPr>
              <w:lastRenderedPageBreak/>
              <w:t xml:space="preserve">examined. </w:t>
            </w:r>
          </w:p>
        </w:tc>
      </w:tr>
      <w:tr w:rsidR="007502FD" w:rsidRPr="00CF6110" w14:paraId="5BC74670" w14:textId="77777777" w:rsidTr="007502FD">
        <w:tc>
          <w:tcPr>
            <w:tcW w:w="1843" w:type="dxa"/>
          </w:tcPr>
          <w:p w14:paraId="7FB0A5FF" w14:textId="77777777" w:rsidR="007502FD" w:rsidRPr="00CF6110" w:rsidRDefault="007502FD" w:rsidP="007502FD">
            <w:pPr>
              <w:rPr>
                <w:lang w:val="en-GB"/>
              </w:rPr>
            </w:pPr>
            <w:r w:rsidRPr="00CF6110">
              <w:rPr>
                <w:lang w:val="en-GB"/>
              </w:rPr>
              <w:lastRenderedPageBreak/>
              <w:t>Mode of death</w:t>
            </w:r>
          </w:p>
        </w:tc>
        <w:tc>
          <w:tcPr>
            <w:tcW w:w="5670" w:type="dxa"/>
          </w:tcPr>
          <w:p w14:paraId="36DD1DA6" w14:textId="77777777" w:rsidR="007502FD" w:rsidRPr="00CF6110" w:rsidRDefault="007502FD" w:rsidP="007502FD">
            <w:pPr>
              <w:rPr>
                <w:lang w:val="en-GB"/>
              </w:rPr>
            </w:pPr>
            <w:r w:rsidRPr="00CF6110">
              <w:rPr>
                <w:lang w:val="en-GB"/>
              </w:rPr>
              <w:t xml:space="preserve">The pathophysiological process by which a person died (e.g. haemorrhage, respiratory failure, cardiac failure, multi-organ failure, septicaemia). Its use alone is not sufficient to properly complete the cause of death in the internationally accepted WHO format. See also </w:t>
            </w:r>
            <w:proofErr w:type="spellStart"/>
            <w:r w:rsidRPr="00CF6110">
              <w:rPr>
                <w:lang w:val="en-GB"/>
              </w:rPr>
              <w:t>‘Cause</w:t>
            </w:r>
            <w:proofErr w:type="spellEnd"/>
            <w:r w:rsidRPr="00CF6110">
              <w:rPr>
                <w:lang w:val="en-GB"/>
              </w:rPr>
              <w:t xml:space="preserve"> of death’.</w:t>
            </w:r>
          </w:p>
        </w:tc>
      </w:tr>
      <w:tr w:rsidR="007502FD" w:rsidRPr="00CF6110" w14:paraId="72233C3E" w14:textId="77777777" w:rsidTr="007502FD">
        <w:tc>
          <w:tcPr>
            <w:tcW w:w="1843" w:type="dxa"/>
          </w:tcPr>
          <w:p w14:paraId="06E62E6D" w14:textId="77777777" w:rsidR="007502FD" w:rsidRPr="00CF6110" w:rsidRDefault="007502FD" w:rsidP="007502FD">
            <w:pPr>
              <w:rPr>
                <w:lang w:val="en-GB"/>
              </w:rPr>
            </w:pPr>
            <w:r w:rsidRPr="00CF6110">
              <w:rPr>
                <w:lang w:val="en-GB"/>
              </w:rPr>
              <w:t>Mortuary (morgue)</w:t>
            </w:r>
          </w:p>
        </w:tc>
        <w:tc>
          <w:tcPr>
            <w:tcW w:w="5670" w:type="dxa"/>
          </w:tcPr>
          <w:p w14:paraId="478FC91D" w14:textId="77777777" w:rsidR="007502FD" w:rsidRPr="00CF6110" w:rsidRDefault="007502FD" w:rsidP="007502FD">
            <w:pPr>
              <w:spacing w:before="120"/>
              <w:ind w:left="39"/>
              <w:contextualSpacing/>
              <w:rPr>
                <w:lang w:val="en-GB"/>
              </w:rPr>
            </w:pPr>
            <w:r w:rsidRPr="00CF6110">
              <w:rPr>
                <w:lang w:val="en-GB"/>
              </w:rPr>
              <w:t>The place for storing, keeping and looking after the dead until final disposal or interment; includes the autopsy room; hospital for the dead.</w:t>
            </w:r>
          </w:p>
        </w:tc>
      </w:tr>
      <w:tr w:rsidR="007502FD" w:rsidRPr="00CF6110" w14:paraId="0EA38D87" w14:textId="77777777" w:rsidTr="007502FD">
        <w:tc>
          <w:tcPr>
            <w:tcW w:w="1843" w:type="dxa"/>
          </w:tcPr>
          <w:p w14:paraId="4CCB0724" w14:textId="77777777" w:rsidR="007502FD" w:rsidRPr="00CF6110" w:rsidRDefault="007502FD" w:rsidP="007502FD">
            <w:pPr>
              <w:rPr>
                <w:lang w:val="en-GB"/>
              </w:rPr>
            </w:pPr>
            <w:r w:rsidRPr="00CF6110">
              <w:rPr>
                <w:lang w:val="en-GB"/>
              </w:rPr>
              <w:t>Ordnance</w:t>
            </w:r>
          </w:p>
        </w:tc>
        <w:tc>
          <w:tcPr>
            <w:tcW w:w="5670" w:type="dxa"/>
          </w:tcPr>
          <w:p w14:paraId="23DDCA38" w14:textId="77777777" w:rsidR="007502FD" w:rsidRPr="00CF6110" w:rsidRDefault="007502FD" w:rsidP="007502FD">
            <w:pPr>
              <w:rPr>
                <w:lang w:val="en-GB"/>
              </w:rPr>
            </w:pPr>
            <w:r w:rsidRPr="00CF6110">
              <w:rPr>
                <w:lang w:val="en-GB"/>
              </w:rPr>
              <w:t>Related to artillery, large guns.</w:t>
            </w:r>
          </w:p>
        </w:tc>
      </w:tr>
      <w:tr w:rsidR="007502FD" w:rsidRPr="00CF6110" w14:paraId="7A071207" w14:textId="77777777" w:rsidTr="007502FD">
        <w:tc>
          <w:tcPr>
            <w:tcW w:w="1843" w:type="dxa"/>
          </w:tcPr>
          <w:p w14:paraId="33793CF3" w14:textId="77777777" w:rsidR="007502FD" w:rsidRPr="00CF6110" w:rsidRDefault="007502FD" w:rsidP="007502FD">
            <w:pPr>
              <w:rPr>
                <w:lang w:val="en-GB"/>
              </w:rPr>
            </w:pPr>
            <w:r w:rsidRPr="00CF6110">
              <w:rPr>
                <w:lang w:val="en-GB"/>
              </w:rPr>
              <w:t>Osteophytes</w:t>
            </w:r>
          </w:p>
        </w:tc>
        <w:tc>
          <w:tcPr>
            <w:tcW w:w="5670" w:type="dxa"/>
          </w:tcPr>
          <w:p w14:paraId="4D240600" w14:textId="77777777" w:rsidR="007502FD" w:rsidRPr="00CF6110" w:rsidRDefault="007502FD" w:rsidP="007502FD">
            <w:pPr>
              <w:rPr>
                <w:lang w:val="en-GB"/>
              </w:rPr>
            </w:pPr>
            <w:r w:rsidRPr="00CF6110">
              <w:rPr>
                <w:lang w:val="en-GB"/>
              </w:rPr>
              <w:t>Usually small growths of extra bone associated with degenerative, osteoarthritic changes in the joints.</w:t>
            </w:r>
          </w:p>
        </w:tc>
      </w:tr>
      <w:tr w:rsidR="007502FD" w:rsidRPr="00CF6110" w14:paraId="0135B632" w14:textId="77777777" w:rsidTr="007502FD">
        <w:tc>
          <w:tcPr>
            <w:tcW w:w="1843" w:type="dxa"/>
          </w:tcPr>
          <w:p w14:paraId="7C4B8330" w14:textId="77777777" w:rsidR="007502FD" w:rsidRPr="00CF6110" w:rsidRDefault="007502FD" w:rsidP="007502FD">
            <w:pPr>
              <w:rPr>
                <w:lang w:val="en-GB"/>
              </w:rPr>
            </w:pPr>
            <w:r w:rsidRPr="00CF6110">
              <w:rPr>
                <w:lang w:val="en-GB"/>
              </w:rPr>
              <w:t>Peri mortem</w:t>
            </w:r>
          </w:p>
        </w:tc>
        <w:tc>
          <w:tcPr>
            <w:tcW w:w="5670" w:type="dxa"/>
          </w:tcPr>
          <w:p w14:paraId="77F4B0F6" w14:textId="77777777" w:rsidR="007502FD" w:rsidRPr="00CF6110" w:rsidRDefault="007502FD" w:rsidP="007502FD">
            <w:pPr>
              <w:rPr>
                <w:lang w:val="en-GB"/>
              </w:rPr>
            </w:pPr>
            <w:r w:rsidRPr="00CF6110">
              <w:rPr>
                <w:lang w:val="en-GB"/>
              </w:rPr>
              <w:t xml:space="preserve">Around the time of death. This term is often used in forensic anthropology in relation to injuries because an injury inflicted shortly before death will look identical to the same injury inflicted shortly after death once the remains have skeletonized. </w:t>
            </w:r>
          </w:p>
        </w:tc>
      </w:tr>
      <w:tr w:rsidR="007502FD" w:rsidRPr="00CF6110" w14:paraId="156F0594" w14:textId="77777777" w:rsidTr="007502FD">
        <w:tc>
          <w:tcPr>
            <w:tcW w:w="1843" w:type="dxa"/>
          </w:tcPr>
          <w:p w14:paraId="049B5424" w14:textId="77777777" w:rsidR="007502FD" w:rsidRPr="00CF6110" w:rsidRDefault="007502FD" w:rsidP="007502FD">
            <w:pPr>
              <w:rPr>
                <w:lang w:val="en-GB"/>
              </w:rPr>
            </w:pPr>
            <w:r w:rsidRPr="00CF6110">
              <w:rPr>
                <w:lang w:val="en-GB"/>
              </w:rPr>
              <w:t>Petechiae (petechial haemorrhages)</w:t>
            </w:r>
          </w:p>
        </w:tc>
        <w:tc>
          <w:tcPr>
            <w:tcW w:w="5670" w:type="dxa"/>
          </w:tcPr>
          <w:p w14:paraId="55F7907E" w14:textId="77777777" w:rsidR="007502FD" w:rsidRPr="00CF6110" w:rsidRDefault="007502FD" w:rsidP="007502FD">
            <w:pPr>
              <w:spacing w:before="120"/>
              <w:ind w:left="39"/>
              <w:contextualSpacing/>
              <w:rPr>
                <w:lang w:val="en-GB"/>
              </w:rPr>
            </w:pPr>
            <w:r w:rsidRPr="00CF6110">
              <w:rPr>
                <w:lang w:val="en-GB"/>
              </w:rPr>
              <w:t>Pin point or “dot-like” haemorrhages. Some forms occur in life, others can occur after death.</w:t>
            </w:r>
          </w:p>
        </w:tc>
      </w:tr>
      <w:tr w:rsidR="007502FD" w:rsidRPr="00CF6110" w14:paraId="6194216C" w14:textId="77777777" w:rsidTr="007502FD">
        <w:tc>
          <w:tcPr>
            <w:tcW w:w="1843" w:type="dxa"/>
          </w:tcPr>
          <w:p w14:paraId="5F35C426" w14:textId="77777777" w:rsidR="007502FD" w:rsidRPr="00CF6110" w:rsidRDefault="007502FD" w:rsidP="007502FD">
            <w:pPr>
              <w:rPr>
                <w:lang w:val="en-GB"/>
              </w:rPr>
            </w:pPr>
            <w:r w:rsidRPr="00CF6110">
              <w:rPr>
                <w:lang w:val="en-GB"/>
              </w:rPr>
              <w:t>Photolog</w:t>
            </w:r>
          </w:p>
        </w:tc>
        <w:tc>
          <w:tcPr>
            <w:tcW w:w="5670" w:type="dxa"/>
          </w:tcPr>
          <w:p w14:paraId="2CB2C74A" w14:textId="77777777" w:rsidR="007502FD" w:rsidRPr="00CF6110" w:rsidRDefault="007502FD" w:rsidP="007502FD">
            <w:pPr>
              <w:rPr>
                <w:lang w:val="en-GB"/>
              </w:rPr>
            </w:pPr>
            <w:r w:rsidRPr="00CF6110">
              <w:rPr>
                <w:lang w:val="en-GB"/>
              </w:rPr>
              <w:t>The list of all photographs taken with related data e.g. the name of the photographer, the time the photograph was taken, and where the photograph was taken</w:t>
            </w:r>
          </w:p>
        </w:tc>
      </w:tr>
      <w:tr w:rsidR="007502FD" w:rsidRPr="00CF6110" w14:paraId="6C93F70A" w14:textId="77777777" w:rsidTr="007502FD">
        <w:tc>
          <w:tcPr>
            <w:tcW w:w="1843" w:type="dxa"/>
          </w:tcPr>
          <w:p w14:paraId="0AD30747" w14:textId="77777777" w:rsidR="007502FD" w:rsidRPr="00CF6110" w:rsidRDefault="007502FD" w:rsidP="007502FD">
            <w:pPr>
              <w:rPr>
                <w:lang w:val="en-GB"/>
              </w:rPr>
            </w:pPr>
            <w:r w:rsidRPr="00CF6110">
              <w:rPr>
                <w:lang w:val="en-GB"/>
              </w:rPr>
              <w:t>Photo markers</w:t>
            </w:r>
          </w:p>
        </w:tc>
        <w:tc>
          <w:tcPr>
            <w:tcW w:w="5670" w:type="dxa"/>
          </w:tcPr>
          <w:p w14:paraId="5CCAD681" w14:textId="77777777" w:rsidR="007502FD" w:rsidRPr="00CF6110" w:rsidRDefault="007502FD" w:rsidP="007502FD">
            <w:pPr>
              <w:rPr>
                <w:lang w:val="en-GB"/>
              </w:rPr>
            </w:pPr>
            <w:r w:rsidRPr="00CF6110">
              <w:rPr>
                <w:lang w:val="en-GB"/>
              </w:rPr>
              <w:t>Markers with numbers and letters visible in photographs enabling later identification of the photographs and the items within them.</w:t>
            </w:r>
          </w:p>
        </w:tc>
      </w:tr>
      <w:tr w:rsidR="007502FD" w:rsidRPr="00CF6110" w14:paraId="557CB719" w14:textId="77777777" w:rsidTr="007502FD">
        <w:tc>
          <w:tcPr>
            <w:tcW w:w="1843" w:type="dxa"/>
          </w:tcPr>
          <w:p w14:paraId="03793538" w14:textId="77777777" w:rsidR="007502FD" w:rsidRPr="00CF6110" w:rsidRDefault="007502FD" w:rsidP="007502FD">
            <w:pPr>
              <w:rPr>
                <w:lang w:val="en-GB"/>
              </w:rPr>
            </w:pPr>
            <w:r w:rsidRPr="00CF6110">
              <w:rPr>
                <w:lang w:val="en-GB"/>
              </w:rPr>
              <w:t>Post cranial skeleton</w:t>
            </w:r>
          </w:p>
        </w:tc>
        <w:tc>
          <w:tcPr>
            <w:tcW w:w="5670" w:type="dxa"/>
          </w:tcPr>
          <w:p w14:paraId="5BFB5F1D" w14:textId="77777777" w:rsidR="007502FD" w:rsidRPr="00CF6110" w:rsidRDefault="007502FD" w:rsidP="007502FD">
            <w:pPr>
              <w:rPr>
                <w:lang w:val="en-GB"/>
              </w:rPr>
            </w:pPr>
            <w:r w:rsidRPr="00CF6110">
              <w:rPr>
                <w:lang w:val="en-GB"/>
              </w:rPr>
              <w:t>The entire skeleton except for the skull</w:t>
            </w:r>
          </w:p>
        </w:tc>
      </w:tr>
      <w:tr w:rsidR="007502FD" w:rsidRPr="00CF6110" w14:paraId="394AFB24" w14:textId="77777777" w:rsidTr="007502FD">
        <w:tc>
          <w:tcPr>
            <w:tcW w:w="1843" w:type="dxa"/>
          </w:tcPr>
          <w:p w14:paraId="2C891293" w14:textId="77777777" w:rsidR="007502FD" w:rsidRPr="00CF6110" w:rsidRDefault="007502FD" w:rsidP="007502FD">
            <w:pPr>
              <w:rPr>
                <w:lang w:val="en-GB"/>
              </w:rPr>
            </w:pPr>
            <w:r w:rsidRPr="00CF6110">
              <w:rPr>
                <w:lang w:val="en-GB"/>
              </w:rPr>
              <w:t>Post-mortem changes</w:t>
            </w:r>
          </w:p>
        </w:tc>
        <w:tc>
          <w:tcPr>
            <w:tcW w:w="5670" w:type="dxa"/>
          </w:tcPr>
          <w:p w14:paraId="219A58BC" w14:textId="77777777" w:rsidR="007502FD" w:rsidRPr="00CF6110" w:rsidRDefault="007502FD" w:rsidP="007502FD">
            <w:pPr>
              <w:rPr>
                <w:lang w:val="en-GB"/>
              </w:rPr>
            </w:pPr>
            <w:r w:rsidRPr="00CF6110">
              <w:rPr>
                <w:lang w:val="en-GB"/>
              </w:rPr>
              <w:t>A term which encompasses all the natural changes which can occur to a dead body.</w:t>
            </w:r>
          </w:p>
        </w:tc>
      </w:tr>
      <w:tr w:rsidR="007502FD" w:rsidRPr="00CF6110" w14:paraId="221C022D" w14:textId="77777777" w:rsidTr="007502FD">
        <w:tc>
          <w:tcPr>
            <w:tcW w:w="1843" w:type="dxa"/>
          </w:tcPr>
          <w:p w14:paraId="0C915B90" w14:textId="77777777" w:rsidR="007502FD" w:rsidRPr="00CF6110" w:rsidRDefault="007502FD" w:rsidP="007502FD">
            <w:pPr>
              <w:rPr>
                <w:lang w:val="en-GB"/>
              </w:rPr>
            </w:pPr>
            <w:r w:rsidRPr="00CF6110">
              <w:rPr>
                <w:lang w:val="en-GB"/>
              </w:rPr>
              <w:t>Post-mortem data</w:t>
            </w:r>
          </w:p>
        </w:tc>
        <w:tc>
          <w:tcPr>
            <w:tcW w:w="5670" w:type="dxa"/>
          </w:tcPr>
          <w:p w14:paraId="3F7261BA" w14:textId="77777777" w:rsidR="007502FD" w:rsidRPr="00CF6110" w:rsidRDefault="007502FD" w:rsidP="007502FD">
            <w:pPr>
              <w:rPr>
                <w:lang w:val="en-GB"/>
              </w:rPr>
            </w:pPr>
            <w:r w:rsidRPr="00CF6110">
              <w:rPr>
                <w:lang w:val="en-GB"/>
              </w:rPr>
              <w:t>Data obtained from the dead body to compare with data obtained about a named individual while alive (ante mortem data) usually for the purposes of identifying the dead body.</w:t>
            </w:r>
          </w:p>
        </w:tc>
      </w:tr>
      <w:tr w:rsidR="007502FD" w:rsidRPr="00CF6110" w14:paraId="6393437C" w14:textId="77777777" w:rsidTr="007502FD">
        <w:tc>
          <w:tcPr>
            <w:tcW w:w="1843" w:type="dxa"/>
          </w:tcPr>
          <w:p w14:paraId="278C3784" w14:textId="77777777" w:rsidR="007502FD" w:rsidRPr="00CF6110" w:rsidRDefault="007502FD" w:rsidP="007502FD">
            <w:pPr>
              <w:rPr>
                <w:lang w:val="en-GB"/>
              </w:rPr>
            </w:pPr>
            <w:r w:rsidRPr="00CF6110">
              <w:rPr>
                <w:lang w:val="en-GB"/>
              </w:rPr>
              <w:t>Post-mortem examination</w:t>
            </w:r>
          </w:p>
        </w:tc>
        <w:tc>
          <w:tcPr>
            <w:tcW w:w="5670" w:type="dxa"/>
          </w:tcPr>
          <w:p w14:paraId="493A7B26" w14:textId="77777777" w:rsidR="007502FD" w:rsidRPr="00CF6110" w:rsidRDefault="007502FD" w:rsidP="007502FD">
            <w:pPr>
              <w:rPr>
                <w:lang w:val="en-GB"/>
              </w:rPr>
            </w:pPr>
            <w:r w:rsidRPr="00CF6110">
              <w:rPr>
                <w:lang w:val="en-GB"/>
              </w:rPr>
              <w:t>In this document, examination of the body after death not including an internal examination. (In this document, an examination of a dead body which includes an internal examination is an autopsy).</w:t>
            </w:r>
          </w:p>
        </w:tc>
      </w:tr>
      <w:tr w:rsidR="007502FD" w:rsidRPr="00CF6110" w14:paraId="650A40BF" w14:textId="77777777" w:rsidTr="007502FD">
        <w:tc>
          <w:tcPr>
            <w:tcW w:w="1843" w:type="dxa"/>
          </w:tcPr>
          <w:p w14:paraId="2390CE5B" w14:textId="77777777" w:rsidR="007502FD" w:rsidRPr="00CF6110" w:rsidRDefault="007502FD" w:rsidP="007502FD">
            <w:pPr>
              <w:rPr>
                <w:lang w:val="en-GB"/>
              </w:rPr>
            </w:pPr>
            <w:r w:rsidRPr="00CF6110">
              <w:rPr>
                <w:lang w:val="en-GB"/>
              </w:rPr>
              <w:t>Prosector</w:t>
            </w:r>
          </w:p>
        </w:tc>
        <w:tc>
          <w:tcPr>
            <w:tcW w:w="5670" w:type="dxa"/>
          </w:tcPr>
          <w:p w14:paraId="05493887" w14:textId="77777777" w:rsidR="007502FD" w:rsidRPr="00CF6110" w:rsidRDefault="007502FD" w:rsidP="007502FD">
            <w:pPr>
              <w:spacing w:before="120"/>
              <w:ind w:left="39"/>
              <w:contextualSpacing/>
              <w:rPr>
                <w:lang w:val="en-GB"/>
              </w:rPr>
            </w:pPr>
            <w:r w:rsidRPr="00CF6110">
              <w:rPr>
                <w:lang w:val="en-GB"/>
              </w:rPr>
              <w:t>The authorized medical practitioner/forensic doctor undertaking the autopsy and providing the report.</w:t>
            </w:r>
          </w:p>
        </w:tc>
      </w:tr>
      <w:tr w:rsidR="007502FD" w:rsidRPr="00CF6110" w14:paraId="34236496" w14:textId="77777777" w:rsidTr="007502FD">
        <w:tc>
          <w:tcPr>
            <w:tcW w:w="1843" w:type="dxa"/>
          </w:tcPr>
          <w:p w14:paraId="5562D7F2" w14:textId="77777777" w:rsidR="007502FD" w:rsidRPr="00CF6110" w:rsidRDefault="007502FD" w:rsidP="007502FD">
            <w:pPr>
              <w:rPr>
                <w:lang w:val="en-GB"/>
              </w:rPr>
            </w:pPr>
            <w:r w:rsidRPr="00CF6110">
              <w:rPr>
                <w:lang w:val="en-GB"/>
              </w:rPr>
              <w:t>Pubic symphysis</w:t>
            </w:r>
          </w:p>
        </w:tc>
        <w:tc>
          <w:tcPr>
            <w:tcW w:w="5670" w:type="dxa"/>
          </w:tcPr>
          <w:p w14:paraId="4C0342B8" w14:textId="77777777" w:rsidR="007502FD" w:rsidRPr="00CF6110" w:rsidRDefault="007502FD" w:rsidP="007502FD">
            <w:pPr>
              <w:spacing w:before="120"/>
              <w:ind w:left="39"/>
              <w:contextualSpacing/>
              <w:rPr>
                <w:lang w:val="en-GB"/>
              </w:rPr>
            </w:pPr>
            <w:r w:rsidRPr="00CF6110">
              <w:rPr>
                <w:lang w:val="en-GB"/>
              </w:rPr>
              <w:t>That part of the pubic bone which joins with the other pubic bone at the front of the pelvis</w:t>
            </w:r>
          </w:p>
        </w:tc>
      </w:tr>
      <w:tr w:rsidR="007502FD" w:rsidRPr="00CF6110" w14:paraId="7CFB2F56" w14:textId="77777777" w:rsidTr="007502FD">
        <w:tc>
          <w:tcPr>
            <w:tcW w:w="1843" w:type="dxa"/>
          </w:tcPr>
          <w:p w14:paraId="4CD69CDE" w14:textId="77777777" w:rsidR="007502FD" w:rsidRPr="00CF6110" w:rsidRDefault="007502FD" w:rsidP="007502FD">
            <w:pPr>
              <w:rPr>
                <w:lang w:val="en-GB"/>
              </w:rPr>
            </w:pPr>
            <w:r w:rsidRPr="00CF6110">
              <w:rPr>
                <w:lang w:val="en-GB"/>
              </w:rPr>
              <w:t>Reference sample</w:t>
            </w:r>
          </w:p>
        </w:tc>
        <w:tc>
          <w:tcPr>
            <w:tcW w:w="5670" w:type="dxa"/>
          </w:tcPr>
          <w:p w14:paraId="604CCA56" w14:textId="77777777" w:rsidR="007502FD" w:rsidRPr="00CF6110" w:rsidRDefault="007502FD" w:rsidP="007502FD">
            <w:pPr>
              <w:rPr>
                <w:lang w:val="en-GB"/>
              </w:rPr>
            </w:pPr>
            <w:r w:rsidRPr="00CF6110">
              <w:rPr>
                <w:lang w:val="en-GB"/>
              </w:rPr>
              <w:t>A standard sample against which another sample can be compared.</w:t>
            </w:r>
          </w:p>
        </w:tc>
      </w:tr>
      <w:tr w:rsidR="007502FD" w:rsidRPr="00CF6110" w14:paraId="5D5F1AE1" w14:textId="77777777" w:rsidTr="007502FD">
        <w:tc>
          <w:tcPr>
            <w:tcW w:w="1843" w:type="dxa"/>
          </w:tcPr>
          <w:p w14:paraId="4B53FE3D" w14:textId="77777777" w:rsidR="007502FD" w:rsidRPr="00CF6110" w:rsidRDefault="007502FD" w:rsidP="007502FD">
            <w:pPr>
              <w:rPr>
                <w:lang w:val="en-GB"/>
              </w:rPr>
            </w:pPr>
            <w:r w:rsidRPr="00CF6110">
              <w:rPr>
                <w:lang w:val="en-GB"/>
              </w:rPr>
              <w:t>Reliability</w:t>
            </w:r>
          </w:p>
        </w:tc>
        <w:tc>
          <w:tcPr>
            <w:tcW w:w="5670" w:type="dxa"/>
          </w:tcPr>
          <w:p w14:paraId="704D37B5" w14:textId="77777777" w:rsidR="007502FD" w:rsidRPr="00CF6110" w:rsidRDefault="007502FD" w:rsidP="007502FD">
            <w:pPr>
              <w:spacing w:before="120"/>
              <w:ind w:left="39"/>
              <w:contextualSpacing/>
              <w:rPr>
                <w:lang w:val="en-GB"/>
              </w:rPr>
            </w:pPr>
            <w:r w:rsidRPr="00CF6110">
              <w:rPr>
                <w:lang w:val="en-GB"/>
              </w:rPr>
              <w:t>The reliability of a result is its stability when the test is undertaken by different observers in different places at different times.</w:t>
            </w:r>
          </w:p>
        </w:tc>
      </w:tr>
      <w:tr w:rsidR="007502FD" w:rsidRPr="00CF6110" w14:paraId="0347ADF8" w14:textId="77777777" w:rsidTr="007502FD">
        <w:tc>
          <w:tcPr>
            <w:tcW w:w="1843" w:type="dxa"/>
          </w:tcPr>
          <w:p w14:paraId="24971AF5" w14:textId="77777777" w:rsidR="007502FD" w:rsidRPr="00CF6110" w:rsidRDefault="007502FD" w:rsidP="007502FD">
            <w:pPr>
              <w:rPr>
                <w:lang w:val="en-GB"/>
              </w:rPr>
            </w:pPr>
            <w:r w:rsidRPr="00CF6110">
              <w:rPr>
                <w:lang w:val="en-GB"/>
              </w:rPr>
              <w:t>Responsibility</w:t>
            </w:r>
          </w:p>
        </w:tc>
        <w:tc>
          <w:tcPr>
            <w:tcW w:w="5670" w:type="dxa"/>
          </w:tcPr>
          <w:p w14:paraId="53F1EE16" w14:textId="77777777" w:rsidR="007502FD" w:rsidRPr="00CF6110" w:rsidRDefault="007502FD" w:rsidP="007502FD">
            <w:pPr>
              <w:spacing w:before="120"/>
              <w:ind w:left="39"/>
              <w:contextualSpacing/>
              <w:rPr>
                <w:lang w:val="en-GB"/>
              </w:rPr>
            </w:pPr>
            <w:r w:rsidRPr="00CF6110">
              <w:rPr>
                <w:lang w:val="en-GB"/>
              </w:rPr>
              <w:t>The duty to perform a task or function properly.</w:t>
            </w:r>
          </w:p>
        </w:tc>
      </w:tr>
      <w:tr w:rsidR="007502FD" w:rsidRPr="00CF6110" w14:paraId="630496D5" w14:textId="77777777" w:rsidTr="007502FD">
        <w:tc>
          <w:tcPr>
            <w:tcW w:w="1843" w:type="dxa"/>
          </w:tcPr>
          <w:p w14:paraId="6FE9ACC0" w14:textId="77777777" w:rsidR="007502FD" w:rsidRPr="00CF6110" w:rsidRDefault="007502FD" w:rsidP="007502FD">
            <w:pPr>
              <w:rPr>
                <w:lang w:val="en-GB"/>
              </w:rPr>
            </w:pPr>
            <w:r w:rsidRPr="00CF6110">
              <w:rPr>
                <w:lang w:val="en-GB"/>
              </w:rPr>
              <w:t>Reviewability</w:t>
            </w:r>
          </w:p>
        </w:tc>
        <w:tc>
          <w:tcPr>
            <w:tcW w:w="5670" w:type="dxa"/>
          </w:tcPr>
          <w:p w14:paraId="729541A7" w14:textId="77777777" w:rsidR="007502FD" w:rsidRPr="00CF6110" w:rsidRDefault="007502FD" w:rsidP="007502FD">
            <w:pPr>
              <w:spacing w:before="120"/>
              <w:ind w:left="39"/>
              <w:contextualSpacing/>
              <w:rPr>
                <w:lang w:val="en-GB"/>
              </w:rPr>
            </w:pPr>
            <w:r w:rsidRPr="00CF6110">
              <w:rPr>
                <w:lang w:val="en-GB"/>
              </w:rPr>
              <w:t xml:space="preserve">One of the aims of the autopsy is that it (and indeed the whole death investigation) is conducted in such a way that another forensic doctor or pathologist at another time can independently come to his/her own conclusions about the death. This enables conclusions to be made about the reliability of the autopsy and the conclusions arising from it. </w:t>
            </w:r>
          </w:p>
        </w:tc>
      </w:tr>
      <w:tr w:rsidR="007502FD" w:rsidRPr="00CF6110" w14:paraId="1A7F8D91" w14:textId="77777777" w:rsidTr="007502FD">
        <w:tc>
          <w:tcPr>
            <w:tcW w:w="1843" w:type="dxa"/>
          </w:tcPr>
          <w:p w14:paraId="421B4A43" w14:textId="77777777" w:rsidR="007502FD" w:rsidRPr="00CF6110" w:rsidRDefault="007502FD" w:rsidP="007502FD">
            <w:pPr>
              <w:rPr>
                <w:lang w:val="en-GB"/>
              </w:rPr>
            </w:pPr>
            <w:r w:rsidRPr="00CF6110">
              <w:rPr>
                <w:lang w:val="en-GB"/>
              </w:rPr>
              <w:t>Rigor mortis</w:t>
            </w:r>
          </w:p>
        </w:tc>
        <w:tc>
          <w:tcPr>
            <w:tcW w:w="5670" w:type="dxa"/>
          </w:tcPr>
          <w:p w14:paraId="2BFCC0DC" w14:textId="77777777" w:rsidR="007502FD" w:rsidRPr="00CF6110" w:rsidRDefault="007502FD" w:rsidP="007502FD">
            <w:pPr>
              <w:rPr>
                <w:lang w:val="en-GB"/>
              </w:rPr>
            </w:pPr>
            <w:r w:rsidRPr="00CF6110">
              <w:rPr>
                <w:lang w:val="en-GB"/>
              </w:rPr>
              <w:t>Post-mortem stiffening of the body.</w:t>
            </w:r>
          </w:p>
        </w:tc>
      </w:tr>
      <w:tr w:rsidR="007502FD" w:rsidRPr="00CF6110" w14:paraId="1392E10F" w14:textId="77777777" w:rsidTr="007502FD">
        <w:tc>
          <w:tcPr>
            <w:tcW w:w="1843" w:type="dxa"/>
          </w:tcPr>
          <w:p w14:paraId="2A66BEC1" w14:textId="77777777" w:rsidR="007502FD" w:rsidRPr="00CF6110" w:rsidRDefault="007502FD" w:rsidP="007502FD">
            <w:pPr>
              <w:rPr>
                <w:lang w:val="en-GB"/>
              </w:rPr>
            </w:pPr>
            <w:r w:rsidRPr="00CF6110">
              <w:rPr>
                <w:lang w:val="en-GB"/>
              </w:rPr>
              <w:t>Sample (or exhibit) degradation</w:t>
            </w:r>
          </w:p>
        </w:tc>
        <w:tc>
          <w:tcPr>
            <w:tcW w:w="5670" w:type="dxa"/>
          </w:tcPr>
          <w:p w14:paraId="42B0CC1A" w14:textId="77777777" w:rsidR="007502FD" w:rsidRPr="00CF6110" w:rsidRDefault="007502FD" w:rsidP="007502FD">
            <w:pPr>
              <w:rPr>
                <w:lang w:val="en-GB"/>
              </w:rPr>
            </w:pPr>
            <w:r w:rsidRPr="00CF6110">
              <w:rPr>
                <w:lang w:val="en-GB"/>
              </w:rPr>
              <w:t xml:space="preserve">The loss or alteration of the characteristics of a sample (or exhibit) which it possessed at the time it came into existence, was found or was collected. In a forensic context, this means that the sample’s ability to contribute to the investigation is reduced. </w:t>
            </w:r>
          </w:p>
        </w:tc>
      </w:tr>
      <w:tr w:rsidR="007502FD" w:rsidRPr="00CF6110" w14:paraId="1A7BABA4" w14:textId="77777777" w:rsidTr="007502FD">
        <w:tc>
          <w:tcPr>
            <w:tcW w:w="1843" w:type="dxa"/>
          </w:tcPr>
          <w:p w14:paraId="04D0A73D" w14:textId="77777777" w:rsidR="007502FD" w:rsidRPr="00CF6110" w:rsidRDefault="007502FD" w:rsidP="007502FD">
            <w:pPr>
              <w:rPr>
                <w:lang w:val="en-GB"/>
              </w:rPr>
            </w:pPr>
            <w:r w:rsidRPr="00CF6110">
              <w:rPr>
                <w:lang w:val="en-GB"/>
              </w:rPr>
              <w:t>Security (of exhibits)</w:t>
            </w:r>
          </w:p>
        </w:tc>
        <w:tc>
          <w:tcPr>
            <w:tcW w:w="5670" w:type="dxa"/>
          </w:tcPr>
          <w:p w14:paraId="53AC77C5" w14:textId="77777777" w:rsidR="007502FD" w:rsidRPr="00CF6110" w:rsidRDefault="007502FD" w:rsidP="007502FD">
            <w:pPr>
              <w:spacing w:before="120"/>
              <w:ind w:left="39"/>
              <w:contextualSpacing/>
              <w:rPr>
                <w:lang w:val="en-GB"/>
              </w:rPr>
            </w:pPr>
            <w:r w:rsidRPr="00CF6110">
              <w:rPr>
                <w:lang w:val="en-GB"/>
              </w:rPr>
              <w:t xml:space="preserve">The process, including its documentation, whereby an exhibit is secured such that it is evident whether or not it has been accessed, </w:t>
            </w:r>
            <w:r w:rsidRPr="00CF6110">
              <w:rPr>
                <w:lang w:val="en-GB"/>
              </w:rPr>
              <w:lastRenderedPageBreak/>
              <w:t>when and by whom.</w:t>
            </w:r>
          </w:p>
        </w:tc>
      </w:tr>
      <w:tr w:rsidR="007502FD" w:rsidRPr="00CF6110" w14:paraId="05808E46" w14:textId="77777777" w:rsidTr="007502FD">
        <w:tc>
          <w:tcPr>
            <w:tcW w:w="1843" w:type="dxa"/>
          </w:tcPr>
          <w:p w14:paraId="15747BB6" w14:textId="77777777" w:rsidR="007502FD" w:rsidRPr="00CF6110" w:rsidRDefault="007502FD" w:rsidP="007502FD">
            <w:pPr>
              <w:rPr>
                <w:lang w:val="en-GB"/>
              </w:rPr>
            </w:pPr>
            <w:r w:rsidRPr="00CF6110">
              <w:rPr>
                <w:lang w:val="en-GB"/>
              </w:rPr>
              <w:lastRenderedPageBreak/>
              <w:t>Sexual dimorphism</w:t>
            </w:r>
          </w:p>
        </w:tc>
        <w:tc>
          <w:tcPr>
            <w:tcW w:w="5670" w:type="dxa"/>
          </w:tcPr>
          <w:p w14:paraId="30BAB362" w14:textId="77777777" w:rsidR="007502FD" w:rsidRPr="00CF6110" w:rsidRDefault="007502FD" w:rsidP="007502FD">
            <w:pPr>
              <w:spacing w:before="120"/>
              <w:ind w:left="39"/>
              <w:contextualSpacing/>
              <w:rPr>
                <w:lang w:val="en-GB"/>
              </w:rPr>
            </w:pPr>
            <w:r w:rsidRPr="00CF6110">
              <w:rPr>
                <w:lang w:val="en-GB"/>
              </w:rPr>
              <w:t>The two different shapes of some bones associated with males and females (which only becomes readily apparent after puberty).</w:t>
            </w:r>
          </w:p>
        </w:tc>
      </w:tr>
      <w:tr w:rsidR="007502FD" w:rsidRPr="00CF6110" w14:paraId="5C063FED" w14:textId="77777777" w:rsidTr="007502FD">
        <w:tc>
          <w:tcPr>
            <w:tcW w:w="1843" w:type="dxa"/>
          </w:tcPr>
          <w:p w14:paraId="2FDEB479" w14:textId="77777777" w:rsidR="007502FD" w:rsidRPr="00CF6110" w:rsidRDefault="007502FD" w:rsidP="007502FD">
            <w:pPr>
              <w:rPr>
                <w:lang w:val="en-GB"/>
              </w:rPr>
            </w:pPr>
            <w:r w:rsidRPr="00CF6110">
              <w:rPr>
                <w:lang w:val="en-GB"/>
              </w:rPr>
              <w:t>Skeletal remains</w:t>
            </w:r>
          </w:p>
        </w:tc>
        <w:tc>
          <w:tcPr>
            <w:tcW w:w="5670" w:type="dxa"/>
          </w:tcPr>
          <w:p w14:paraId="0DBE63C5" w14:textId="77777777" w:rsidR="007502FD" w:rsidRPr="00CF6110" w:rsidRDefault="007502FD" w:rsidP="007502FD">
            <w:pPr>
              <w:rPr>
                <w:lang w:val="en-GB"/>
              </w:rPr>
            </w:pPr>
            <w:r w:rsidRPr="00CF6110">
              <w:rPr>
                <w:lang w:val="en-GB"/>
              </w:rPr>
              <w:t xml:space="preserve">The bony remains of the dead body after all soft tissue </w:t>
            </w:r>
            <w:proofErr w:type="gramStart"/>
            <w:r w:rsidRPr="00CF6110">
              <w:rPr>
                <w:lang w:val="en-GB"/>
              </w:rPr>
              <w:t>has</w:t>
            </w:r>
            <w:proofErr w:type="gramEnd"/>
            <w:r w:rsidRPr="00CF6110">
              <w:rPr>
                <w:lang w:val="en-GB"/>
              </w:rPr>
              <w:t xml:space="preserve"> been lost following decomposition.</w:t>
            </w:r>
          </w:p>
        </w:tc>
      </w:tr>
      <w:tr w:rsidR="007502FD" w:rsidRPr="00CF6110" w14:paraId="50182EE0" w14:textId="77777777" w:rsidTr="007502FD">
        <w:tc>
          <w:tcPr>
            <w:tcW w:w="1843" w:type="dxa"/>
          </w:tcPr>
          <w:p w14:paraId="76CF4C3F" w14:textId="77777777" w:rsidR="007502FD" w:rsidRPr="00CF6110" w:rsidRDefault="007502FD" w:rsidP="007502FD">
            <w:pPr>
              <w:rPr>
                <w:lang w:val="en-GB"/>
              </w:rPr>
            </w:pPr>
            <w:r w:rsidRPr="00CF6110">
              <w:rPr>
                <w:lang w:val="en-GB"/>
              </w:rPr>
              <w:t>Stature</w:t>
            </w:r>
          </w:p>
        </w:tc>
        <w:tc>
          <w:tcPr>
            <w:tcW w:w="5670" w:type="dxa"/>
          </w:tcPr>
          <w:p w14:paraId="09AD1556" w14:textId="77777777" w:rsidR="007502FD" w:rsidRPr="00CF6110" w:rsidRDefault="007502FD" w:rsidP="007502FD">
            <w:pPr>
              <w:rPr>
                <w:lang w:val="en-GB"/>
              </w:rPr>
            </w:pPr>
            <w:r w:rsidRPr="00CF6110">
              <w:rPr>
                <w:lang w:val="en-GB"/>
              </w:rPr>
              <w:t>Height</w:t>
            </w:r>
          </w:p>
        </w:tc>
      </w:tr>
      <w:tr w:rsidR="007502FD" w:rsidRPr="00CF6110" w14:paraId="59A91A44" w14:textId="77777777" w:rsidTr="007502FD">
        <w:tc>
          <w:tcPr>
            <w:tcW w:w="1843" w:type="dxa"/>
          </w:tcPr>
          <w:p w14:paraId="4ACB2EC7" w14:textId="77777777" w:rsidR="007502FD" w:rsidRPr="00CF6110" w:rsidRDefault="007502FD" w:rsidP="007502FD">
            <w:pPr>
              <w:rPr>
                <w:lang w:val="en-GB"/>
              </w:rPr>
            </w:pPr>
            <w:r w:rsidRPr="00CF6110">
              <w:rPr>
                <w:lang w:val="en-GB"/>
              </w:rPr>
              <w:t>Taphonomy</w:t>
            </w:r>
          </w:p>
        </w:tc>
        <w:tc>
          <w:tcPr>
            <w:tcW w:w="5670" w:type="dxa"/>
          </w:tcPr>
          <w:p w14:paraId="6FCE553E" w14:textId="77777777" w:rsidR="007502FD" w:rsidRPr="00CF6110" w:rsidRDefault="007502FD" w:rsidP="007502FD">
            <w:pPr>
              <w:rPr>
                <w:lang w:val="en-GB"/>
              </w:rPr>
            </w:pPr>
            <w:r w:rsidRPr="00CF6110">
              <w:rPr>
                <w:lang w:val="en-GB"/>
              </w:rPr>
              <w:t>The study of all the, usually natural, processes which can affect a dead body</w:t>
            </w:r>
          </w:p>
        </w:tc>
      </w:tr>
      <w:tr w:rsidR="007502FD" w:rsidRPr="00CF6110" w14:paraId="5F0A3AC5" w14:textId="77777777" w:rsidTr="007502FD">
        <w:tc>
          <w:tcPr>
            <w:tcW w:w="1843" w:type="dxa"/>
          </w:tcPr>
          <w:p w14:paraId="47618E86" w14:textId="77777777" w:rsidR="007502FD" w:rsidRPr="00CF6110" w:rsidRDefault="007502FD" w:rsidP="007502FD">
            <w:pPr>
              <w:rPr>
                <w:lang w:val="en-GB"/>
              </w:rPr>
            </w:pPr>
            <w:r w:rsidRPr="00CF6110">
              <w:rPr>
                <w:lang w:val="en-GB"/>
              </w:rPr>
              <w:t>Tibia</w:t>
            </w:r>
          </w:p>
        </w:tc>
        <w:tc>
          <w:tcPr>
            <w:tcW w:w="5670" w:type="dxa"/>
          </w:tcPr>
          <w:p w14:paraId="04A59322" w14:textId="77777777" w:rsidR="007502FD" w:rsidRPr="00CF6110" w:rsidRDefault="007502FD" w:rsidP="007502FD">
            <w:pPr>
              <w:rPr>
                <w:lang w:val="en-GB"/>
              </w:rPr>
            </w:pPr>
            <w:r w:rsidRPr="00CF6110">
              <w:rPr>
                <w:lang w:val="en-GB"/>
              </w:rPr>
              <w:t>The larger of the two lower leg bones</w:t>
            </w:r>
          </w:p>
        </w:tc>
      </w:tr>
      <w:tr w:rsidR="007502FD" w:rsidRPr="00CF6110" w14:paraId="5B6B0F3C" w14:textId="77777777" w:rsidTr="007502FD">
        <w:tc>
          <w:tcPr>
            <w:tcW w:w="1843" w:type="dxa"/>
          </w:tcPr>
          <w:p w14:paraId="267D72FB" w14:textId="77777777" w:rsidR="007502FD" w:rsidRPr="00CF6110" w:rsidRDefault="007502FD" w:rsidP="007502FD">
            <w:pPr>
              <w:rPr>
                <w:lang w:val="en-GB"/>
              </w:rPr>
            </w:pPr>
            <w:r w:rsidRPr="00CF6110">
              <w:rPr>
                <w:lang w:val="en-GB"/>
              </w:rPr>
              <w:t>Transparency (of processes)</w:t>
            </w:r>
          </w:p>
        </w:tc>
        <w:tc>
          <w:tcPr>
            <w:tcW w:w="5670" w:type="dxa"/>
          </w:tcPr>
          <w:p w14:paraId="35B0D1BD" w14:textId="77777777" w:rsidR="007502FD" w:rsidRPr="00CF6110" w:rsidRDefault="007502FD" w:rsidP="007502FD">
            <w:pPr>
              <w:spacing w:before="120"/>
              <w:ind w:left="39"/>
              <w:contextualSpacing/>
              <w:rPr>
                <w:lang w:val="en-GB"/>
              </w:rPr>
            </w:pPr>
            <w:r w:rsidRPr="00CF6110">
              <w:rPr>
                <w:lang w:val="en-GB"/>
              </w:rPr>
              <w:t>Processes can be evaluated externally because the details of the processes are available to be examined.</w:t>
            </w:r>
          </w:p>
        </w:tc>
      </w:tr>
      <w:tr w:rsidR="007502FD" w:rsidRPr="00CF6110" w14:paraId="0BD9CF53" w14:textId="77777777" w:rsidTr="007502FD">
        <w:tc>
          <w:tcPr>
            <w:tcW w:w="1843" w:type="dxa"/>
          </w:tcPr>
          <w:p w14:paraId="353446E4" w14:textId="77777777" w:rsidR="007502FD" w:rsidRPr="00CF6110" w:rsidRDefault="007502FD" w:rsidP="007502FD">
            <w:pPr>
              <w:rPr>
                <w:lang w:val="en-GB"/>
              </w:rPr>
            </w:pPr>
            <w:r w:rsidRPr="00CF6110">
              <w:rPr>
                <w:lang w:val="en-GB"/>
              </w:rPr>
              <w:t>Underlying cause of death</w:t>
            </w:r>
          </w:p>
        </w:tc>
        <w:tc>
          <w:tcPr>
            <w:tcW w:w="5670" w:type="dxa"/>
          </w:tcPr>
          <w:p w14:paraId="3190675B" w14:textId="77777777" w:rsidR="007502FD" w:rsidRPr="00CF6110" w:rsidRDefault="007502FD" w:rsidP="007502FD">
            <w:pPr>
              <w:spacing w:before="120"/>
              <w:ind w:left="39"/>
              <w:contextualSpacing/>
              <w:rPr>
                <w:lang w:val="en-GB"/>
              </w:rPr>
            </w:pPr>
            <w:r w:rsidRPr="00CF6110">
              <w:rPr>
                <w:lang w:val="en-GB"/>
              </w:rPr>
              <w:t>The disease or condition initiating the chain of events leading to death (often with intervening intermediate and immediate – or proximate – causes of death).</w:t>
            </w:r>
          </w:p>
        </w:tc>
      </w:tr>
      <w:tr w:rsidR="007502FD" w:rsidRPr="00CF6110" w14:paraId="7F65B095" w14:textId="77777777" w:rsidTr="007502FD">
        <w:tc>
          <w:tcPr>
            <w:tcW w:w="1843" w:type="dxa"/>
          </w:tcPr>
          <w:p w14:paraId="3DF35EA5" w14:textId="77777777" w:rsidR="007502FD" w:rsidRPr="00CF6110" w:rsidRDefault="007502FD" w:rsidP="007502FD">
            <w:pPr>
              <w:rPr>
                <w:lang w:val="en-GB"/>
              </w:rPr>
            </w:pPr>
            <w:r w:rsidRPr="00CF6110">
              <w:rPr>
                <w:lang w:val="en-GB"/>
              </w:rPr>
              <w:t>Validity</w:t>
            </w:r>
          </w:p>
        </w:tc>
        <w:tc>
          <w:tcPr>
            <w:tcW w:w="5670" w:type="dxa"/>
          </w:tcPr>
          <w:p w14:paraId="3C82C253" w14:textId="77777777" w:rsidR="007502FD" w:rsidRPr="00CF6110" w:rsidRDefault="007502FD" w:rsidP="007502FD">
            <w:pPr>
              <w:spacing w:before="120"/>
              <w:ind w:left="39"/>
              <w:contextualSpacing/>
              <w:rPr>
                <w:lang w:val="en-GB"/>
              </w:rPr>
            </w:pPr>
            <w:r w:rsidRPr="00CF6110">
              <w:rPr>
                <w:lang w:val="en-GB"/>
              </w:rPr>
              <w:t>In relation to a measure or a result, the extent to which the measure or result reflects the truth of the phenomenon.</w:t>
            </w:r>
          </w:p>
        </w:tc>
      </w:tr>
      <w:tr w:rsidR="007502FD" w:rsidRPr="00CF6110" w14:paraId="70703AFD" w14:textId="77777777" w:rsidTr="007502FD">
        <w:tc>
          <w:tcPr>
            <w:tcW w:w="1843" w:type="dxa"/>
          </w:tcPr>
          <w:p w14:paraId="7B343A70" w14:textId="77777777" w:rsidR="007502FD" w:rsidRPr="00CF6110" w:rsidRDefault="007502FD" w:rsidP="007502FD">
            <w:pPr>
              <w:rPr>
                <w:lang w:val="en-GB"/>
              </w:rPr>
            </w:pPr>
            <w:r w:rsidRPr="00CF6110">
              <w:rPr>
                <w:lang w:val="en-GB"/>
              </w:rPr>
              <w:t>Wound</w:t>
            </w:r>
          </w:p>
        </w:tc>
        <w:tc>
          <w:tcPr>
            <w:tcW w:w="5670" w:type="dxa"/>
          </w:tcPr>
          <w:p w14:paraId="1DB2D3B3" w14:textId="77777777" w:rsidR="007502FD" w:rsidRPr="00CF6110" w:rsidRDefault="007502FD" w:rsidP="007502FD">
            <w:pPr>
              <w:spacing w:before="120"/>
              <w:ind w:left="39"/>
              <w:contextualSpacing/>
              <w:rPr>
                <w:lang w:val="en-GB"/>
              </w:rPr>
            </w:pPr>
            <w:r w:rsidRPr="00CF6110">
              <w:rPr>
                <w:lang w:val="en-GB"/>
              </w:rPr>
              <w:t>A significant discontinuity in the surface of a structure, most often in the skin, e.g. incised wound, stab wound, gunshot would, laceration. It does not include a bruise or an abrasion.</w:t>
            </w:r>
          </w:p>
        </w:tc>
      </w:tr>
    </w:tbl>
    <w:p w14:paraId="1C93E842" w14:textId="77777777" w:rsidR="007502FD" w:rsidRPr="00CF6110" w:rsidRDefault="007502FD" w:rsidP="007502FD"/>
    <w:p w14:paraId="7141F8A0" w14:textId="77777777" w:rsidR="007502FD" w:rsidRPr="00CF6110" w:rsidRDefault="007502FD">
      <w:pPr>
        <w:suppressAutoHyphens w:val="0"/>
        <w:kinsoku/>
        <w:overflowPunct/>
        <w:autoSpaceDE/>
        <w:autoSpaceDN/>
        <w:adjustRightInd/>
        <w:snapToGrid/>
        <w:spacing w:line="240" w:lineRule="auto"/>
      </w:pPr>
      <w:r w:rsidRPr="00CF6110">
        <w:br w:type="page"/>
      </w:r>
    </w:p>
    <w:p w14:paraId="0AEC0B5D" w14:textId="77777777" w:rsidR="007502FD" w:rsidRPr="00CF6110" w:rsidRDefault="007502FD" w:rsidP="007502FD">
      <w:pPr>
        <w:pStyle w:val="HChG"/>
        <w:spacing w:line="240" w:lineRule="atLeast"/>
      </w:pPr>
      <w:r w:rsidRPr="00CF6110">
        <w:lastRenderedPageBreak/>
        <w:tab/>
        <w:t>VI.</w:t>
      </w:r>
      <w:r w:rsidRPr="00CF6110">
        <w:tab/>
        <w:t>Annexes</w:t>
      </w:r>
    </w:p>
    <w:p w14:paraId="1C7C9E5E" w14:textId="77777777" w:rsidR="007502FD" w:rsidRPr="00CF6110" w:rsidRDefault="007502FD" w:rsidP="007502FD">
      <w:pPr>
        <w:pStyle w:val="H1G"/>
        <w:spacing w:line="240" w:lineRule="atLeast"/>
      </w:pPr>
      <w:r w:rsidRPr="00CF6110">
        <w:tab/>
        <w:t xml:space="preserve">Annex 1. </w:t>
      </w:r>
      <w:r w:rsidRPr="00CF6110">
        <w:tab/>
      </w:r>
      <w:r w:rsidRPr="00CF6110">
        <w:rPr>
          <w:bCs/>
        </w:rPr>
        <w:t>Anatomical Sketches</w:t>
      </w:r>
    </w:p>
    <w:p w14:paraId="73D43CBC" w14:textId="77777777" w:rsidR="00E6192A" w:rsidRPr="00CF6110" w:rsidRDefault="007502FD" w:rsidP="00E6192A">
      <w:pPr>
        <w:pStyle w:val="SingleTxtG"/>
      </w:pPr>
      <w:r w:rsidRPr="00CF6110">
        <w:t>The legend for the anatomical sketches contained in Annex 1 is set out below.</w:t>
      </w:r>
      <w:r w:rsidRPr="00CF6110">
        <w:rPr>
          <w:rStyle w:val="Appelnotedebasdep"/>
        </w:rPr>
        <w:footnoteReference w:id="117"/>
      </w:r>
    </w:p>
    <w:p w14:paraId="302AE82B" w14:textId="77777777" w:rsidR="007502FD" w:rsidRPr="00CF6110" w:rsidRDefault="007502FD" w:rsidP="00E6192A">
      <w:pPr>
        <w:pStyle w:val="SingleTxtG"/>
      </w:pPr>
      <w:r w:rsidRPr="00CF6110">
        <w:rPr>
          <w:lang w:eastAsia="en-GB"/>
        </w:rPr>
        <w:drawing>
          <wp:inline distT="0" distB="0" distL="0" distR="0" wp14:anchorId="39ABC0EC" wp14:editId="0D14EBE3">
            <wp:extent cx="4219575" cy="64208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1991" cy="6424560"/>
                    </a:xfrm>
                    <a:prstGeom prst="rect">
                      <a:avLst/>
                    </a:prstGeom>
                    <a:noFill/>
                    <a:ln>
                      <a:noFill/>
                    </a:ln>
                  </pic:spPr>
                </pic:pic>
              </a:graphicData>
            </a:graphic>
          </wp:inline>
        </w:drawing>
      </w:r>
    </w:p>
    <w:p w14:paraId="79197470" w14:textId="77777777" w:rsidR="00614B34" w:rsidRPr="00CF6110" w:rsidRDefault="00614B34" w:rsidP="00E6192A">
      <w:pPr>
        <w:pStyle w:val="SingleTxtG"/>
      </w:pPr>
      <w:r w:rsidRPr="00CF6110">
        <w:rPr>
          <w:lang w:eastAsia="en-GB"/>
        </w:rPr>
        <w:lastRenderedPageBreak/>
        <w:drawing>
          <wp:inline distT="0" distB="0" distL="0" distR="0" wp14:anchorId="76AA283F" wp14:editId="78D6EF58">
            <wp:extent cx="5274310" cy="7939928"/>
            <wp:effectExtent l="0" t="0" r="254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939928"/>
                    </a:xfrm>
                    <a:prstGeom prst="rect">
                      <a:avLst/>
                    </a:prstGeom>
                    <a:noFill/>
                    <a:ln>
                      <a:noFill/>
                    </a:ln>
                  </pic:spPr>
                </pic:pic>
              </a:graphicData>
            </a:graphic>
          </wp:inline>
        </w:drawing>
      </w:r>
    </w:p>
    <w:p w14:paraId="6094DD14" w14:textId="77777777" w:rsidR="00614B34" w:rsidRPr="00CF6110" w:rsidRDefault="00614B34" w:rsidP="00E6192A">
      <w:pPr>
        <w:pStyle w:val="SingleTxtG"/>
      </w:pPr>
    </w:p>
    <w:p w14:paraId="49F233CA" w14:textId="77777777" w:rsidR="00614B34" w:rsidRPr="00CF6110" w:rsidRDefault="00614B34" w:rsidP="00E6192A">
      <w:pPr>
        <w:pStyle w:val="SingleTxtG"/>
      </w:pPr>
      <w:r w:rsidRPr="00CF6110">
        <w:rPr>
          <w:lang w:eastAsia="en-GB"/>
        </w:rPr>
        <w:lastRenderedPageBreak/>
        <w:drawing>
          <wp:inline distT="0" distB="0" distL="0" distR="0" wp14:anchorId="68A909EA" wp14:editId="37EE3518">
            <wp:extent cx="5274310" cy="8299878"/>
            <wp:effectExtent l="0" t="0" r="254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8299878"/>
                    </a:xfrm>
                    <a:prstGeom prst="rect">
                      <a:avLst/>
                    </a:prstGeom>
                    <a:noFill/>
                    <a:ln>
                      <a:noFill/>
                    </a:ln>
                  </pic:spPr>
                </pic:pic>
              </a:graphicData>
            </a:graphic>
          </wp:inline>
        </w:drawing>
      </w:r>
    </w:p>
    <w:p w14:paraId="6BB998F5" w14:textId="77777777" w:rsidR="00614B34" w:rsidRPr="00CF6110" w:rsidRDefault="00614B34" w:rsidP="00E6192A">
      <w:pPr>
        <w:pStyle w:val="SingleTxtG"/>
      </w:pPr>
      <w:r w:rsidRPr="00CF6110">
        <w:rPr>
          <w:lang w:eastAsia="en-GB"/>
        </w:rPr>
        <w:lastRenderedPageBreak/>
        <w:drawing>
          <wp:inline distT="0" distB="0" distL="0" distR="0" wp14:anchorId="4877A073" wp14:editId="3053479A">
            <wp:extent cx="5274310" cy="8334516"/>
            <wp:effectExtent l="0" t="0" r="254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334516"/>
                    </a:xfrm>
                    <a:prstGeom prst="rect">
                      <a:avLst/>
                    </a:prstGeom>
                    <a:noFill/>
                    <a:ln>
                      <a:noFill/>
                    </a:ln>
                  </pic:spPr>
                </pic:pic>
              </a:graphicData>
            </a:graphic>
          </wp:inline>
        </w:drawing>
      </w:r>
    </w:p>
    <w:p w14:paraId="4A2DE145" w14:textId="77777777" w:rsidR="00614B34" w:rsidRPr="00CF6110" w:rsidRDefault="00614B34" w:rsidP="00E6192A">
      <w:pPr>
        <w:pStyle w:val="SingleTxtG"/>
      </w:pPr>
      <w:r w:rsidRPr="00CF6110">
        <w:rPr>
          <w:lang w:eastAsia="en-GB"/>
        </w:rPr>
        <w:lastRenderedPageBreak/>
        <w:drawing>
          <wp:inline distT="0" distB="0" distL="0" distR="0" wp14:anchorId="05EEA109" wp14:editId="2EA491B0">
            <wp:extent cx="5274310" cy="8384563"/>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8384563"/>
                    </a:xfrm>
                    <a:prstGeom prst="rect">
                      <a:avLst/>
                    </a:prstGeom>
                    <a:noFill/>
                    <a:ln>
                      <a:noFill/>
                    </a:ln>
                  </pic:spPr>
                </pic:pic>
              </a:graphicData>
            </a:graphic>
          </wp:inline>
        </w:drawing>
      </w:r>
    </w:p>
    <w:p w14:paraId="5D27EE0E" w14:textId="77777777" w:rsidR="00614B34" w:rsidRPr="00CF6110" w:rsidRDefault="00614B34" w:rsidP="00E6192A">
      <w:pPr>
        <w:pStyle w:val="SingleTxtG"/>
      </w:pPr>
      <w:r w:rsidRPr="00CF6110">
        <w:rPr>
          <w:lang w:eastAsia="en-GB"/>
        </w:rPr>
        <w:lastRenderedPageBreak/>
        <w:drawing>
          <wp:inline distT="0" distB="0" distL="0" distR="0" wp14:anchorId="7A75E859" wp14:editId="185F8F40">
            <wp:extent cx="5274310" cy="7104165"/>
            <wp:effectExtent l="0" t="0" r="254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104165"/>
                    </a:xfrm>
                    <a:prstGeom prst="rect">
                      <a:avLst/>
                    </a:prstGeom>
                    <a:noFill/>
                    <a:ln>
                      <a:noFill/>
                    </a:ln>
                  </pic:spPr>
                </pic:pic>
              </a:graphicData>
            </a:graphic>
          </wp:inline>
        </w:drawing>
      </w:r>
    </w:p>
    <w:p w14:paraId="5FE46EB1" w14:textId="77777777" w:rsidR="00614B34" w:rsidRPr="00CF6110" w:rsidRDefault="00614B34" w:rsidP="00E6192A">
      <w:pPr>
        <w:pStyle w:val="SingleTxtG"/>
      </w:pPr>
      <w:r w:rsidRPr="00CF6110">
        <w:rPr>
          <w:lang w:eastAsia="en-GB"/>
        </w:rPr>
        <w:lastRenderedPageBreak/>
        <w:drawing>
          <wp:inline distT="0" distB="0" distL="0" distR="0" wp14:anchorId="250759E7" wp14:editId="2610A99E">
            <wp:extent cx="5274310" cy="7108506"/>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108506"/>
                    </a:xfrm>
                    <a:prstGeom prst="rect">
                      <a:avLst/>
                    </a:prstGeom>
                    <a:noFill/>
                    <a:ln>
                      <a:noFill/>
                    </a:ln>
                  </pic:spPr>
                </pic:pic>
              </a:graphicData>
            </a:graphic>
          </wp:inline>
        </w:drawing>
      </w:r>
    </w:p>
    <w:p w14:paraId="597773CF" w14:textId="77777777" w:rsidR="00614B34" w:rsidRPr="00CF6110" w:rsidRDefault="00614B34" w:rsidP="00E6192A">
      <w:pPr>
        <w:pStyle w:val="SingleTxtG"/>
      </w:pPr>
      <w:r w:rsidRPr="00CF6110">
        <w:rPr>
          <w:lang w:eastAsia="en-GB"/>
        </w:rPr>
        <w:lastRenderedPageBreak/>
        <w:drawing>
          <wp:inline distT="0" distB="0" distL="0" distR="0" wp14:anchorId="6847DCCD" wp14:editId="27EE8C7A">
            <wp:extent cx="5274310" cy="7770222"/>
            <wp:effectExtent l="0" t="0" r="254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770222"/>
                    </a:xfrm>
                    <a:prstGeom prst="rect">
                      <a:avLst/>
                    </a:prstGeom>
                    <a:noFill/>
                    <a:ln>
                      <a:noFill/>
                    </a:ln>
                  </pic:spPr>
                </pic:pic>
              </a:graphicData>
            </a:graphic>
          </wp:inline>
        </w:drawing>
      </w:r>
    </w:p>
    <w:p w14:paraId="56A2C189" w14:textId="77777777" w:rsidR="00614B34" w:rsidRPr="00CF6110" w:rsidRDefault="00614B34" w:rsidP="00E6192A">
      <w:pPr>
        <w:pStyle w:val="SingleTxtG"/>
      </w:pPr>
      <w:r w:rsidRPr="00CF6110">
        <w:rPr>
          <w:lang w:eastAsia="en-GB"/>
        </w:rPr>
        <w:lastRenderedPageBreak/>
        <w:drawing>
          <wp:inline distT="0" distB="0" distL="0" distR="0" wp14:anchorId="058FDC4C" wp14:editId="7B02F705">
            <wp:extent cx="5274310" cy="754894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548945"/>
                    </a:xfrm>
                    <a:prstGeom prst="rect">
                      <a:avLst/>
                    </a:prstGeom>
                    <a:noFill/>
                    <a:ln>
                      <a:noFill/>
                    </a:ln>
                  </pic:spPr>
                </pic:pic>
              </a:graphicData>
            </a:graphic>
          </wp:inline>
        </w:drawing>
      </w:r>
    </w:p>
    <w:p w14:paraId="3CE78FD8" w14:textId="77777777" w:rsidR="00614B34" w:rsidRPr="00CF6110" w:rsidRDefault="00614B34" w:rsidP="00E6192A">
      <w:pPr>
        <w:pStyle w:val="SingleTxtG"/>
      </w:pPr>
      <w:r w:rsidRPr="00CF6110">
        <w:rPr>
          <w:lang w:eastAsia="en-GB"/>
        </w:rPr>
        <w:lastRenderedPageBreak/>
        <w:drawing>
          <wp:inline distT="0" distB="0" distL="0" distR="0" wp14:anchorId="3BCB697C" wp14:editId="059A9ED4">
            <wp:extent cx="5274310" cy="695692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6956920"/>
                    </a:xfrm>
                    <a:prstGeom prst="rect">
                      <a:avLst/>
                    </a:prstGeom>
                    <a:noFill/>
                    <a:ln>
                      <a:noFill/>
                    </a:ln>
                  </pic:spPr>
                </pic:pic>
              </a:graphicData>
            </a:graphic>
          </wp:inline>
        </w:drawing>
      </w:r>
    </w:p>
    <w:p w14:paraId="1A861A9A" w14:textId="77777777" w:rsidR="00614B34" w:rsidRPr="00CF6110" w:rsidRDefault="00614B34" w:rsidP="00E6192A">
      <w:pPr>
        <w:pStyle w:val="SingleTxtG"/>
      </w:pPr>
      <w:r w:rsidRPr="00CF6110">
        <w:rPr>
          <w:lang w:eastAsia="en-GB"/>
        </w:rPr>
        <w:lastRenderedPageBreak/>
        <w:drawing>
          <wp:inline distT="0" distB="0" distL="0" distR="0" wp14:anchorId="17CBEA42" wp14:editId="04E6A525">
            <wp:extent cx="5274310" cy="7894679"/>
            <wp:effectExtent l="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894679"/>
                    </a:xfrm>
                    <a:prstGeom prst="rect">
                      <a:avLst/>
                    </a:prstGeom>
                    <a:noFill/>
                    <a:ln>
                      <a:noFill/>
                    </a:ln>
                  </pic:spPr>
                </pic:pic>
              </a:graphicData>
            </a:graphic>
          </wp:inline>
        </w:drawing>
      </w:r>
    </w:p>
    <w:p w14:paraId="25B74436" w14:textId="77777777" w:rsidR="00614B34" w:rsidRPr="00CF6110" w:rsidRDefault="00614B34" w:rsidP="00E6192A">
      <w:pPr>
        <w:pStyle w:val="SingleTxtG"/>
      </w:pPr>
      <w:r w:rsidRPr="00CF6110">
        <w:rPr>
          <w:lang w:eastAsia="en-GB"/>
        </w:rPr>
        <w:lastRenderedPageBreak/>
        <w:drawing>
          <wp:inline distT="0" distB="0" distL="0" distR="0" wp14:anchorId="1F5A34A4" wp14:editId="62A233E5">
            <wp:extent cx="5274310" cy="6752048"/>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6752048"/>
                    </a:xfrm>
                    <a:prstGeom prst="rect">
                      <a:avLst/>
                    </a:prstGeom>
                    <a:noFill/>
                    <a:ln>
                      <a:noFill/>
                    </a:ln>
                  </pic:spPr>
                </pic:pic>
              </a:graphicData>
            </a:graphic>
          </wp:inline>
        </w:drawing>
      </w:r>
    </w:p>
    <w:p w14:paraId="02C0A34A" w14:textId="77777777" w:rsidR="00614B34" w:rsidRPr="00CF6110" w:rsidRDefault="00614B34" w:rsidP="00E6192A">
      <w:pPr>
        <w:pStyle w:val="SingleTxtG"/>
      </w:pPr>
      <w:r w:rsidRPr="00CF6110">
        <w:rPr>
          <w:lang w:eastAsia="en-GB"/>
        </w:rPr>
        <w:lastRenderedPageBreak/>
        <w:drawing>
          <wp:inline distT="0" distB="0" distL="0" distR="0" wp14:anchorId="03ADBA80" wp14:editId="3AD87FF7">
            <wp:extent cx="5274310" cy="7010484"/>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010484"/>
                    </a:xfrm>
                    <a:prstGeom prst="rect">
                      <a:avLst/>
                    </a:prstGeom>
                    <a:noFill/>
                    <a:ln>
                      <a:noFill/>
                    </a:ln>
                  </pic:spPr>
                </pic:pic>
              </a:graphicData>
            </a:graphic>
          </wp:inline>
        </w:drawing>
      </w:r>
    </w:p>
    <w:p w14:paraId="3344EEED" w14:textId="77777777" w:rsidR="00614B34" w:rsidRPr="00CF6110" w:rsidRDefault="00614B34" w:rsidP="00E6192A">
      <w:pPr>
        <w:pStyle w:val="SingleTxtG"/>
      </w:pPr>
      <w:r w:rsidRPr="00CF6110">
        <w:rPr>
          <w:lang w:eastAsia="en-GB"/>
        </w:rPr>
        <w:lastRenderedPageBreak/>
        <w:drawing>
          <wp:inline distT="0" distB="0" distL="0" distR="0" wp14:anchorId="1EB1FACD" wp14:editId="2CEF5CAC">
            <wp:extent cx="5274310" cy="6727667"/>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6727667"/>
                    </a:xfrm>
                    <a:prstGeom prst="rect">
                      <a:avLst/>
                    </a:prstGeom>
                    <a:noFill/>
                    <a:ln>
                      <a:noFill/>
                    </a:ln>
                  </pic:spPr>
                </pic:pic>
              </a:graphicData>
            </a:graphic>
          </wp:inline>
        </w:drawing>
      </w:r>
    </w:p>
    <w:p w14:paraId="768ED7E8" w14:textId="77777777" w:rsidR="00614B34" w:rsidRPr="00CF6110" w:rsidRDefault="00614B34" w:rsidP="00E6192A">
      <w:pPr>
        <w:pStyle w:val="SingleTxtG"/>
      </w:pPr>
      <w:r w:rsidRPr="00CF6110">
        <w:rPr>
          <w:lang w:eastAsia="en-GB"/>
        </w:rPr>
        <w:lastRenderedPageBreak/>
        <w:drawing>
          <wp:inline distT="0" distB="0" distL="0" distR="0" wp14:anchorId="75C2EFEC" wp14:editId="527B2ED7">
            <wp:extent cx="5274310" cy="6608965"/>
            <wp:effectExtent l="0" t="0" r="254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6608965"/>
                    </a:xfrm>
                    <a:prstGeom prst="rect">
                      <a:avLst/>
                    </a:prstGeom>
                    <a:noFill/>
                    <a:ln>
                      <a:noFill/>
                    </a:ln>
                  </pic:spPr>
                </pic:pic>
              </a:graphicData>
            </a:graphic>
          </wp:inline>
        </w:drawing>
      </w:r>
    </w:p>
    <w:p w14:paraId="60FDE002" w14:textId="77777777" w:rsidR="00614B34" w:rsidRPr="00CF6110" w:rsidRDefault="00614B34" w:rsidP="00E6192A">
      <w:pPr>
        <w:pStyle w:val="SingleTxtG"/>
      </w:pPr>
      <w:r w:rsidRPr="00CF6110">
        <w:rPr>
          <w:lang w:eastAsia="en-GB"/>
        </w:rPr>
        <w:lastRenderedPageBreak/>
        <w:drawing>
          <wp:inline distT="0" distB="0" distL="0" distR="0" wp14:anchorId="5AC0BC8E" wp14:editId="2F0E743F">
            <wp:extent cx="5274310" cy="7302763"/>
            <wp:effectExtent l="0" t="0" r="254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302763"/>
                    </a:xfrm>
                    <a:prstGeom prst="rect">
                      <a:avLst/>
                    </a:prstGeom>
                    <a:noFill/>
                    <a:ln>
                      <a:noFill/>
                    </a:ln>
                  </pic:spPr>
                </pic:pic>
              </a:graphicData>
            </a:graphic>
          </wp:inline>
        </w:drawing>
      </w:r>
    </w:p>
    <w:p w14:paraId="068788F8" w14:textId="77777777" w:rsidR="00614B34" w:rsidRPr="00CF6110" w:rsidRDefault="00614B34" w:rsidP="00E6192A">
      <w:pPr>
        <w:pStyle w:val="SingleTxtG"/>
      </w:pPr>
    </w:p>
    <w:p w14:paraId="189E3636" w14:textId="77777777" w:rsidR="00614B34" w:rsidRPr="00CF6110" w:rsidRDefault="00614B34" w:rsidP="00E6192A">
      <w:pPr>
        <w:pStyle w:val="SingleTxtG"/>
      </w:pPr>
      <w:r w:rsidRPr="00CF6110">
        <w:rPr>
          <w:lang w:eastAsia="en-GB"/>
        </w:rPr>
        <w:lastRenderedPageBreak/>
        <w:drawing>
          <wp:inline distT="0" distB="0" distL="0" distR="0" wp14:anchorId="588E5480" wp14:editId="674C9481">
            <wp:extent cx="5274310" cy="6214693"/>
            <wp:effectExtent l="0" t="0" r="254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6214693"/>
                    </a:xfrm>
                    <a:prstGeom prst="rect">
                      <a:avLst/>
                    </a:prstGeom>
                    <a:noFill/>
                    <a:ln>
                      <a:noFill/>
                    </a:ln>
                  </pic:spPr>
                </pic:pic>
              </a:graphicData>
            </a:graphic>
          </wp:inline>
        </w:drawing>
      </w:r>
    </w:p>
    <w:p w14:paraId="08927E3A" w14:textId="77777777" w:rsidR="00614B34" w:rsidRPr="00CF6110" w:rsidRDefault="00614B34" w:rsidP="00E6192A">
      <w:pPr>
        <w:pStyle w:val="SingleTxtG"/>
      </w:pPr>
      <w:r w:rsidRPr="00CF6110">
        <w:rPr>
          <w:lang w:eastAsia="en-GB"/>
        </w:rPr>
        <w:lastRenderedPageBreak/>
        <w:drawing>
          <wp:inline distT="0" distB="0" distL="0" distR="0" wp14:anchorId="7FEA092D" wp14:editId="506F0E44">
            <wp:extent cx="5274310" cy="6697428"/>
            <wp:effectExtent l="0" t="0" r="2540" b="825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6697428"/>
                    </a:xfrm>
                    <a:prstGeom prst="rect">
                      <a:avLst/>
                    </a:prstGeom>
                    <a:noFill/>
                    <a:ln>
                      <a:noFill/>
                    </a:ln>
                  </pic:spPr>
                </pic:pic>
              </a:graphicData>
            </a:graphic>
          </wp:inline>
        </w:drawing>
      </w:r>
    </w:p>
    <w:p w14:paraId="77012AEB" w14:textId="77777777" w:rsidR="00614B34" w:rsidRPr="00CF6110" w:rsidRDefault="00614B34" w:rsidP="00E6192A">
      <w:pPr>
        <w:pStyle w:val="SingleTxtG"/>
      </w:pPr>
      <w:r w:rsidRPr="00CF6110">
        <w:rPr>
          <w:lang w:eastAsia="en-GB"/>
        </w:rPr>
        <w:lastRenderedPageBreak/>
        <w:drawing>
          <wp:inline distT="0" distB="0" distL="0" distR="0" wp14:anchorId="4F83178D" wp14:editId="732B55AF">
            <wp:extent cx="5274310" cy="7237397"/>
            <wp:effectExtent l="0" t="0" r="2540" b="190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237397"/>
                    </a:xfrm>
                    <a:prstGeom prst="rect">
                      <a:avLst/>
                    </a:prstGeom>
                    <a:noFill/>
                    <a:ln>
                      <a:noFill/>
                    </a:ln>
                  </pic:spPr>
                </pic:pic>
              </a:graphicData>
            </a:graphic>
          </wp:inline>
        </w:drawing>
      </w:r>
    </w:p>
    <w:p w14:paraId="02D86DE3" w14:textId="77777777" w:rsidR="00614B34" w:rsidRPr="00CF6110" w:rsidRDefault="00614B34" w:rsidP="00E6192A">
      <w:pPr>
        <w:pStyle w:val="SingleTxtG"/>
      </w:pPr>
      <w:r w:rsidRPr="00CF6110">
        <w:rPr>
          <w:lang w:eastAsia="en-GB"/>
        </w:rPr>
        <w:lastRenderedPageBreak/>
        <w:drawing>
          <wp:inline distT="0" distB="0" distL="0" distR="0" wp14:anchorId="60831621" wp14:editId="1FF4DE0F">
            <wp:extent cx="5274310" cy="6506859"/>
            <wp:effectExtent l="0" t="0" r="2540" b="825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6506859"/>
                    </a:xfrm>
                    <a:prstGeom prst="rect">
                      <a:avLst/>
                    </a:prstGeom>
                    <a:noFill/>
                    <a:ln>
                      <a:noFill/>
                    </a:ln>
                  </pic:spPr>
                </pic:pic>
              </a:graphicData>
            </a:graphic>
          </wp:inline>
        </w:drawing>
      </w:r>
    </w:p>
    <w:p w14:paraId="43FC6253" w14:textId="77777777" w:rsidR="00614B34" w:rsidRPr="00CF6110" w:rsidRDefault="00614B34" w:rsidP="00E6192A">
      <w:pPr>
        <w:pStyle w:val="SingleTxtG"/>
      </w:pPr>
      <w:r w:rsidRPr="00CF6110">
        <w:rPr>
          <w:lang w:eastAsia="en-GB"/>
        </w:rPr>
        <w:lastRenderedPageBreak/>
        <w:drawing>
          <wp:inline distT="0" distB="0" distL="0" distR="0" wp14:anchorId="0FF7B8C6" wp14:editId="2D7836CF">
            <wp:extent cx="5274310" cy="7606953"/>
            <wp:effectExtent l="0" t="0" r="254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7606953"/>
                    </a:xfrm>
                    <a:prstGeom prst="rect">
                      <a:avLst/>
                    </a:prstGeom>
                    <a:noFill/>
                    <a:ln>
                      <a:noFill/>
                    </a:ln>
                  </pic:spPr>
                </pic:pic>
              </a:graphicData>
            </a:graphic>
          </wp:inline>
        </w:drawing>
      </w:r>
    </w:p>
    <w:p w14:paraId="4454E139" w14:textId="77777777" w:rsidR="00614B34" w:rsidRPr="00CF6110" w:rsidRDefault="00614B34" w:rsidP="00E6192A">
      <w:pPr>
        <w:pStyle w:val="SingleTxtG"/>
      </w:pPr>
      <w:r w:rsidRPr="00CF6110">
        <w:rPr>
          <w:lang w:eastAsia="en-GB"/>
        </w:rPr>
        <w:lastRenderedPageBreak/>
        <w:drawing>
          <wp:inline distT="0" distB="0" distL="0" distR="0" wp14:anchorId="77DB637C" wp14:editId="36848668">
            <wp:extent cx="5274310" cy="7659884"/>
            <wp:effectExtent l="0" t="0" r="254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659884"/>
                    </a:xfrm>
                    <a:prstGeom prst="rect">
                      <a:avLst/>
                    </a:prstGeom>
                    <a:noFill/>
                    <a:ln>
                      <a:noFill/>
                    </a:ln>
                  </pic:spPr>
                </pic:pic>
              </a:graphicData>
            </a:graphic>
          </wp:inline>
        </w:drawing>
      </w:r>
    </w:p>
    <w:p w14:paraId="075114BD" w14:textId="77777777" w:rsidR="00614B34" w:rsidRPr="00CF6110" w:rsidRDefault="00614B34" w:rsidP="00E6192A">
      <w:pPr>
        <w:pStyle w:val="SingleTxtG"/>
      </w:pPr>
      <w:r w:rsidRPr="00CF6110">
        <w:rPr>
          <w:lang w:eastAsia="en-GB"/>
        </w:rPr>
        <w:lastRenderedPageBreak/>
        <w:drawing>
          <wp:inline distT="0" distB="0" distL="0" distR="0" wp14:anchorId="15250F16" wp14:editId="49C08786">
            <wp:extent cx="5274310" cy="7559969"/>
            <wp:effectExtent l="0" t="0" r="2540" b="317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7559969"/>
                    </a:xfrm>
                    <a:prstGeom prst="rect">
                      <a:avLst/>
                    </a:prstGeom>
                    <a:noFill/>
                    <a:ln>
                      <a:noFill/>
                    </a:ln>
                  </pic:spPr>
                </pic:pic>
              </a:graphicData>
            </a:graphic>
          </wp:inline>
        </w:drawing>
      </w:r>
    </w:p>
    <w:p w14:paraId="4C953FA5" w14:textId="77777777" w:rsidR="00614B34" w:rsidRPr="00CF6110" w:rsidRDefault="00614B34" w:rsidP="00E6192A">
      <w:pPr>
        <w:pStyle w:val="SingleTxtG"/>
      </w:pPr>
      <w:r w:rsidRPr="00CF6110">
        <w:rPr>
          <w:lang w:eastAsia="en-GB"/>
        </w:rPr>
        <w:lastRenderedPageBreak/>
        <w:drawing>
          <wp:inline distT="0" distB="0" distL="0" distR="0" wp14:anchorId="7A1BF2EC" wp14:editId="1D43405F">
            <wp:extent cx="5274310" cy="7689495"/>
            <wp:effectExtent l="0" t="0" r="2540" b="698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7689495"/>
                    </a:xfrm>
                    <a:prstGeom prst="rect">
                      <a:avLst/>
                    </a:prstGeom>
                    <a:noFill/>
                    <a:ln>
                      <a:noFill/>
                    </a:ln>
                  </pic:spPr>
                </pic:pic>
              </a:graphicData>
            </a:graphic>
          </wp:inline>
        </w:drawing>
      </w:r>
    </w:p>
    <w:p w14:paraId="14B7847F" w14:textId="77777777" w:rsidR="00614B34" w:rsidRPr="00CF6110" w:rsidRDefault="00614B34" w:rsidP="00E6192A">
      <w:pPr>
        <w:pStyle w:val="SingleTxtG"/>
      </w:pPr>
    </w:p>
    <w:p w14:paraId="5F62B0A9" w14:textId="77777777" w:rsidR="00614B34" w:rsidRPr="00CF6110" w:rsidRDefault="00614B34" w:rsidP="00E6192A">
      <w:pPr>
        <w:pStyle w:val="SingleTxtG"/>
      </w:pPr>
    </w:p>
    <w:p w14:paraId="682029E5" w14:textId="77777777" w:rsidR="00614B34" w:rsidRPr="00CF6110" w:rsidRDefault="00614B34" w:rsidP="00614B34">
      <w:pPr>
        <w:pStyle w:val="H1G"/>
        <w:spacing w:line="240" w:lineRule="atLeast"/>
      </w:pPr>
      <w:r w:rsidRPr="00CF6110">
        <w:lastRenderedPageBreak/>
        <w:tab/>
        <w:t xml:space="preserve">Annex 2. </w:t>
      </w:r>
      <w:r w:rsidRPr="00CF6110">
        <w:tab/>
      </w:r>
      <w:r w:rsidRPr="00CF6110">
        <w:rPr>
          <w:bCs/>
        </w:rPr>
        <w:t>Case Details Form</w:t>
      </w:r>
    </w:p>
    <w:p w14:paraId="34F4229D" w14:textId="77777777" w:rsidR="00614B34" w:rsidRPr="00CF6110" w:rsidRDefault="00614B34" w:rsidP="00E6192A">
      <w:pPr>
        <w:pStyle w:val="SingleTxtG"/>
      </w:pPr>
      <w:r w:rsidRPr="00CF6110">
        <w:rPr>
          <w:lang w:eastAsia="en-GB"/>
        </w:rPr>
        <w:drawing>
          <wp:inline distT="0" distB="0" distL="0" distR="0" wp14:anchorId="38094112" wp14:editId="56123118">
            <wp:extent cx="5274310" cy="7629458"/>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7629458"/>
                    </a:xfrm>
                    <a:prstGeom prst="rect">
                      <a:avLst/>
                    </a:prstGeom>
                    <a:noFill/>
                    <a:ln>
                      <a:noFill/>
                    </a:ln>
                  </pic:spPr>
                </pic:pic>
              </a:graphicData>
            </a:graphic>
          </wp:inline>
        </w:drawing>
      </w:r>
    </w:p>
    <w:p w14:paraId="14E0B482" w14:textId="77777777" w:rsidR="00614B34" w:rsidRPr="00CF6110" w:rsidRDefault="00614B34" w:rsidP="00E6192A">
      <w:pPr>
        <w:pStyle w:val="SingleTxtG"/>
      </w:pPr>
      <w:r w:rsidRPr="00CF6110">
        <w:rPr>
          <w:lang w:eastAsia="en-GB"/>
        </w:rPr>
        <w:lastRenderedPageBreak/>
        <w:drawing>
          <wp:inline distT="0" distB="0" distL="0" distR="0" wp14:anchorId="12F25298" wp14:editId="755741C5">
            <wp:extent cx="5274310" cy="7589027"/>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7589027"/>
                    </a:xfrm>
                    <a:prstGeom prst="rect">
                      <a:avLst/>
                    </a:prstGeom>
                    <a:noFill/>
                    <a:ln>
                      <a:noFill/>
                    </a:ln>
                  </pic:spPr>
                </pic:pic>
              </a:graphicData>
            </a:graphic>
          </wp:inline>
        </w:drawing>
      </w:r>
    </w:p>
    <w:p w14:paraId="0B79A00B" w14:textId="77777777" w:rsidR="00614B34" w:rsidRPr="00CF6110" w:rsidRDefault="00614B34" w:rsidP="00E6192A">
      <w:pPr>
        <w:pStyle w:val="SingleTxtG"/>
      </w:pPr>
    </w:p>
    <w:p w14:paraId="53FD7E0B" w14:textId="77777777" w:rsidR="007502FD" w:rsidRPr="00CF6110" w:rsidRDefault="007502FD" w:rsidP="00E6192A">
      <w:pPr>
        <w:pStyle w:val="SingleTxtG"/>
      </w:pPr>
    </w:p>
    <w:p w14:paraId="3ED940BE" w14:textId="77777777" w:rsidR="00614B34" w:rsidRPr="00CF6110" w:rsidRDefault="00614B34" w:rsidP="00614B34">
      <w:pPr>
        <w:pStyle w:val="H1G"/>
        <w:spacing w:line="240" w:lineRule="atLeast"/>
        <w:rPr>
          <w:bCs/>
        </w:rPr>
      </w:pPr>
      <w:r w:rsidRPr="00CF6110">
        <w:lastRenderedPageBreak/>
        <w:tab/>
        <w:t xml:space="preserve">Annex 3. </w:t>
      </w:r>
      <w:r w:rsidRPr="00CF6110">
        <w:tab/>
      </w:r>
      <w:r w:rsidRPr="00CF6110">
        <w:rPr>
          <w:bCs/>
        </w:rPr>
        <w:t>Firearm Wound Chart</w:t>
      </w:r>
    </w:p>
    <w:p w14:paraId="2F957D36" w14:textId="77777777" w:rsidR="00614B34" w:rsidRPr="00CF6110" w:rsidRDefault="00614B34" w:rsidP="00614B34"/>
    <w:p w14:paraId="14F13F56" w14:textId="77777777" w:rsidR="00614B34" w:rsidRPr="00CF6110" w:rsidRDefault="00614B34" w:rsidP="00614B34">
      <w:pPr>
        <w:rPr>
          <w:sz w:val="28"/>
          <w:szCs w:val="28"/>
        </w:rPr>
      </w:pPr>
    </w:p>
    <w:p w14:paraId="06177AFF" w14:textId="77777777" w:rsidR="00614B34" w:rsidRPr="00CF6110" w:rsidRDefault="00614B34" w:rsidP="00614B34">
      <w:pPr>
        <w:rPr>
          <w:sz w:val="24"/>
        </w:rPr>
      </w:pPr>
      <w:r w:rsidRPr="00CF6110">
        <w:rPr>
          <w:sz w:val="24"/>
        </w:rPr>
        <w:t>NAME</w:t>
      </w:r>
      <w:proofErr w:type="gramStart"/>
      <w:r w:rsidRPr="00CF6110">
        <w:rPr>
          <w:sz w:val="24"/>
        </w:rPr>
        <w:t>:_</w:t>
      </w:r>
      <w:proofErr w:type="gramEnd"/>
      <w:r w:rsidRPr="00CF6110">
        <w:rPr>
          <w:sz w:val="24"/>
        </w:rPr>
        <w:t>__________________________________CASE NO:______________</w:t>
      </w:r>
    </w:p>
    <w:p w14:paraId="4DD63751" w14:textId="77777777" w:rsidR="00614B34" w:rsidRPr="00CF6110" w:rsidRDefault="00614B34" w:rsidP="00614B34"/>
    <w:tbl>
      <w:tblPr>
        <w:tblStyle w:val="Grilledutableau"/>
        <w:tblW w:w="0" w:type="auto"/>
        <w:tblLook w:val="04A0" w:firstRow="1" w:lastRow="0" w:firstColumn="1" w:lastColumn="0" w:noHBand="0" w:noVBand="1"/>
      </w:tblPr>
      <w:tblGrid>
        <w:gridCol w:w="1491"/>
        <w:gridCol w:w="703"/>
        <w:gridCol w:w="23"/>
        <w:gridCol w:w="585"/>
        <w:gridCol w:w="614"/>
        <w:gridCol w:w="421"/>
        <w:gridCol w:w="516"/>
        <w:gridCol w:w="421"/>
        <w:gridCol w:w="516"/>
        <w:gridCol w:w="421"/>
        <w:gridCol w:w="516"/>
        <w:gridCol w:w="421"/>
        <w:gridCol w:w="516"/>
        <w:gridCol w:w="421"/>
        <w:gridCol w:w="516"/>
        <w:gridCol w:w="421"/>
      </w:tblGrid>
      <w:tr w:rsidR="00614B34" w:rsidRPr="00CF6110" w14:paraId="4F260330" w14:textId="77777777" w:rsidTr="000815BC">
        <w:tc>
          <w:tcPr>
            <w:tcW w:w="2802" w:type="dxa"/>
            <w:gridSpan w:val="4"/>
            <w:vMerge w:val="restart"/>
          </w:tcPr>
          <w:p w14:paraId="2E14FE7C" w14:textId="77777777" w:rsidR="00614B34" w:rsidRPr="00CF6110" w:rsidRDefault="00614B34" w:rsidP="000815BC">
            <w:pPr>
              <w:rPr>
                <w:lang w:val="en-GB"/>
              </w:rPr>
            </w:pPr>
          </w:p>
        </w:tc>
        <w:tc>
          <w:tcPr>
            <w:tcW w:w="5720" w:type="dxa"/>
            <w:gridSpan w:val="12"/>
            <w:vAlign w:val="center"/>
          </w:tcPr>
          <w:p w14:paraId="7673AFA3" w14:textId="77777777" w:rsidR="00614B34" w:rsidRPr="00CF6110" w:rsidRDefault="00614B34" w:rsidP="000815BC">
            <w:pPr>
              <w:jc w:val="center"/>
              <w:rPr>
                <w:lang w:val="en-GB"/>
              </w:rPr>
            </w:pPr>
            <w:r w:rsidRPr="00CF6110">
              <w:rPr>
                <w:lang w:val="en-GB"/>
              </w:rPr>
              <w:t>WOUND NO.</w:t>
            </w:r>
          </w:p>
        </w:tc>
      </w:tr>
      <w:tr w:rsidR="00614B34" w:rsidRPr="00CF6110" w14:paraId="5D92CCD3" w14:textId="77777777" w:rsidTr="000815BC">
        <w:tc>
          <w:tcPr>
            <w:tcW w:w="2802" w:type="dxa"/>
            <w:gridSpan w:val="4"/>
            <w:vMerge/>
          </w:tcPr>
          <w:p w14:paraId="005535C3" w14:textId="77777777" w:rsidR="00614B34" w:rsidRPr="00CF6110" w:rsidRDefault="00614B34" w:rsidP="000815BC">
            <w:pPr>
              <w:rPr>
                <w:lang w:val="en-GB"/>
              </w:rPr>
            </w:pPr>
          </w:p>
        </w:tc>
        <w:tc>
          <w:tcPr>
            <w:tcW w:w="1035" w:type="dxa"/>
            <w:gridSpan w:val="2"/>
            <w:vAlign w:val="center"/>
          </w:tcPr>
          <w:p w14:paraId="5FFC2DD7" w14:textId="77777777" w:rsidR="00614B34" w:rsidRPr="00CF6110" w:rsidRDefault="00614B34" w:rsidP="000815BC">
            <w:pPr>
              <w:jc w:val="center"/>
              <w:rPr>
                <w:lang w:val="en-GB"/>
              </w:rPr>
            </w:pPr>
            <w:r w:rsidRPr="00CF6110">
              <w:rPr>
                <w:lang w:val="en-GB"/>
              </w:rPr>
              <w:t>1</w:t>
            </w:r>
          </w:p>
        </w:tc>
        <w:tc>
          <w:tcPr>
            <w:tcW w:w="937" w:type="dxa"/>
            <w:gridSpan w:val="2"/>
            <w:vAlign w:val="center"/>
          </w:tcPr>
          <w:p w14:paraId="68776D31" w14:textId="77777777" w:rsidR="00614B34" w:rsidRPr="00CF6110" w:rsidRDefault="00614B34" w:rsidP="000815BC">
            <w:pPr>
              <w:jc w:val="center"/>
              <w:rPr>
                <w:lang w:val="en-GB"/>
              </w:rPr>
            </w:pPr>
            <w:r w:rsidRPr="00CF6110">
              <w:rPr>
                <w:lang w:val="en-GB"/>
              </w:rPr>
              <w:t>2</w:t>
            </w:r>
          </w:p>
        </w:tc>
        <w:tc>
          <w:tcPr>
            <w:tcW w:w="937" w:type="dxa"/>
            <w:gridSpan w:val="2"/>
            <w:vAlign w:val="center"/>
          </w:tcPr>
          <w:p w14:paraId="48A4E218" w14:textId="77777777" w:rsidR="00614B34" w:rsidRPr="00CF6110" w:rsidRDefault="00614B34" w:rsidP="000815BC">
            <w:pPr>
              <w:jc w:val="center"/>
              <w:rPr>
                <w:lang w:val="en-GB"/>
              </w:rPr>
            </w:pPr>
            <w:r w:rsidRPr="00CF6110">
              <w:rPr>
                <w:lang w:val="en-GB"/>
              </w:rPr>
              <w:t>3</w:t>
            </w:r>
          </w:p>
        </w:tc>
        <w:tc>
          <w:tcPr>
            <w:tcW w:w="937" w:type="dxa"/>
            <w:gridSpan w:val="2"/>
            <w:vAlign w:val="center"/>
          </w:tcPr>
          <w:p w14:paraId="78827EC5" w14:textId="77777777" w:rsidR="00614B34" w:rsidRPr="00CF6110" w:rsidRDefault="00614B34" w:rsidP="000815BC">
            <w:pPr>
              <w:jc w:val="center"/>
              <w:rPr>
                <w:lang w:val="en-GB"/>
              </w:rPr>
            </w:pPr>
            <w:r w:rsidRPr="00CF6110">
              <w:rPr>
                <w:lang w:val="en-GB"/>
              </w:rPr>
              <w:t>4</w:t>
            </w:r>
          </w:p>
        </w:tc>
        <w:tc>
          <w:tcPr>
            <w:tcW w:w="937" w:type="dxa"/>
            <w:gridSpan w:val="2"/>
            <w:vAlign w:val="center"/>
          </w:tcPr>
          <w:p w14:paraId="4146336B" w14:textId="77777777" w:rsidR="00614B34" w:rsidRPr="00CF6110" w:rsidRDefault="00614B34" w:rsidP="000815BC">
            <w:pPr>
              <w:jc w:val="center"/>
              <w:rPr>
                <w:lang w:val="en-GB"/>
              </w:rPr>
            </w:pPr>
            <w:r w:rsidRPr="00CF6110">
              <w:rPr>
                <w:lang w:val="en-GB"/>
              </w:rPr>
              <w:t>5</w:t>
            </w:r>
          </w:p>
        </w:tc>
        <w:tc>
          <w:tcPr>
            <w:tcW w:w="937" w:type="dxa"/>
            <w:gridSpan w:val="2"/>
            <w:vAlign w:val="center"/>
          </w:tcPr>
          <w:p w14:paraId="3D2F606B" w14:textId="77777777" w:rsidR="00614B34" w:rsidRPr="00CF6110" w:rsidRDefault="00614B34" w:rsidP="000815BC">
            <w:pPr>
              <w:jc w:val="center"/>
              <w:rPr>
                <w:lang w:val="en-GB"/>
              </w:rPr>
            </w:pPr>
            <w:r w:rsidRPr="00CF6110">
              <w:rPr>
                <w:lang w:val="en-GB"/>
              </w:rPr>
              <w:t>6</w:t>
            </w:r>
          </w:p>
        </w:tc>
      </w:tr>
      <w:tr w:rsidR="00614B34" w:rsidRPr="00CF6110" w14:paraId="296D4F8B" w14:textId="77777777" w:rsidTr="000815BC">
        <w:tc>
          <w:tcPr>
            <w:tcW w:w="2802" w:type="dxa"/>
            <w:gridSpan w:val="4"/>
            <w:vMerge/>
          </w:tcPr>
          <w:p w14:paraId="63C8A054" w14:textId="77777777" w:rsidR="00614B34" w:rsidRPr="00CF6110" w:rsidRDefault="00614B34" w:rsidP="000815BC">
            <w:pPr>
              <w:rPr>
                <w:lang w:val="en-GB"/>
              </w:rPr>
            </w:pPr>
          </w:p>
        </w:tc>
        <w:tc>
          <w:tcPr>
            <w:tcW w:w="614" w:type="dxa"/>
          </w:tcPr>
          <w:p w14:paraId="22BBA304" w14:textId="77777777" w:rsidR="00614B34" w:rsidRPr="00CF6110" w:rsidRDefault="00614B34" w:rsidP="000815BC">
            <w:pPr>
              <w:rPr>
                <w:lang w:val="en-GB"/>
              </w:rPr>
            </w:pPr>
            <w:r w:rsidRPr="00CF6110">
              <w:rPr>
                <w:lang w:val="en-GB"/>
              </w:rPr>
              <w:t>Ent</w:t>
            </w:r>
          </w:p>
        </w:tc>
        <w:tc>
          <w:tcPr>
            <w:tcW w:w="421" w:type="dxa"/>
          </w:tcPr>
          <w:p w14:paraId="13698488" w14:textId="77777777" w:rsidR="00614B34" w:rsidRPr="00CF6110" w:rsidRDefault="00614B34" w:rsidP="000815BC">
            <w:pPr>
              <w:rPr>
                <w:lang w:val="en-GB"/>
              </w:rPr>
            </w:pPr>
            <w:r w:rsidRPr="00CF6110">
              <w:rPr>
                <w:lang w:val="en-GB"/>
              </w:rPr>
              <w:t>Ex</w:t>
            </w:r>
          </w:p>
        </w:tc>
        <w:tc>
          <w:tcPr>
            <w:tcW w:w="516" w:type="dxa"/>
          </w:tcPr>
          <w:p w14:paraId="520E1219" w14:textId="77777777" w:rsidR="00614B34" w:rsidRPr="00CF6110" w:rsidRDefault="00614B34" w:rsidP="000815BC">
            <w:pPr>
              <w:rPr>
                <w:lang w:val="en-GB"/>
              </w:rPr>
            </w:pPr>
            <w:r w:rsidRPr="00CF6110">
              <w:rPr>
                <w:lang w:val="en-GB"/>
              </w:rPr>
              <w:t>Ent</w:t>
            </w:r>
          </w:p>
        </w:tc>
        <w:tc>
          <w:tcPr>
            <w:tcW w:w="421" w:type="dxa"/>
          </w:tcPr>
          <w:p w14:paraId="00D927DF" w14:textId="77777777" w:rsidR="00614B34" w:rsidRPr="00CF6110" w:rsidRDefault="00614B34" w:rsidP="000815BC">
            <w:pPr>
              <w:rPr>
                <w:lang w:val="en-GB"/>
              </w:rPr>
            </w:pPr>
            <w:r w:rsidRPr="00CF6110">
              <w:rPr>
                <w:lang w:val="en-GB"/>
              </w:rPr>
              <w:t>Ex</w:t>
            </w:r>
          </w:p>
        </w:tc>
        <w:tc>
          <w:tcPr>
            <w:tcW w:w="516" w:type="dxa"/>
          </w:tcPr>
          <w:p w14:paraId="25DB40DF" w14:textId="77777777" w:rsidR="00614B34" w:rsidRPr="00CF6110" w:rsidRDefault="00614B34" w:rsidP="000815BC">
            <w:pPr>
              <w:rPr>
                <w:lang w:val="en-GB"/>
              </w:rPr>
            </w:pPr>
            <w:r w:rsidRPr="00CF6110">
              <w:rPr>
                <w:lang w:val="en-GB"/>
              </w:rPr>
              <w:t>Ent</w:t>
            </w:r>
          </w:p>
        </w:tc>
        <w:tc>
          <w:tcPr>
            <w:tcW w:w="421" w:type="dxa"/>
          </w:tcPr>
          <w:p w14:paraId="675480F4" w14:textId="77777777" w:rsidR="00614B34" w:rsidRPr="00CF6110" w:rsidRDefault="00614B34" w:rsidP="000815BC">
            <w:pPr>
              <w:rPr>
                <w:lang w:val="en-GB"/>
              </w:rPr>
            </w:pPr>
            <w:r w:rsidRPr="00CF6110">
              <w:rPr>
                <w:lang w:val="en-GB"/>
              </w:rPr>
              <w:t>Ex</w:t>
            </w:r>
          </w:p>
        </w:tc>
        <w:tc>
          <w:tcPr>
            <w:tcW w:w="516" w:type="dxa"/>
          </w:tcPr>
          <w:p w14:paraId="2FE40318" w14:textId="77777777" w:rsidR="00614B34" w:rsidRPr="00CF6110" w:rsidRDefault="00614B34" w:rsidP="000815BC">
            <w:pPr>
              <w:rPr>
                <w:lang w:val="en-GB"/>
              </w:rPr>
            </w:pPr>
            <w:r w:rsidRPr="00CF6110">
              <w:rPr>
                <w:lang w:val="en-GB"/>
              </w:rPr>
              <w:t>Ent</w:t>
            </w:r>
          </w:p>
        </w:tc>
        <w:tc>
          <w:tcPr>
            <w:tcW w:w="421" w:type="dxa"/>
          </w:tcPr>
          <w:p w14:paraId="595787D5" w14:textId="77777777" w:rsidR="00614B34" w:rsidRPr="00CF6110" w:rsidRDefault="00614B34" w:rsidP="000815BC">
            <w:pPr>
              <w:rPr>
                <w:lang w:val="en-GB"/>
              </w:rPr>
            </w:pPr>
            <w:r w:rsidRPr="00CF6110">
              <w:rPr>
                <w:lang w:val="en-GB"/>
              </w:rPr>
              <w:t>Ex</w:t>
            </w:r>
          </w:p>
        </w:tc>
        <w:tc>
          <w:tcPr>
            <w:tcW w:w="516" w:type="dxa"/>
          </w:tcPr>
          <w:p w14:paraId="0E02E799" w14:textId="77777777" w:rsidR="00614B34" w:rsidRPr="00CF6110" w:rsidRDefault="00614B34" w:rsidP="000815BC">
            <w:pPr>
              <w:rPr>
                <w:lang w:val="en-GB"/>
              </w:rPr>
            </w:pPr>
            <w:r w:rsidRPr="00CF6110">
              <w:rPr>
                <w:lang w:val="en-GB"/>
              </w:rPr>
              <w:t>Ent</w:t>
            </w:r>
          </w:p>
        </w:tc>
        <w:tc>
          <w:tcPr>
            <w:tcW w:w="421" w:type="dxa"/>
          </w:tcPr>
          <w:p w14:paraId="207B9DAB" w14:textId="77777777" w:rsidR="00614B34" w:rsidRPr="00CF6110" w:rsidRDefault="00614B34" w:rsidP="000815BC">
            <w:pPr>
              <w:rPr>
                <w:lang w:val="en-GB"/>
              </w:rPr>
            </w:pPr>
            <w:r w:rsidRPr="00CF6110">
              <w:rPr>
                <w:lang w:val="en-GB"/>
              </w:rPr>
              <w:t>Ex</w:t>
            </w:r>
          </w:p>
        </w:tc>
        <w:tc>
          <w:tcPr>
            <w:tcW w:w="516" w:type="dxa"/>
          </w:tcPr>
          <w:p w14:paraId="415C6EBB" w14:textId="77777777" w:rsidR="00614B34" w:rsidRPr="00CF6110" w:rsidRDefault="00614B34" w:rsidP="000815BC">
            <w:pPr>
              <w:rPr>
                <w:lang w:val="en-GB"/>
              </w:rPr>
            </w:pPr>
            <w:r w:rsidRPr="00CF6110">
              <w:rPr>
                <w:lang w:val="en-GB"/>
              </w:rPr>
              <w:t>Ent</w:t>
            </w:r>
          </w:p>
        </w:tc>
        <w:tc>
          <w:tcPr>
            <w:tcW w:w="421" w:type="dxa"/>
          </w:tcPr>
          <w:p w14:paraId="1210CBF6" w14:textId="77777777" w:rsidR="00614B34" w:rsidRPr="00CF6110" w:rsidRDefault="00614B34" w:rsidP="000815BC">
            <w:pPr>
              <w:rPr>
                <w:lang w:val="en-GB"/>
              </w:rPr>
            </w:pPr>
            <w:r w:rsidRPr="00CF6110">
              <w:rPr>
                <w:lang w:val="en-GB"/>
              </w:rPr>
              <w:t>Ex</w:t>
            </w:r>
          </w:p>
        </w:tc>
      </w:tr>
      <w:tr w:rsidR="00614B34" w:rsidRPr="00CF6110" w14:paraId="539ECE96" w14:textId="77777777" w:rsidTr="000815BC">
        <w:tc>
          <w:tcPr>
            <w:tcW w:w="1491" w:type="dxa"/>
            <w:vMerge w:val="restart"/>
            <w:tcBorders>
              <w:right w:val="nil"/>
            </w:tcBorders>
            <w:vAlign w:val="center"/>
          </w:tcPr>
          <w:p w14:paraId="619163A8" w14:textId="77777777" w:rsidR="00614B34" w:rsidRPr="00CF6110" w:rsidRDefault="00614B34" w:rsidP="000815BC">
            <w:pPr>
              <w:rPr>
                <w:lang w:val="en-GB"/>
              </w:rPr>
            </w:pPr>
            <w:r w:rsidRPr="00CF6110">
              <w:rPr>
                <w:lang w:val="en-GB"/>
              </w:rPr>
              <w:t>1.Location of wound:</w:t>
            </w:r>
          </w:p>
        </w:tc>
        <w:tc>
          <w:tcPr>
            <w:tcW w:w="1311" w:type="dxa"/>
            <w:gridSpan w:val="3"/>
            <w:tcBorders>
              <w:left w:val="nil"/>
              <w:bottom w:val="nil"/>
            </w:tcBorders>
            <w:vAlign w:val="center"/>
          </w:tcPr>
          <w:p w14:paraId="21A90DE8" w14:textId="77777777" w:rsidR="00614B34" w:rsidRPr="00CF6110" w:rsidRDefault="00614B34" w:rsidP="000815BC">
            <w:pPr>
              <w:jc w:val="right"/>
              <w:rPr>
                <w:lang w:val="en-GB"/>
              </w:rPr>
            </w:pPr>
            <w:r w:rsidRPr="00CF6110">
              <w:rPr>
                <w:lang w:val="en-GB"/>
              </w:rPr>
              <w:t>Head</w:t>
            </w:r>
          </w:p>
        </w:tc>
        <w:tc>
          <w:tcPr>
            <w:tcW w:w="614" w:type="dxa"/>
          </w:tcPr>
          <w:p w14:paraId="6D874A01" w14:textId="77777777" w:rsidR="00614B34" w:rsidRPr="00CF6110" w:rsidRDefault="00614B34" w:rsidP="000815BC">
            <w:pPr>
              <w:rPr>
                <w:lang w:val="en-GB"/>
              </w:rPr>
            </w:pPr>
          </w:p>
        </w:tc>
        <w:tc>
          <w:tcPr>
            <w:tcW w:w="421" w:type="dxa"/>
          </w:tcPr>
          <w:p w14:paraId="7A2F0890" w14:textId="77777777" w:rsidR="00614B34" w:rsidRPr="00CF6110" w:rsidRDefault="00614B34" w:rsidP="000815BC">
            <w:pPr>
              <w:rPr>
                <w:lang w:val="en-GB"/>
              </w:rPr>
            </w:pPr>
          </w:p>
        </w:tc>
        <w:tc>
          <w:tcPr>
            <w:tcW w:w="516" w:type="dxa"/>
          </w:tcPr>
          <w:p w14:paraId="7968746B" w14:textId="77777777" w:rsidR="00614B34" w:rsidRPr="00CF6110" w:rsidRDefault="00614B34" w:rsidP="000815BC">
            <w:pPr>
              <w:rPr>
                <w:lang w:val="en-GB"/>
              </w:rPr>
            </w:pPr>
          </w:p>
        </w:tc>
        <w:tc>
          <w:tcPr>
            <w:tcW w:w="421" w:type="dxa"/>
          </w:tcPr>
          <w:p w14:paraId="374733AB" w14:textId="77777777" w:rsidR="00614B34" w:rsidRPr="00CF6110" w:rsidRDefault="00614B34" w:rsidP="000815BC">
            <w:pPr>
              <w:rPr>
                <w:lang w:val="en-GB"/>
              </w:rPr>
            </w:pPr>
          </w:p>
        </w:tc>
        <w:tc>
          <w:tcPr>
            <w:tcW w:w="516" w:type="dxa"/>
          </w:tcPr>
          <w:p w14:paraId="4195F845" w14:textId="77777777" w:rsidR="00614B34" w:rsidRPr="00CF6110" w:rsidRDefault="00614B34" w:rsidP="000815BC">
            <w:pPr>
              <w:rPr>
                <w:lang w:val="en-GB"/>
              </w:rPr>
            </w:pPr>
          </w:p>
        </w:tc>
        <w:tc>
          <w:tcPr>
            <w:tcW w:w="421" w:type="dxa"/>
          </w:tcPr>
          <w:p w14:paraId="31623E0B" w14:textId="77777777" w:rsidR="00614B34" w:rsidRPr="00CF6110" w:rsidRDefault="00614B34" w:rsidP="000815BC">
            <w:pPr>
              <w:rPr>
                <w:lang w:val="en-GB"/>
              </w:rPr>
            </w:pPr>
          </w:p>
        </w:tc>
        <w:tc>
          <w:tcPr>
            <w:tcW w:w="516" w:type="dxa"/>
          </w:tcPr>
          <w:p w14:paraId="20F2F0B5" w14:textId="77777777" w:rsidR="00614B34" w:rsidRPr="00CF6110" w:rsidRDefault="00614B34" w:rsidP="000815BC">
            <w:pPr>
              <w:rPr>
                <w:lang w:val="en-GB"/>
              </w:rPr>
            </w:pPr>
          </w:p>
        </w:tc>
        <w:tc>
          <w:tcPr>
            <w:tcW w:w="421" w:type="dxa"/>
          </w:tcPr>
          <w:p w14:paraId="230918E3" w14:textId="77777777" w:rsidR="00614B34" w:rsidRPr="00CF6110" w:rsidRDefault="00614B34" w:rsidP="000815BC">
            <w:pPr>
              <w:rPr>
                <w:lang w:val="en-GB"/>
              </w:rPr>
            </w:pPr>
          </w:p>
        </w:tc>
        <w:tc>
          <w:tcPr>
            <w:tcW w:w="516" w:type="dxa"/>
          </w:tcPr>
          <w:p w14:paraId="2F0C7ABB" w14:textId="77777777" w:rsidR="00614B34" w:rsidRPr="00CF6110" w:rsidRDefault="00614B34" w:rsidP="000815BC">
            <w:pPr>
              <w:rPr>
                <w:lang w:val="en-GB"/>
              </w:rPr>
            </w:pPr>
          </w:p>
        </w:tc>
        <w:tc>
          <w:tcPr>
            <w:tcW w:w="421" w:type="dxa"/>
          </w:tcPr>
          <w:p w14:paraId="0CCD2F9A" w14:textId="77777777" w:rsidR="00614B34" w:rsidRPr="00CF6110" w:rsidRDefault="00614B34" w:rsidP="000815BC">
            <w:pPr>
              <w:rPr>
                <w:lang w:val="en-GB"/>
              </w:rPr>
            </w:pPr>
          </w:p>
        </w:tc>
        <w:tc>
          <w:tcPr>
            <w:tcW w:w="516" w:type="dxa"/>
          </w:tcPr>
          <w:p w14:paraId="36A7EE5A" w14:textId="77777777" w:rsidR="00614B34" w:rsidRPr="00CF6110" w:rsidRDefault="00614B34" w:rsidP="000815BC">
            <w:pPr>
              <w:rPr>
                <w:lang w:val="en-GB"/>
              </w:rPr>
            </w:pPr>
          </w:p>
        </w:tc>
        <w:tc>
          <w:tcPr>
            <w:tcW w:w="421" w:type="dxa"/>
          </w:tcPr>
          <w:p w14:paraId="636FD081" w14:textId="77777777" w:rsidR="00614B34" w:rsidRPr="00CF6110" w:rsidRDefault="00614B34" w:rsidP="000815BC">
            <w:pPr>
              <w:rPr>
                <w:lang w:val="en-GB"/>
              </w:rPr>
            </w:pPr>
          </w:p>
        </w:tc>
      </w:tr>
      <w:tr w:rsidR="00614B34" w:rsidRPr="00CF6110" w14:paraId="54C247D2" w14:textId="77777777" w:rsidTr="000815BC">
        <w:tc>
          <w:tcPr>
            <w:tcW w:w="1491" w:type="dxa"/>
            <w:vMerge/>
            <w:tcBorders>
              <w:right w:val="nil"/>
            </w:tcBorders>
          </w:tcPr>
          <w:p w14:paraId="0E6835A6" w14:textId="77777777" w:rsidR="00614B34" w:rsidRPr="00CF6110" w:rsidRDefault="00614B34" w:rsidP="000815BC">
            <w:pPr>
              <w:rPr>
                <w:lang w:val="en-GB"/>
              </w:rPr>
            </w:pPr>
          </w:p>
        </w:tc>
        <w:tc>
          <w:tcPr>
            <w:tcW w:w="1311" w:type="dxa"/>
            <w:gridSpan w:val="3"/>
            <w:tcBorders>
              <w:top w:val="nil"/>
              <w:left w:val="nil"/>
              <w:bottom w:val="nil"/>
            </w:tcBorders>
            <w:vAlign w:val="center"/>
          </w:tcPr>
          <w:p w14:paraId="4EDEDD06" w14:textId="77777777" w:rsidR="00614B34" w:rsidRPr="00CF6110" w:rsidRDefault="00614B34" w:rsidP="000815BC">
            <w:pPr>
              <w:jc w:val="right"/>
              <w:rPr>
                <w:lang w:val="en-GB"/>
              </w:rPr>
            </w:pPr>
            <w:r w:rsidRPr="00CF6110">
              <w:rPr>
                <w:lang w:val="en-GB"/>
              </w:rPr>
              <w:t>Neck</w:t>
            </w:r>
          </w:p>
        </w:tc>
        <w:tc>
          <w:tcPr>
            <w:tcW w:w="614" w:type="dxa"/>
          </w:tcPr>
          <w:p w14:paraId="56D2001A" w14:textId="77777777" w:rsidR="00614B34" w:rsidRPr="00CF6110" w:rsidRDefault="00614B34" w:rsidP="000815BC">
            <w:pPr>
              <w:rPr>
                <w:lang w:val="en-GB"/>
              </w:rPr>
            </w:pPr>
          </w:p>
        </w:tc>
        <w:tc>
          <w:tcPr>
            <w:tcW w:w="421" w:type="dxa"/>
          </w:tcPr>
          <w:p w14:paraId="515AC5E1" w14:textId="77777777" w:rsidR="00614B34" w:rsidRPr="00CF6110" w:rsidRDefault="00614B34" w:rsidP="000815BC">
            <w:pPr>
              <w:rPr>
                <w:lang w:val="en-GB"/>
              </w:rPr>
            </w:pPr>
          </w:p>
        </w:tc>
        <w:tc>
          <w:tcPr>
            <w:tcW w:w="516" w:type="dxa"/>
          </w:tcPr>
          <w:p w14:paraId="226619D0" w14:textId="77777777" w:rsidR="00614B34" w:rsidRPr="00CF6110" w:rsidRDefault="00614B34" w:rsidP="000815BC">
            <w:pPr>
              <w:rPr>
                <w:lang w:val="en-GB"/>
              </w:rPr>
            </w:pPr>
          </w:p>
        </w:tc>
        <w:tc>
          <w:tcPr>
            <w:tcW w:w="421" w:type="dxa"/>
          </w:tcPr>
          <w:p w14:paraId="41F90892" w14:textId="77777777" w:rsidR="00614B34" w:rsidRPr="00CF6110" w:rsidRDefault="00614B34" w:rsidP="000815BC">
            <w:pPr>
              <w:rPr>
                <w:lang w:val="en-GB"/>
              </w:rPr>
            </w:pPr>
          </w:p>
        </w:tc>
        <w:tc>
          <w:tcPr>
            <w:tcW w:w="516" w:type="dxa"/>
          </w:tcPr>
          <w:p w14:paraId="09CA91DF" w14:textId="77777777" w:rsidR="00614B34" w:rsidRPr="00CF6110" w:rsidRDefault="00614B34" w:rsidP="000815BC">
            <w:pPr>
              <w:rPr>
                <w:lang w:val="en-GB"/>
              </w:rPr>
            </w:pPr>
          </w:p>
        </w:tc>
        <w:tc>
          <w:tcPr>
            <w:tcW w:w="421" w:type="dxa"/>
          </w:tcPr>
          <w:p w14:paraId="3B4AE0C5" w14:textId="77777777" w:rsidR="00614B34" w:rsidRPr="00CF6110" w:rsidRDefault="00614B34" w:rsidP="000815BC">
            <w:pPr>
              <w:rPr>
                <w:lang w:val="en-GB"/>
              </w:rPr>
            </w:pPr>
          </w:p>
        </w:tc>
        <w:tc>
          <w:tcPr>
            <w:tcW w:w="516" w:type="dxa"/>
          </w:tcPr>
          <w:p w14:paraId="429DA75B" w14:textId="77777777" w:rsidR="00614B34" w:rsidRPr="00CF6110" w:rsidRDefault="00614B34" w:rsidP="000815BC">
            <w:pPr>
              <w:rPr>
                <w:lang w:val="en-GB"/>
              </w:rPr>
            </w:pPr>
          </w:p>
        </w:tc>
        <w:tc>
          <w:tcPr>
            <w:tcW w:w="421" w:type="dxa"/>
          </w:tcPr>
          <w:p w14:paraId="352A13F8" w14:textId="77777777" w:rsidR="00614B34" w:rsidRPr="00CF6110" w:rsidRDefault="00614B34" w:rsidP="000815BC">
            <w:pPr>
              <w:rPr>
                <w:lang w:val="en-GB"/>
              </w:rPr>
            </w:pPr>
          </w:p>
        </w:tc>
        <w:tc>
          <w:tcPr>
            <w:tcW w:w="516" w:type="dxa"/>
          </w:tcPr>
          <w:p w14:paraId="2A4CD6A1" w14:textId="77777777" w:rsidR="00614B34" w:rsidRPr="00CF6110" w:rsidRDefault="00614B34" w:rsidP="000815BC">
            <w:pPr>
              <w:rPr>
                <w:lang w:val="en-GB"/>
              </w:rPr>
            </w:pPr>
          </w:p>
        </w:tc>
        <w:tc>
          <w:tcPr>
            <w:tcW w:w="421" w:type="dxa"/>
          </w:tcPr>
          <w:p w14:paraId="60D2A78B" w14:textId="77777777" w:rsidR="00614B34" w:rsidRPr="00CF6110" w:rsidRDefault="00614B34" w:rsidP="000815BC">
            <w:pPr>
              <w:rPr>
                <w:lang w:val="en-GB"/>
              </w:rPr>
            </w:pPr>
          </w:p>
        </w:tc>
        <w:tc>
          <w:tcPr>
            <w:tcW w:w="516" w:type="dxa"/>
          </w:tcPr>
          <w:p w14:paraId="0C725D29" w14:textId="77777777" w:rsidR="00614B34" w:rsidRPr="00CF6110" w:rsidRDefault="00614B34" w:rsidP="000815BC">
            <w:pPr>
              <w:rPr>
                <w:lang w:val="en-GB"/>
              </w:rPr>
            </w:pPr>
          </w:p>
        </w:tc>
        <w:tc>
          <w:tcPr>
            <w:tcW w:w="421" w:type="dxa"/>
          </w:tcPr>
          <w:p w14:paraId="1A6CA352" w14:textId="77777777" w:rsidR="00614B34" w:rsidRPr="00CF6110" w:rsidRDefault="00614B34" w:rsidP="000815BC">
            <w:pPr>
              <w:rPr>
                <w:lang w:val="en-GB"/>
              </w:rPr>
            </w:pPr>
          </w:p>
        </w:tc>
      </w:tr>
      <w:tr w:rsidR="00614B34" w:rsidRPr="00CF6110" w14:paraId="5787B1AB" w14:textId="77777777" w:rsidTr="000815BC">
        <w:tc>
          <w:tcPr>
            <w:tcW w:w="1491" w:type="dxa"/>
            <w:vMerge/>
            <w:tcBorders>
              <w:right w:val="nil"/>
            </w:tcBorders>
          </w:tcPr>
          <w:p w14:paraId="3C4A249F" w14:textId="77777777" w:rsidR="00614B34" w:rsidRPr="00CF6110" w:rsidRDefault="00614B34" w:rsidP="000815BC">
            <w:pPr>
              <w:rPr>
                <w:lang w:val="en-GB"/>
              </w:rPr>
            </w:pPr>
          </w:p>
        </w:tc>
        <w:tc>
          <w:tcPr>
            <w:tcW w:w="1311" w:type="dxa"/>
            <w:gridSpan w:val="3"/>
            <w:tcBorders>
              <w:top w:val="nil"/>
              <w:left w:val="nil"/>
              <w:bottom w:val="nil"/>
            </w:tcBorders>
            <w:vAlign w:val="center"/>
          </w:tcPr>
          <w:p w14:paraId="036BBFBB" w14:textId="77777777" w:rsidR="00614B34" w:rsidRPr="00CF6110" w:rsidRDefault="00614B34" w:rsidP="000815BC">
            <w:pPr>
              <w:jc w:val="right"/>
              <w:rPr>
                <w:lang w:val="en-GB"/>
              </w:rPr>
            </w:pPr>
            <w:r w:rsidRPr="00CF6110">
              <w:rPr>
                <w:lang w:val="en-GB"/>
              </w:rPr>
              <w:t>Chest</w:t>
            </w:r>
          </w:p>
        </w:tc>
        <w:tc>
          <w:tcPr>
            <w:tcW w:w="614" w:type="dxa"/>
          </w:tcPr>
          <w:p w14:paraId="57A725D9" w14:textId="77777777" w:rsidR="00614B34" w:rsidRPr="00CF6110" w:rsidRDefault="00614B34" w:rsidP="000815BC">
            <w:pPr>
              <w:rPr>
                <w:lang w:val="en-GB"/>
              </w:rPr>
            </w:pPr>
          </w:p>
        </w:tc>
        <w:tc>
          <w:tcPr>
            <w:tcW w:w="421" w:type="dxa"/>
          </w:tcPr>
          <w:p w14:paraId="4263E986" w14:textId="77777777" w:rsidR="00614B34" w:rsidRPr="00CF6110" w:rsidRDefault="00614B34" w:rsidP="000815BC">
            <w:pPr>
              <w:rPr>
                <w:lang w:val="en-GB"/>
              </w:rPr>
            </w:pPr>
          </w:p>
        </w:tc>
        <w:tc>
          <w:tcPr>
            <w:tcW w:w="516" w:type="dxa"/>
          </w:tcPr>
          <w:p w14:paraId="0E027E8B" w14:textId="77777777" w:rsidR="00614B34" w:rsidRPr="00CF6110" w:rsidRDefault="00614B34" w:rsidP="000815BC">
            <w:pPr>
              <w:rPr>
                <w:lang w:val="en-GB"/>
              </w:rPr>
            </w:pPr>
          </w:p>
        </w:tc>
        <w:tc>
          <w:tcPr>
            <w:tcW w:w="421" w:type="dxa"/>
          </w:tcPr>
          <w:p w14:paraId="10BD4B34" w14:textId="77777777" w:rsidR="00614B34" w:rsidRPr="00CF6110" w:rsidRDefault="00614B34" w:rsidP="000815BC">
            <w:pPr>
              <w:rPr>
                <w:lang w:val="en-GB"/>
              </w:rPr>
            </w:pPr>
          </w:p>
        </w:tc>
        <w:tc>
          <w:tcPr>
            <w:tcW w:w="516" w:type="dxa"/>
          </w:tcPr>
          <w:p w14:paraId="48FABFEA" w14:textId="77777777" w:rsidR="00614B34" w:rsidRPr="00CF6110" w:rsidRDefault="00614B34" w:rsidP="000815BC">
            <w:pPr>
              <w:rPr>
                <w:lang w:val="en-GB"/>
              </w:rPr>
            </w:pPr>
          </w:p>
        </w:tc>
        <w:tc>
          <w:tcPr>
            <w:tcW w:w="421" w:type="dxa"/>
          </w:tcPr>
          <w:p w14:paraId="56A14C6C" w14:textId="77777777" w:rsidR="00614B34" w:rsidRPr="00CF6110" w:rsidRDefault="00614B34" w:rsidP="000815BC">
            <w:pPr>
              <w:rPr>
                <w:lang w:val="en-GB"/>
              </w:rPr>
            </w:pPr>
          </w:p>
        </w:tc>
        <w:tc>
          <w:tcPr>
            <w:tcW w:w="516" w:type="dxa"/>
          </w:tcPr>
          <w:p w14:paraId="04FDB1F7" w14:textId="77777777" w:rsidR="00614B34" w:rsidRPr="00CF6110" w:rsidRDefault="00614B34" w:rsidP="000815BC">
            <w:pPr>
              <w:rPr>
                <w:lang w:val="en-GB"/>
              </w:rPr>
            </w:pPr>
          </w:p>
        </w:tc>
        <w:tc>
          <w:tcPr>
            <w:tcW w:w="421" w:type="dxa"/>
          </w:tcPr>
          <w:p w14:paraId="13A10555" w14:textId="77777777" w:rsidR="00614B34" w:rsidRPr="00CF6110" w:rsidRDefault="00614B34" w:rsidP="000815BC">
            <w:pPr>
              <w:rPr>
                <w:lang w:val="en-GB"/>
              </w:rPr>
            </w:pPr>
          </w:p>
        </w:tc>
        <w:tc>
          <w:tcPr>
            <w:tcW w:w="516" w:type="dxa"/>
          </w:tcPr>
          <w:p w14:paraId="235654FD" w14:textId="77777777" w:rsidR="00614B34" w:rsidRPr="00CF6110" w:rsidRDefault="00614B34" w:rsidP="000815BC">
            <w:pPr>
              <w:rPr>
                <w:lang w:val="en-GB"/>
              </w:rPr>
            </w:pPr>
          </w:p>
        </w:tc>
        <w:tc>
          <w:tcPr>
            <w:tcW w:w="421" w:type="dxa"/>
          </w:tcPr>
          <w:p w14:paraId="42072FD9" w14:textId="77777777" w:rsidR="00614B34" w:rsidRPr="00CF6110" w:rsidRDefault="00614B34" w:rsidP="000815BC">
            <w:pPr>
              <w:rPr>
                <w:lang w:val="en-GB"/>
              </w:rPr>
            </w:pPr>
          </w:p>
        </w:tc>
        <w:tc>
          <w:tcPr>
            <w:tcW w:w="516" w:type="dxa"/>
          </w:tcPr>
          <w:p w14:paraId="28C36BAE" w14:textId="77777777" w:rsidR="00614B34" w:rsidRPr="00CF6110" w:rsidRDefault="00614B34" w:rsidP="000815BC">
            <w:pPr>
              <w:rPr>
                <w:lang w:val="en-GB"/>
              </w:rPr>
            </w:pPr>
          </w:p>
        </w:tc>
        <w:tc>
          <w:tcPr>
            <w:tcW w:w="421" w:type="dxa"/>
          </w:tcPr>
          <w:p w14:paraId="6C06AF80" w14:textId="77777777" w:rsidR="00614B34" w:rsidRPr="00CF6110" w:rsidRDefault="00614B34" w:rsidP="000815BC">
            <w:pPr>
              <w:rPr>
                <w:lang w:val="en-GB"/>
              </w:rPr>
            </w:pPr>
          </w:p>
        </w:tc>
      </w:tr>
      <w:tr w:rsidR="00614B34" w:rsidRPr="00CF6110" w14:paraId="47343407" w14:textId="77777777" w:rsidTr="000815BC">
        <w:tc>
          <w:tcPr>
            <w:tcW w:w="1491" w:type="dxa"/>
            <w:vMerge/>
            <w:tcBorders>
              <w:right w:val="nil"/>
            </w:tcBorders>
          </w:tcPr>
          <w:p w14:paraId="0BB7C3D1" w14:textId="77777777" w:rsidR="00614B34" w:rsidRPr="00CF6110" w:rsidRDefault="00614B34" w:rsidP="000815BC">
            <w:pPr>
              <w:rPr>
                <w:lang w:val="en-GB"/>
              </w:rPr>
            </w:pPr>
          </w:p>
        </w:tc>
        <w:tc>
          <w:tcPr>
            <w:tcW w:w="1311" w:type="dxa"/>
            <w:gridSpan w:val="3"/>
            <w:tcBorders>
              <w:top w:val="nil"/>
              <w:left w:val="nil"/>
              <w:bottom w:val="nil"/>
            </w:tcBorders>
            <w:vAlign w:val="center"/>
          </w:tcPr>
          <w:p w14:paraId="23DFE279" w14:textId="77777777" w:rsidR="00614B34" w:rsidRPr="00CF6110" w:rsidRDefault="00614B34" w:rsidP="000815BC">
            <w:pPr>
              <w:jc w:val="right"/>
              <w:rPr>
                <w:lang w:val="en-GB"/>
              </w:rPr>
            </w:pPr>
            <w:r w:rsidRPr="00CF6110">
              <w:rPr>
                <w:lang w:val="en-GB"/>
              </w:rPr>
              <w:t>Abdomen</w:t>
            </w:r>
          </w:p>
        </w:tc>
        <w:tc>
          <w:tcPr>
            <w:tcW w:w="614" w:type="dxa"/>
          </w:tcPr>
          <w:p w14:paraId="5F00029D" w14:textId="77777777" w:rsidR="00614B34" w:rsidRPr="00CF6110" w:rsidRDefault="00614B34" w:rsidP="000815BC">
            <w:pPr>
              <w:rPr>
                <w:lang w:val="en-GB"/>
              </w:rPr>
            </w:pPr>
          </w:p>
        </w:tc>
        <w:tc>
          <w:tcPr>
            <w:tcW w:w="421" w:type="dxa"/>
          </w:tcPr>
          <w:p w14:paraId="1E7125E4" w14:textId="77777777" w:rsidR="00614B34" w:rsidRPr="00CF6110" w:rsidRDefault="00614B34" w:rsidP="000815BC">
            <w:pPr>
              <w:rPr>
                <w:lang w:val="en-GB"/>
              </w:rPr>
            </w:pPr>
          </w:p>
        </w:tc>
        <w:tc>
          <w:tcPr>
            <w:tcW w:w="516" w:type="dxa"/>
          </w:tcPr>
          <w:p w14:paraId="75C76208" w14:textId="77777777" w:rsidR="00614B34" w:rsidRPr="00CF6110" w:rsidRDefault="00614B34" w:rsidP="000815BC">
            <w:pPr>
              <w:rPr>
                <w:lang w:val="en-GB"/>
              </w:rPr>
            </w:pPr>
          </w:p>
        </w:tc>
        <w:tc>
          <w:tcPr>
            <w:tcW w:w="421" w:type="dxa"/>
          </w:tcPr>
          <w:p w14:paraId="7D08D4AC" w14:textId="77777777" w:rsidR="00614B34" w:rsidRPr="00CF6110" w:rsidRDefault="00614B34" w:rsidP="000815BC">
            <w:pPr>
              <w:rPr>
                <w:lang w:val="en-GB"/>
              </w:rPr>
            </w:pPr>
          </w:p>
        </w:tc>
        <w:tc>
          <w:tcPr>
            <w:tcW w:w="516" w:type="dxa"/>
          </w:tcPr>
          <w:p w14:paraId="56D3CFC8" w14:textId="77777777" w:rsidR="00614B34" w:rsidRPr="00CF6110" w:rsidRDefault="00614B34" w:rsidP="000815BC">
            <w:pPr>
              <w:rPr>
                <w:lang w:val="en-GB"/>
              </w:rPr>
            </w:pPr>
          </w:p>
        </w:tc>
        <w:tc>
          <w:tcPr>
            <w:tcW w:w="421" w:type="dxa"/>
          </w:tcPr>
          <w:p w14:paraId="16D70AE5" w14:textId="77777777" w:rsidR="00614B34" w:rsidRPr="00CF6110" w:rsidRDefault="00614B34" w:rsidP="000815BC">
            <w:pPr>
              <w:rPr>
                <w:lang w:val="en-GB"/>
              </w:rPr>
            </w:pPr>
          </w:p>
        </w:tc>
        <w:tc>
          <w:tcPr>
            <w:tcW w:w="516" w:type="dxa"/>
          </w:tcPr>
          <w:p w14:paraId="52C9A17F" w14:textId="77777777" w:rsidR="00614B34" w:rsidRPr="00CF6110" w:rsidRDefault="00614B34" w:rsidP="000815BC">
            <w:pPr>
              <w:rPr>
                <w:lang w:val="en-GB"/>
              </w:rPr>
            </w:pPr>
          </w:p>
        </w:tc>
        <w:tc>
          <w:tcPr>
            <w:tcW w:w="421" w:type="dxa"/>
          </w:tcPr>
          <w:p w14:paraId="1C4568B8" w14:textId="77777777" w:rsidR="00614B34" w:rsidRPr="00CF6110" w:rsidRDefault="00614B34" w:rsidP="000815BC">
            <w:pPr>
              <w:rPr>
                <w:lang w:val="en-GB"/>
              </w:rPr>
            </w:pPr>
          </w:p>
        </w:tc>
        <w:tc>
          <w:tcPr>
            <w:tcW w:w="516" w:type="dxa"/>
          </w:tcPr>
          <w:p w14:paraId="2DCF1DAE" w14:textId="77777777" w:rsidR="00614B34" w:rsidRPr="00CF6110" w:rsidRDefault="00614B34" w:rsidP="000815BC">
            <w:pPr>
              <w:rPr>
                <w:lang w:val="en-GB"/>
              </w:rPr>
            </w:pPr>
          </w:p>
        </w:tc>
        <w:tc>
          <w:tcPr>
            <w:tcW w:w="421" w:type="dxa"/>
          </w:tcPr>
          <w:p w14:paraId="7DB276F2" w14:textId="77777777" w:rsidR="00614B34" w:rsidRPr="00CF6110" w:rsidRDefault="00614B34" w:rsidP="000815BC">
            <w:pPr>
              <w:rPr>
                <w:lang w:val="en-GB"/>
              </w:rPr>
            </w:pPr>
          </w:p>
        </w:tc>
        <w:tc>
          <w:tcPr>
            <w:tcW w:w="516" w:type="dxa"/>
          </w:tcPr>
          <w:p w14:paraId="428A20D8" w14:textId="77777777" w:rsidR="00614B34" w:rsidRPr="00CF6110" w:rsidRDefault="00614B34" w:rsidP="000815BC">
            <w:pPr>
              <w:rPr>
                <w:lang w:val="en-GB"/>
              </w:rPr>
            </w:pPr>
          </w:p>
        </w:tc>
        <w:tc>
          <w:tcPr>
            <w:tcW w:w="421" w:type="dxa"/>
          </w:tcPr>
          <w:p w14:paraId="481ACCEB" w14:textId="77777777" w:rsidR="00614B34" w:rsidRPr="00CF6110" w:rsidRDefault="00614B34" w:rsidP="000815BC">
            <w:pPr>
              <w:rPr>
                <w:lang w:val="en-GB"/>
              </w:rPr>
            </w:pPr>
          </w:p>
        </w:tc>
      </w:tr>
      <w:tr w:rsidR="00614B34" w:rsidRPr="00CF6110" w14:paraId="24D18834" w14:textId="77777777" w:rsidTr="000815BC">
        <w:tc>
          <w:tcPr>
            <w:tcW w:w="1491" w:type="dxa"/>
            <w:vMerge/>
            <w:tcBorders>
              <w:right w:val="nil"/>
            </w:tcBorders>
          </w:tcPr>
          <w:p w14:paraId="38BCD685" w14:textId="77777777" w:rsidR="00614B34" w:rsidRPr="00CF6110" w:rsidRDefault="00614B34" w:rsidP="000815BC">
            <w:pPr>
              <w:rPr>
                <w:lang w:val="en-GB"/>
              </w:rPr>
            </w:pPr>
          </w:p>
        </w:tc>
        <w:tc>
          <w:tcPr>
            <w:tcW w:w="1311" w:type="dxa"/>
            <w:gridSpan w:val="3"/>
            <w:tcBorders>
              <w:top w:val="nil"/>
              <w:left w:val="nil"/>
              <w:bottom w:val="nil"/>
            </w:tcBorders>
            <w:vAlign w:val="center"/>
          </w:tcPr>
          <w:p w14:paraId="3F7E8E53" w14:textId="77777777" w:rsidR="00614B34" w:rsidRPr="00CF6110" w:rsidRDefault="00614B34" w:rsidP="000815BC">
            <w:pPr>
              <w:jc w:val="right"/>
              <w:rPr>
                <w:lang w:val="en-GB"/>
              </w:rPr>
            </w:pPr>
            <w:r w:rsidRPr="00CF6110">
              <w:rPr>
                <w:lang w:val="en-GB"/>
              </w:rPr>
              <w:t>Back</w:t>
            </w:r>
          </w:p>
        </w:tc>
        <w:tc>
          <w:tcPr>
            <w:tcW w:w="614" w:type="dxa"/>
          </w:tcPr>
          <w:p w14:paraId="7526D01B" w14:textId="77777777" w:rsidR="00614B34" w:rsidRPr="00CF6110" w:rsidRDefault="00614B34" w:rsidP="000815BC">
            <w:pPr>
              <w:rPr>
                <w:lang w:val="en-GB"/>
              </w:rPr>
            </w:pPr>
          </w:p>
        </w:tc>
        <w:tc>
          <w:tcPr>
            <w:tcW w:w="421" w:type="dxa"/>
          </w:tcPr>
          <w:p w14:paraId="6D0A805C" w14:textId="77777777" w:rsidR="00614B34" w:rsidRPr="00CF6110" w:rsidRDefault="00614B34" w:rsidP="000815BC">
            <w:pPr>
              <w:rPr>
                <w:lang w:val="en-GB"/>
              </w:rPr>
            </w:pPr>
          </w:p>
        </w:tc>
        <w:tc>
          <w:tcPr>
            <w:tcW w:w="516" w:type="dxa"/>
          </w:tcPr>
          <w:p w14:paraId="46EB40A2" w14:textId="77777777" w:rsidR="00614B34" w:rsidRPr="00CF6110" w:rsidRDefault="00614B34" w:rsidP="000815BC">
            <w:pPr>
              <w:rPr>
                <w:lang w:val="en-GB"/>
              </w:rPr>
            </w:pPr>
          </w:p>
        </w:tc>
        <w:tc>
          <w:tcPr>
            <w:tcW w:w="421" w:type="dxa"/>
          </w:tcPr>
          <w:p w14:paraId="4A1B6064" w14:textId="77777777" w:rsidR="00614B34" w:rsidRPr="00CF6110" w:rsidRDefault="00614B34" w:rsidP="000815BC">
            <w:pPr>
              <w:rPr>
                <w:lang w:val="en-GB"/>
              </w:rPr>
            </w:pPr>
          </w:p>
        </w:tc>
        <w:tc>
          <w:tcPr>
            <w:tcW w:w="516" w:type="dxa"/>
          </w:tcPr>
          <w:p w14:paraId="174DB87E" w14:textId="77777777" w:rsidR="00614B34" w:rsidRPr="00CF6110" w:rsidRDefault="00614B34" w:rsidP="000815BC">
            <w:pPr>
              <w:rPr>
                <w:lang w:val="en-GB"/>
              </w:rPr>
            </w:pPr>
          </w:p>
        </w:tc>
        <w:tc>
          <w:tcPr>
            <w:tcW w:w="421" w:type="dxa"/>
          </w:tcPr>
          <w:p w14:paraId="1BAB7D49" w14:textId="77777777" w:rsidR="00614B34" w:rsidRPr="00CF6110" w:rsidRDefault="00614B34" w:rsidP="000815BC">
            <w:pPr>
              <w:rPr>
                <w:lang w:val="en-GB"/>
              </w:rPr>
            </w:pPr>
          </w:p>
        </w:tc>
        <w:tc>
          <w:tcPr>
            <w:tcW w:w="516" w:type="dxa"/>
          </w:tcPr>
          <w:p w14:paraId="1CF22640" w14:textId="77777777" w:rsidR="00614B34" w:rsidRPr="00CF6110" w:rsidRDefault="00614B34" w:rsidP="000815BC">
            <w:pPr>
              <w:rPr>
                <w:lang w:val="en-GB"/>
              </w:rPr>
            </w:pPr>
          </w:p>
        </w:tc>
        <w:tc>
          <w:tcPr>
            <w:tcW w:w="421" w:type="dxa"/>
          </w:tcPr>
          <w:p w14:paraId="10B218BB" w14:textId="77777777" w:rsidR="00614B34" w:rsidRPr="00CF6110" w:rsidRDefault="00614B34" w:rsidP="000815BC">
            <w:pPr>
              <w:rPr>
                <w:lang w:val="en-GB"/>
              </w:rPr>
            </w:pPr>
          </w:p>
        </w:tc>
        <w:tc>
          <w:tcPr>
            <w:tcW w:w="516" w:type="dxa"/>
          </w:tcPr>
          <w:p w14:paraId="1B6B693F" w14:textId="77777777" w:rsidR="00614B34" w:rsidRPr="00CF6110" w:rsidRDefault="00614B34" w:rsidP="000815BC">
            <w:pPr>
              <w:rPr>
                <w:lang w:val="en-GB"/>
              </w:rPr>
            </w:pPr>
          </w:p>
        </w:tc>
        <w:tc>
          <w:tcPr>
            <w:tcW w:w="421" w:type="dxa"/>
          </w:tcPr>
          <w:p w14:paraId="02B148EB" w14:textId="77777777" w:rsidR="00614B34" w:rsidRPr="00CF6110" w:rsidRDefault="00614B34" w:rsidP="000815BC">
            <w:pPr>
              <w:rPr>
                <w:lang w:val="en-GB"/>
              </w:rPr>
            </w:pPr>
          </w:p>
        </w:tc>
        <w:tc>
          <w:tcPr>
            <w:tcW w:w="516" w:type="dxa"/>
          </w:tcPr>
          <w:p w14:paraId="6647073B" w14:textId="77777777" w:rsidR="00614B34" w:rsidRPr="00CF6110" w:rsidRDefault="00614B34" w:rsidP="000815BC">
            <w:pPr>
              <w:rPr>
                <w:lang w:val="en-GB"/>
              </w:rPr>
            </w:pPr>
          </w:p>
        </w:tc>
        <w:tc>
          <w:tcPr>
            <w:tcW w:w="421" w:type="dxa"/>
          </w:tcPr>
          <w:p w14:paraId="4DED548D" w14:textId="77777777" w:rsidR="00614B34" w:rsidRPr="00CF6110" w:rsidRDefault="00614B34" w:rsidP="000815BC">
            <w:pPr>
              <w:rPr>
                <w:lang w:val="en-GB"/>
              </w:rPr>
            </w:pPr>
          </w:p>
        </w:tc>
      </w:tr>
      <w:tr w:rsidR="00614B34" w:rsidRPr="00CF6110" w14:paraId="0BE38542" w14:textId="77777777" w:rsidTr="000815BC">
        <w:tc>
          <w:tcPr>
            <w:tcW w:w="1491" w:type="dxa"/>
            <w:vMerge/>
            <w:tcBorders>
              <w:right w:val="nil"/>
            </w:tcBorders>
          </w:tcPr>
          <w:p w14:paraId="15630AB6" w14:textId="77777777" w:rsidR="00614B34" w:rsidRPr="00CF6110" w:rsidRDefault="00614B34" w:rsidP="000815BC">
            <w:pPr>
              <w:rPr>
                <w:lang w:val="en-GB"/>
              </w:rPr>
            </w:pPr>
          </w:p>
        </w:tc>
        <w:tc>
          <w:tcPr>
            <w:tcW w:w="726" w:type="dxa"/>
            <w:gridSpan w:val="2"/>
            <w:vMerge w:val="restart"/>
            <w:tcBorders>
              <w:top w:val="nil"/>
              <w:left w:val="nil"/>
              <w:bottom w:val="nil"/>
              <w:right w:val="nil"/>
            </w:tcBorders>
            <w:vAlign w:val="center"/>
          </w:tcPr>
          <w:p w14:paraId="139E971A" w14:textId="77777777" w:rsidR="00614B34" w:rsidRPr="00CF6110" w:rsidRDefault="00614B34" w:rsidP="000815BC">
            <w:pPr>
              <w:jc w:val="right"/>
              <w:rPr>
                <w:lang w:val="en-GB"/>
              </w:rPr>
            </w:pPr>
            <w:r w:rsidRPr="00CF6110">
              <w:rPr>
                <w:lang w:val="en-GB"/>
              </w:rPr>
              <w:t>Arm&lt;</w:t>
            </w:r>
          </w:p>
        </w:tc>
        <w:tc>
          <w:tcPr>
            <w:tcW w:w="585" w:type="dxa"/>
            <w:tcBorders>
              <w:top w:val="nil"/>
              <w:left w:val="nil"/>
              <w:bottom w:val="nil"/>
            </w:tcBorders>
            <w:vAlign w:val="center"/>
          </w:tcPr>
          <w:p w14:paraId="46176FA6" w14:textId="77777777" w:rsidR="00614B34" w:rsidRPr="00CF6110" w:rsidRDefault="00614B34" w:rsidP="000815BC">
            <w:pPr>
              <w:jc w:val="right"/>
              <w:rPr>
                <w:lang w:val="en-GB"/>
              </w:rPr>
            </w:pPr>
            <w:r w:rsidRPr="00CF6110">
              <w:rPr>
                <w:lang w:val="en-GB"/>
              </w:rPr>
              <w:t>Right</w:t>
            </w:r>
          </w:p>
        </w:tc>
        <w:tc>
          <w:tcPr>
            <w:tcW w:w="614" w:type="dxa"/>
          </w:tcPr>
          <w:p w14:paraId="0C231DC8" w14:textId="77777777" w:rsidR="00614B34" w:rsidRPr="00CF6110" w:rsidRDefault="00614B34" w:rsidP="000815BC">
            <w:pPr>
              <w:rPr>
                <w:lang w:val="en-GB"/>
              </w:rPr>
            </w:pPr>
          </w:p>
        </w:tc>
        <w:tc>
          <w:tcPr>
            <w:tcW w:w="421" w:type="dxa"/>
          </w:tcPr>
          <w:p w14:paraId="3A3A3967" w14:textId="77777777" w:rsidR="00614B34" w:rsidRPr="00CF6110" w:rsidRDefault="00614B34" w:rsidP="000815BC">
            <w:pPr>
              <w:rPr>
                <w:lang w:val="en-GB"/>
              </w:rPr>
            </w:pPr>
          </w:p>
        </w:tc>
        <w:tc>
          <w:tcPr>
            <w:tcW w:w="516" w:type="dxa"/>
          </w:tcPr>
          <w:p w14:paraId="66B903A6" w14:textId="77777777" w:rsidR="00614B34" w:rsidRPr="00CF6110" w:rsidRDefault="00614B34" w:rsidP="000815BC">
            <w:pPr>
              <w:rPr>
                <w:lang w:val="en-GB"/>
              </w:rPr>
            </w:pPr>
          </w:p>
        </w:tc>
        <w:tc>
          <w:tcPr>
            <w:tcW w:w="421" w:type="dxa"/>
          </w:tcPr>
          <w:p w14:paraId="62CDF256" w14:textId="77777777" w:rsidR="00614B34" w:rsidRPr="00CF6110" w:rsidRDefault="00614B34" w:rsidP="000815BC">
            <w:pPr>
              <w:rPr>
                <w:lang w:val="en-GB"/>
              </w:rPr>
            </w:pPr>
          </w:p>
        </w:tc>
        <w:tc>
          <w:tcPr>
            <w:tcW w:w="516" w:type="dxa"/>
          </w:tcPr>
          <w:p w14:paraId="11D6B0D3" w14:textId="77777777" w:rsidR="00614B34" w:rsidRPr="00CF6110" w:rsidRDefault="00614B34" w:rsidP="000815BC">
            <w:pPr>
              <w:rPr>
                <w:lang w:val="en-GB"/>
              </w:rPr>
            </w:pPr>
          </w:p>
        </w:tc>
        <w:tc>
          <w:tcPr>
            <w:tcW w:w="421" w:type="dxa"/>
          </w:tcPr>
          <w:p w14:paraId="744A517C" w14:textId="77777777" w:rsidR="00614B34" w:rsidRPr="00CF6110" w:rsidRDefault="00614B34" w:rsidP="000815BC">
            <w:pPr>
              <w:rPr>
                <w:lang w:val="en-GB"/>
              </w:rPr>
            </w:pPr>
          </w:p>
        </w:tc>
        <w:tc>
          <w:tcPr>
            <w:tcW w:w="516" w:type="dxa"/>
          </w:tcPr>
          <w:p w14:paraId="62250326" w14:textId="77777777" w:rsidR="00614B34" w:rsidRPr="00CF6110" w:rsidRDefault="00614B34" w:rsidP="000815BC">
            <w:pPr>
              <w:rPr>
                <w:lang w:val="en-GB"/>
              </w:rPr>
            </w:pPr>
          </w:p>
        </w:tc>
        <w:tc>
          <w:tcPr>
            <w:tcW w:w="421" w:type="dxa"/>
          </w:tcPr>
          <w:p w14:paraId="40F6A172" w14:textId="77777777" w:rsidR="00614B34" w:rsidRPr="00CF6110" w:rsidRDefault="00614B34" w:rsidP="000815BC">
            <w:pPr>
              <w:rPr>
                <w:lang w:val="en-GB"/>
              </w:rPr>
            </w:pPr>
          </w:p>
        </w:tc>
        <w:tc>
          <w:tcPr>
            <w:tcW w:w="516" w:type="dxa"/>
          </w:tcPr>
          <w:p w14:paraId="509C67AF" w14:textId="77777777" w:rsidR="00614B34" w:rsidRPr="00CF6110" w:rsidRDefault="00614B34" w:rsidP="000815BC">
            <w:pPr>
              <w:rPr>
                <w:lang w:val="en-GB"/>
              </w:rPr>
            </w:pPr>
          </w:p>
        </w:tc>
        <w:tc>
          <w:tcPr>
            <w:tcW w:w="421" w:type="dxa"/>
          </w:tcPr>
          <w:p w14:paraId="1B42732D" w14:textId="77777777" w:rsidR="00614B34" w:rsidRPr="00CF6110" w:rsidRDefault="00614B34" w:rsidP="000815BC">
            <w:pPr>
              <w:rPr>
                <w:lang w:val="en-GB"/>
              </w:rPr>
            </w:pPr>
          </w:p>
        </w:tc>
        <w:tc>
          <w:tcPr>
            <w:tcW w:w="516" w:type="dxa"/>
          </w:tcPr>
          <w:p w14:paraId="5F494D94" w14:textId="77777777" w:rsidR="00614B34" w:rsidRPr="00CF6110" w:rsidRDefault="00614B34" w:rsidP="000815BC">
            <w:pPr>
              <w:rPr>
                <w:lang w:val="en-GB"/>
              </w:rPr>
            </w:pPr>
          </w:p>
        </w:tc>
        <w:tc>
          <w:tcPr>
            <w:tcW w:w="421" w:type="dxa"/>
          </w:tcPr>
          <w:p w14:paraId="1A320481" w14:textId="77777777" w:rsidR="00614B34" w:rsidRPr="00CF6110" w:rsidRDefault="00614B34" w:rsidP="000815BC">
            <w:pPr>
              <w:rPr>
                <w:lang w:val="en-GB"/>
              </w:rPr>
            </w:pPr>
          </w:p>
        </w:tc>
      </w:tr>
      <w:tr w:rsidR="00614B34" w:rsidRPr="00CF6110" w14:paraId="6A8BE679" w14:textId="77777777" w:rsidTr="000815BC">
        <w:tc>
          <w:tcPr>
            <w:tcW w:w="1491" w:type="dxa"/>
            <w:vMerge/>
            <w:tcBorders>
              <w:right w:val="nil"/>
            </w:tcBorders>
          </w:tcPr>
          <w:p w14:paraId="327BF7E4" w14:textId="77777777" w:rsidR="00614B34" w:rsidRPr="00CF6110" w:rsidRDefault="00614B34" w:rsidP="000815BC">
            <w:pPr>
              <w:rPr>
                <w:lang w:val="en-GB"/>
              </w:rPr>
            </w:pPr>
          </w:p>
        </w:tc>
        <w:tc>
          <w:tcPr>
            <w:tcW w:w="726" w:type="dxa"/>
            <w:gridSpan w:val="2"/>
            <w:vMerge/>
            <w:tcBorders>
              <w:top w:val="nil"/>
              <w:left w:val="nil"/>
              <w:bottom w:val="nil"/>
              <w:right w:val="nil"/>
            </w:tcBorders>
            <w:vAlign w:val="center"/>
          </w:tcPr>
          <w:p w14:paraId="58E1A12C" w14:textId="77777777" w:rsidR="00614B34" w:rsidRPr="00CF6110" w:rsidRDefault="00614B34" w:rsidP="000815BC">
            <w:pPr>
              <w:jc w:val="right"/>
              <w:rPr>
                <w:lang w:val="en-GB"/>
              </w:rPr>
            </w:pPr>
          </w:p>
        </w:tc>
        <w:tc>
          <w:tcPr>
            <w:tcW w:w="585" w:type="dxa"/>
            <w:tcBorders>
              <w:top w:val="nil"/>
              <w:left w:val="nil"/>
              <w:bottom w:val="nil"/>
            </w:tcBorders>
            <w:vAlign w:val="center"/>
          </w:tcPr>
          <w:p w14:paraId="62F0E96D" w14:textId="77777777" w:rsidR="00614B34" w:rsidRPr="00CF6110" w:rsidRDefault="00614B34" w:rsidP="000815BC">
            <w:pPr>
              <w:jc w:val="right"/>
              <w:rPr>
                <w:lang w:val="en-GB"/>
              </w:rPr>
            </w:pPr>
            <w:r w:rsidRPr="00CF6110">
              <w:rPr>
                <w:lang w:val="en-GB"/>
              </w:rPr>
              <w:t>Left</w:t>
            </w:r>
          </w:p>
        </w:tc>
        <w:tc>
          <w:tcPr>
            <w:tcW w:w="614" w:type="dxa"/>
          </w:tcPr>
          <w:p w14:paraId="4F37EFA3" w14:textId="77777777" w:rsidR="00614B34" w:rsidRPr="00CF6110" w:rsidRDefault="00614B34" w:rsidP="000815BC">
            <w:pPr>
              <w:rPr>
                <w:lang w:val="en-GB"/>
              </w:rPr>
            </w:pPr>
          </w:p>
        </w:tc>
        <w:tc>
          <w:tcPr>
            <w:tcW w:w="421" w:type="dxa"/>
          </w:tcPr>
          <w:p w14:paraId="2FF10F6A" w14:textId="77777777" w:rsidR="00614B34" w:rsidRPr="00CF6110" w:rsidRDefault="00614B34" w:rsidP="000815BC">
            <w:pPr>
              <w:rPr>
                <w:lang w:val="en-GB"/>
              </w:rPr>
            </w:pPr>
          </w:p>
        </w:tc>
        <w:tc>
          <w:tcPr>
            <w:tcW w:w="516" w:type="dxa"/>
          </w:tcPr>
          <w:p w14:paraId="4DE92F1F" w14:textId="77777777" w:rsidR="00614B34" w:rsidRPr="00CF6110" w:rsidRDefault="00614B34" w:rsidP="000815BC">
            <w:pPr>
              <w:rPr>
                <w:lang w:val="en-GB"/>
              </w:rPr>
            </w:pPr>
          </w:p>
        </w:tc>
        <w:tc>
          <w:tcPr>
            <w:tcW w:w="421" w:type="dxa"/>
          </w:tcPr>
          <w:p w14:paraId="05C19B65" w14:textId="77777777" w:rsidR="00614B34" w:rsidRPr="00CF6110" w:rsidRDefault="00614B34" w:rsidP="000815BC">
            <w:pPr>
              <w:rPr>
                <w:lang w:val="en-GB"/>
              </w:rPr>
            </w:pPr>
          </w:p>
        </w:tc>
        <w:tc>
          <w:tcPr>
            <w:tcW w:w="516" w:type="dxa"/>
          </w:tcPr>
          <w:p w14:paraId="6F733114" w14:textId="77777777" w:rsidR="00614B34" w:rsidRPr="00CF6110" w:rsidRDefault="00614B34" w:rsidP="000815BC">
            <w:pPr>
              <w:rPr>
                <w:lang w:val="en-GB"/>
              </w:rPr>
            </w:pPr>
          </w:p>
        </w:tc>
        <w:tc>
          <w:tcPr>
            <w:tcW w:w="421" w:type="dxa"/>
          </w:tcPr>
          <w:p w14:paraId="312EBFBB" w14:textId="77777777" w:rsidR="00614B34" w:rsidRPr="00CF6110" w:rsidRDefault="00614B34" w:rsidP="000815BC">
            <w:pPr>
              <w:rPr>
                <w:lang w:val="en-GB"/>
              </w:rPr>
            </w:pPr>
          </w:p>
        </w:tc>
        <w:tc>
          <w:tcPr>
            <w:tcW w:w="516" w:type="dxa"/>
          </w:tcPr>
          <w:p w14:paraId="697E3F53" w14:textId="77777777" w:rsidR="00614B34" w:rsidRPr="00CF6110" w:rsidRDefault="00614B34" w:rsidP="000815BC">
            <w:pPr>
              <w:rPr>
                <w:lang w:val="en-GB"/>
              </w:rPr>
            </w:pPr>
          </w:p>
        </w:tc>
        <w:tc>
          <w:tcPr>
            <w:tcW w:w="421" w:type="dxa"/>
          </w:tcPr>
          <w:p w14:paraId="2B503D8D" w14:textId="77777777" w:rsidR="00614B34" w:rsidRPr="00CF6110" w:rsidRDefault="00614B34" w:rsidP="000815BC">
            <w:pPr>
              <w:rPr>
                <w:lang w:val="en-GB"/>
              </w:rPr>
            </w:pPr>
          </w:p>
        </w:tc>
        <w:tc>
          <w:tcPr>
            <w:tcW w:w="516" w:type="dxa"/>
          </w:tcPr>
          <w:p w14:paraId="4056215D" w14:textId="77777777" w:rsidR="00614B34" w:rsidRPr="00CF6110" w:rsidRDefault="00614B34" w:rsidP="000815BC">
            <w:pPr>
              <w:rPr>
                <w:lang w:val="en-GB"/>
              </w:rPr>
            </w:pPr>
          </w:p>
        </w:tc>
        <w:tc>
          <w:tcPr>
            <w:tcW w:w="421" w:type="dxa"/>
          </w:tcPr>
          <w:p w14:paraId="434AD024" w14:textId="77777777" w:rsidR="00614B34" w:rsidRPr="00CF6110" w:rsidRDefault="00614B34" w:rsidP="000815BC">
            <w:pPr>
              <w:rPr>
                <w:lang w:val="en-GB"/>
              </w:rPr>
            </w:pPr>
          </w:p>
        </w:tc>
        <w:tc>
          <w:tcPr>
            <w:tcW w:w="516" w:type="dxa"/>
          </w:tcPr>
          <w:p w14:paraId="281FC960" w14:textId="77777777" w:rsidR="00614B34" w:rsidRPr="00CF6110" w:rsidRDefault="00614B34" w:rsidP="000815BC">
            <w:pPr>
              <w:rPr>
                <w:lang w:val="en-GB"/>
              </w:rPr>
            </w:pPr>
          </w:p>
        </w:tc>
        <w:tc>
          <w:tcPr>
            <w:tcW w:w="421" w:type="dxa"/>
          </w:tcPr>
          <w:p w14:paraId="667D289C" w14:textId="77777777" w:rsidR="00614B34" w:rsidRPr="00CF6110" w:rsidRDefault="00614B34" w:rsidP="000815BC">
            <w:pPr>
              <w:rPr>
                <w:lang w:val="en-GB"/>
              </w:rPr>
            </w:pPr>
          </w:p>
        </w:tc>
      </w:tr>
      <w:tr w:rsidR="00614B34" w:rsidRPr="00CF6110" w14:paraId="7CEE9E92" w14:textId="77777777" w:rsidTr="000815BC">
        <w:tc>
          <w:tcPr>
            <w:tcW w:w="1491" w:type="dxa"/>
            <w:vMerge/>
            <w:tcBorders>
              <w:right w:val="nil"/>
            </w:tcBorders>
          </w:tcPr>
          <w:p w14:paraId="1415AF30" w14:textId="77777777" w:rsidR="00614B34" w:rsidRPr="00CF6110" w:rsidRDefault="00614B34" w:rsidP="000815BC">
            <w:pPr>
              <w:rPr>
                <w:lang w:val="en-GB"/>
              </w:rPr>
            </w:pPr>
          </w:p>
        </w:tc>
        <w:tc>
          <w:tcPr>
            <w:tcW w:w="703" w:type="dxa"/>
            <w:vMerge w:val="restart"/>
            <w:tcBorders>
              <w:top w:val="nil"/>
              <w:left w:val="nil"/>
              <w:bottom w:val="nil"/>
              <w:right w:val="nil"/>
            </w:tcBorders>
            <w:vAlign w:val="center"/>
          </w:tcPr>
          <w:p w14:paraId="1EEE8840" w14:textId="77777777" w:rsidR="00614B34" w:rsidRPr="00CF6110" w:rsidRDefault="00614B34" w:rsidP="000815BC">
            <w:pPr>
              <w:jc w:val="right"/>
              <w:rPr>
                <w:lang w:val="en-GB"/>
              </w:rPr>
            </w:pPr>
            <w:r w:rsidRPr="00CF6110">
              <w:rPr>
                <w:lang w:val="en-GB"/>
              </w:rPr>
              <w:t>Leg&lt;</w:t>
            </w:r>
          </w:p>
        </w:tc>
        <w:tc>
          <w:tcPr>
            <w:tcW w:w="608" w:type="dxa"/>
            <w:gridSpan w:val="2"/>
            <w:tcBorders>
              <w:top w:val="nil"/>
              <w:left w:val="nil"/>
              <w:bottom w:val="nil"/>
            </w:tcBorders>
            <w:vAlign w:val="center"/>
          </w:tcPr>
          <w:p w14:paraId="3FEDC17D" w14:textId="77777777" w:rsidR="00614B34" w:rsidRPr="00CF6110" w:rsidRDefault="00614B34" w:rsidP="000815BC">
            <w:pPr>
              <w:jc w:val="right"/>
              <w:rPr>
                <w:lang w:val="en-GB"/>
              </w:rPr>
            </w:pPr>
            <w:r w:rsidRPr="00CF6110">
              <w:rPr>
                <w:lang w:val="en-GB"/>
              </w:rPr>
              <w:t>Right</w:t>
            </w:r>
          </w:p>
        </w:tc>
        <w:tc>
          <w:tcPr>
            <w:tcW w:w="614" w:type="dxa"/>
          </w:tcPr>
          <w:p w14:paraId="1F24A1C4" w14:textId="77777777" w:rsidR="00614B34" w:rsidRPr="00CF6110" w:rsidRDefault="00614B34" w:rsidP="000815BC">
            <w:pPr>
              <w:rPr>
                <w:lang w:val="en-GB"/>
              </w:rPr>
            </w:pPr>
          </w:p>
        </w:tc>
        <w:tc>
          <w:tcPr>
            <w:tcW w:w="421" w:type="dxa"/>
          </w:tcPr>
          <w:p w14:paraId="5B5EAF5F" w14:textId="77777777" w:rsidR="00614B34" w:rsidRPr="00CF6110" w:rsidRDefault="00614B34" w:rsidP="000815BC">
            <w:pPr>
              <w:rPr>
                <w:lang w:val="en-GB"/>
              </w:rPr>
            </w:pPr>
          </w:p>
        </w:tc>
        <w:tc>
          <w:tcPr>
            <w:tcW w:w="516" w:type="dxa"/>
          </w:tcPr>
          <w:p w14:paraId="5A7AC12D" w14:textId="77777777" w:rsidR="00614B34" w:rsidRPr="00CF6110" w:rsidRDefault="00614B34" w:rsidP="000815BC">
            <w:pPr>
              <w:rPr>
                <w:lang w:val="en-GB"/>
              </w:rPr>
            </w:pPr>
          </w:p>
        </w:tc>
        <w:tc>
          <w:tcPr>
            <w:tcW w:w="421" w:type="dxa"/>
          </w:tcPr>
          <w:p w14:paraId="3251CA3E" w14:textId="77777777" w:rsidR="00614B34" w:rsidRPr="00CF6110" w:rsidRDefault="00614B34" w:rsidP="000815BC">
            <w:pPr>
              <w:rPr>
                <w:lang w:val="en-GB"/>
              </w:rPr>
            </w:pPr>
          </w:p>
        </w:tc>
        <w:tc>
          <w:tcPr>
            <w:tcW w:w="516" w:type="dxa"/>
          </w:tcPr>
          <w:p w14:paraId="06C87FC6" w14:textId="77777777" w:rsidR="00614B34" w:rsidRPr="00CF6110" w:rsidRDefault="00614B34" w:rsidP="000815BC">
            <w:pPr>
              <w:rPr>
                <w:lang w:val="en-GB"/>
              </w:rPr>
            </w:pPr>
          </w:p>
        </w:tc>
        <w:tc>
          <w:tcPr>
            <w:tcW w:w="421" w:type="dxa"/>
          </w:tcPr>
          <w:p w14:paraId="54DA7AD6" w14:textId="77777777" w:rsidR="00614B34" w:rsidRPr="00CF6110" w:rsidRDefault="00614B34" w:rsidP="000815BC">
            <w:pPr>
              <w:rPr>
                <w:lang w:val="en-GB"/>
              </w:rPr>
            </w:pPr>
          </w:p>
        </w:tc>
        <w:tc>
          <w:tcPr>
            <w:tcW w:w="516" w:type="dxa"/>
          </w:tcPr>
          <w:p w14:paraId="5CA74E83" w14:textId="77777777" w:rsidR="00614B34" w:rsidRPr="00CF6110" w:rsidRDefault="00614B34" w:rsidP="000815BC">
            <w:pPr>
              <w:rPr>
                <w:lang w:val="en-GB"/>
              </w:rPr>
            </w:pPr>
          </w:p>
        </w:tc>
        <w:tc>
          <w:tcPr>
            <w:tcW w:w="421" w:type="dxa"/>
          </w:tcPr>
          <w:p w14:paraId="197BF193" w14:textId="77777777" w:rsidR="00614B34" w:rsidRPr="00CF6110" w:rsidRDefault="00614B34" w:rsidP="000815BC">
            <w:pPr>
              <w:rPr>
                <w:lang w:val="en-GB"/>
              </w:rPr>
            </w:pPr>
          </w:p>
        </w:tc>
        <w:tc>
          <w:tcPr>
            <w:tcW w:w="516" w:type="dxa"/>
          </w:tcPr>
          <w:p w14:paraId="42EF6327" w14:textId="77777777" w:rsidR="00614B34" w:rsidRPr="00CF6110" w:rsidRDefault="00614B34" w:rsidP="000815BC">
            <w:pPr>
              <w:rPr>
                <w:lang w:val="en-GB"/>
              </w:rPr>
            </w:pPr>
          </w:p>
        </w:tc>
        <w:tc>
          <w:tcPr>
            <w:tcW w:w="421" w:type="dxa"/>
          </w:tcPr>
          <w:p w14:paraId="74BBA555" w14:textId="77777777" w:rsidR="00614B34" w:rsidRPr="00CF6110" w:rsidRDefault="00614B34" w:rsidP="000815BC">
            <w:pPr>
              <w:rPr>
                <w:lang w:val="en-GB"/>
              </w:rPr>
            </w:pPr>
          </w:p>
        </w:tc>
        <w:tc>
          <w:tcPr>
            <w:tcW w:w="516" w:type="dxa"/>
          </w:tcPr>
          <w:p w14:paraId="5DC2A9BC" w14:textId="77777777" w:rsidR="00614B34" w:rsidRPr="00CF6110" w:rsidRDefault="00614B34" w:rsidP="000815BC">
            <w:pPr>
              <w:rPr>
                <w:lang w:val="en-GB"/>
              </w:rPr>
            </w:pPr>
          </w:p>
        </w:tc>
        <w:tc>
          <w:tcPr>
            <w:tcW w:w="421" w:type="dxa"/>
          </w:tcPr>
          <w:p w14:paraId="0FF674E1" w14:textId="77777777" w:rsidR="00614B34" w:rsidRPr="00CF6110" w:rsidRDefault="00614B34" w:rsidP="000815BC">
            <w:pPr>
              <w:rPr>
                <w:lang w:val="en-GB"/>
              </w:rPr>
            </w:pPr>
          </w:p>
        </w:tc>
      </w:tr>
      <w:tr w:rsidR="00614B34" w:rsidRPr="00CF6110" w14:paraId="5E54ECE7" w14:textId="77777777" w:rsidTr="000815BC">
        <w:tc>
          <w:tcPr>
            <w:tcW w:w="1491" w:type="dxa"/>
            <w:vMerge/>
            <w:tcBorders>
              <w:right w:val="nil"/>
            </w:tcBorders>
          </w:tcPr>
          <w:p w14:paraId="69464823" w14:textId="77777777" w:rsidR="00614B34" w:rsidRPr="00CF6110" w:rsidRDefault="00614B34" w:rsidP="000815BC">
            <w:pPr>
              <w:rPr>
                <w:lang w:val="en-GB"/>
              </w:rPr>
            </w:pPr>
          </w:p>
        </w:tc>
        <w:tc>
          <w:tcPr>
            <w:tcW w:w="703" w:type="dxa"/>
            <w:vMerge/>
            <w:tcBorders>
              <w:top w:val="nil"/>
              <w:left w:val="nil"/>
              <w:bottom w:val="single" w:sz="4" w:space="0" w:color="auto"/>
              <w:right w:val="nil"/>
            </w:tcBorders>
            <w:vAlign w:val="center"/>
          </w:tcPr>
          <w:p w14:paraId="484A65B8" w14:textId="77777777" w:rsidR="00614B34" w:rsidRPr="00CF6110" w:rsidRDefault="00614B34" w:rsidP="000815BC">
            <w:pPr>
              <w:jc w:val="right"/>
              <w:rPr>
                <w:lang w:val="en-GB"/>
              </w:rPr>
            </w:pPr>
          </w:p>
        </w:tc>
        <w:tc>
          <w:tcPr>
            <w:tcW w:w="608" w:type="dxa"/>
            <w:gridSpan w:val="2"/>
            <w:tcBorders>
              <w:top w:val="nil"/>
              <w:left w:val="nil"/>
              <w:bottom w:val="single" w:sz="4" w:space="0" w:color="auto"/>
            </w:tcBorders>
            <w:vAlign w:val="center"/>
          </w:tcPr>
          <w:p w14:paraId="692D191C" w14:textId="77777777" w:rsidR="00614B34" w:rsidRPr="00CF6110" w:rsidRDefault="00614B34" w:rsidP="000815BC">
            <w:pPr>
              <w:jc w:val="right"/>
              <w:rPr>
                <w:lang w:val="en-GB"/>
              </w:rPr>
            </w:pPr>
            <w:r w:rsidRPr="00CF6110">
              <w:rPr>
                <w:lang w:val="en-GB"/>
              </w:rPr>
              <w:t>Left</w:t>
            </w:r>
          </w:p>
        </w:tc>
        <w:tc>
          <w:tcPr>
            <w:tcW w:w="614" w:type="dxa"/>
          </w:tcPr>
          <w:p w14:paraId="02293C24" w14:textId="77777777" w:rsidR="00614B34" w:rsidRPr="00CF6110" w:rsidRDefault="00614B34" w:rsidP="000815BC">
            <w:pPr>
              <w:rPr>
                <w:lang w:val="en-GB"/>
              </w:rPr>
            </w:pPr>
          </w:p>
        </w:tc>
        <w:tc>
          <w:tcPr>
            <w:tcW w:w="421" w:type="dxa"/>
          </w:tcPr>
          <w:p w14:paraId="02F4D2F3" w14:textId="77777777" w:rsidR="00614B34" w:rsidRPr="00CF6110" w:rsidRDefault="00614B34" w:rsidP="000815BC">
            <w:pPr>
              <w:rPr>
                <w:lang w:val="en-GB"/>
              </w:rPr>
            </w:pPr>
          </w:p>
        </w:tc>
        <w:tc>
          <w:tcPr>
            <w:tcW w:w="516" w:type="dxa"/>
          </w:tcPr>
          <w:p w14:paraId="054D6BA8" w14:textId="77777777" w:rsidR="00614B34" w:rsidRPr="00CF6110" w:rsidRDefault="00614B34" w:rsidP="000815BC">
            <w:pPr>
              <w:rPr>
                <w:lang w:val="en-GB"/>
              </w:rPr>
            </w:pPr>
          </w:p>
        </w:tc>
        <w:tc>
          <w:tcPr>
            <w:tcW w:w="421" w:type="dxa"/>
          </w:tcPr>
          <w:p w14:paraId="0627B910" w14:textId="77777777" w:rsidR="00614B34" w:rsidRPr="00CF6110" w:rsidRDefault="00614B34" w:rsidP="000815BC">
            <w:pPr>
              <w:rPr>
                <w:lang w:val="en-GB"/>
              </w:rPr>
            </w:pPr>
          </w:p>
        </w:tc>
        <w:tc>
          <w:tcPr>
            <w:tcW w:w="516" w:type="dxa"/>
          </w:tcPr>
          <w:p w14:paraId="3CF34D07" w14:textId="77777777" w:rsidR="00614B34" w:rsidRPr="00CF6110" w:rsidRDefault="00614B34" w:rsidP="000815BC">
            <w:pPr>
              <w:rPr>
                <w:lang w:val="en-GB"/>
              </w:rPr>
            </w:pPr>
          </w:p>
        </w:tc>
        <w:tc>
          <w:tcPr>
            <w:tcW w:w="421" w:type="dxa"/>
          </w:tcPr>
          <w:p w14:paraId="5CDEEABA" w14:textId="77777777" w:rsidR="00614B34" w:rsidRPr="00CF6110" w:rsidRDefault="00614B34" w:rsidP="000815BC">
            <w:pPr>
              <w:rPr>
                <w:lang w:val="en-GB"/>
              </w:rPr>
            </w:pPr>
          </w:p>
        </w:tc>
        <w:tc>
          <w:tcPr>
            <w:tcW w:w="516" w:type="dxa"/>
          </w:tcPr>
          <w:p w14:paraId="6EDFD2B6" w14:textId="77777777" w:rsidR="00614B34" w:rsidRPr="00CF6110" w:rsidRDefault="00614B34" w:rsidP="000815BC">
            <w:pPr>
              <w:rPr>
                <w:lang w:val="en-GB"/>
              </w:rPr>
            </w:pPr>
          </w:p>
        </w:tc>
        <w:tc>
          <w:tcPr>
            <w:tcW w:w="421" w:type="dxa"/>
          </w:tcPr>
          <w:p w14:paraId="1BA37499" w14:textId="77777777" w:rsidR="00614B34" w:rsidRPr="00CF6110" w:rsidRDefault="00614B34" w:rsidP="000815BC">
            <w:pPr>
              <w:rPr>
                <w:lang w:val="en-GB"/>
              </w:rPr>
            </w:pPr>
          </w:p>
        </w:tc>
        <w:tc>
          <w:tcPr>
            <w:tcW w:w="516" w:type="dxa"/>
          </w:tcPr>
          <w:p w14:paraId="68BCDB62" w14:textId="77777777" w:rsidR="00614B34" w:rsidRPr="00CF6110" w:rsidRDefault="00614B34" w:rsidP="000815BC">
            <w:pPr>
              <w:rPr>
                <w:lang w:val="en-GB"/>
              </w:rPr>
            </w:pPr>
          </w:p>
        </w:tc>
        <w:tc>
          <w:tcPr>
            <w:tcW w:w="421" w:type="dxa"/>
          </w:tcPr>
          <w:p w14:paraId="30393B95" w14:textId="77777777" w:rsidR="00614B34" w:rsidRPr="00CF6110" w:rsidRDefault="00614B34" w:rsidP="000815BC">
            <w:pPr>
              <w:rPr>
                <w:lang w:val="en-GB"/>
              </w:rPr>
            </w:pPr>
          </w:p>
        </w:tc>
        <w:tc>
          <w:tcPr>
            <w:tcW w:w="516" w:type="dxa"/>
          </w:tcPr>
          <w:p w14:paraId="1EAF9C12" w14:textId="77777777" w:rsidR="00614B34" w:rsidRPr="00CF6110" w:rsidRDefault="00614B34" w:rsidP="000815BC">
            <w:pPr>
              <w:rPr>
                <w:lang w:val="en-GB"/>
              </w:rPr>
            </w:pPr>
          </w:p>
        </w:tc>
        <w:tc>
          <w:tcPr>
            <w:tcW w:w="421" w:type="dxa"/>
          </w:tcPr>
          <w:p w14:paraId="52032951" w14:textId="77777777" w:rsidR="00614B34" w:rsidRPr="00CF6110" w:rsidRDefault="00614B34" w:rsidP="000815BC">
            <w:pPr>
              <w:rPr>
                <w:lang w:val="en-GB"/>
              </w:rPr>
            </w:pPr>
          </w:p>
        </w:tc>
      </w:tr>
      <w:tr w:rsidR="00614B34" w:rsidRPr="00CF6110" w14:paraId="5954EC6B" w14:textId="77777777" w:rsidTr="000815BC">
        <w:tc>
          <w:tcPr>
            <w:tcW w:w="1491" w:type="dxa"/>
            <w:vMerge w:val="restart"/>
            <w:tcBorders>
              <w:right w:val="nil"/>
            </w:tcBorders>
            <w:vAlign w:val="center"/>
          </w:tcPr>
          <w:p w14:paraId="7B114A02" w14:textId="77777777" w:rsidR="00614B34" w:rsidRPr="00CF6110" w:rsidRDefault="00614B34" w:rsidP="000815BC">
            <w:pPr>
              <w:rPr>
                <w:lang w:val="en-GB"/>
              </w:rPr>
            </w:pPr>
            <w:r w:rsidRPr="00CF6110">
              <w:rPr>
                <w:lang w:val="en-GB"/>
              </w:rPr>
              <w:t>2.Size of wound:</w:t>
            </w:r>
          </w:p>
        </w:tc>
        <w:tc>
          <w:tcPr>
            <w:tcW w:w="1311" w:type="dxa"/>
            <w:gridSpan w:val="3"/>
            <w:tcBorders>
              <w:left w:val="nil"/>
              <w:bottom w:val="nil"/>
            </w:tcBorders>
            <w:vAlign w:val="center"/>
          </w:tcPr>
          <w:p w14:paraId="615124BD" w14:textId="77777777" w:rsidR="00614B34" w:rsidRPr="00CF6110" w:rsidRDefault="00614B34" w:rsidP="000815BC">
            <w:pPr>
              <w:jc w:val="right"/>
              <w:rPr>
                <w:lang w:val="en-GB"/>
              </w:rPr>
            </w:pPr>
            <w:r w:rsidRPr="00CF6110">
              <w:rPr>
                <w:lang w:val="en-GB"/>
              </w:rPr>
              <w:t>Diam.</w:t>
            </w:r>
          </w:p>
        </w:tc>
        <w:tc>
          <w:tcPr>
            <w:tcW w:w="614" w:type="dxa"/>
          </w:tcPr>
          <w:p w14:paraId="00FB43CD" w14:textId="77777777" w:rsidR="00614B34" w:rsidRPr="00CF6110" w:rsidRDefault="00614B34" w:rsidP="000815BC">
            <w:pPr>
              <w:rPr>
                <w:lang w:val="en-GB"/>
              </w:rPr>
            </w:pPr>
          </w:p>
        </w:tc>
        <w:tc>
          <w:tcPr>
            <w:tcW w:w="421" w:type="dxa"/>
          </w:tcPr>
          <w:p w14:paraId="4264BA7B" w14:textId="77777777" w:rsidR="00614B34" w:rsidRPr="00CF6110" w:rsidRDefault="00614B34" w:rsidP="000815BC">
            <w:pPr>
              <w:rPr>
                <w:lang w:val="en-GB"/>
              </w:rPr>
            </w:pPr>
          </w:p>
        </w:tc>
        <w:tc>
          <w:tcPr>
            <w:tcW w:w="516" w:type="dxa"/>
          </w:tcPr>
          <w:p w14:paraId="2D52E491" w14:textId="77777777" w:rsidR="00614B34" w:rsidRPr="00CF6110" w:rsidRDefault="00614B34" w:rsidP="000815BC">
            <w:pPr>
              <w:rPr>
                <w:lang w:val="en-GB"/>
              </w:rPr>
            </w:pPr>
          </w:p>
        </w:tc>
        <w:tc>
          <w:tcPr>
            <w:tcW w:w="421" w:type="dxa"/>
          </w:tcPr>
          <w:p w14:paraId="6017527C" w14:textId="77777777" w:rsidR="00614B34" w:rsidRPr="00CF6110" w:rsidRDefault="00614B34" w:rsidP="000815BC">
            <w:pPr>
              <w:rPr>
                <w:lang w:val="en-GB"/>
              </w:rPr>
            </w:pPr>
          </w:p>
        </w:tc>
        <w:tc>
          <w:tcPr>
            <w:tcW w:w="516" w:type="dxa"/>
          </w:tcPr>
          <w:p w14:paraId="79C447A5" w14:textId="77777777" w:rsidR="00614B34" w:rsidRPr="00CF6110" w:rsidRDefault="00614B34" w:rsidP="000815BC">
            <w:pPr>
              <w:rPr>
                <w:lang w:val="en-GB"/>
              </w:rPr>
            </w:pPr>
          </w:p>
        </w:tc>
        <w:tc>
          <w:tcPr>
            <w:tcW w:w="421" w:type="dxa"/>
          </w:tcPr>
          <w:p w14:paraId="79FD74A8" w14:textId="77777777" w:rsidR="00614B34" w:rsidRPr="00CF6110" w:rsidRDefault="00614B34" w:rsidP="000815BC">
            <w:pPr>
              <w:rPr>
                <w:lang w:val="en-GB"/>
              </w:rPr>
            </w:pPr>
          </w:p>
        </w:tc>
        <w:tc>
          <w:tcPr>
            <w:tcW w:w="516" w:type="dxa"/>
          </w:tcPr>
          <w:p w14:paraId="0B714AA5" w14:textId="77777777" w:rsidR="00614B34" w:rsidRPr="00CF6110" w:rsidRDefault="00614B34" w:rsidP="000815BC">
            <w:pPr>
              <w:rPr>
                <w:lang w:val="en-GB"/>
              </w:rPr>
            </w:pPr>
          </w:p>
        </w:tc>
        <w:tc>
          <w:tcPr>
            <w:tcW w:w="421" w:type="dxa"/>
          </w:tcPr>
          <w:p w14:paraId="144947ED" w14:textId="77777777" w:rsidR="00614B34" w:rsidRPr="00CF6110" w:rsidRDefault="00614B34" w:rsidP="000815BC">
            <w:pPr>
              <w:rPr>
                <w:lang w:val="en-GB"/>
              </w:rPr>
            </w:pPr>
          </w:p>
        </w:tc>
        <w:tc>
          <w:tcPr>
            <w:tcW w:w="516" w:type="dxa"/>
          </w:tcPr>
          <w:p w14:paraId="5A591A79" w14:textId="77777777" w:rsidR="00614B34" w:rsidRPr="00CF6110" w:rsidRDefault="00614B34" w:rsidP="000815BC">
            <w:pPr>
              <w:rPr>
                <w:lang w:val="en-GB"/>
              </w:rPr>
            </w:pPr>
          </w:p>
        </w:tc>
        <w:tc>
          <w:tcPr>
            <w:tcW w:w="421" w:type="dxa"/>
          </w:tcPr>
          <w:p w14:paraId="275989D2" w14:textId="77777777" w:rsidR="00614B34" w:rsidRPr="00CF6110" w:rsidRDefault="00614B34" w:rsidP="000815BC">
            <w:pPr>
              <w:rPr>
                <w:lang w:val="en-GB"/>
              </w:rPr>
            </w:pPr>
          </w:p>
        </w:tc>
        <w:tc>
          <w:tcPr>
            <w:tcW w:w="516" w:type="dxa"/>
          </w:tcPr>
          <w:p w14:paraId="31090C6A" w14:textId="77777777" w:rsidR="00614B34" w:rsidRPr="00CF6110" w:rsidRDefault="00614B34" w:rsidP="000815BC">
            <w:pPr>
              <w:rPr>
                <w:lang w:val="en-GB"/>
              </w:rPr>
            </w:pPr>
          </w:p>
        </w:tc>
        <w:tc>
          <w:tcPr>
            <w:tcW w:w="421" w:type="dxa"/>
          </w:tcPr>
          <w:p w14:paraId="432E1127" w14:textId="77777777" w:rsidR="00614B34" w:rsidRPr="00CF6110" w:rsidRDefault="00614B34" w:rsidP="000815BC">
            <w:pPr>
              <w:rPr>
                <w:lang w:val="en-GB"/>
              </w:rPr>
            </w:pPr>
          </w:p>
        </w:tc>
      </w:tr>
      <w:tr w:rsidR="00614B34" w:rsidRPr="00CF6110" w14:paraId="7D2B8D99" w14:textId="77777777" w:rsidTr="000815BC">
        <w:tc>
          <w:tcPr>
            <w:tcW w:w="1491" w:type="dxa"/>
            <w:vMerge/>
            <w:tcBorders>
              <w:right w:val="nil"/>
            </w:tcBorders>
          </w:tcPr>
          <w:p w14:paraId="29FEAA40" w14:textId="77777777" w:rsidR="00614B34" w:rsidRPr="00CF6110" w:rsidRDefault="00614B34" w:rsidP="000815BC">
            <w:pPr>
              <w:rPr>
                <w:lang w:val="en-GB"/>
              </w:rPr>
            </w:pPr>
          </w:p>
        </w:tc>
        <w:tc>
          <w:tcPr>
            <w:tcW w:w="1311" w:type="dxa"/>
            <w:gridSpan w:val="3"/>
            <w:tcBorders>
              <w:top w:val="nil"/>
              <w:left w:val="nil"/>
              <w:bottom w:val="nil"/>
            </w:tcBorders>
            <w:vAlign w:val="center"/>
          </w:tcPr>
          <w:p w14:paraId="29D629E0" w14:textId="77777777" w:rsidR="00614B34" w:rsidRPr="00CF6110" w:rsidRDefault="00614B34" w:rsidP="000815BC">
            <w:pPr>
              <w:jc w:val="right"/>
              <w:rPr>
                <w:lang w:val="en-GB"/>
              </w:rPr>
            </w:pPr>
            <w:r w:rsidRPr="00CF6110">
              <w:rPr>
                <w:lang w:val="en-GB"/>
              </w:rPr>
              <w:t>Width</w:t>
            </w:r>
          </w:p>
        </w:tc>
        <w:tc>
          <w:tcPr>
            <w:tcW w:w="614" w:type="dxa"/>
          </w:tcPr>
          <w:p w14:paraId="18113AF0" w14:textId="77777777" w:rsidR="00614B34" w:rsidRPr="00CF6110" w:rsidRDefault="00614B34" w:rsidP="000815BC">
            <w:pPr>
              <w:rPr>
                <w:lang w:val="en-GB"/>
              </w:rPr>
            </w:pPr>
          </w:p>
        </w:tc>
        <w:tc>
          <w:tcPr>
            <w:tcW w:w="421" w:type="dxa"/>
          </w:tcPr>
          <w:p w14:paraId="680EC461" w14:textId="77777777" w:rsidR="00614B34" w:rsidRPr="00CF6110" w:rsidRDefault="00614B34" w:rsidP="000815BC">
            <w:pPr>
              <w:rPr>
                <w:lang w:val="en-GB"/>
              </w:rPr>
            </w:pPr>
          </w:p>
        </w:tc>
        <w:tc>
          <w:tcPr>
            <w:tcW w:w="516" w:type="dxa"/>
          </w:tcPr>
          <w:p w14:paraId="1990AA1D" w14:textId="77777777" w:rsidR="00614B34" w:rsidRPr="00CF6110" w:rsidRDefault="00614B34" w:rsidP="000815BC">
            <w:pPr>
              <w:rPr>
                <w:lang w:val="en-GB"/>
              </w:rPr>
            </w:pPr>
          </w:p>
        </w:tc>
        <w:tc>
          <w:tcPr>
            <w:tcW w:w="421" w:type="dxa"/>
          </w:tcPr>
          <w:p w14:paraId="5DDACB16" w14:textId="77777777" w:rsidR="00614B34" w:rsidRPr="00CF6110" w:rsidRDefault="00614B34" w:rsidP="000815BC">
            <w:pPr>
              <w:rPr>
                <w:lang w:val="en-GB"/>
              </w:rPr>
            </w:pPr>
          </w:p>
        </w:tc>
        <w:tc>
          <w:tcPr>
            <w:tcW w:w="516" w:type="dxa"/>
          </w:tcPr>
          <w:p w14:paraId="2DADFFCF" w14:textId="77777777" w:rsidR="00614B34" w:rsidRPr="00CF6110" w:rsidRDefault="00614B34" w:rsidP="000815BC">
            <w:pPr>
              <w:rPr>
                <w:lang w:val="en-GB"/>
              </w:rPr>
            </w:pPr>
          </w:p>
        </w:tc>
        <w:tc>
          <w:tcPr>
            <w:tcW w:w="421" w:type="dxa"/>
          </w:tcPr>
          <w:p w14:paraId="073B627F" w14:textId="77777777" w:rsidR="00614B34" w:rsidRPr="00CF6110" w:rsidRDefault="00614B34" w:rsidP="000815BC">
            <w:pPr>
              <w:rPr>
                <w:lang w:val="en-GB"/>
              </w:rPr>
            </w:pPr>
          </w:p>
        </w:tc>
        <w:tc>
          <w:tcPr>
            <w:tcW w:w="516" w:type="dxa"/>
          </w:tcPr>
          <w:p w14:paraId="0C3E61C1" w14:textId="77777777" w:rsidR="00614B34" w:rsidRPr="00CF6110" w:rsidRDefault="00614B34" w:rsidP="000815BC">
            <w:pPr>
              <w:rPr>
                <w:lang w:val="en-GB"/>
              </w:rPr>
            </w:pPr>
          </w:p>
        </w:tc>
        <w:tc>
          <w:tcPr>
            <w:tcW w:w="421" w:type="dxa"/>
          </w:tcPr>
          <w:p w14:paraId="5038E4C1" w14:textId="77777777" w:rsidR="00614B34" w:rsidRPr="00CF6110" w:rsidRDefault="00614B34" w:rsidP="000815BC">
            <w:pPr>
              <w:rPr>
                <w:lang w:val="en-GB"/>
              </w:rPr>
            </w:pPr>
          </w:p>
        </w:tc>
        <w:tc>
          <w:tcPr>
            <w:tcW w:w="516" w:type="dxa"/>
          </w:tcPr>
          <w:p w14:paraId="31ACB06F" w14:textId="77777777" w:rsidR="00614B34" w:rsidRPr="00CF6110" w:rsidRDefault="00614B34" w:rsidP="000815BC">
            <w:pPr>
              <w:rPr>
                <w:lang w:val="en-GB"/>
              </w:rPr>
            </w:pPr>
          </w:p>
        </w:tc>
        <w:tc>
          <w:tcPr>
            <w:tcW w:w="421" w:type="dxa"/>
          </w:tcPr>
          <w:p w14:paraId="48F95084" w14:textId="77777777" w:rsidR="00614B34" w:rsidRPr="00CF6110" w:rsidRDefault="00614B34" w:rsidP="000815BC">
            <w:pPr>
              <w:rPr>
                <w:lang w:val="en-GB"/>
              </w:rPr>
            </w:pPr>
          </w:p>
        </w:tc>
        <w:tc>
          <w:tcPr>
            <w:tcW w:w="516" w:type="dxa"/>
          </w:tcPr>
          <w:p w14:paraId="1F92A8A7" w14:textId="77777777" w:rsidR="00614B34" w:rsidRPr="00CF6110" w:rsidRDefault="00614B34" w:rsidP="000815BC">
            <w:pPr>
              <w:rPr>
                <w:lang w:val="en-GB"/>
              </w:rPr>
            </w:pPr>
          </w:p>
        </w:tc>
        <w:tc>
          <w:tcPr>
            <w:tcW w:w="421" w:type="dxa"/>
          </w:tcPr>
          <w:p w14:paraId="585CDA32" w14:textId="77777777" w:rsidR="00614B34" w:rsidRPr="00CF6110" w:rsidRDefault="00614B34" w:rsidP="000815BC">
            <w:pPr>
              <w:rPr>
                <w:lang w:val="en-GB"/>
              </w:rPr>
            </w:pPr>
          </w:p>
        </w:tc>
      </w:tr>
      <w:tr w:rsidR="00614B34" w:rsidRPr="00CF6110" w14:paraId="13B2A88F" w14:textId="77777777" w:rsidTr="000815BC">
        <w:tc>
          <w:tcPr>
            <w:tcW w:w="1491" w:type="dxa"/>
            <w:vMerge/>
            <w:tcBorders>
              <w:right w:val="nil"/>
            </w:tcBorders>
          </w:tcPr>
          <w:p w14:paraId="0AE413D5" w14:textId="77777777" w:rsidR="00614B34" w:rsidRPr="00CF6110" w:rsidRDefault="00614B34" w:rsidP="000815BC">
            <w:pPr>
              <w:rPr>
                <w:lang w:val="en-GB"/>
              </w:rPr>
            </w:pPr>
          </w:p>
        </w:tc>
        <w:tc>
          <w:tcPr>
            <w:tcW w:w="1311" w:type="dxa"/>
            <w:gridSpan w:val="3"/>
            <w:tcBorders>
              <w:top w:val="nil"/>
              <w:left w:val="nil"/>
              <w:bottom w:val="single" w:sz="4" w:space="0" w:color="auto"/>
            </w:tcBorders>
            <w:vAlign w:val="center"/>
          </w:tcPr>
          <w:p w14:paraId="6AD97F8F" w14:textId="77777777" w:rsidR="00614B34" w:rsidRPr="00CF6110" w:rsidRDefault="00614B34" w:rsidP="000815BC">
            <w:pPr>
              <w:jc w:val="right"/>
              <w:rPr>
                <w:lang w:val="en-GB"/>
              </w:rPr>
            </w:pPr>
            <w:r w:rsidRPr="00CF6110">
              <w:rPr>
                <w:lang w:val="en-GB"/>
              </w:rPr>
              <w:t>Length</w:t>
            </w:r>
          </w:p>
        </w:tc>
        <w:tc>
          <w:tcPr>
            <w:tcW w:w="614" w:type="dxa"/>
          </w:tcPr>
          <w:p w14:paraId="34FF7F18" w14:textId="77777777" w:rsidR="00614B34" w:rsidRPr="00CF6110" w:rsidRDefault="00614B34" w:rsidP="000815BC">
            <w:pPr>
              <w:rPr>
                <w:lang w:val="en-GB"/>
              </w:rPr>
            </w:pPr>
          </w:p>
        </w:tc>
        <w:tc>
          <w:tcPr>
            <w:tcW w:w="421" w:type="dxa"/>
          </w:tcPr>
          <w:p w14:paraId="48BB9628" w14:textId="77777777" w:rsidR="00614B34" w:rsidRPr="00CF6110" w:rsidRDefault="00614B34" w:rsidP="000815BC">
            <w:pPr>
              <w:rPr>
                <w:lang w:val="en-GB"/>
              </w:rPr>
            </w:pPr>
          </w:p>
        </w:tc>
        <w:tc>
          <w:tcPr>
            <w:tcW w:w="516" w:type="dxa"/>
          </w:tcPr>
          <w:p w14:paraId="5F7C5F96" w14:textId="77777777" w:rsidR="00614B34" w:rsidRPr="00CF6110" w:rsidRDefault="00614B34" w:rsidP="000815BC">
            <w:pPr>
              <w:rPr>
                <w:lang w:val="en-GB"/>
              </w:rPr>
            </w:pPr>
          </w:p>
        </w:tc>
        <w:tc>
          <w:tcPr>
            <w:tcW w:w="421" w:type="dxa"/>
          </w:tcPr>
          <w:p w14:paraId="416BDC47" w14:textId="77777777" w:rsidR="00614B34" w:rsidRPr="00CF6110" w:rsidRDefault="00614B34" w:rsidP="000815BC">
            <w:pPr>
              <w:rPr>
                <w:lang w:val="en-GB"/>
              </w:rPr>
            </w:pPr>
          </w:p>
        </w:tc>
        <w:tc>
          <w:tcPr>
            <w:tcW w:w="516" w:type="dxa"/>
          </w:tcPr>
          <w:p w14:paraId="61EE6103" w14:textId="77777777" w:rsidR="00614B34" w:rsidRPr="00CF6110" w:rsidRDefault="00614B34" w:rsidP="000815BC">
            <w:pPr>
              <w:rPr>
                <w:lang w:val="en-GB"/>
              </w:rPr>
            </w:pPr>
          </w:p>
        </w:tc>
        <w:tc>
          <w:tcPr>
            <w:tcW w:w="421" w:type="dxa"/>
          </w:tcPr>
          <w:p w14:paraId="110CAC66" w14:textId="77777777" w:rsidR="00614B34" w:rsidRPr="00CF6110" w:rsidRDefault="00614B34" w:rsidP="000815BC">
            <w:pPr>
              <w:rPr>
                <w:lang w:val="en-GB"/>
              </w:rPr>
            </w:pPr>
          </w:p>
        </w:tc>
        <w:tc>
          <w:tcPr>
            <w:tcW w:w="516" w:type="dxa"/>
          </w:tcPr>
          <w:p w14:paraId="2E3E85A5" w14:textId="77777777" w:rsidR="00614B34" w:rsidRPr="00CF6110" w:rsidRDefault="00614B34" w:rsidP="000815BC">
            <w:pPr>
              <w:rPr>
                <w:lang w:val="en-GB"/>
              </w:rPr>
            </w:pPr>
          </w:p>
        </w:tc>
        <w:tc>
          <w:tcPr>
            <w:tcW w:w="421" w:type="dxa"/>
          </w:tcPr>
          <w:p w14:paraId="2F99D473" w14:textId="77777777" w:rsidR="00614B34" w:rsidRPr="00CF6110" w:rsidRDefault="00614B34" w:rsidP="000815BC">
            <w:pPr>
              <w:rPr>
                <w:lang w:val="en-GB"/>
              </w:rPr>
            </w:pPr>
          </w:p>
        </w:tc>
        <w:tc>
          <w:tcPr>
            <w:tcW w:w="516" w:type="dxa"/>
          </w:tcPr>
          <w:p w14:paraId="3B77FA86" w14:textId="77777777" w:rsidR="00614B34" w:rsidRPr="00CF6110" w:rsidRDefault="00614B34" w:rsidP="000815BC">
            <w:pPr>
              <w:rPr>
                <w:lang w:val="en-GB"/>
              </w:rPr>
            </w:pPr>
          </w:p>
        </w:tc>
        <w:tc>
          <w:tcPr>
            <w:tcW w:w="421" w:type="dxa"/>
          </w:tcPr>
          <w:p w14:paraId="04D2A9BF" w14:textId="77777777" w:rsidR="00614B34" w:rsidRPr="00CF6110" w:rsidRDefault="00614B34" w:rsidP="000815BC">
            <w:pPr>
              <w:rPr>
                <w:lang w:val="en-GB"/>
              </w:rPr>
            </w:pPr>
          </w:p>
        </w:tc>
        <w:tc>
          <w:tcPr>
            <w:tcW w:w="516" w:type="dxa"/>
          </w:tcPr>
          <w:p w14:paraId="20C6A74E" w14:textId="77777777" w:rsidR="00614B34" w:rsidRPr="00CF6110" w:rsidRDefault="00614B34" w:rsidP="000815BC">
            <w:pPr>
              <w:rPr>
                <w:lang w:val="en-GB"/>
              </w:rPr>
            </w:pPr>
          </w:p>
        </w:tc>
        <w:tc>
          <w:tcPr>
            <w:tcW w:w="421" w:type="dxa"/>
          </w:tcPr>
          <w:p w14:paraId="000D278B" w14:textId="77777777" w:rsidR="00614B34" w:rsidRPr="00CF6110" w:rsidRDefault="00614B34" w:rsidP="000815BC">
            <w:pPr>
              <w:rPr>
                <w:lang w:val="en-GB"/>
              </w:rPr>
            </w:pPr>
          </w:p>
        </w:tc>
      </w:tr>
      <w:tr w:rsidR="00614B34" w:rsidRPr="00CF6110" w14:paraId="6F19165A" w14:textId="77777777" w:rsidTr="000815BC">
        <w:tc>
          <w:tcPr>
            <w:tcW w:w="1491" w:type="dxa"/>
            <w:vMerge w:val="restart"/>
            <w:tcBorders>
              <w:right w:val="nil"/>
            </w:tcBorders>
            <w:vAlign w:val="center"/>
          </w:tcPr>
          <w:p w14:paraId="47F93E1B" w14:textId="77777777" w:rsidR="00614B34" w:rsidRPr="00CF6110" w:rsidRDefault="00614B34" w:rsidP="000815BC">
            <w:pPr>
              <w:rPr>
                <w:lang w:val="en-GB"/>
              </w:rPr>
            </w:pPr>
            <w:r w:rsidRPr="00CF6110">
              <w:rPr>
                <w:lang w:val="en-GB"/>
              </w:rPr>
              <w:t>3.Centimetres from wound to:</w:t>
            </w:r>
          </w:p>
        </w:tc>
        <w:tc>
          <w:tcPr>
            <w:tcW w:w="1311" w:type="dxa"/>
            <w:gridSpan w:val="3"/>
            <w:tcBorders>
              <w:left w:val="nil"/>
              <w:bottom w:val="nil"/>
            </w:tcBorders>
            <w:vAlign w:val="center"/>
          </w:tcPr>
          <w:p w14:paraId="3FD0763B" w14:textId="77777777" w:rsidR="00614B34" w:rsidRPr="00CF6110" w:rsidRDefault="00614B34" w:rsidP="000815BC">
            <w:pPr>
              <w:jc w:val="right"/>
              <w:rPr>
                <w:lang w:val="en-GB"/>
              </w:rPr>
            </w:pPr>
            <w:r w:rsidRPr="00CF6110">
              <w:rPr>
                <w:lang w:val="en-GB"/>
              </w:rPr>
              <w:t>Top of head</w:t>
            </w:r>
          </w:p>
        </w:tc>
        <w:tc>
          <w:tcPr>
            <w:tcW w:w="614" w:type="dxa"/>
          </w:tcPr>
          <w:p w14:paraId="3B5496B1" w14:textId="77777777" w:rsidR="00614B34" w:rsidRPr="00CF6110" w:rsidRDefault="00614B34" w:rsidP="000815BC">
            <w:pPr>
              <w:rPr>
                <w:lang w:val="en-GB"/>
              </w:rPr>
            </w:pPr>
          </w:p>
        </w:tc>
        <w:tc>
          <w:tcPr>
            <w:tcW w:w="421" w:type="dxa"/>
          </w:tcPr>
          <w:p w14:paraId="3725D54D" w14:textId="77777777" w:rsidR="00614B34" w:rsidRPr="00CF6110" w:rsidRDefault="00614B34" w:rsidP="000815BC">
            <w:pPr>
              <w:rPr>
                <w:lang w:val="en-GB"/>
              </w:rPr>
            </w:pPr>
          </w:p>
        </w:tc>
        <w:tc>
          <w:tcPr>
            <w:tcW w:w="516" w:type="dxa"/>
          </w:tcPr>
          <w:p w14:paraId="4174AC03" w14:textId="77777777" w:rsidR="00614B34" w:rsidRPr="00CF6110" w:rsidRDefault="00614B34" w:rsidP="000815BC">
            <w:pPr>
              <w:rPr>
                <w:lang w:val="en-GB"/>
              </w:rPr>
            </w:pPr>
          </w:p>
        </w:tc>
        <w:tc>
          <w:tcPr>
            <w:tcW w:w="421" w:type="dxa"/>
          </w:tcPr>
          <w:p w14:paraId="33F7BC0B" w14:textId="77777777" w:rsidR="00614B34" w:rsidRPr="00CF6110" w:rsidRDefault="00614B34" w:rsidP="000815BC">
            <w:pPr>
              <w:rPr>
                <w:lang w:val="en-GB"/>
              </w:rPr>
            </w:pPr>
          </w:p>
        </w:tc>
        <w:tc>
          <w:tcPr>
            <w:tcW w:w="516" w:type="dxa"/>
          </w:tcPr>
          <w:p w14:paraId="41F5BA61" w14:textId="77777777" w:rsidR="00614B34" w:rsidRPr="00CF6110" w:rsidRDefault="00614B34" w:rsidP="000815BC">
            <w:pPr>
              <w:rPr>
                <w:lang w:val="en-GB"/>
              </w:rPr>
            </w:pPr>
          </w:p>
        </w:tc>
        <w:tc>
          <w:tcPr>
            <w:tcW w:w="421" w:type="dxa"/>
          </w:tcPr>
          <w:p w14:paraId="0AFBE08D" w14:textId="77777777" w:rsidR="00614B34" w:rsidRPr="00CF6110" w:rsidRDefault="00614B34" w:rsidP="000815BC">
            <w:pPr>
              <w:rPr>
                <w:lang w:val="en-GB"/>
              </w:rPr>
            </w:pPr>
          </w:p>
        </w:tc>
        <w:tc>
          <w:tcPr>
            <w:tcW w:w="516" w:type="dxa"/>
          </w:tcPr>
          <w:p w14:paraId="7BE2355F" w14:textId="77777777" w:rsidR="00614B34" w:rsidRPr="00CF6110" w:rsidRDefault="00614B34" w:rsidP="000815BC">
            <w:pPr>
              <w:rPr>
                <w:lang w:val="en-GB"/>
              </w:rPr>
            </w:pPr>
          </w:p>
        </w:tc>
        <w:tc>
          <w:tcPr>
            <w:tcW w:w="421" w:type="dxa"/>
          </w:tcPr>
          <w:p w14:paraId="30266789" w14:textId="77777777" w:rsidR="00614B34" w:rsidRPr="00CF6110" w:rsidRDefault="00614B34" w:rsidP="000815BC">
            <w:pPr>
              <w:rPr>
                <w:lang w:val="en-GB"/>
              </w:rPr>
            </w:pPr>
          </w:p>
        </w:tc>
        <w:tc>
          <w:tcPr>
            <w:tcW w:w="516" w:type="dxa"/>
          </w:tcPr>
          <w:p w14:paraId="4C5ECD82" w14:textId="77777777" w:rsidR="00614B34" w:rsidRPr="00CF6110" w:rsidRDefault="00614B34" w:rsidP="000815BC">
            <w:pPr>
              <w:rPr>
                <w:lang w:val="en-GB"/>
              </w:rPr>
            </w:pPr>
          </w:p>
        </w:tc>
        <w:tc>
          <w:tcPr>
            <w:tcW w:w="421" w:type="dxa"/>
          </w:tcPr>
          <w:p w14:paraId="6BFECCCA" w14:textId="77777777" w:rsidR="00614B34" w:rsidRPr="00CF6110" w:rsidRDefault="00614B34" w:rsidP="000815BC">
            <w:pPr>
              <w:rPr>
                <w:lang w:val="en-GB"/>
              </w:rPr>
            </w:pPr>
          </w:p>
        </w:tc>
        <w:tc>
          <w:tcPr>
            <w:tcW w:w="516" w:type="dxa"/>
          </w:tcPr>
          <w:p w14:paraId="2903560C" w14:textId="77777777" w:rsidR="00614B34" w:rsidRPr="00CF6110" w:rsidRDefault="00614B34" w:rsidP="000815BC">
            <w:pPr>
              <w:rPr>
                <w:lang w:val="en-GB"/>
              </w:rPr>
            </w:pPr>
          </w:p>
        </w:tc>
        <w:tc>
          <w:tcPr>
            <w:tcW w:w="421" w:type="dxa"/>
          </w:tcPr>
          <w:p w14:paraId="0008DD29" w14:textId="77777777" w:rsidR="00614B34" w:rsidRPr="00CF6110" w:rsidRDefault="00614B34" w:rsidP="000815BC">
            <w:pPr>
              <w:rPr>
                <w:lang w:val="en-GB"/>
              </w:rPr>
            </w:pPr>
          </w:p>
        </w:tc>
      </w:tr>
      <w:tr w:rsidR="00614B34" w:rsidRPr="00CF6110" w14:paraId="30A6295D" w14:textId="77777777" w:rsidTr="000815BC">
        <w:tc>
          <w:tcPr>
            <w:tcW w:w="1491" w:type="dxa"/>
            <w:vMerge/>
            <w:tcBorders>
              <w:right w:val="nil"/>
            </w:tcBorders>
          </w:tcPr>
          <w:p w14:paraId="307B7E32" w14:textId="77777777" w:rsidR="00614B34" w:rsidRPr="00CF6110" w:rsidRDefault="00614B34" w:rsidP="000815BC">
            <w:pPr>
              <w:rPr>
                <w:lang w:val="en-GB"/>
              </w:rPr>
            </w:pPr>
          </w:p>
        </w:tc>
        <w:tc>
          <w:tcPr>
            <w:tcW w:w="1311" w:type="dxa"/>
            <w:gridSpan w:val="3"/>
            <w:tcBorders>
              <w:top w:val="nil"/>
              <w:left w:val="nil"/>
              <w:bottom w:val="nil"/>
            </w:tcBorders>
            <w:vAlign w:val="center"/>
          </w:tcPr>
          <w:p w14:paraId="0CA52340" w14:textId="77777777" w:rsidR="00614B34" w:rsidRPr="00CF6110" w:rsidRDefault="00614B34" w:rsidP="000815BC">
            <w:pPr>
              <w:jc w:val="right"/>
              <w:rPr>
                <w:lang w:val="en-GB"/>
              </w:rPr>
            </w:pPr>
            <w:r w:rsidRPr="00CF6110">
              <w:rPr>
                <w:lang w:val="en-GB"/>
              </w:rPr>
              <w:t>Right of midline</w:t>
            </w:r>
          </w:p>
        </w:tc>
        <w:tc>
          <w:tcPr>
            <w:tcW w:w="614" w:type="dxa"/>
          </w:tcPr>
          <w:p w14:paraId="364614FC" w14:textId="77777777" w:rsidR="00614B34" w:rsidRPr="00CF6110" w:rsidRDefault="00614B34" w:rsidP="000815BC">
            <w:pPr>
              <w:rPr>
                <w:lang w:val="en-GB"/>
              </w:rPr>
            </w:pPr>
          </w:p>
        </w:tc>
        <w:tc>
          <w:tcPr>
            <w:tcW w:w="421" w:type="dxa"/>
          </w:tcPr>
          <w:p w14:paraId="399FCD02" w14:textId="77777777" w:rsidR="00614B34" w:rsidRPr="00CF6110" w:rsidRDefault="00614B34" w:rsidP="000815BC">
            <w:pPr>
              <w:rPr>
                <w:lang w:val="en-GB"/>
              </w:rPr>
            </w:pPr>
          </w:p>
        </w:tc>
        <w:tc>
          <w:tcPr>
            <w:tcW w:w="516" w:type="dxa"/>
          </w:tcPr>
          <w:p w14:paraId="428887D0" w14:textId="77777777" w:rsidR="00614B34" w:rsidRPr="00CF6110" w:rsidRDefault="00614B34" w:rsidP="000815BC">
            <w:pPr>
              <w:rPr>
                <w:lang w:val="en-GB"/>
              </w:rPr>
            </w:pPr>
          </w:p>
        </w:tc>
        <w:tc>
          <w:tcPr>
            <w:tcW w:w="421" w:type="dxa"/>
          </w:tcPr>
          <w:p w14:paraId="0ACF1859" w14:textId="77777777" w:rsidR="00614B34" w:rsidRPr="00CF6110" w:rsidRDefault="00614B34" w:rsidP="000815BC">
            <w:pPr>
              <w:rPr>
                <w:lang w:val="en-GB"/>
              </w:rPr>
            </w:pPr>
          </w:p>
        </w:tc>
        <w:tc>
          <w:tcPr>
            <w:tcW w:w="516" w:type="dxa"/>
          </w:tcPr>
          <w:p w14:paraId="45E5C362" w14:textId="77777777" w:rsidR="00614B34" w:rsidRPr="00CF6110" w:rsidRDefault="00614B34" w:rsidP="000815BC">
            <w:pPr>
              <w:rPr>
                <w:lang w:val="en-GB"/>
              </w:rPr>
            </w:pPr>
          </w:p>
        </w:tc>
        <w:tc>
          <w:tcPr>
            <w:tcW w:w="421" w:type="dxa"/>
          </w:tcPr>
          <w:p w14:paraId="1A855128" w14:textId="77777777" w:rsidR="00614B34" w:rsidRPr="00CF6110" w:rsidRDefault="00614B34" w:rsidP="000815BC">
            <w:pPr>
              <w:rPr>
                <w:lang w:val="en-GB"/>
              </w:rPr>
            </w:pPr>
          </w:p>
        </w:tc>
        <w:tc>
          <w:tcPr>
            <w:tcW w:w="516" w:type="dxa"/>
          </w:tcPr>
          <w:p w14:paraId="07873B1C" w14:textId="77777777" w:rsidR="00614B34" w:rsidRPr="00CF6110" w:rsidRDefault="00614B34" w:rsidP="000815BC">
            <w:pPr>
              <w:rPr>
                <w:lang w:val="en-GB"/>
              </w:rPr>
            </w:pPr>
          </w:p>
        </w:tc>
        <w:tc>
          <w:tcPr>
            <w:tcW w:w="421" w:type="dxa"/>
          </w:tcPr>
          <w:p w14:paraId="69F350E6" w14:textId="77777777" w:rsidR="00614B34" w:rsidRPr="00CF6110" w:rsidRDefault="00614B34" w:rsidP="000815BC">
            <w:pPr>
              <w:rPr>
                <w:lang w:val="en-GB"/>
              </w:rPr>
            </w:pPr>
          </w:p>
        </w:tc>
        <w:tc>
          <w:tcPr>
            <w:tcW w:w="516" w:type="dxa"/>
          </w:tcPr>
          <w:p w14:paraId="36737C72" w14:textId="77777777" w:rsidR="00614B34" w:rsidRPr="00CF6110" w:rsidRDefault="00614B34" w:rsidP="000815BC">
            <w:pPr>
              <w:rPr>
                <w:lang w:val="en-GB"/>
              </w:rPr>
            </w:pPr>
          </w:p>
        </w:tc>
        <w:tc>
          <w:tcPr>
            <w:tcW w:w="421" w:type="dxa"/>
          </w:tcPr>
          <w:p w14:paraId="0779E2AE" w14:textId="77777777" w:rsidR="00614B34" w:rsidRPr="00CF6110" w:rsidRDefault="00614B34" w:rsidP="000815BC">
            <w:pPr>
              <w:rPr>
                <w:lang w:val="en-GB"/>
              </w:rPr>
            </w:pPr>
          </w:p>
        </w:tc>
        <w:tc>
          <w:tcPr>
            <w:tcW w:w="516" w:type="dxa"/>
          </w:tcPr>
          <w:p w14:paraId="69F9E8B4" w14:textId="77777777" w:rsidR="00614B34" w:rsidRPr="00CF6110" w:rsidRDefault="00614B34" w:rsidP="000815BC">
            <w:pPr>
              <w:rPr>
                <w:lang w:val="en-GB"/>
              </w:rPr>
            </w:pPr>
          </w:p>
        </w:tc>
        <w:tc>
          <w:tcPr>
            <w:tcW w:w="421" w:type="dxa"/>
          </w:tcPr>
          <w:p w14:paraId="336123C6" w14:textId="77777777" w:rsidR="00614B34" w:rsidRPr="00CF6110" w:rsidRDefault="00614B34" w:rsidP="000815BC">
            <w:pPr>
              <w:rPr>
                <w:lang w:val="en-GB"/>
              </w:rPr>
            </w:pPr>
          </w:p>
        </w:tc>
      </w:tr>
      <w:tr w:rsidR="00614B34" w:rsidRPr="00CF6110" w14:paraId="305D7F0D" w14:textId="77777777" w:rsidTr="000815BC">
        <w:tc>
          <w:tcPr>
            <w:tcW w:w="1491" w:type="dxa"/>
            <w:vMerge/>
            <w:tcBorders>
              <w:right w:val="nil"/>
            </w:tcBorders>
          </w:tcPr>
          <w:p w14:paraId="718DA4BB" w14:textId="77777777" w:rsidR="00614B34" w:rsidRPr="00CF6110" w:rsidRDefault="00614B34" w:rsidP="000815BC">
            <w:pPr>
              <w:rPr>
                <w:lang w:val="en-GB"/>
              </w:rPr>
            </w:pPr>
          </w:p>
        </w:tc>
        <w:tc>
          <w:tcPr>
            <w:tcW w:w="1311" w:type="dxa"/>
            <w:gridSpan w:val="3"/>
            <w:tcBorders>
              <w:top w:val="nil"/>
              <w:left w:val="nil"/>
              <w:bottom w:val="single" w:sz="4" w:space="0" w:color="auto"/>
            </w:tcBorders>
            <w:vAlign w:val="center"/>
          </w:tcPr>
          <w:p w14:paraId="61F592DE" w14:textId="77777777" w:rsidR="00614B34" w:rsidRPr="00CF6110" w:rsidRDefault="00614B34" w:rsidP="000815BC">
            <w:pPr>
              <w:jc w:val="right"/>
              <w:rPr>
                <w:lang w:val="en-GB"/>
              </w:rPr>
            </w:pPr>
            <w:r w:rsidRPr="00CF6110">
              <w:rPr>
                <w:lang w:val="en-GB"/>
              </w:rPr>
              <w:t>Left of midline</w:t>
            </w:r>
          </w:p>
        </w:tc>
        <w:tc>
          <w:tcPr>
            <w:tcW w:w="614" w:type="dxa"/>
          </w:tcPr>
          <w:p w14:paraId="25102F15" w14:textId="77777777" w:rsidR="00614B34" w:rsidRPr="00CF6110" w:rsidRDefault="00614B34" w:rsidP="000815BC">
            <w:pPr>
              <w:rPr>
                <w:lang w:val="en-GB"/>
              </w:rPr>
            </w:pPr>
          </w:p>
        </w:tc>
        <w:tc>
          <w:tcPr>
            <w:tcW w:w="421" w:type="dxa"/>
          </w:tcPr>
          <w:p w14:paraId="78EB09B3" w14:textId="77777777" w:rsidR="00614B34" w:rsidRPr="00CF6110" w:rsidRDefault="00614B34" w:rsidP="000815BC">
            <w:pPr>
              <w:rPr>
                <w:lang w:val="en-GB"/>
              </w:rPr>
            </w:pPr>
          </w:p>
        </w:tc>
        <w:tc>
          <w:tcPr>
            <w:tcW w:w="516" w:type="dxa"/>
          </w:tcPr>
          <w:p w14:paraId="6BE00665" w14:textId="77777777" w:rsidR="00614B34" w:rsidRPr="00CF6110" w:rsidRDefault="00614B34" w:rsidP="000815BC">
            <w:pPr>
              <w:rPr>
                <w:lang w:val="en-GB"/>
              </w:rPr>
            </w:pPr>
          </w:p>
        </w:tc>
        <w:tc>
          <w:tcPr>
            <w:tcW w:w="421" w:type="dxa"/>
          </w:tcPr>
          <w:p w14:paraId="0C623FF7" w14:textId="77777777" w:rsidR="00614B34" w:rsidRPr="00CF6110" w:rsidRDefault="00614B34" w:rsidP="000815BC">
            <w:pPr>
              <w:rPr>
                <w:lang w:val="en-GB"/>
              </w:rPr>
            </w:pPr>
          </w:p>
        </w:tc>
        <w:tc>
          <w:tcPr>
            <w:tcW w:w="516" w:type="dxa"/>
          </w:tcPr>
          <w:p w14:paraId="303C902B" w14:textId="77777777" w:rsidR="00614B34" w:rsidRPr="00CF6110" w:rsidRDefault="00614B34" w:rsidP="000815BC">
            <w:pPr>
              <w:rPr>
                <w:lang w:val="en-GB"/>
              </w:rPr>
            </w:pPr>
          </w:p>
        </w:tc>
        <w:tc>
          <w:tcPr>
            <w:tcW w:w="421" w:type="dxa"/>
          </w:tcPr>
          <w:p w14:paraId="1E738642" w14:textId="77777777" w:rsidR="00614B34" w:rsidRPr="00CF6110" w:rsidRDefault="00614B34" w:rsidP="000815BC">
            <w:pPr>
              <w:rPr>
                <w:lang w:val="en-GB"/>
              </w:rPr>
            </w:pPr>
          </w:p>
        </w:tc>
        <w:tc>
          <w:tcPr>
            <w:tcW w:w="516" w:type="dxa"/>
          </w:tcPr>
          <w:p w14:paraId="50F25423" w14:textId="77777777" w:rsidR="00614B34" w:rsidRPr="00CF6110" w:rsidRDefault="00614B34" w:rsidP="000815BC">
            <w:pPr>
              <w:rPr>
                <w:lang w:val="en-GB"/>
              </w:rPr>
            </w:pPr>
          </w:p>
        </w:tc>
        <w:tc>
          <w:tcPr>
            <w:tcW w:w="421" w:type="dxa"/>
          </w:tcPr>
          <w:p w14:paraId="7B92AB76" w14:textId="77777777" w:rsidR="00614B34" w:rsidRPr="00CF6110" w:rsidRDefault="00614B34" w:rsidP="000815BC">
            <w:pPr>
              <w:rPr>
                <w:lang w:val="en-GB"/>
              </w:rPr>
            </w:pPr>
          </w:p>
        </w:tc>
        <w:tc>
          <w:tcPr>
            <w:tcW w:w="516" w:type="dxa"/>
          </w:tcPr>
          <w:p w14:paraId="44C8CB86" w14:textId="77777777" w:rsidR="00614B34" w:rsidRPr="00CF6110" w:rsidRDefault="00614B34" w:rsidP="000815BC">
            <w:pPr>
              <w:rPr>
                <w:lang w:val="en-GB"/>
              </w:rPr>
            </w:pPr>
          </w:p>
        </w:tc>
        <w:tc>
          <w:tcPr>
            <w:tcW w:w="421" w:type="dxa"/>
          </w:tcPr>
          <w:p w14:paraId="66349EAE" w14:textId="77777777" w:rsidR="00614B34" w:rsidRPr="00CF6110" w:rsidRDefault="00614B34" w:rsidP="000815BC">
            <w:pPr>
              <w:rPr>
                <w:lang w:val="en-GB"/>
              </w:rPr>
            </w:pPr>
          </w:p>
        </w:tc>
        <w:tc>
          <w:tcPr>
            <w:tcW w:w="516" w:type="dxa"/>
          </w:tcPr>
          <w:p w14:paraId="0BB87299" w14:textId="77777777" w:rsidR="00614B34" w:rsidRPr="00CF6110" w:rsidRDefault="00614B34" w:rsidP="000815BC">
            <w:pPr>
              <w:rPr>
                <w:lang w:val="en-GB"/>
              </w:rPr>
            </w:pPr>
          </w:p>
        </w:tc>
        <w:tc>
          <w:tcPr>
            <w:tcW w:w="421" w:type="dxa"/>
          </w:tcPr>
          <w:p w14:paraId="3E1114F3" w14:textId="77777777" w:rsidR="00614B34" w:rsidRPr="00CF6110" w:rsidRDefault="00614B34" w:rsidP="000815BC">
            <w:pPr>
              <w:rPr>
                <w:lang w:val="en-GB"/>
              </w:rPr>
            </w:pPr>
          </w:p>
        </w:tc>
      </w:tr>
      <w:tr w:rsidR="00614B34" w:rsidRPr="00CF6110" w14:paraId="3B228E2A" w14:textId="77777777" w:rsidTr="000815BC">
        <w:tc>
          <w:tcPr>
            <w:tcW w:w="1491" w:type="dxa"/>
            <w:vMerge w:val="restart"/>
            <w:tcBorders>
              <w:right w:val="nil"/>
            </w:tcBorders>
            <w:vAlign w:val="center"/>
          </w:tcPr>
          <w:p w14:paraId="0DDFE839" w14:textId="77777777" w:rsidR="00614B34" w:rsidRPr="00CF6110" w:rsidRDefault="00614B34" w:rsidP="000815BC">
            <w:pPr>
              <w:rPr>
                <w:lang w:val="en-GB"/>
              </w:rPr>
            </w:pPr>
            <w:r w:rsidRPr="00CF6110">
              <w:rPr>
                <w:lang w:val="en-GB"/>
              </w:rPr>
              <w:t>4. Firearm residue:</w:t>
            </w:r>
          </w:p>
        </w:tc>
        <w:tc>
          <w:tcPr>
            <w:tcW w:w="1311" w:type="dxa"/>
            <w:gridSpan w:val="3"/>
            <w:tcBorders>
              <w:left w:val="nil"/>
              <w:bottom w:val="nil"/>
            </w:tcBorders>
            <w:vAlign w:val="center"/>
          </w:tcPr>
          <w:p w14:paraId="61DC85A8" w14:textId="77777777" w:rsidR="00614B34" w:rsidRPr="00CF6110" w:rsidRDefault="00614B34" w:rsidP="000815BC">
            <w:pPr>
              <w:jc w:val="right"/>
              <w:rPr>
                <w:lang w:val="en-GB"/>
              </w:rPr>
            </w:pPr>
            <w:r w:rsidRPr="00CF6110">
              <w:rPr>
                <w:lang w:val="en-GB"/>
              </w:rPr>
              <w:t>On skin</w:t>
            </w:r>
          </w:p>
        </w:tc>
        <w:tc>
          <w:tcPr>
            <w:tcW w:w="614" w:type="dxa"/>
          </w:tcPr>
          <w:p w14:paraId="64006BA6" w14:textId="77777777" w:rsidR="00614B34" w:rsidRPr="00CF6110" w:rsidRDefault="00614B34" w:rsidP="000815BC">
            <w:pPr>
              <w:rPr>
                <w:lang w:val="en-GB"/>
              </w:rPr>
            </w:pPr>
          </w:p>
        </w:tc>
        <w:tc>
          <w:tcPr>
            <w:tcW w:w="421" w:type="dxa"/>
          </w:tcPr>
          <w:p w14:paraId="7F2EB58A" w14:textId="77777777" w:rsidR="00614B34" w:rsidRPr="00CF6110" w:rsidRDefault="00614B34" w:rsidP="000815BC">
            <w:pPr>
              <w:rPr>
                <w:lang w:val="en-GB"/>
              </w:rPr>
            </w:pPr>
          </w:p>
        </w:tc>
        <w:tc>
          <w:tcPr>
            <w:tcW w:w="516" w:type="dxa"/>
          </w:tcPr>
          <w:p w14:paraId="3DF76119" w14:textId="77777777" w:rsidR="00614B34" w:rsidRPr="00CF6110" w:rsidRDefault="00614B34" w:rsidP="000815BC">
            <w:pPr>
              <w:rPr>
                <w:lang w:val="en-GB"/>
              </w:rPr>
            </w:pPr>
          </w:p>
        </w:tc>
        <w:tc>
          <w:tcPr>
            <w:tcW w:w="421" w:type="dxa"/>
          </w:tcPr>
          <w:p w14:paraId="5654E08F" w14:textId="77777777" w:rsidR="00614B34" w:rsidRPr="00CF6110" w:rsidRDefault="00614B34" w:rsidP="000815BC">
            <w:pPr>
              <w:rPr>
                <w:lang w:val="en-GB"/>
              </w:rPr>
            </w:pPr>
          </w:p>
        </w:tc>
        <w:tc>
          <w:tcPr>
            <w:tcW w:w="516" w:type="dxa"/>
          </w:tcPr>
          <w:p w14:paraId="1137BE0C" w14:textId="77777777" w:rsidR="00614B34" w:rsidRPr="00CF6110" w:rsidRDefault="00614B34" w:rsidP="000815BC">
            <w:pPr>
              <w:rPr>
                <w:lang w:val="en-GB"/>
              </w:rPr>
            </w:pPr>
          </w:p>
        </w:tc>
        <w:tc>
          <w:tcPr>
            <w:tcW w:w="421" w:type="dxa"/>
          </w:tcPr>
          <w:p w14:paraId="22827BA6" w14:textId="77777777" w:rsidR="00614B34" w:rsidRPr="00CF6110" w:rsidRDefault="00614B34" w:rsidP="000815BC">
            <w:pPr>
              <w:rPr>
                <w:lang w:val="en-GB"/>
              </w:rPr>
            </w:pPr>
          </w:p>
        </w:tc>
        <w:tc>
          <w:tcPr>
            <w:tcW w:w="516" w:type="dxa"/>
          </w:tcPr>
          <w:p w14:paraId="02CE4602" w14:textId="77777777" w:rsidR="00614B34" w:rsidRPr="00CF6110" w:rsidRDefault="00614B34" w:rsidP="000815BC">
            <w:pPr>
              <w:rPr>
                <w:lang w:val="en-GB"/>
              </w:rPr>
            </w:pPr>
          </w:p>
        </w:tc>
        <w:tc>
          <w:tcPr>
            <w:tcW w:w="421" w:type="dxa"/>
          </w:tcPr>
          <w:p w14:paraId="3E605EC4" w14:textId="77777777" w:rsidR="00614B34" w:rsidRPr="00CF6110" w:rsidRDefault="00614B34" w:rsidP="000815BC">
            <w:pPr>
              <w:rPr>
                <w:lang w:val="en-GB"/>
              </w:rPr>
            </w:pPr>
          </w:p>
        </w:tc>
        <w:tc>
          <w:tcPr>
            <w:tcW w:w="516" w:type="dxa"/>
          </w:tcPr>
          <w:p w14:paraId="12206D36" w14:textId="77777777" w:rsidR="00614B34" w:rsidRPr="00CF6110" w:rsidRDefault="00614B34" w:rsidP="000815BC">
            <w:pPr>
              <w:rPr>
                <w:lang w:val="en-GB"/>
              </w:rPr>
            </w:pPr>
          </w:p>
        </w:tc>
        <w:tc>
          <w:tcPr>
            <w:tcW w:w="421" w:type="dxa"/>
          </w:tcPr>
          <w:p w14:paraId="010A593C" w14:textId="77777777" w:rsidR="00614B34" w:rsidRPr="00CF6110" w:rsidRDefault="00614B34" w:rsidP="000815BC">
            <w:pPr>
              <w:rPr>
                <w:lang w:val="en-GB"/>
              </w:rPr>
            </w:pPr>
          </w:p>
        </w:tc>
        <w:tc>
          <w:tcPr>
            <w:tcW w:w="516" w:type="dxa"/>
          </w:tcPr>
          <w:p w14:paraId="050DF126" w14:textId="77777777" w:rsidR="00614B34" w:rsidRPr="00CF6110" w:rsidRDefault="00614B34" w:rsidP="000815BC">
            <w:pPr>
              <w:rPr>
                <w:lang w:val="en-GB"/>
              </w:rPr>
            </w:pPr>
          </w:p>
        </w:tc>
        <w:tc>
          <w:tcPr>
            <w:tcW w:w="421" w:type="dxa"/>
          </w:tcPr>
          <w:p w14:paraId="02E8E194" w14:textId="77777777" w:rsidR="00614B34" w:rsidRPr="00CF6110" w:rsidRDefault="00614B34" w:rsidP="000815BC">
            <w:pPr>
              <w:rPr>
                <w:lang w:val="en-GB"/>
              </w:rPr>
            </w:pPr>
          </w:p>
        </w:tc>
      </w:tr>
      <w:tr w:rsidR="00614B34" w:rsidRPr="00CF6110" w14:paraId="0BE1259B" w14:textId="77777777" w:rsidTr="000815BC">
        <w:tc>
          <w:tcPr>
            <w:tcW w:w="1491" w:type="dxa"/>
            <w:vMerge/>
            <w:tcBorders>
              <w:right w:val="nil"/>
            </w:tcBorders>
          </w:tcPr>
          <w:p w14:paraId="37B4BFF2" w14:textId="77777777" w:rsidR="00614B34" w:rsidRPr="00CF6110" w:rsidRDefault="00614B34" w:rsidP="000815BC">
            <w:pPr>
              <w:rPr>
                <w:lang w:val="en-GB"/>
              </w:rPr>
            </w:pPr>
          </w:p>
        </w:tc>
        <w:tc>
          <w:tcPr>
            <w:tcW w:w="1311" w:type="dxa"/>
            <w:gridSpan w:val="3"/>
            <w:tcBorders>
              <w:top w:val="nil"/>
              <w:left w:val="nil"/>
              <w:bottom w:val="nil"/>
            </w:tcBorders>
            <w:vAlign w:val="center"/>
          </w:tcPr>
          <w:p w14:paraId="2C348866" w14:textId="77777777" w:rsidR="00614B34" w:rsidRPr="00CF6110" w:rsidRDefault="00614B34" w:rsidP="000815BC">
            <w:pPr>
              <w:jc w:val="right"/>
              <w:rPr>
                <w:lang w:val="en-GB"/>
              </w:rPr>
            </w:pPr>
            <w:r w:rsidRPr="00CF6110">
              <w:rPr>
                <w:lang w:val="en-GB"/>
              </w:rPr>
              <w:t>Clothing</w:t>
            </w:r>
          </w:p>
        </w:tc>
        <w:tc>
          <w:tcPr>
            <w:tcW w:w="614" w:type="dxa"/>
          </w:tcPr>
          <w:p w14:paraId="76617097" w14:textId="77777777" w:rsidR="00614B34" w:rsidRPr="00CF6110" w:rsidRDefault="00614B34" w:rsidP="000815BC">
            <w:pPr>
              <w:rPr>
                <w:lang w:val="en-GB"/>
              </w:rPr>
            </w:pPr>
          </w:p>
        </w:tc>
        <w:tc>
          <w:tcPr>
            <w:tcW w:w="421" w:type="dxa"/>
          </w:tcPr>
          <w:p w14:paraId="13295242" w14:textId="77777777" w:rsidR="00614B34" w:rsidRPr="00CF6110" w:rsidRDefault="00614B34" w:rsidP="000815BC">
            <w:pPr>
              <w:rPr>
                <w:lang w:val="en-GB"/>
              </w:rPr>
            </w:pPr>
          </w:p>
        </w:tc>
        <w:tc>
          <w:tcPr>
            <w:tcW w:w="516" w:type="dxa"/>
          </w:tcPr>
          <w:p w14:paraId="33457C21" w14:textId="77777777" w:rsidR="00614B34" w:rsidRPr="00CF6110" w:rsidRDefault="00614B34" w:rsidP="000815BC">
            <w:pPr>
              <w:rPr>
                <w:lang w:val="en-GB"/>
              </w:rPr>
            </w:pPr>
          </w:p>
        </w:tc>
        <w:tc>
          <w:tcPr>
            <w:tcW w:w="421" w:type="dxa"/>
          </w:tcPr>
          <w:p w14:paraId="0BB7C2C7" w14:textId="77777777" w:rsidR="00614B34" w:rsidRPr="00CF6110" w:rsidRDefault="00614B34" w:rsidP="000815BC">
            <w:pPr>
              <w:rPr>
                <w:lang w:val="en-GB"/>
              </w:rPr>
            </w:pPr>
          </w:p>
        </w:tc>
        <w:tc>
          <w:tcPr>
            <w:tcW w:w="516" w:type="dxa"/>
          </w:tcPr>
          <w:p w14:paraId="23B7F608" w14:textId="77777777" w:rsidR="00614B34" w:rsidRPr="00CF6110" w:rsidRDefault="00614B34" w:rsidP="000815BC">
            <w:pPr>
              <w:rPr>
                <w:lang w:val="en-GB"/>
              </w:rPr>
            </w:pPr>
          </w:p>
        </w:tc>
        <w:tc>
          <w:tcPr>
            <w:tcW w:w="421" w:type="dxa"/>
          </w:tcPr>
          <w:p w14:paraId="63664B0C" w14:textId="77777777" w:rsidR="00614B34" w:rsidRPr="00CF6110" w:rsidRDefault="00614B34" w:rsidP="000815BC">
            <w:pPr>
              <w:rPr>
                <w:lang w:val="en-GB"/>
              </w:rPr>
            </w:pPr>
          </w:p>
        </w:tc>
        <w:tc>
          <w:tcPr>
            <w:tcW w:w="516" w:type="dxa"/>
          </w:tcPr>
          <w:p w14:paraId="665A09C3" w14:textId="77777777" w:rsidR="00614B34" w:rsidRPr="00CF6110" w:rsidRDefault="00614B34" w:rsidP="000815BC">
            <w:pPr>
              <w:rPr>
                <w:lang w:val="en-GB"/>
              </w:rPr>
            </w:pPr>
          </w:p>
        </w:tc>
        <w:tc>
          <w:tcPr>
            <w:tcW w:w="421" w:type="dxa"/>
          </w:tcPr>
          <w:p w14:paraId="27356817" w14:textId="77777777" w:rsidR="00614B34" w:rsidRPr="00CF6110" w:rsidRDefault="00614B34" w:rsidP="000815BC">
            <w:pPr>
              <w:rPr>
                <w:lang w:val="en-GB"/>
              </w:rPr>
            </w:pPr>
          </w:p>
        </w:tc>
        <w:tc>
          <w:tcPr>
            <w:tcW w:w="516" w:type="dxa"/>
          </w:tcPr>
          <w:p w14:paraId="46E7038F" w14:textId="77777777" w:rsidR="00614B34" w:rsidRPr="00CF6110" w:rsidRDefault="00614B34" w:rsidP="000815BC">
            <w:pPr>
              <w:rPr>
                <w:lang w:val="en-GB"/>
              </w:rPr>
            </w:pPr>
          </w:p>
        </w:tc>
        <w:tc>
          <w:tcPr>
            <w:tcW w:w="421" w:type="dxa"/>
          </w:tcPr>
          <w:p w14:paraId="2780708C" w14:textId="77777777" w:rsidR="00614B34" w:rsidRPr="00CF6110" w:rsidRDefault="00614B34" w:rsidP="000815BC">
            <w:pPr>
              <w:rPr>
                <w:lang w:val="en-GB"/>
              </w:rPr>
            </w:pPr>
          </w:p>
        </w:tc>
        <w:tc>
          <w:tcPr>
            <w:tcW w:w="516" w:type="dxa"/>
          </w:tcPr>
          <w:p w14:paraId="056A7E69" w14:textId="77777777" w:rsidR="00614B34" w:rsidRPr="00CF6110" w:rsidRDefault="00614B34" w:rsidP="000815BC">
            <w:pPr>
              <w:rPr>
                <w:lang w:val="en-GB"/>
              </w:rPr>
            </w:pPr>
          </w:p>
        </w:tc>
        <w:tc>
          <w:tcPr>
            <w:tcW w:w="421" w:type="dxa"/>
          </w:tcPr>
          <w:p w14:paraId="61802390" w14:textId="77777777" w:rsidR="00614B34" w:rsidRPr="00CF6110" w:rsidRDefault="00614B34" w:rsidP="000815BC">
            <w:pPr>
              <w:rPr>
                <w:lang w:val="en-GB"/>
              </w:rPr>
            </w:pPr>
          </w:p>
        </w:tc>
      </w:tr>
      <w:tr w:rsidR="00614B34" w:rsidRPr="00CF6110" w14:paraId="281256B2" w14:textId="77777777" w:rsidTr="000815BC">
        <w:tc>
          <w:tcPr>
            <w:tcW w:w="1491" w:type="dxa"/>
            <w:vMerge/>
            <w:tcBorders>
              <w:right w:val="nil"/>
            </w:tcBorders>
          </w:tcPr>
          <w:p w14:paraId="576C5A10" w14:textId="77777777" w:rsidR="00614B34" w:rsidRPr="00CF6110" w:rsidRDefault="00614B34" w:rsidP="000815BC">
            <w:pPr>
              <w:rPr>
                <w:lang w:val="en-GB"/>
              </w:rPr>
            </w:pPr>
          </w:p>
        </w:tc>
        <w:tc>
          <w:tcPr>
            <w:tcW w:w="1311" w:type="dxa"/>
            <w:gridSpan w:val="3"/>
            <w:tcBorders>
              <w:top w:val="nil"/>
              <w:left w:val="nil"/>
              <w:bottom w:val="single" w:sz="4" w:space="0" w:color="auto"/>
            </w:tcBorders>
            <w:vAlign w:val="center"/>
          </w:tcPr>
          <w:p w14:paraId="72C7FED6" w14:textId="77777777" w:rsidR="00614B34" w:rsidRPr="00CF6110" w:rsidRDefault="00614B34" w:rsidP="000815BC">
            <w:pPr>
              <w:jc w:val="right"/>
              <w:rPr>
                <w:lang w:val="en-GB"/>
              </w:rPr>
            </w:pPr>
            <w:r w:rsidRPr="00CF6110">
              <w:rPr>
                <w:lang w:val="en-GB"/>
              </w:rPr>
              <w:t>Not seen</w:t>
            </w:r>
          </w:p>
        </w:tc>
        <w:tc>
          <w:tcPr>
            <w:tcW w:w="614" w:type="dxa"/>
          </w:tcPr>
          <w:p w14:paraId="7D884E93" w14:textId="77777777" w:rsidR="00614B34" w:rsidRPr="00CF6110" w:rsidRDefault="00614B34" w:rsidP="000815BC">
            <w:pPr>
              <w:rPr>
                <w:lang w:val="en-GB"/>
              </w:rPr>
            </w:pPr>
          </w:p>
        </w:tc>
        <w:tc>
          <w:tcPr>
            <w:tcW w:w="421" w:type="dxa"/>
          </w:tcPr>
          <w:p w14:paraId="713B60E6" w14:textId="77777777" w:rsidR="00614B34" w:rsidRPr="00CF6110" w:rsidRDefault="00614B34" w:rsidP="000815BC">
            <w:pPr>
              <w:rPr>
                <w:lang w:val="en-GB"/>
              </w:rPr>
            </w:pPr>
          </w:p>
        </w:tc>
        <w:tc>
          <w:tcPr>
            <w:tcW w:w="516" w:type="dxa"/>
          </w:tcPr>
          <w:p w14:paraId="0E014F5E" w14:textId="77777777" w:rsidR="00614B34" w:rsidRPr="00CF6110" w:rsidRDefault="00614B34" w:rsidP="000815BC">
            <w:pPr>
              <w:rPr>
                <w:lang w:val="en-GB"/>
              </w:rPr>
            </w:pPr>
          </w:p>
        </w:tc>
        <w:tc>
          <w:tcPr>
            <w:tcW w:w="421" w:type="dxa"/>
          </w:tcPr>
          <w:p w14:paraId="634E8DB5" w14:textId="77777777" w:rsidR="00614B34" w:rsidRPr="00CF6110" w:rsidRDefault="00614B34" w:rsidP="000815BC">
            <w:pPr>
              <w:rPr>
                <w:lang w:val="en-GB"/>
              </w:rPr>
            </w:pPr>
          </w:p>
        </w:tc>
        <w:tc>
          <w:tcPr>
            <w:tcW w:w="516" w:type="dxa"/>
          </w:tcPr>
          <w:p w14:paraId="579F3A4F" w14:textId="77777777" w:rsidR="00614B34" w:rsidRPr="00CF6110" w:rsidRDefault="00614B34" w:rsidP="000815BC">
            <w:pPr>
              <w:rPr>
                <w:lang w:val="en-GB"/>
              </w:rPr>
            </w:pPr>
          </w:p>
        </w:tc>
        <w:tc>
          <w:tcPr>
            <w:tcW w:w="421" w:type="dxa"/>
          </w:tcPr>
          <w:p w14:paraId="128CD593" w14:textId="77777777" w:rsidR="00614B34" w:rsidRPr="00CF6110" w:rsidRDefault="00614B34" w:rsidP="000815BC">
            <w:pPr>
              <w:rPr>
                <w:lang w:val="en-GB"/>
              </w:rPr>
            </w:pPr>
          </w:p>
        </w:tc>
        <w:tc>
          <w:tcPr>
            <w:tcW w:w="516" w:type="dxa"/>
          </w:tcPr>
          <w:p w14:paraId="3FEA18F5" w14:textId="77777777" w:rsidR="00614B34" w:rsidRPr="00CF6110" w:rsidRDefault="00614B34" w:rsidP="000815BC">
            <w:pPr>
              <w:rPr>
                <w:lang w:val="en-GB"/>
              </w:rPr>
            </w:pPr>
          </w:p>
        </w:tc>
        <w:tc>
          <w:tcPr>
            <w:tcW w:w="421" w:type="dxa"/>
          </w:tcPr>
          <w:p w14:paraId="12CC3D75" w14:textId="77777777" w:rsidR="00614B34" w:rsidRPr="00CF6110" w:rsidRDefault="00614B34" w:rsidP="000815BC">
            <w:pPr>
              <w:rPr>
                <w:lang w:val="en-GB"/>
              </w:rPr>
            </w:pPr>
          </w:p>
        </w:tc>
        <w:tc>
          <w:tcPr>
            <w:tcW w:w="516" w:type="dxa"/>
          </w:tcPr>
          <w:p w14:paraId="405E6BCC" w14:textId="77777777" w:rsidR="00614B34" w:rsidRPr="00CF6110" w:rsidRDefault="00614B34" w:rsidP="000815BC">
            <w:pPr>
              <w:rPr>
                <w:lang w:val="en-GB"/>
              </w:rPr>
            </w:pPr>
          </w:p>
        </w:tc>
        <w:tc>
          <w:tcPr>
            <w:tcW w:w="421" w:type="dxa"/>
          </w:tcPr>
          <w:p w14:paraId="015A5717" w14:textId="77777777" w:rsidR="00614B34" w:rsidRPr="00CF6110" w:rsidRDefault="00614B34" w:rsidP="000815BC">
            <w:pPr>
              <w:rPr>
                <w:lang w:val="en-GB"/>
              </w:rPr>
            </w:pPr>
          </w:p>
        </w:tc>
        <w:tc>
          <w:tcPr>
            <w:tcW w:w="516" w:type="dxa"/>
          </w:tcPr>
          <w:p w14:paraId="01CBC901" w14:textId="77777777" w:rsidR="00614B34" w:rsidRPr="00CF6110" w:rsidRDefault="00614B34" w:rsidP="000815BC">
            <w:pPr>
              <w:rPr>
                <w:lang w:val="en-GB"/>
              </w:rPr>
            </w:pPr>
          </w:p>
        </w:tc>
        <w:tc>
          <w:tcPr>
            <w:tcW w:w="421" w:type="dxa"/>
          </w:tcPr>
          <w:p w14:paraId="01EACEF6" w14:textId="77777777" w:rsidR="00614B34" w:rsidRPr="00CF6110" w:rsidRDefault="00614B34" w:rsidP="000815BC">
            <w:pPr>
              <w:rPr>
                <w:lang w:val="en-GB"/>
              </w:rPr>
            </w:pPr>
          </w:p>
        </w:tc>
      </w:tr>
      <w:tr w:rsidR="00614B34" w:rsidRPr="00CF6110" w14:paraId="06E0967B" w14:textId="77777777" w:rsidTr="000815BC">
        <w:tc>
          <w:tcPr>
            <w:tcW w:w="1491" w:type="dxa"/>
            <w:vMerge w:val="restart"/>
            <w:tcBorders>
              <w:right w:val="nil"/>
            </w:tcBorders>
            <w:vAlign w:val="center"/>
          </w:tcPr>
          <w:p w14:paraId="6294B304" w14:textId="77777777" w:rsidR="00614B34" w:rsidRPr="00CF6110" w:rsidRDefault="00614B34" w:rsidP="000815BC">
            <w:pPr>
              <w:rPr>
                <w:lang w:val="en-GB"/>
              </w:rPr>
            </w:pPr>
            <w:r w:rsidRPr="00CF6110">
              <w:rPr>
                <w:lang w:val="en-GB"/>
              </w:rPr>
              <w:t>5. Direction of missile through body:</w:t>
            </w:r>
          </w:p>
        </w:tc>
        <w:tc>
          <w:tcPr>
            <w:tcW w:w="1311" w:type="dxa"/>
            <w:gridSpan w:val="3"/>
            <w:tcBorders>
              <w:left w:val="nil"/>
              <w:bottom w:val="nil"/>
            </w:tcBorders>
            <w:vAlign w:val="center"/>
          </w:tcPr>
          <w:p w14:paraId="7DA484B4" w14:textId="77777777" w:rsidR="00614B34" w:rsidRPr="00CF6110" w:rsidRDefault="00614B34" w:rsidP="000815BC">
            <w:pPr>
              <w:jc w:val="right"/>
              <w:rPr>
                <w:lang w:val="en-GB"/>
              </w:rPr>
            </w:pPr>
            <w:r w:rsidRPr="00CF6110">
              <w:rPr>
                <w:lang w:val="en-GB"/>
              </w:rPr>
              <w:t>Backward</w:t>
            </w:r>
          </w:p>
        </w:tc>
        <w:tc>
          <w:tcPr>
            <w:tcW w:w="614" w:type="dxa"/>
          </w:tcPr>
          <w:p w14:paraId="2B83EEF1" w14:textId="77777777" w:rsidR="00614B34" w:rsidRPr="00CF6110" w:rsidRDefault="00614B34" w:rsidP="000815BC">
            <w:pPr>
              <w:rPr>
                <w:lang w:val="en-GB"/>
              </w:rPr>
            </w:pPr>
          </w:p>
        </w:tc>
        <w:tc>
          <w:tcPr>
            <w:tcW w:w="421" w:type="dxa"/>
          </w:tcPr>
          <w:p w14:paraId="7F726FA2" w14:textId="77777777" w:rsidR="00614B34" w:rsidRPr="00CF6110" w:rsidRDefault="00614B34" w:rsidP="000815BC">
            <w:pPr>
              <w:rPr>
                <w:lang w:val="en-GB"/>
              </w:rPr>
            </w:pPr>
          </w:p>
        </w:tc>
        <w:tc>
          <w:tcPr>
            <w:tcW w:w="516" w:type="dxa"/>
          </w:tcPr>
          <w:p w14:paraId="6431A31E" w14:textId="77777777" w:rsidR="00614B34" w:rsidRPr="00CF6110" w:rsidRDefault="00614B34" w:rsidP="000815BC">
            <w:pPr>
              <w:rPr>
                <w:lang w:val="en-GB"/>
              </w:rPr>
            </w:pPr>
          </w:p>
        </w:tc>
        <w:tc>
          <w:tcPr>
            <w:tcW w:w="421" w:type="dxa"/>
          </w:tcPr>
          <w:p w14:paraId="5F4BAD1C" w14:textId="77777777" w:rsidR="00614B34" w:rsidRPr="00CF6110" w:rsidRDefault="00614B34" w:rsidP="000815BC">
            <w:pPr>
              <w:rPr>
                <w:lang w:val="en-GB"/>
              </w:rPr>
            </w:pPr>
          </w:p>
        </w:tc>
        <w:tc>
          <w:tcPr>
            <w:tcW w:w="516" w:type="dxa"/>
          </w:tcPr>
          <w:p w14:paraId="753CE4A2" w14:textId="77777777" w:rsidR="00614B34" w:rsidRPr="00CF6110" w:rsidRDefault="00614B34" w:rsidP="000815BC">
            <w:pPr>
              <w:rPr>
                <w:lang w:val="en-GB"/>
              </w:rPr>
            </w:pPr>
          </w:p>
        </w:tc>
        <w:tc>
          <w:tcPr>
            <w:tcW w:w="421" w:type="dxa"/>
          </w:tcPr>
          <w:p w14:paraId="3C1C1669" w14:textId="77777777" w:rsidR="00614B34" w:rsidRPr="00CF6110" w:rsidRDefault="00614B34" w:rsidP="000815BC">
            <w:pPr>
              <w:rPr>
                <w:lang w:val="en-GB"/>
              </w:rPr>
            </w:pPr>
          </w:p>
        </w:tc>
        <w:tc>
          <w:tcPr>
            <w:tcW w:w="516" w:type="dxa"/>
          </w:tcPr>
          <w:p w14:paraId="1C9481DA" w14:textId="77777777" w:rsidR="00614B34" w:rsidRPr="00CF6110" w:rsidRDefault="00614B34" w:rsidP="000815BC">
            <w:pPr>
              <w:rPr>
                <w:lang w:val="en-GB"/>
              </w:rPr>
            </w:pPr>
          </w:p>
        </w:tc>
        <w:tc>
          <w:tcPr>
            <w:tcW w:w="421" w:type="dxa"/>
          </w:tcPr>
          <w:p w14:paraId="08465B85" w14:textId="77777777" w:rsidR="00614B34" w:rsidRPr="00CF6110" w:rsidRDefault="00614B34" w:rsidP="000815BC">
            <w:pPr>
              <w:rPr>
                <w:lang w:val="en-GB"/>
              </w:rPr>
            </w:pPr>
          </w:p>
        </w:tc>
        <w:tc>
          <w:tcPr>
            <w:tcW w:w="516" w:type="dxa"/>
          </w:tcPr>
          <w:p w14:paraId="0E31B032" w14:textId="77777777" w:rsidR="00614B34" w:rsidRPr="00CF6110" w:rsidRDefault="00614B34" w:rsidP="000815BC">
            <w:pPr>
              <w:rPr>
                <w:lang w:val="en-GB"/>
              </w:rPr>
            </w:pPr>
          </w:p>
        </w:tc>
        <w:tc>
          <w:tcPr>
            <w:tcW w:w="421" w:type="dxa"/>
          </w:tcPr>
          <w:p w14:paraId="23412E74" w14:textId="77777777" w:rsidR="00614B34" w:rsidRPr="00CF6110" w:rsidRDefault="00614B34" w:rsidP="000815BC">
            <w:pPr>
              <w:rPr>
                <w:lang w:val="en-GB"/>
              </w:rPr>
            </w:pPr>
          </w:p>
        </w:tc>
        <w:tc>
          <w:tcPr>
            <w:tcW w:w="516" w:type="dxa"/>
          </w:tcPr>
          <w:p w14:paraId="169FEC23" w14:textId="77777777" w:rsidR="00614B34" w:rsidRPr="00CF6110" w:rsidRDefault="00614B34" w:rsidP="000815BC">
            <w:pPr>
              <w:rPr>
                <w:lang w:val="en-GB"/>
              </w:rPr>
            </w:pPr>
          </w:p>
        </w:tc>
        <w:tc>
          <w:tcPr>
            <w:tcW w:w="421" w:type="dxa"/>
          </w:tcPr>
          <w:p w14:paraId="1032C5F2" w14:textId="77777777" w:rsidR="00614B34" w:rsidRPr="00CF6110" w:rsidRDefault="00614B34" w:rsidP="000815BC">
            <w:pPr>
              <w:rPr>
                <w:lang w:val="en-GB"/>
              </w:rPr>
            </w:pPr>
          </w:p>
        </w:tc>
      </w:tr>
      <w:tr w:rsidR="00614B34" w:rsidRPr="00CF6110" w14:paraId="3F558928" w14:textId="77777777" w:rsidTr="000815BC">
        <w:tc>
          <w:tcPr>
            <w:tcW w:w="1491" w:type="dxa"/>
            <w:vMerge/>
            <w:tcBorders>
              <w:right w:val="nil"/>
            </w:tcBorders>
          </w:tcPr>
          <w:p w14:paraId="70F99DAF" w14:textId="77777777" w:rsidR="00614B34" w:rsidRPr="00CF6110" w:rsidRDefault="00614B34" w:rsidP="000815BC">
            <w:pPr>
              <w:rPr>
                <w:lang w:val="en-GB"/>
              </w:rPr>
            </w:pPr>
          </w:p>
        </w:tc>
        <w:tc>
          <w:tcPr>
            <w:tcW w:w="1311" w:type="dxa"/>
            <w:gridSpan w:val="3"/>
            <w:tcBorders>
              <w:top w:val="nil"/>
              <w:left w:val="nil"/>
              <w:bottom w:val="nil"/>
            </w:tcBorders>
            <w:vAlign w:val="center"/>
          </w:tcPr>
          <w:p w14:paraId="33233AD6" w14:textId="77777777" w:rsidR="00614B34" w:rsidRPr="00CF6110" w:rsidRDefault="00614B34" w:rsidP="000815BC">
            <w:pPr>
              <w:jc w:val="right"/>
              <w:rPr>
                <w:lang w:val="en-GB"/>
              </w:rPr>
            </w:pPr>
            <w:r w:rsidRPr="00CF6110">
              <w:rPr>
                <w:lang w:val="en-GB"/>
              </w:rPr>
              <w:t>Forward</w:t>
            </w:r>
          </w:p>
        </w:tc>
        <w:tc>
          <w:tcPr>
            <w:tcW w:w="614" w:type="dxa"/>
          </w:tcPr>
          <w:p w14:paraId="6994EBBF" w14:textId="77777777" w:rsidR="00614B34" w:rsidRPr="00CF6110" w:rsidRDefault="00614B34" w:rsidP="000815BC">
            <w:pPr>
              <w:rPr>
                <w:lang w:val="en-GB"/>
              </w:rPr>
            </w:pPr>
          </w:p>
        </w:tc>
        <w:tc>
          <w:tcPr>
            <w:tcW w:w="421" w:type="dxa"/>
          </w:tcPr>
          <w:p w14:paraId="1124ED95" w14:textId="77777777" w:rsidR="00614B34" w:rsidRPr="00CF6110" w:rsidRDefault="00614B34" w:rsidP="000815BC">
            <w:pPr>
              <w:rPr>
                <w:lang w:val="en-GB"/>
              </w:rPr>
            </w:pPr>
          </w:p>
        </w:tc>
        <w:tc>
          <w:tcPr>
            <w:tcW w:w="516" w:type="dxa"/>
          </w:tcPr>
          <w:p w14:paraId="50BB35E2" w14:textId="77777777" w:rsidR="00614B34" w:rsidRPr="00CF6110" w:rsidRDefault="00614B34" w:rsidP="000815BC">
            <w:pPr>
              <w:rPr>
                <w:lang w:val="en-GB"/>
              </w:rPr>
            </w:pPr>
          </w:p>
        </w:tc>
        <w:tc>
          <w:tcPr>
            <w:tcW w:w="421" w:type="dxa"/>
          </w:tcPr>
          <w:p w14:paraId="390F0741" w14:textId="77777777" w:rsidR="00614B34" w:rsidRPr="00CF6110" w:rsidRDefault="00614B34" w:rsidP="000815BC">
            <w:pPr>
              <w:rPr>
                <w:lang w:val="en-GB"/>
              </w:rPr>
            </w:pPr>
          </w:p>
        </w:tc>
        <w:tc>
          <w:tcPr>
            <w:tcW w:w="516" w:type="dxa"/>
          </w:tcPr>
          <w:p w14:paraId="10960E86" w14:textId="77777777" w:rsidR="00614B34" w:rsidRPr="00CF6110" w:rsidRDefault="00614B34" w:rsidP="000815BC">
            <w:pPr>
              <w:rPr>
                <w:lang w:val="en-GB"/>
              </w:rPr>
            </w:pPr>
          </w:p>
        </w:tc>
        <w:tc>
          <w:tcPr>
            <w:tcW w:w="421" w:type="dxa"/>
          </w:tcPr>
          <w:p w14:paraId="67B7F036" w14:textId="77777777" w:rsidR="00614B34" w:rsidRPr="00CF6110" w:rsidRDefault="00614B34" w:rsidP="000815BC">
            <w:pPr>
              <w:rPr>
                <w:lang w:val="en-GB"/>
              </w:rPr>
            </w:pPr>
          </w:p>
        </w:tc>
        <w:tc>
          <w:tcPr>
            <w:tcW w:w="516" w:type="dxa"/>
          </w:tcPr>
          <w:p w14:paraId="1687370A" w14:textId="77777777" w:rsidR="00614B34" w:rsidRPr="00CF6110" w:rsidRDefault="00614B34" w:rsidP="000815BC">
            <w:pPr>
              <w:rPr>
                <w:lang w:val="en-GB"/>
              </w:rPr>
            </w:pPr>
          </w:p>
        </w:tc>
        <w:tc>
          <w:tcPr>
            <w:tcW w:w="421" w:type="dxa"/>
          </w:tcPr>
          <w:p w14:paraId="5C5731EE" w14:textId="77777777" w:rsidR="00614B34" w:rsidRPr="00CF6110" w:rsidRDefault="00614B34" w:rsidP="000815BC">
            <w:pPr>
              <w:rPr>
                <w:lang w:val="en-GB"/>
              </w:rPr>
            </w:pPr>
          </w:p>
        </w:tc>
        <w:tc>
          <w:tcPr>
            <w:tcW w:w="516" w:type="dxa"/>
          </w:tcPr>
          <w:p w14:paraId="18235340" w14:textId="77777777" w:rsidR="00614B34" w:rsidRPr="00CF6110" w:rsidRDefault="00614B34" w:rsidP="000815BC">
            <w:pPr>
              <w:rPr>
                <w:lang w:val="en-GB"/>
              </w:rPr>
            </w:pPr>
          </w:p>
        </w:tc>
        <w:tc>
          <w:tcPr>
            <w:tcW w:w="421" w:type="dxa"/>
          </w:tcPr>
          <w:p w14:paraId="1E3D8549" w14:textId="77777777" w:rsidR="00614B34" w:rsidRPr="00CF6110" w:rsidRDefault="00614B34" w:rsidP="000815BC">
            <w:pPr>
              <w:rPr>
                <w:lang w:val="en-GB"/>
              </w:rPr>
            </w:pPr>
          </w:p>
        </w:tc>
        <w:tc>
          <w:tcPr>
            <w:tcW w:w="516" w:type="dxa"/>
          </w:tcPr>
          <w:p w14:paraId="392EFC7D" w14:textId="77777777" w:rsidR="00614B34" w:rsidRPr="00CF6110" w:rsidRDefault="00614B34" w:rsidP="000815BC">
            <w:pPr>
              <w:rPr>
                <w:lang w:val="en-GB"/>
              </w:rPr>
            </w:pPr>
          </w:p>
        </w:tc>
        <w:tc>
          <w:tcPr>
            <w:tcW w:w="421" w:type="dxa"/>
          </w:tcPr>
          <w:p w14:paraId="5A991F60" w14:textId="77777777" w:rsidR="00614B34" w:rsidRPr="00CF6110" w:rsidRDefault="00614B34" w:rsidP="000815BC">
            <w:pPr>
              <w:rPr>
                <w:lang w:val="en-GB"/>
              </w:rPr>
            </w:pPr>
          </w:p>
        </w:tc>
      </w:tr>
      <w:tr w:rsidR="00614B34" w:rsidRPr="00CF6110" w14:paraId="197C2048" w14:textId="77777777" w:rsidTr="000815BC">
        <w:tc>
          <w:tcPr>
            <w:tcW w:w="1491" w:type="dxa"/>
            <w:vMerge/>
            <w:tcBorders>
              <w:right w:val="nil"/>
            </w:tcBorders>
          </w:tcPr>
          <w:p w14:paraId="4F7B90DB" w14:textId="77777777" w:rsidR="00614B34" w:rsidRPr="00CF6110" w:rsidRDefault="00614B34" w:rsidP="000815BC">
            <w:pPr>
              <w:rPr>
                <w:lang w:val="en-GB"/>
              </w:rPr>
            </w:pPr>
          </w:p>
        </w:tc>
        <w:tc>
          <w:tcPr>
            <w:tcW w:w="1311" w:type="dxa"/>
            <w:gridSpan w:val="3"/>
            <w:tcBorders>
              <w:top w:val="nil"/>
              <w:left w:val="nil"/>
              <w:bottom w:val="nil"/>
            </w:tcBorders>
            <w:vAlign w:val="center"/>
          </w:tcPr>
          <w:p w14:paraId="52710CC8" w14:textId="77777777" w:rsidR="00614B34" w:rsidRPr="00CF6110" w:rsidRDefault="00614B34" w:rsidP="000815BC">
            <w:pPr>
              <w:jc w:val="right"/>
              <w:rPr>
                <w:lang w:val="en-GB"/>
              </w:rPr>
            </w:pPr>
            <w:r w:rsidRPr="00CF6110">
              <w:rPr>
                <w:lang w:val="en-GB"/>
              </w:rPr>
              <w:t>Downward</w:t>
            </w:r>
          </w:p>
        </w:tc>
        <w:tc>
          <w:tcPr>
            <w:tcW w:w="614" w:type="dxa"/>
          </w:tcPr>
          <w:p w14:paraId="56042BB9" w14:textId="77777777" w:rsidR="00614B34" w:rsidRPr="00CF6110" w:rsidRDefault="00614B34" w:rsidP="000815BC">
            <w:pPr>
              <w:rPr>
                <w:lang w:val="en-GB"/>
              </w:rPr>
            </w:pPr>
          </w:p>
        </w:tc>
        <w:tc>
          <w:tcPr>
            <w:tcW w:w="421" w:type="dxa"/>
          </w:tcPr>
          <w:p w14:paraId="790E3497" w14:textId="77777777" w:rsidR="00614B34" w:rsidRPr="00CF6110" w:rsidRDefault="00614B34" w:rsidP="000815BC">
            <w:pPr>
              <w:rPr>
                <w:lang w:val="en-GB"/>
              </w:rPr>
            </w:pPr>
          </w:p>
        </w:tc>
        <w:tc>
          <w:tcPr>
            <w:tcW w:w="516" w:type="dxa"/>
          </w:tcPr>
          <w:p w14:paraId="310483A3" w14:textId="77777777" w:rsidR="00614B34" w:rsidRPr="00CF6110" w:rsidRDefault="00614B34" w:rsidP="000815BC">
            <w:pPr>
              <w:rPr>
                <w:lang w:val="en-GB"/>
              </w:rPr>
            </w:pPr>
          </w:p>
        </w:tc>
        <w:tc>
          <w:tcPr>
            <w:tcW w:w="421" w:type="dxa"/>
          </w:tcPr>
          <w:p w14:paraId="153AC495" w14:textId="77777777" w:rsidR="00614B34" w:rsidRPr="00CF6110" w:rsidRDefault="00614B34" w:rsidP="000815BC">
            <w:pPr>
              <w:rPr>
                <w:lang w:val="en-GB"/>
              </w:rPr>
            </w:pPr>
          </w:p>
        </w:tc>
        <w:tc>
          <w:tcPr>
            <w:tcW w:w="516" w:type="dxa"/>
          </w:tcPr>
          <w:p w14:paraId="0A943CBB" w14:textId="77777777" w:rsidR="00614B34" w:rsidRPr="00CF6110" w:rsidRDefault="00614B34" w:rsidP="000815BC">
            <w:pPr>
              <w:rPr>
                <w:lang w:val="en-GB"/>
              </w:rPr>
            </w:pPr>
          </w:p>
        </w:tc>
        <w:tc>
          <w:tcPr>
            <w:tcW w:w="421" w:type="dxa"/>
          </w:tcPr>
          <w:p w14:paraId="73EA990A" w14:textId="77777777" w:rsidR="00614B34" w:rsidRPr="00CF6110" w:rsidRDefault="00614B34" w:rsidP="000815BC">
            <w:pPr>
              <w:rPr>
                <w:lang w:val="en-GB"/>
              </w:rPr>
            </w:pPr>
          </w:p>
        </w:tc>
        <w:tc>
          <w:tcPr>
            <w:tcW w:w="516" w:type="dxa"/>
          </w:tcPr>
          <w:p w14:paraId="09FDFCF0" w14:textId="77777777" w:rsidR="00614B34" w:rsidRPr="00CF6110" w:rsidRDefault="00614B34" w:rsidP="000815BC">
            <w:pPr>
              <w:rPr>
                <w:lang w:val="en-GB"/>
              </w:rPr>
            </w:pPr>
          </w:p>
        </w:tc>
        <w:tc>
          <w:tcPr>
            <w:tcW w:w="421" w:type="dxa"/>
          </w:tcPr>
          <w:p w14:paraId="6FDD30AB" w14:textId="77777777" w:rsidR="00614B34" w:rsidRPr="00CF6110" w:rsidRDefault="00614B34" w:rsidP="000815BC">
            <w:pPr>
              <w:rPr>
                <w:lang w:val="en-GB"/>
              </w:rPr>
            </w:pPr>
          </w:p>
        </w:tc>
        <w:tc>
          <w:tcPr>
            <w:tcW w:w="516" w:type="dxa"/>
          </w:tcPr>
          <w:p w14:paraId="13A0F3C7" w14:textId="77777777" w:rsidR="00614B34" w:rsidRPr="00CF6110" w:rsidRDefault="00614B34" w:rsidP="000815BC">
            <w:pPr>
              <w:rPr>
                <w:lang w:val="en-GB"/>
              </w:rPr>
            </w:pPr>
          </w:p>
        </w:tc>
        <w:tc>
          <w:tcPr>
            <w:tcW w:w="421" w:type="dxa"/>
          </w:tcPr>
          <w:p w14:paraId="20B4E340" w14:textId="77777777" w:rsidR="00614B34" w:rsidRPr="00CF6110" w:rsidRDefault="00614B34" w:rsidP="000815BC">
            <w:pPr>
              <w:rPr>
                <w:lang w:val="en-GB"/>
              </w:rPr>
            </w:pPr>
          </w:p>
        </w:tc>
        <w:tc>
          <w:tcPr>
            <w:tcW w:w="516" w:type="dxa"/>
          </w:tcPr>
          <w:p w14:paraId="567ECC70" w14:textId="77777777" w:rsidR="00614B34" w:rsidRPr="00CF6110" w:rsidRDefault="00614B34" w:rsidP="000815BC">
            <w:pPr>
              <w:rPr>
                <w:lang w:val="en-GB"/>
              </w:rPr>
            </w:pPr>
          </w:p>
        </w:tc>
        <w:tc>
          <w:tcPr>
            <w:tcW w:w="421" w:type="dxa"/>
          </w:tcPr>
          <w:p w14:paraId="5975DBBF" w14:textId="77777777" w:rsidR="00614B34" w:rsidRPr="00CF6110" w:rsidRDefault="00614B34" w:rsidP="000815BC">
            <w:pPr>
              <w:rPr>
                <w:lang w:val="en-GB"/>
              </w:rPr>
            </w:pPr>
          </w:p>
        </w:tc>
      </w:tr>
      <w:tr w:rsidR="00614B34" w:rsidRPr="00CF6110" w14:paraId="245832C7" w14:textId="77777777" w:rsidTr="000815BC">
        <w:tc>
          <w:tcPr>
            <w:tcW w:w="1491" w:type="dxa"/>
            <w:vMerge/>
            <w:tcBorders>
              <w:right w:val="nil"/>
            </w:tcBorders>
          </w:tcPr>
          <w:p w14:paraId="49EF213A" w14:textId="77777777" w:rsidR="00614B34" w:rsidRPr="00CF6110" w:rsidRDefault="00614B34" w:rsidP="000815BC">
            <w:pPr>
              <w:rPr>
                <w:lang w:val="en-GB"/>
              </w:rPr>
            </w:pPr>
          </w:p>
        </w:tc>
        <w:tc>
          <w:tcPr>
            <w:tcW w:w="1311" w:type="dxa"/>
            <w:gridSpan w:val="3"/>
            <w:tcBorders>
              <w:top w:val="nil"/>
              <w:left w:val="nil"/>
              <w:bottom w:val="nil"/>
            </w:tcBorders>
            <w:vAlign w:val="center"/>
          </w:tcPr>
          <w:p w14:paraId="75DA9B50" w14:textId="77777777" w:rsidR="00614B34" w:rsidRPr="00CF6110" w:rsidRDefault="00614B34" w:rsidP="000815BC">
            <w:pPr>
              <w:jc w:val="right"/>
              <w:rPr>
                <w:lang w:val="en-GB"/>
              </w:rPr>
            </w:pPr>
            <w:r w:rsidRPr="00CF6110">
              <w:rPr>
                <w:lang w:val="en-GB"/>
              </w:rPr>
              <w:t>Upward</w:t>
            </w:r>
          </w:p>
        </w:tc>
        <w:tc>
          <w:tcPr>
            <w:tcW w:w="614" w:type="dxa"/>
          </w:tcPr>
          <w:p w14:paraId="5E8545D2" w14:textId="77777777" w:rsidR="00614B34" w:rsidRPr="00CF6110" w:rsidRDefault="00614B34" w:rsidP="000815BC">
            <w:pPr>
              <w:rPr>
                <w:lang w:val="en-GB"/>
              </w:rPr>
            </w:pPr>
          </w:p>
        </w:tc>
        <w:tc>
          <w:tcPr>
            <w:tcW w:w="421" w:type="dxa"/>
          </w:tcPr>
          <w:p w14:paraId="39D46993" w14:textId="77777777" w:rsidR="00614B34" w:rsidRPr="00CF6110" w:rsidRDefault="00614B34" w:rsidP="000815BC">
            <w:pPr>
              <w:rPr>
                <w:lang w:val="en-GB"/>
              </w:rPr>
            </w:pPr>
          </w:p>
        </w:tc>
        <w:tc>
          <w:tcPr>
            <w:tcW w:w="516" w:type="dxa"/>
          </w:tcPr>
          <w:p w14:paraId="24E2EF8A" w14:textId="77777777" w:rsidR="00614B34" w:rsidRPr="00CF6110" w:rsidRDefault="00614B34" w:rsidP="000815BC">
            <w:pPr>
              <w:rPr>
                <w:lang w:val="en-GB"/>
              </w:rPr>
            </w:pPr>
          </w:p>
        </w:tc>
        <w:tc>
          <w:tcPr>
            <w:tcW w:w="421" w:type="dxa"/>
          </w:tcPr>
          <w:p w14:paraId="310C5162" w14:textId="77777777" w:rsidR="00614B34" w:rsidRPr="00CF6110" w:rsidRDefault="00614B34" w:rsidP="000815BC">
            <w:pPr>
              <w:rPr>
                <w:lang w:val="en-GB"/>
              </w:rPr>
            </w:pPr>
          </w:p>
        </w:tc>
        <w:tc>
          <w:tcPr>
            <w:tcW w:w="516" w:type="dxa"/>
          </w:tcPr>
          <w:p w14:paraId="409AE4AF" w14:textId="77777777" w:rsidR="00614B34" w:rsidRPr="00CF6110" w:rsidRDefault="00614B34" w:rsidP="000815BC">
            <w:pPr>
              <w:rPr>
                <w:lang w:val="en-GB"/>
              </w:rPr>
            </w:pPr>
          </w:p>
        </w:tc>
        <w:tc>
          <w:tcPr>
            <w:tcW w:w="421" w:type="dxa"/>
          </w:tcPr>
          <w:p w14:paraId="1143DD60" w14:textId="77777777" w:rsidR="00614B34" w:rsidRPr="00CF6110" w:rsidRDefault="00614B34" w:rsidP="000815BC">
            <w:pPr>
              <w:rPr>
                <w:lang w:val="en-GB"/>
              </w:rPr>
            </w:pPr>
          </w:p>
        </w:tc>
        <w:tc>
          <w:tcPr>
            <w:tcW w:w="516" w:type="dxa"/>
          </w:tcPr>
          <w:p w14:paraId="73907082" w14:textId="77777777" w:rsidR="00614B34" w:rsidRPr="00CF6110" w:rsidRDefault="00614B34" w:rsidP="000815BC">
            <w:pPr>
              <w:rPr>
                <w:lang w:val="en-GB"/>
              </w:rPr>
            </w:pPr>
          </w:p>
        </w:tc>
        <w:tc>
          <w:tcPr>
            <w:tcW w:w="421" w:type="dxa"/>
          </w:tcPr>
          <w:p w14:paraId="073913C1" w14:textId="77777777" w:rsidR="00614B34" w:rsidRPr="00CF6110" w:rsidRDefault="00614B34" w:rsidP="000815BC">
            <w:pPr>
              <w:rPr>
                <w:lang w:val="en-GB"/>
              </w:rPr>
            </w:pPr>
          </w:p>
        </w:tc>
        <w:tc>
          <w:tcPr>
            <w:tcW w:w="516" w:type="dxa"/>
          </w:tcPr>
          <w:p w14:paraId="33B79593" w14:textId="77777777" w:rsidR="00614B34" w:rsidRPr="00CF6110" w:rsidRDefault="00614B34" w:rsidP="000815BC">
            <w:pPr>
              <w:rPr>
                <w:lang w:val="en-GB"/>
              </w:rPr>
            </w:pPr>
          </w:p>
        </w:tc>
        <w:tc>
          <w:tcPr>
            <w:tcW w:w="421" w:type="dxa"/>
          </w:tcPr>
          <w:p w14:paraId="24F206AA" w14:textId="77777777" w:rsidR="00614B34" w:rsidRPr="00CF6110" w:rsidRDefault="00614B34" w:rsidP="000815BC">
            <w:pPr>
              <w:rPr>
                <w:lang w:val="en-GB"/>
              </w:rPr>
            </w:pPr>
          </w:p>
        </w:tc>
        <w:tc>
          <w:tcPr>
            <w:tcW w:w="516" w:type="dxa"/>
          </w:tcPr>
          <w:p w14:paraId="73F66E90" w14:textId="77777777" w:rsidR="00614B34" w:rsidRPr="00CF6110" w:rsidRDefault="00614B34" w:rsidP="000815BC">
            <w:pPr>
              <w:rPr>
                <w:lang w:val="en-GB"/>
              </w:rPr>
            </w:pPr>
          </w:p>
        </w:tc>
        <w:tc>
          <w:tcPr>
            <w:tcW w:w="421" w:type="dxa"/>
          </w:tcPr>
          <w:p w14:paraId="4FFC7D1A" w14:textId="77777777" w:rsidR="00614B34" w:rsidRPr="00CF6110" w:rsidRDefault="00614B34" w:rsidP="000815BC">
            <w:pPr>
              <w:rPr>
                <w:lang w:val="en-GB"/>
              </w:rPr>
            </w:pPr>
          </w:p>
        </w:tc>
      </w:tr>
      <w:tr w:rsidR="00614B34" w:rsidRPr="00CF6110" w14:paraId="21786D0A" w14:textId="77777777" w:rsidTr="000815BC">
        <w:tc>
          <w:tcPr>
            <w:tcW w:w="1491" w:type="dxa"/>
            <w:vMerge/>
            <w:tcBorders>
              <w:right w:val="nil"/>
            </w:tcBorders>
          </w:tcPr>
          <w:p w14:paraId="66A0B815" w14:textId="77777777" w:rsidR="00614B34" w:rsidRPr="00CF6110" w:rsidRDefault="00614B34" w:rsidP="000815BC">
            <w:pPr>
              <w:rPr>
                <w:lang w:val="en-GB"/>
              </w:rPr>
            </w:pPr>
          </w:p>
        </w:tc>
        <w:tc>
          <w:tcPr>
            <w:tcW w:w="1311" w:type="dxa"/>
            <w:gridSpan w:val="3"/>
            <w:tcBorders>
              <w:top w:val="nil"/>
              <w:left w:val="nil"/>
              <w:bottom w:val="nil"/>
            </w:tcBorders>
            <w:vAlign w:val="center"/>
          </w:tcPr>
          <w:p w14:paraId="3EC2FBE2" w14:textId="77777777" w:rsidR="00614B34" w:rsidRPr="00CF6110" w:rsidRDefault="00614B34" w:rsidP="000815BC">
            <w:pPr>
              <w:jc w:val="right"/>
              <w:rPr>
                <w:lang w:val="en-GB"/>
              </w:rPr>
            </w:pPr>
            <w:r w:rsidRPr="00CF6110">
              <w:rPr>
                <w:lang w:val="en-GB"/>
              </w:rPr>
              <w:t>To right</w:t>
            </w:r>
          </w:p>
        </w:tc>
        <w:tc>
          <w:tcPr>
            <w:tcW w:w="614" w:type="dxa"/>
          </w:tcPr>
          <w:p w14:paraId="5945E969" w14:textId="77777777" w:rsidR="00614B34" w:rsidRPr="00CF6110" w:rsidRDefault="00614B34" w:rsidP="000815BC">
            <w:pPr>
              <w:rPr>
                <w:lang w:val="en-GB"/>
              </w:rPr>
            </w:pPr>
          </w:p>
        </w:tc>
        <w:tc>
          <w:tcPr>
            <w:tcW w:w="421" w:type="dxa"/>
          </w:tcPr>
          <w:p w14:paraId="6A1858F4" w14:textId="77777777" w:rsidR="00614B34" w:rsidRPr="00CF6110" w:rsidRDefault="00614B34" w:rsidP="000815BC">
            <w:pPr>
              <w:rPr>
                <w:lang w:val="en-GB"/>
              </w:rPr>
            </w:pPr>
          </w:p>
        </w:tc>
        <w:tc>
          <w:tcPr>
            <w:tcW w:w="516" w:type="dxa"/>
          </w:tcPr>
          <w:p w14:paraId="4319737D" w14:textId="77777777" w:rsidR="00614B34" w:rsidRPr="00CF6110" w:rsidRDefault="00614B34" w:rsidP="000815BC">
            <w:pPr>
              <w:rPr>
                <w:lang w:val="en-GB"/>
              </w:rPr>
            </w:pPr>
          </w:p>
        </w:tc>
        <w:tc>
          <w:tcPr>
            <w:tcW w:w="421" w:type="dxa"/>
          </w:tcPr>
          <w:p w14:paraId="42705D00" w14:textId="77777777" w:rsidR="00614B34" w:rsidRPr="00CF6110" w:rsidRDefault="00614B34" w:rsidP="000815BC">
            <w:pPr>
              <w:rPr>
                <w:lang w:val="en-GB"/>
              </w:rPr>
            </w:pPr>
          </w:p>
        </w:tc>
        <w:tc>
          <w:tcPr>
            <w:tcW w:w="516" w:type="dxa"/>
          </w:tcPr>
          <w:p w14:paraId="6BAC93A0" w14:textId="77777777" w:rsidR="00614B34" w:rsidRPr="00CF6110" w:rsidRDefault="00614B34" w:rsidP="000815BC">
            <w:pPr>
              <w:rPr>
                <w:lang w:val="en-GB"/>
              </w:rPr>
            </w:pPr>
          </w:p>
        </w:tc>
        <w:tc>
          <w:tcPr>
            <w:tcW w:w="421" w:type="dxa"/>
          </w:tcPr>
          <w:p w14:paraId="56A85E08" w14:textId="77777777" w:rsidR="00614B34" w:rsidRPr="00CF6110" w:rsidRDefault="00614B34" w:rsidP="000815BC">
            <w:pPr>
              <w:rPr>
                <w:lang w:val="en-GB"/>
              </w:rPr>
            </w:pPr>
          </w:p>
        </w:tc>
        <w:tc>
          <w:tcPr>
            <w:tcW w:w="516" w:type="dxa"/>
          </w:tcPr>
          <w:p w14:paraId="142C2AF5" w14:textId="77777777" w:rsidR="00614B34" w:rsidRPr="00CF6110" w:rsidRDefault="00614B34" w:rsidP="000815BC">
            <w:pPr>
              <w:rPr>
                <w:lang w:val="en-GB"/>
              </w:rPr>
            </w:pPr>
          </w:p>
        </w:tc>
        <w:tc>
          <w:tcPr>
            <w:tcW w:w="421" w:type="dxa"/>
          </w:tcPr>
          <w:p w14:paraId="7D78A881" w14:textId="77777777" w:rsidR="00614B34" w:rsidRPr="00CF6110" w:rsidRDefault="00614B34" w:rsidP="000815BC">
            <w:pPr>
              <w:rPr>
                <w:lang w:val="en-GB"/>
              </w:rPr>
            </w:pPr>
          </w:p>
        </w:tc>
        <w:tc>
          <w:tcPr>
            <w:tcW w:w="516" w:type="dxa"/>
          </w:tcPr>
          <w:p w14:paraId="18E56336" w14:textId="77777777" w:rsidR="00614B34" w:rsidRPr="00CF6110" w:rsidRDefault="00614B34" w:rsidP="000815BC">
            <w:pPr>
              <w:rPr>
                <w:lang w:val="en-GB"/>
              </w:rPr>
            </w:pPr>
          </w:p>
        </w:tc>
        <w:tc>
          <w:tcPr>
            <w:tcW w:w="421" w:type="dxa"/>
          </w:tcPr>
          <w:p w14:paraId="331BDC52" w14:textId="77777777" w:rsidR="00614B34" w:rsidRPr="00CF6110" w:rsidRDefault="00614B34" w:rsidP="000815BC">
            <w:pPr>
              <w:rPr>
                <w:lang w:val="en-GB"/>
              </w:rPr>
            </w:pPr>
          </w:p>
        </w:tc>
        <w:tc>
          <w:tcPr>
            <w:tcW w:w="516" w:type="dxa"/>
          </w:tcPr>
          <w:p w14:paraId="4EDFF720" w14:textId="77777777" w:rsidR="00614B34" w:rsidRPr="00CF6110" w:rsidRDefault="00614B34" w:rsidP="000815BC">
            <w:pPr>
              <w:rPr>
                <w:lang w:val="en-GB"/>
              </w:rPr>
            </w:pPr>
          </w:p>
        </w:tc>
        <w:tc>
          <w:tcPr>
            <w:tcW w:w="421" w:type="dxa"/>
          </w:tcPr>
          <w:p w14:paraId="01186F74" w14:textId="77777777" w:rsidR="00614B34" w:rsidRPr="00CF6110" w:rsidRDefault="00614B34" w:rsidP="000815BC">
            <w:pPr>
              <w:rPr>
                <w:lang w:val="en-GB"/>
              </w:rPr>
            </w:pPr>
          </w:p>
        </w:tc>
      </w:tr>
      <w:tr w:rsidR="00614B34" w:rsidRPr="00CF6110" w14:paraId="5F42226F" w14:textId="77777777" w:rsidTr="000815BC">
        <w:tc>
          <w:tcPr>
            <w:tcW w:w="1491" w:type="dxa"/>
            <w:vMerge/>
            <w:tcBorders>
              <w:right w:val="nil"/>
            </w:tcBorders>
          </w:tcPr>
          <w:p w14:paraId="23FBDF71" w14:textId="77777777" w:rsidR="00614B34" w:rsidRPr="00CF6110" w:rsidRDefault="00614B34" w:rsidP="000815BC">
            <w:pPr>
              <w:rPr>
                <w:lang w:val="en-GB"/>
              </w:rPr>
            </w:pPr>
          </w:p>
        </w:tc>
        <w:tc>
          <w:tcPr>
            <w:tcW w:w="1311" w:type="dxa"/>
            <w:gridSpan w:val="3"/>
            <w:tcBorders>
              <w:top w:val="nil"/>
              <w:left w:val="nil"/>
              <w:bottom w:val="single" w:sz="4" w:space="0" w:color="auto"/>
            </w:tcBorders>
            <w:vAlign w:val="center"/>
          </w:tcPr>
          <w:p w14:paraId="10B7C9FB" w14:textId="77777777" w:rsidR="00614B34" w:rsidRPr="00CF6110" w:rsidRDefault="00614B34" w:rsidP="000815BC">
            <w:pPr>
              <w:jc w:val="right"/>
              <w:rPr>
                <w:lang w:val="en-GB"/>
              </w:rPr>
            </w:pPr>
            <w:r w:rsidRPr="00CF6110">
              <w:rPr>
                <w:lang w:val="en-GB"/>
              </w:rPr>
              <w:t>To left</w:t>
            </w:r>
          </w:p>
        </w:tc>
        <w:tc>
          <w:tcPr>
            <w:tcW w:w="614" w:type="dxa"/>
          </w:tcPr>
          <w:p w14:paraId="75CC6ECB" w14:textId="77777777" w:rsidR="00614B34" w:rsidRPr="00CF6110" w:rsidRDefault="00614B34" w:rsidP="000815BC">
            <w:pPr>
              <w:rPr>
                <w:lang w:val="en-GB"/>
              </w:rPr>
            </w:pPr>
          </w:p>
        </w:tc>
        <w:tc>
          <w:tcPr>
            <w:tcW w:w="421" w:type="dxa"/>
          </w:tcPr>
          <w:p w14:paraId="3EC36AAE" w14:textId="77777777" w:rsidR="00614B34" w:rsidRPr="00CF6110" w:rsidRDefault="00614B34" w:rsidP="000815BC">
            <w:pPr>
              <w:rPr>
                <w:lang w:val="en-GB"/>
              </w:rPr>
            </w:pPr>
          </w:p>
        </w:tc>
        <w:tc>
          <w:tcPr>
            <w:tcW w:w="516" w:type="dxa"/>
          </w:tcPr>
          <w:p w14:paraId="69E059EB" w14:textId="77777777" w:rsidR="00614B34" w:rsidRPr="00CF6110" w:rsidRDefault="00614B34" w:rsidP="000815BC">
            <w:pPr>
              <w:rPr>
                <w:lang w:val="en-GB"/>
              </w:rPr>
            </w:pPr>
          </w:p>
        </w:tc>
        <w:tc>
          <w:tcPr>
            <w:tcW w:w="421" w:type="dxa"/>
          </w:tcPr>
          <w:p w14:paraId="5EE67BDD" w14:textId="77777777" w:rsidR="00614B34" w:rsidRPr="00CF6110" w:rsidRDefault="00614B34" w:rsidP="000815BC">
            <w:pPr>
              <w:rPr>
                <w:lang w:val="en-GB"/>
              </w:rPr>
            </w:pPr>
          </w:p>
        </w:tc>
        <w:tc>
          <w:tcPr>
            <w:tcW w:w="516" w:type="dxa"/>
          </w:tcPr>
          <w:p w14:paraId="4B2AB1EA" w14:textId="77777777" w:rsidR="00614B34" w:rsidRPr="00CF6110" w:rsidRDefault="00614B34" w:rsidP="000815BC">
            <w:pPr>
              <w:rPr>
                <w:lang w:val="en-GB"/>
              </w:rPr>
            </w:pPr>
          </w:p>
        </w:tc>
        <w:tc>
          <w:tcPr>
            <w:tcW w:w="421" w:type="dxa"/>
          </w:tcPr>
          <w:p w14:paraId="3FF835AD" w14:textId="77777777" w:rsidR="00614B34" w:rsidRPr="00CF6110" w:rsidRDefault="00614B34" w:rsidP="000815BC">
            <w:pPr>
              <w:rPr>
                <w:lang w:val="en-GB"/>
              </w:rPr>
            </w:pPr>
          </w:p>
        </w:tc>
        <w:tc>
          <w:tcPr>
            <w:tcW w:w="516" w:type="dxa"/>
          </w:tcPr>
          <w:p w14:paraId="302FF541" w14:textId="77777777" w:rsidR="00614B34" w:rsidRPr="00CF6110" w:rsidRDefault="00614B34" w:rsidP="000815BC">
            <w:pPr>
              <w:rPr>
                <w:lang w:val="en-GB"/>
              </w:rPr>
            </w:pPr>
          </w:p>
        </w:tc>
        <w:tc>
          <w:tcPr>
            <w:tcW w:w="421" w:type="dxa"/>
          </w:tcPr>
          <w:p w14:paraId="3AE09C6D" w14:textId="77777777" w:rsidR="00614B34" w:rsidRPr="00CF6110" w:rsidRDefault="00614B34" w:rsidP="000815BC">
            <w:pPr>
              <w:rPr>
                <w:lang w:val="en-GB"/>
              </w:rPr>
            </w:pPr>
          </w:p>
        </w:tc>
        <w:tc>
          <w:tcPr>
            <w:tcW w:w="516" w:type="dxa"/>
          </w:tcPr>
          <w:p w14:paraId="55DDC4F5" w14:textId="77777777" w:rsidR="00614B34" w:rsidRPr="00CF6110" w:rsidRDefault="00614B34" w:rsidP="000815BC">
            <w:pPr>
              <w:rPr>
                <w:lang w:val="en-GB"/>
              </w:rPr>
            </w:pPr>
          </w:p>
        </w:tc>
        <w:tc>
          <w:tcPr>
            <w:tcW w:w="421" w:type="dxa"/>
          </w:tcPr>
          <w:p w14:paraId="37D9D028" w14:textId="77777777" w:rsidR="00614B34" w:rsidRPr="00CF6110" w:rsidRDefault="00614B34" w:rsidP="000815BC">
            <w:pPr>
              <w:rPr>
                <w:lang w:val="en-GB"/>
              </w:rPr>
            </w:pPr>
          </w:p>
        </w:tc>
        <w:tc>
          <w:tcPr>
            <w:tcW w:w="516" w:type="dxa"/>
          </w:tcPr>
          <w:p w14:paraId="3A13709D" w14:textId="77777777" w:rsidR="00614B34" w:rsidRPr="00CF6110" w:rsidRDefault="00614B34" w:rsidP="000815BC">
            <w:pPr>
              <w:rPr>
                <w:lang w:val="en-GB"/>
              </w:rPr>
            </w:pPr>
          </w:p>
        </w:tc>
        <w:tc>
          <w:tcPr>
            <w:tcW w:w="421" w:type="dxa"/>
          </w:tcPr>
          <w:p w14:paraId="16D407F6" w14:textId="77777777" w:rsidR="00614B34" w:rsidRPr="00CF6110" w:rsidRDefault="00614B34" w:rsidP="000815BC">
            <w:pPr>
              <w:rPr>
                <w:lang w:val="en-GB"/>
              </w:rPr>
            </w:pPr>
          </w:p>
        </w:tc>
      </w:tr>
      <w:tr w:rsidR="00614B34" w:rsidRPr="00CF6110" w14:paraId="15EB031A" w14:textId="77777777" w:rsidTr="000815BC">
        <w:tc>
          <w:tcPr>
            <w:tcW w:w="1491" w:type="dxa"/>
            <w:vMerge w:val="restart"/>
            <w:tcBorders>
              <w:right w:val="nil"/>
            </w:tcBorders>
            <w:vAlign w:val="center"/>
          </w:tcPr>
          <w:p w14:paraId="072FF3C4" w14:textId="77777777" w:rsidR="00614B34" w:rsidRPr="00CF6110" w:rsidRDefault="00614B34" w:rsidP="000815BC">
            <w:pPr>
              <w:rPr>
                <w:lang w:val="en-GB"/>
              </w:rPr>
            </w:pPr>
            <w:r w:rsidRPr="00CF6110">
              <w:rPr>
                <w:lang w:val="en-GB"/>
              </w:rPr>
              <w:t>6. Missile Recovered</w:t>
            </w:r>
          </w:p>
        </w:tc>
        <w:tc>
          <w:tcPr>
            <w:tcW w:w="1311" w:type="dxa"/>
            <w:gridSpan w:val="3"/>
            <w:tcBorders>
              <w:left w:val="nil"/>
              <w:bottom w:val="nil"/>
            </w:tcBorders>
            <w:vAlign w:val="center"/>
          </w:tcPr>
          <w:p w14:paraId="55A747D8" w14:textId="77777777" w:rsidR="00614B34" w:rsidRPr="00CF6110" w:rsidRDefault="00614B34" w:rsidP="000815BC">
            <w:pPr>
              <w:jc w:val="right"/>
              <w:rPr>
                <w:lang w:val="en-GB"/>
              </w:rPr>
            </w:pPr>
            <w:r w:rsidRPr="00CF6110">
              <w:rPr>
                <w:lang w:val="en-GB"/>
              </w:rPr>
              <w:t>Probable Calibre</w:t>
            </w:r>
          </w:p>
        </w:tc>
        <w:tc>
          <w:tcPr>
            <w:tcW w:w="614" w:type="dxa"/>
          </w:tcPr>
          <w:p w14:paraId="0D7C18AA" w14:textId="77777777" w:rsidR="00614B34" w:rsidRPr="00CF6110" w:rsidRDefault="00614B34" w:rsidP="000815BC">
            <w:pPr>
              <w:rPr>
                <w:lang w:val="en-GB"/>
              </w:rPr>
            </w:pPr>
          </w:p>
        </w:tc>
        <w:tc>
          <w:tcPr>
            <w:tcW w:w="421" w:type="dxa"/>
          </w:tcPr>
          <w:p w14:paraId="6CCAFA83" w14:textId="77777777" w:rsidR="00614B34" w:rsidRPr="00CF6110" w:rsidRDefault="00614B34" w:rsidP="000815BC">
            <w:pPr>
              <w:rPr>
                <w:lang w:val="en-GB"/>
              </w:rPr>
            </w:pPr>
          </w:p>
        </w:tc>
        <w:tc>
          <w:tcPr>
            <w:tcW w:w="516" w:type="dxa"/>
          </w:tcPr>
          <w:p w14:paraId="41F95BBE" w14:textId="77777777" w:rsidR="00614B34" w:rsidRPr="00CF6110" w:rsidRDefault="00614B34" w:rsidP="000815BC">
            <w:pPr>
              <w:rPr>
                <w:lang w:val="en-GB"/>
              </w:rPr>
            </w:pPr>
          </w:p>
        </w:tc>
        <w:tc>
          <w:tcPr>
            <w:tcW w:w="421" w:type="dxa"/>
          </w:tcPr>
          <w:p w14:paraId="16414E16" w14:textId="77777777" w:rsidR="00614B34" w:rsidRPr="00CF6110" w:rsidRDefault="00614B34" w:rsidP="000815BC">
            <w:pPr>
              <w:rPr>
                <w:lang w:val="en-GB"/>
              </w:rPr>
            </w:pPr>
          </w:p>
        </w:tc>
        <w:tc>
          <w:tcPr>
            <w:tcW w:w="516" w:type="dxa"/>
          </w:tcPr>
          <w:p w14:paraId="625D4F19" w14:textId="77777777" w:rsidR="00614B34" w:rsidRPr="00CF6110" w:rsidRDefault="00614B34" w:rsidP="000815BC">
            <w:pPr>
              <w:rPr>
                <w:lang w:val="en-GB"/>
              </w:rPr>
            </w:pPr>
          </w:p>
        </w:tc>
        <w:tc>
          <w:tcPr>
            <w:tcW w:w="421" w:type="dxa"/>
          </w:tcPr>
          <w:p w14:paraId="30B05942" w14:textId="77777777" w:rsidR="00614B34" w:rsidRPr="00CF6110" w:rsidRDefault="00614B34" w:rsidP="000815BC">
            <w:pPr>
              <w:rPr>
                <w:lang w:val="en-GB"/>
              </w:rPr>
            </w:pPr>
          </w:p>
        </w:tc>
        <w:tc>
          <w:tcPr>
            <w:tcW w:w="516" w:type="dxa"/>
          </w:tcPr>
          <w:p w14:paraId="785D1762" w14:textId="77777777" w:rsidR="00614B34" w:rsidRPr="00CF6110" w:rsidRDefault="00614B34" w:rsidP="000815BC">
            <w:pPr>
              <w:rPr>
                <w:lang w:val="en-GB"/>
              </w:rPr>
            </w:pPr>
          </w:p>
        </w:tc>
        <w:tc>
          <w:tcPr>
            <w:tcW w:w="421" w:type="dxa"/>
          </w:tcPr>
          <w:p w14:paraId="265705B6" w14:textId="77777777" w:rsidR="00614B34" w:rsidRPr="00CF6110" w:rsidRDefault="00614B34" w:rsidP="000815BC">
            <w:pPr>
              <w:rPr>
                <w:lang w:val="en-GB"/>
              </w:rPr>
            </w:pPr>
          </w:p>
        </w:tc>
        <w:tc>
          <w:tcPr>
            <w:tcW w:w="516" w:type="dxa"/>
          </w:tcPr>
          <w:p w14:paraId="7382DB60" w14:textId="77777777" w:rsidR="00614B34" w:rsidRPr="00CF6110" w:rsidRDefault="00614B34" w:rsidP="000815BC">
            <w:pPr>
              <w:rPr>
                <w:lang w:val="en-GB"/>
              </w:rPr>
            </w:pPr>
          </w:p>
        </w:tc>
        <w:tc>
          <w:tcPr>
            <w:tcW w:w="421" w:type="dxa"/>
          </w:tcPr>
          <w:p w14:paraId="7E26DDEB" w14:textId="77777777" w:rsidR="00614B34" w:rsidRPr="00CF6110" w:rsidRDefault="00614B34" w:rsidP="000815BC">
            <w:pPr>
              <w:rPr>
                <w:lang w:val="en-GB"/>
              </w:rPr>
            </w:pPr>
          </w:p>
        </w:tc>
        <w:tc>
          <w:tcPr>
            <w:tcW w:w="516" w:type="dxa"/>
          </w:tcPr>
          <w:p w14:paraId="341C7DE1" w14:textId="77777777" w:rsidR="00614B34" w:rsidRPr="00CF6110" w:rsidRDefault="00614B34" w:rsidP="000815BC">
            <w:pPr>
              <w:rPr>
                <w:lang w:val="en-GB"/>
              </w:rPr>
            </w:pPr>
          </w:p>
        </w:tc>
        <w:tc>
          <w:tcPr>
            <w:tcW w:w="421" w:type="dxa"/>
          </w:tcPr>
          <w:p w14:paraId="4415DDCE" w14:textId="77777777" w:rsidR="00614B34" w:rsidRPr="00CF6110" w:rsidRDefault="00614B34" w:rsidP="000815BC">
            <w:pPr>
              <w:rPr>
                <w:lang w:val="en-GB"/>
              </w:rPr>
            </w:pPr>
          </w:p>
        </w:tc>
      </w:tr>
      <w:tr w:rsidR="00614B34" w:rsidRPr="00CF6110" w14:paraId="6A85F790" w14:textId="77777777" w:rsidTr="000815BC">
        <w:tc>
          <w:tcPr>
            <w:tcW w:w="1491" w:type="dxa"/>
            <w:vMerge/>
            <w:tcBorders>
              <w:right w:val="nil"/>
            </w:tcBorders>
          </w:tcPr>
          <w:p w14:paraId="73E2B90F" w14:textId="77777777" w:rsidR="00614B34" w:rsidRPr="00CF6110" w:rsidRDefault="00614B34" w:rsidP="000815BC">
            <w:pPr>
              <w:rPr>
                <w:lang w:val="en-GB"/>
              </w:rPr>
            </w:pPr>
          </w:p>
        </w:tc>
        <w:tc>
          <w:tcPr>
            <w:tcW w:w="1311" w:type="dxa"/>
            <w:gridSpan w:val="3"/>
            <w:tcBorders>
              <w:top w:val="nil"/>
              <w:left w:val="nil"/>
            </w:tcBorders>
            <w:vAlign w:val="center"/>
          </w:tcPr>
          <w:p w14:paraId="5BE272A1" w14:textId="77777777" w:rsidR="00614B34" w:rsidRPr="00CF6110" w:rsidRDefault="00614B34" w:rsidP="000815BC">
            <w:pPr>
              <w:jc w:val="right"/>
              <w:rPr>
                <w:lang w:val="en-GB"/>
              </w:rPr>
            </w:pPr>
            <w:r w:rsidRPr="00CF6110">
              <w:rPr>
                <w:lang w:val="en-GB"/>
              </w:rPr>
              <w:t>Shotgun</w:t>
            </w:r>
          </w:p>
        </w:tc>
        <w:tc>
          <w:tcPr>
            <w:tcW w:w="614" w:type="dxa"/>
          </w:tcPr>
          <w:p w14:paraId="19545FD6" w14:textId="77777777" w:rsidR="00614B34" w:rsidRPr="00CF6110" w:rsidRDefault="00614B34" w:rsidP="000815BC">
            <w:pPr>
              <w:rPr>
                <w:lang w:val="en-GB"/>
              </w:rPr>
            </w:pPr>
          </w:p>
        </w:tc>
        <w:tc>
          <w:tcPr>
            <w:tcW w:w="421" w:type="dxa"/>
          </w:tcPr>
          <w:p w14:paraId="54ED43F2" w14:textId="77777777" w:rsidR="00614B34" w:rsidRPr="00CF6110" w:rsidRDefault="00614B34" w:rsidP="000815BC">
            <w:pPr>
              <w:rPr>
                <w:lang w:val="en-GB"/>
              </w:rPr>
            </w:pPr>
          </w:p>
        </w:tc>
        <w:tc>
          <w:tcPr>
            <w:tcW w:w="516" w:type="dxa"/>
          </w:tcPr>
          <w:p w14:paraId="2D548563" w14:textId="77777777" w:rsidR="00614B34" w:rsidRPr="00CF6110" w:rsidRDefault="00614B34" w:rsidP="000815BC">
            <w:pPr>
              <w:rPr>
                <w:lang w:val="en-GB"/>
              </w:rPr>
            </w:pPr>
          </w:p>
        </w:tc>
        <w:tc>
          <w:tcPr>
            <w:tcW w:w="421" w:type="dxa"/>
          </w:tcPr>
          <w:p w14:paraId="1E8E0514" w14:textId="77777777" w:rsidR="00614B34" w:rsidRPr="00CF6110" w:rsidRDefault="00614B34" w:rsidP="000815BC">
            <w:pPr>
              <w:rPr>
                <w:lang w:val="en-GB"/>
              </w:rPr>
            </w:pPr>
          </w:p>
        </w:tc>
        <w:tc>
          <w:tcPr>
            <w:tcW w:w="516" w:type="dxa"/>
          </w:tcPr>
          <w:p w14:paraId="49658923" w14:textId="77777777" w:rsidR="00614B34" w:rsidRPr="00CF6110" w:rsidRDefault="00614B34" w:rsidP="000815BC">
            <w:pPr>
              <w:rPr>
                <w:lang w:val="en-GB"/>
              </w:rPr>
            </w:pPr>
          </w:p>
        </w:tc>
        <w:tc>
          <w:tcPr>
            <w:tcW w:w="421" w:type="dxa"/>
          </w:tcPr>
          <w:p w14:paraId="574AD862" w14:textId="77777777" w:rsidR="00614B34" w:rsidRPr="00CF6110" w:rsidRDefault="00614B34" w:rsidP="000815BC">
            <w:pPr>
              <w:rPr>
                <w:lang w:val="en-GB"/>
              </w:rPr>
            </w:pPr>
          </w:p>
        </w:tc>
        <w:tc>
          <w:tcPr>
            <w:tcW w:w="516" w:type="dxa"/>
          </w:tcPr>
          <w:p w14:paraId="6D5C0B2E" w14:textId="77777777" w:rsidR="00614B34" w:rsidRPr="00CF6110" w:rsidRDefault="00614B34" w:rsidP="000815BC">
            <w:pPr>
              <w:rPr>
                <w:lang w:val="en-GB"/>
              </w:rPr>
            </w:pPr>
          </w:p>
        </w:tc>
        <w:tc>
          <w:tcPr>
            <w:tcW w:w="421" w:type="dxa"/>
          </w:tcPr>
          <w:p w14:paraId="7F25CCE8" w14:textId="77777777" w:rsidR="00614B34" w:rsidRPr="00CF6110" w:rsidRDefault="00614B34" w:rsidP="000815BC">
            <w:pPr>
              <w:rPr>
                <w:lang w:val="en-GB"/>
              </w:rPr>
            </w:pPr>
          </w:p>
        </w:tc>
        <w:tc>
          <w:tcPr>
            <w:tcW w:w="516" w:type="dxa"/>
          </w:tcPr>
          <w:p w14:paraId="6832E161" w14:textId="77777777" w:rsidR="00614B34" w:rsidRPr="00CF6110" w:rsidRDefault="00614B34" w:rsidP="000815BC">
            <w:pPr>
              <w:rPr>
                <w:lang w:val="en-GB"/>
              </w:rPr>
            </w:pPr>
          </w:p>
        </w:tc>
        <w:tc>
          <w:tcPr>
            <w:tcW w:w="421" w:type="dxa"/>
          </w:tcPr>
          <w:p w14:paraId="02FD453F" w14:textId="77777777" w:rsidR="00614B34" w:rsidRPr="00CF6110" w:rsidRDefault="00614B34" w:rsidP="000815BC">
            <w:pPr>
              <w:rPr>
                <w:lang w:val="en-GB"/>
              </w:rPr>
            </w:pPr>
          </w:p>
        </w:tc>
        <w:tc>
          <w:tcPr>
            <w:tcW w:w="516" w:type="dxa"/>
          </w:tcPr>
          <w:p w14:paraId="495630CB" w14:textId="77777777" w:rsidR="00614B34" w:rsidRPr="00CF6110" w:rsidRDefault="00614B34" w:rsidP="000815BC">
            <w:pPr>
              <w:rPr>
                <w:lang w:val="en-GB"/>
              </w:rPr>
            </w:pPr>
          </w:p>
        </w:tc>
        <w:tc>
          <w:tcPr>
            <w:tcW w:w="421" w:type="dxa"/>
          </w:tcPr>
          <w:p w14:paraId="0A9AAA5A" w14:textId="77777777" w:rsidR="00614B34" w:rsidRPr="00CF6110" w:rsidRDefault="00614B34" w:rsidP="000815BC">
            <w:pPr>
              <w:rPr>
                <w:lang w:val="en-GB"/>
              </w:rPr>
            </w:pPr>
          </w:p>
        </w:tc>
      </w:tr>
    </w:tbl>
    <w:p w14:paraId="30774A59" w14:textId="77777777" w:rsidR="00614B34" w:rsidRPr="00CF6110" w:rsidRDefault="00614B34" w:rsidP="00614B34"/>
    <w:p w14:paraId="6B6BF58C" w14:textId="77777777" w:rsidR="00614B34" w:rsidRPr="00CF6110" w:rsidRDefault="00614B34" w:rsidP="00E6192A">
      <w:pPr>
        <w:pStyle w:val="SingleTxtG"/>
      </w:pPr>
    </w:p>
    <w:p w14:paraId="27B7E50F" w14:textId="77777777" w:rsidR="00614B34" w:rsidRPr="00CF6110" w:rsidRDefault="00614B34" w:rsidP="00E6192A">
      <w:pPr>
        <w:pStyle w:val="SingleTxtG"/>
      </w:pPr>
    </w:p>
    <w:p w14:paraId="54DB4B30" w14:textId="77777777" w:rsidR="00614B34" w:rsidRPr="00CF6110" w:rsidRDefault="00614B34" w:rsidP="00E6192A">
      <w:pPr>
        <w:pStyle w:val="SingleTxtG"/>
      </w:pPr>
    </w:p>
    <w:p w14:paraId="7BE04900" w14:textId="77777777" w:rsidR="00614B34" w:rsidRPr="00CF6110" w:rsidRDefault="00614B34" w:rsidP="00E6192A">
      <w:pPr>
        <w:pStyle w:val="SingleTxtG"/>
      </w:pPr>
    </w:p>
    <w:p w14:paraId="665D79A9" w14:textId="77777777" w:rsidR="00614B34" w:rsidRPr="00CF6110" w:rsidRDefault="00614B34" w:rsidP="00E6192A">
      <w:pPr>
        <w:pStyle w:val="SingleTxtG"/>
      </w:pPr>
    </w:p>
    <w:p w14:paraId="2B11418E" w14:textId="77777777" w:rsidR="00614B34" w:rsidRPr="00CF6110" w:rsidRDefault="00614B34" w:rsidP="00E6192A">
      <w:pPr>
        <w:pStyle w:val="SingleTxtG"/>
      </w:pPr>
    </w:p>
    <w:p w14:paraId="500CB369" w14:textId="77777777" w:rsidR="00614B34" w:rsidRPr="00CF6110" w:rsidRDefault="00614B34" w:rsidP="00E6192A">
      <w:pPr>
        <w:pStyle w:val="SingleTxtG"/>
      </w:pPr>
    </w:p>
    <w:p w14:paraId="124BA049" w14:textId="77777777" w:rsidR="00614B34" w:rsidRPr="00CF6110" w:rsidRDefault="00614B34" w:rsidP="00E6192A">
      <w:pPr>
        <w:pStyle w:val="SingleTxtG"/>
      </w:pPr>
    </w:p>
    <w:p w14:paraId="7A50BB86" w14:textId="77777777" w:rsidR="00614B34" w:rsidRPr="00CF6110" w:rsidRDefault="00614B34" w:rsidP="00E6192A">
      <w:pPr>
        <w:pStyle w:val="SingleTxtG"/>
      </w:pPr>
    </w:p>
    <w:p w14:paraId="06370DED" w14:textId="77777777" w:rsidR="00614B34" w:rsidRPr="00CF6110" w:rsidRDefault="00614B34" w:rsidP="00E6192A">
      <w:pPr>
        <w:pStyle w:val="SingleTxtG"/>
      </w:pPr>
    </w:p>
    <w:p w14:paraId="091DF586" w14:textId="77777777" w:rsidR="00614B34" w:rsidRPr="00CF6110" w:rsidRDefault="00614B34" w:rsidP="00614B34">
      <w:pPr>
        <w:pStyle w:val="H1G"/>
        <w:spacing w:line="240" w:lineRule="atLeast"/>
        <w:rPr>
          <w:bCs/>
        </w:rPr>
      </w:pPr>
      <w:r w:rsidRPr="00CF6110">
        <w:tab/>
        <w:t xml:space="preserve">Annex 4. </w:t>
      </w:r>
      <w:r w:rsidRPr="00CF6110">
        <w:tab/>
      </w:r>
      <w:r w:rsidRPr="00CF6110">
        <w:rPr>
          <w:bCs/>
        </w:rPr>
        <w:t>Stab Wound / Laceration Chart</w:t>
      </w:r>
    </w:p>
    <w:p w14:paraId="5D60C08A" w14:textId="77777777" w:rsidR="00614B34" w:rsidRPr="00CF6110" w:rsidRDefault="00614B34" w:rsidP="00614B34">
      <w:pPr>
        <w:spacing w:after="200" w:line="276" w:lineRule="auto"/>
      </w:pPr>
    </w:p>
    <w:p w14:paraId="63C74413" w14:textId="77777777" w:rsidR="00614B34" w:rsidRPr="00CF6110" w:rsidRDefault="00614B34" w:rsidP="00614B34">
      <w:pPr>
        <w:rPr>
          <w:b/>
        </w:rPr>
      </w:pPr>
      <w:r w:rsidRPr="00CF6110">
        <w:rPr>
          <w:b/>
        </w:rPr>
        <w:t>NAME</w:t>
      </w:r>
      <w:proofErr w:type="gramStart"/>
      <w:r w:rsidRPr="00CF6110">
        <w:rPr>
          <w:b/>
        </w:rPr>
        <w:t>:_</w:t>
      </w:r>
      <w:proofErr w:type="gramEnd"/>
      <w:r w:rsidRPr="00CF6110">
        <w:rPr>
          <w:b/>
        </w:rPr>
        <w:t>___________________________________CASE NO: _____________</w:t>
      </w:r>
    </w:p>
    <w:p w14:paraId="6E8B73DA" w14:textId="77777777" w:rsidR="00614B34" w:rsidRPr="00CF6110" w:rsidRDefault="00614B34" w:rsidP="00614B34">
      <w:pPr>
        <w:jc w:val="center"/>
        <w:rPr>
          <w:b/>
        </w:rPr>
      </w:pPr>
    </w:p>
    <w:tbl>
      <w:tblPr>
        <w:tblStyle w:val="Grilledutableau"/>
        <w:tblW w:w="0" w:type="auto"/>
        <w:tblLook w:val="04A0" w:firstRow="1" w:lastRow="0" w:firstColumn="1" w:lastColumn="0" w:noHBand="0" w:noVBand="1"/>
      </w:tblPr>
      <w:tblGrid>
        <w:gridCol w:w="1911"/>
        <w:gridCol w:w="810"/>
        <w:gridCol w:w="1465"/>
        <w:gridCol w:w="500"/>
        <w:gridCol w:w="501"/>
        <w:gridCol w:w="501"/>
        <w:gridCol w:w="501"/>
        <w:gridCol w:w="501"/>
        <w:gridCol w:w="501"/>
        <w:gridCol w:w="501"/>
        <w:gridCol w:w="501"/>
        <w:gridCol w:w="501"/>
        <w:gridCol w:w="548"/>
      </w:tblGrid>
      <w:tr w:rsidR="00614B34" w:rsidRPr="00CF6110" w14:paraId="167C11A0" w14:textId="77777777" w:rsidTr="000815BC">
        <w:tc>
          <w:tcPr>
            <w:tcW w:w="1911" w:type="dxa"/>
            <w:vMerge w:val="restart"/>
            <w:tcBorders>
              <w:top w:val="single" w:sz="4" w:space="0" w:color="auto"/>
              <w:left w:val="single" w:sz="4" w:space="0" w:color="auto"/>
              <w:right w:val="nil"/>
            </w:tcBorders>
            <w:vAlign w:val="center"/>
          </w:tcPr>
          <w:p w14:paraId="76E8620F" w14:textId="77777777" w:rsidR="00614B34" w:rsidRPr="00CF6110" w:rsidRDefault="00614B34" w:rsidP="00614B34">
            <w:pPr>
              <w:pStyle w:val="Paragraphedeliste"/>
              <w:numPr>
                <w:ilvl w:val="0"/>
                <w:numId w:val="21"/>
              </w:numPr>
              <w:ind w:hanging="578"/>
              <w:jc w:val="center"/>
              <w:rPr>
                <w:rFonts w:ascii="Times New Roman" w:hAnsi="Times New Roman" w:cs="Times New Roman"/>
                <w:noProof w:val="0"/>
                <w:sz w:val="20"/>
                <w:szCs w:val="20"/>
                <w:lang w:val="en-GB"/>
              </w:rPr>
            </w:pPr>
            <w:r w:rsidRPr="00CF6110">
              <w:rPr>
                <w:rFonts w:ascii="Times New Roman" w:hAnsi="Times New Roman" w:cs="Times New Roman"/>
                <w:noProof w:val="0"/>
                <w:sz w:val="20"/>
                <w:szCs w:val="20"/>
                <w:lang w:val="en-GB"/>
              </w:rPr>
              <w:t>Location of wound:</w:t>
            </w:r>
          </w:p>
        </w:tc>
        <w:tc>
          <w:tcPr>
            <w:tcW w:w="810" w:type="dxa"/>
            <w:vMerge w:val="restart"/>
            <w:tcBorders>
              <w:top w:val="single" w:sz="4" w:space="0" w:color="auto"/>
              <w:left w:val="nil"/>
              <w:right w:val="nil"/>
            </w:tcBorders>
          </w:tcPr>
          <w:p w14:paraId="4C06E0FE" w14:textId="77777777" w:rsidR="00614B34" w:rsidRPr="00CF6110" w:rsidRDefault="00614B34" w:rsidP="000815BC">
            <w:pPr>
              <w:rPr>
                <w:lang w:val="en-GB"/>
              </w:rPr>
            </w:pPr>
          </w:p>
        </w:tc>
        <w:tc>
          <w:tcPr>
            <w:tcW w:w="1465" w:type="dxa"/>
            <w:tcBorders>
              <w:top w:val="single" w:sz="4" w:space="0" w:color="auto"/>
              <w:left w:val="nil"/>
              <w:bottom w:val="nil"/>
            </w:tcBorders>
          </w:tcPr>
          <w:p w14:paraId="3EF260BE" w14:textId="77777777" w:rsidR="00614B34" w:rsidRPr="00CF6110" w:rsidRDefault="00614B34" w:rsidP="000815BC">
            <w:pPr>
              <w:rPr>
                <w:lang w:val="en-GB"/>
              </w:rPr>
            </w:pPr>
          </w:p>
        </w:tc>
        <w:tc>
          <w:tcPr>
            <w:tcW w:w="5056" w:type="dxa"/>
            <w:gridSpan w:val="10"/>
            <w:tcBorders>
              <w:top w:val="single" w:sz="4" w:space="0" w:color="auto"/>
              <w:right w:val="single" w:sz="4" w:space="0" w:color="auto"/>
            </w:tcBorders>
          </w:tcPr>
          <w:p w14:paraId="73762526" w14:textId="77777777" w:rsidR="00614B34" w:rsidRPr="00CF6110" w:rsidRDefault="00614B34" w:rsidP="000815BC">
            <w:pPr>
              <w:jc w:val="center"/>
              <w:rPr>
                <w:lang w:val="en-GB"/>
              </w:rPr>
            </w:pPr>
            <w:r w:rsidRPr="00CF6110">
              <w:rPr>
                <w:lang w:val="en-GB"/>
              </w:rPr>
              <w:t>WOUND NO.</w:t>
            </w:r>
          </w:p>
        </w:tc>
      </w:tr>
      <w:tr w:rsidR="00614B34" w:rsidRPr="00CF6110" w14:paraId="0F368B0B" w14:textId="77777777" w:rsidTr="000815BC">
        <w:tc>
          <w:tcPr>
            <w:tcW w:w="1911" w:type="dxa"/>
            <w:vMerge/>
            <w:tcBorders>
              <w:left w:val="single" w:sz="4" w:space="0" w:color="auto"/>
              <w:right w:val="nil"/>
            </w:tcBorders>
          </w:tcPr>
          <w:p w14:paraId="30BCF37A" w14:textId="77777777" w:rsidR="00614B34" w:rsidRPr="00CF6110" w:rsidRDefault="00614B34" w:rsidP="000815BC">
            <w:pPr>
              <w:jc w:val="center"/>
              <w:rPr>
                <w:b/>
                <w:lang w:val="en-GB"/>
              </w:rPr>
            </w:pPr>
          </w:p>
        </w:tc>
        <w:tc>
          <w:tcPr>
            <w:tcW w:w="810" w:type="dxa"/>
            <w:vMerge/>
            <w:tcBorders>
              <w:left w:val="nil"/>
              <w:right w:val="nil"/>
            </w:tcBorders>
          </w:tcPr>
          <w:p w14:paraId="5BD56CAE" w14:textId="77777777" w:rsidR="00614B34" w:rsidRPr="00CF6110" w:rsidRDefault="00614B34" w:rsidP="000815BC">
            <w:pPr>
              <w:jc w:val="center"/>
              <w:rPr>
                <w:b/>
                <w:lang w:val="en-GB"/>
              </w:rPr>
            </w:pPr>
          </w:p>
        </w:tc>
        <w:tc>
          <w:tcPr>
            <w:tcW w:w="1465" w:type="dxa"/>
            <w:tcBorders>
              <w:top w:val="nil"/>
              <w:left w:val="nil"/>
              <w:bottom w:val="nil"/>
            </w:tcBorders>
          </w:tcPr>
          <w:p w14:paraId="25B7357D" w14:textId="77777777" w:rsidR="00614B34" w:rsidRPr="00CF6110" w:rsidRDefault="00614B34" w:rsidP="000815BC">
            <w:pPr>
              <w:jc w:val="center"/>
              <w:rPr>
                <w:b/>
                <w:lang w:val="en-GB"/>
              </w:rPr>
            </w:pPr>
          </w:p>
        </w:tc>
        <w:tc>
          <w:tcPr>
            <w:tcW w:w="500" w:type="dxa"/>
          </w:tcPr>
          <w:p w14:paraId="008BD3EE" w14:textId="77777777" w:rsidR="00614B34" w:rsidRPr="00CF6110" w:rsidRDefault="00614B34" w:rsidP="000815BC">
            <w:pPr>
              <w:jc w:val="center"/>
              <w:rPr>
                <w:b/>
                <w:lang w:val="en-GB"/>
              </w:rPr>
            </w:pPr>
            <w:r w:rsidRPr="00CF6110">
              <w:rPr>
                <w:b/>
                <w:lang w:val="en-GB"/>
              </w:rPr>
              <w:t>1</w:t>
            </w:r>
          </w:p>
        </w:tc>
        <w:tc>
          <w:tcPr>
            <w:tcW w:w="501" w:type="dxa"/>
          </w:tcPr>
          <w:p w14:paraId="0F4E0AEF" w14:textId="77777777" w:rsidR="00614B34" w:rsidRPr="00CF6110" w:rsidRDefault="00614B34" w:rsidP="000815BC">
            <w:pPr>
              <w:jc w:val="center"/>
              <w:rPr>
                <w:b/>
                <w:lang w:val="en-GB"/>
              </w:rPr>
            </w:pPr>
            <w:r w:rsidRPr="00CF6110">
              <w:rPr>
                <w:b/>
                <w:lang w:val="en-GB"/>
              </w:rPr>
              <w:t>2</w:t>
            </w:r>
          </w:p>
        </w:tc>
        <w:tc>
          <w:tcPr>
            <w:tcW w:w="501" w:type="dxa"/>
          </w:tcPr>
          <w:p w14:paraId="40063284" w14:textId="77777777" w:rsidR="00614B34" w:rsidRPr="00CF6110" w:rsidRDefault="00614B34" w:rsidP="000815BC">
            <w:pPr>
              <w:jc w:val="center"/>
              <w:rPr>
                <w:b/>
                <w:lang w:val="en-GB"/>
              </w:rPr>
            </w:pPr>
            <w:r w:rsidRPr="00CF6110">
              <w:rPr>
                <w:b/>
                <w:lang w:val="en-GB"/>
              </w:rPr>
              <w:t>3</w:t>
            </w:r>
          </w:p>
        </w:tc>
        <w:tc>
          <w:tcPr>
            <w:tcW w:w="501" w:type="dxa"/>
          </w:tcPr>
          <w:p w14:paraId="48CCC011" w14:textId="77777777" w:rsidR="00614B34" w:rsidRPr="00CF6110" w:rsidRDefault="00614B34" w:rsidP="000815BC">
            <w:pPr>
              <w:jc w:val="center"/>
              <w:rPr>
                <w:b/>
                <w:lang w:val="en-GB"/>
              </w:rPr>
            </w:pPr>
            <w:r w:rsidRPr="00CF6110">
              <w:rPr>
                <w:b/>
                <w:lang w:val="en-GB"/>
              </w:rPr>
              <w:t>4</w:t>
            </w:r>
          </w:p>
        </w:tc>
        <w:tc>
          <w:tcPr>
            <w:tcW w:w="501" w:type="dxa"/>
          </w:tcPr>
          <w:p w14:paraId="71F120B1" w14:textId="77777777" w:rsidR="00614B34" w:rsidRPr="00CF6110" w:rsidRDefault="00614B34" w:rsidP="000815BC">
            <w:pPr>
              <w:jc w:val="center"/>
              <w:rPr>
                <w:b/>
                <w:lang w:val="en-GB"/>
              </w:rPr>
            </w:pPr>
            <w:r w:rsidRPr="00CF6110">
              <w:rPr>
                <w:b/>
                <w:lang w:val="en-GB"/>
              </w:rPr>
              <w:t>5</w:t>
            </w:r>
          </w:p>
        </w:tc>
        <w:tc>
          <w:tcPr>
            <w:tcW w:w="501" w:type="dxa"/>
          </w:tcPr>
          <w:p w14:paraId="4A80224F" w14:textId="77777777" w:rsidR="00614B34" w:rsidRPr="00CF6110" w:rsidRDefault="00614B34" w:rsidP="000815BC">
            <w:pPr>
              <w:jc w:val="center"/>
              <w:rPr>
                <w:b/>
                <w:lang w:val="en-GB"/>
              </w:rPr>
            </w:pPr>
            <w:r w:rsidRPr="00CF6110">
              <w:rPr>
                <w:b/>
                <w:lang w:val="en-GB"/>
              </w:rPr>
              <w:t>6</w:t>
            </w:r>
          </w:p>
        </w:tc>
        <w:tc>
          <w:tcPr>
            <w:tcW w:w="501" w:type="dxa"/>
          </w:tcPr>
          <w:p w14:paraId="30B0FBDB" w14:textId="77777777" w:rsidR="00614B34" w:rsidRPr="00CF6110" w:rsidRDefault="00614B34" w:rsidP="000815BC">
            <w:pPr>
              <w:jc w:val="center"/>
              <w:rPr>
                <w:b/>
                <w:lang w:val="en-GB"/>
              </w:rPr>
            </w:pPr>
            <w:r w:rsidRPr="00CF6110">
              <w:rPr>
                <w:b/>
                <w:lang w:val="en-GB"/>
              </w:rPr>
              <w:t>7</w:t>
            </w:r>
          </w:p>
        </w:tc>
        <w:tc>
          <w:tcPr>
            <w:tcW w:w="501" w:type="dxa"/>
          </w:tcPr>
          <w:p w14:paraId="10BABB28" w14:textId="77777777" w:rsidR="00614B34" w:rsidRPr="00CF6110" w:rsidRDefault="00614B34" w:rsidP="000815BC">
            <w:pPr>
              <w:jc w:val="center"/>
              <w:rPr>
                <w:b/>
                <w:lang w:val="en-GB"/>
              </w:rPr>
            </w:pPr>
            <w:r w:rsidRPr="00CF6110">
              <w:rPr>
                <w:b/>
                <w:lang w:val="en-GB"/>
              </w:rPr>
              <w:t>8</w:t>
            </w:r>
          </w:p>
        </w:tc>
        <w:tc>
          <w:tcPr>
            <w:tcW w:w="501" w:type="dxa"/>
          </w:tcPr>
          <w:p w14:paraId="66AAA2A7" w14:textId="77777777" w:rsidR="00614B34" w:rsidRPr="00CF6110" w:rsidRDefault="00614B34" w:rsidP="000815BC">
            <w:pPr>
              <w:jc w:val="center"/>
              <w:rPr>
                <w:b/>
                <w:lang w:val="en-GB"/>
              </w:rPr>
            </w:pPr>
            <w:r w:rsidRPr="00CF6110">
              <w:rPr>
                <w:b/>
                <w:lang w:val="en-GB"/>
              </w:rPr>
              <w:t>9</w:t>
            </w:r>
          </w:p>
        </w:tc>
        <w:tc>
          <w:tcPr>
            <w:tcW w:w="548" w:type="dxa"/>
            <w:tcBorders>
              <w:right w:val="single" w:sz="4" w:space="0" w:color="auto"/>
            </w:tcBorders>
          </w:tcPr>
          <w:p w14:paraId="3B2ED88E" w14:textId="77777777" w:rsidR="00614B34" w:rsidRPr="00CF6110" w:rsidRDefault="00614B34" w:rsidP="000815BC">
            <w:pPr>
              <w:jc w:val="center"/>
              <w:rPr>
                <w:b/>
                <w:lang w:val="en-GB"/>
              </w:rPr>
            </w:pPr>
            <w:r w:rsidRPr="00CF6110">
              <w:rPr>
                <w:b/>
                <w:lang w:val="en-GB"/>
              </w:rPr>
              <w:t>10</w:t>
            </w:r>
          </w:p>
        </w:tc>
      </w:tr>
      <w:tr w:rsidR="00614B34" w:rsidRPr="00CF6110" w14:paraId="04B3A652" w14:textId="77777777" w:rsidTr="000815BC">
        <w:tc>
          <w:tcPr>
            <w:tcW w:w="1911" w:type="dxa"/>
            <w:vMerge/>
            <w:tcBorders>
              <w:left w:val="single" w:sz="4" w:space="0" w:color="auto"/>
              <w:right w:val="nil"/>
            </w:tcBorders>
          </w:tcPr>
          <w:p w14:paraId="3A80D51A" w14:textId="77777777" w:rsidR="00614B34" w:rsidRPr="00CF6110" w:rsidRDefault="00614B34" w:rsidP="000815BC">
            <w:pPr>
              <w:rPr>
                <w:lang w:val="en-GB"/>
              </w:rPr>
            </w:pPr>
          </w:p>
        </w:tc>
        <w:tc>
          <w:tcPr>
            <w:tcW w:w="810" w:type="dxa"/>
            <w:vMerge/>
            <w:tcBorders>
              <w:left w:val="nil"/>
              <w:right w:val="nil"/>
            </w:tcBorders>
          </w:tcPr>
          <w:p w14:paraId="7B7C1172" w14:textId="77777777" w:rsidR="00614B34" w:rsidRPr="00CF6110" w:rsidRDefault="00614B34" w:rsidP="000815BC">
            <w:pPr>
              <w:rPr>
                <w:lang w:val="en-GB"/>
              </w:rPr>
            </w:pPr>
          </w:p>
        </w:tc>
        <w:tc>
          <w:tcPr>
            <w:tcW w:w="1465" w:type="dxa"/>
            <w:tcBorders>
              <w:top w:val="nil"/>
              <w:left w:val="nil"/>
              <w:bottom w:val="nil"/>
            </w:tcBorders>
          </w:tcPr>
          <w:p w14:paraId="61B63BCC" w14:textId="77777777" w:rsidR="00614B34" w:rsidRPr="00CF6110" w:rsidRDefault="00614B34" w:rsidP="000815BC">
            <w:pPr>
              <w:jc w:val="right"/>
              <w:rPr>
                <w:lang w:val="en-GB"/>
              </w:rPr>
            </w:pPr>
            <w:r w:rsidRPr="00CF6110">
              <w:rPr>
                <w:lang w:val="en-GB"/>
              </w:rPr>
              <w:t>Head</w:t>
            </w:r>
          </w:p>
        </w:tc>
        <w:tc>
          <w:tcPr>
            <w:tcW w:w="500" w:type="dxa"/>
          </w:tcPr>
          <w:p w14:paraId="2720E4D7" w14:textId="77777777" w:rsidR="00614B34" w:rsidRPr="00CF6110" w:rsidRDefault="00614B34" w:rsidP="000815BC">
            <w:pPr>
              <w:rPr>
                <w:lang w:val="en-GB"/>
              </w:rPr>
            </w:pPr>
          </w:p>
        </w:tc>
        <w:tc>
          <w:tcPr>
            <w:tcW w:w="501" w:type="dxa"/>
          </w:tcPr>
          <w:p w14:paraId="33F7DCE1" w14:textId="77777777" w:rsidR="00614B34" w:rsidRPr="00CF6110" w:rsidRDefault="00614B34" w:rsidP="000815BC">
            <w:pPr>
              <w:rPr>
                <w:lang w:val="en-GB"/>
              </w:rPr>
            </w:pPr>
          </w:p>
        </w:tc>
        <w:tc>
          <w:tcPr>
            <w:tcW w:w="501" w:type="dxa"/>
          </w:tcPr>
          <w:p w14:paraId="46E1763C" w14:textId="77777777" w:rsidR="00614B34" w:rsidRPr="00CF6110" w:rsidRDefault="00614B34" w:rsidP="000815BC">
            <w:pPr>
              <w:rPr>
                <w:lang w:val="en-GB"/>
              </w:rPr>
            </w:pPr>
          </w:p>
        </w:tc>
        <w:tc>
          <w:tcPr>
            <w:tcW w:w="501" w:type="dxa"/>
          </w:tcPr>
          <w:p w14:paraId="5281B51C" w14:textId="77777777" w:rsidR="00614B34" w:rsidRPr="00CF6110" w:rsidRDefault="00614B34" w:rsidP="000815BC">
            <w:pPr>
              <w:rPr>
                <w:lang w:val="en-GB"/>
              </w:rPr>
            </w:pPr>
          </w:p>
        </w:tc>
        <w:tc>
          <w:tcPr>
            <w:tcW w:w="501" w:type="dxa"/>
          </w:tcPr>
          <w:p w14:paraId="550DE0CA" w14:textId="77777777" w:rsidR="00614B34" w:rsidRPr="00CF6110" w:rsidRDefault="00614B34" w:rsidP="000815BC">
            <w:pPr>
              <w:rPr>
                <w:lang w:val="en-GB"/>
              </w:rPr>
            </w:pPr>
          </w:p>
        </w:tc>
        <w:tc>
          <w:tcPr>
            <w:tcW w:w="501" w:type="dxa"/>
          </w:tcPr>
          <w:p w14:paraId="10759B9F" w14:textId="77777777" w:rsidR="00614B34" w:rsidRPr="00CF6110" w:rsidRDefault="00614B34" w:rsidP="000815BC">
            <w:pPr>
              <w:rPr>
                <w:lang w:val="en-GB"/>
              </w:rPr>
            </w:pPr>
          </w:p>
        </w:tc>
        <w:tc>
          <w:tcPr>
            <w:tcW w:w="501" w:type="dxa"/>
          </w:tcPr>
          <w:p w14:paraId="0ADFEE5E" w14:textId="77777777" w:rsidR="00614B34" w:rsidRPr="00CF6110" w:rsidRDefault="00614B34" w:rsidP="000815BC">
            <w:pPr>
              <w:rPr>
                <w:lang w:val="en-GB"/>
              </w:rPr>
            </w:pPr>
          </w:p>
        </w:tc>
        <w:tc>
          <w:tcPr>
            <w:tcW w:w="501" w:type="dxa"/>
          </w:tcPr>
          <w:p w14:paraId="4BC84A30" w14:textId="77777777" w:rsidR="00614B34" w:rsidRPr="00CF6110" w:rsidRDefault="00614B34" w:rsidP="000815BC">
            <w:pPr>
              <w:rPr>
                <w:lang w:val="en-GB"/>
              </w:rPr>
            </w:pPr>
          </w:p>
        </w:tc>
        <w:tc>
          <w:tcPr>
            <w:tcW w:w="501" w:type="dxa"/>
          </w:tcPr>
          <w:p w14:paraId="5DD2FC8F" w14:textId="77777777" w:rsidR="00614B34" w:rsidRPr="00CF6110" w:rsidRDefault="00614B34" w:rsidP="000815BC">
            <w:pPr>
              <w:rPr>
                <w:lang w:val="en-GB"/>
              </w:rPr>
            </w:pPr>
          </w:p>
        </w:tc>
        <w:tc>
          <w:tcPr>
            <w:tcW w:w="548" w:type="dxa"/>
            <w:tcBorders>
              <w:right w:val="single" w:sz="4" w:space="0" w:color="auto"/>
            </w:tcBorders>
          </w:tcPr>
          <w:p w14:paraId="022FF416" w14:textId="77777777" w:rsidR="00614B34" w:rsidRPr="00CF6110" w:rsidRDefault="00614B34" w:rsidP="000815BC">
            <w:pPr>
              <w:rPr>
                <w:lang w:val="en-GB"/>
              </w:rPr>
            </w:pPr>
          </w:p>
        </w:tc>
      </w:tr>
      <w:tr w:rsidR="00614B34" w:rsidRPr="00CF6110" w14:paraId="0B088C8D" w14:textId="77777777" w:rsidTr="000815BC">
        <w:tc>
          <w:tcPr>
            <w:tcW w:w="1911" w:type="dxa"/>
            <w:vMerge/>
            <w:tcBorders>
              <w:left w:val="single" w:sz="4" w:space="0" w:color="auto"/>
              <w:right w:val="nil"/>
            </w:tcBorders>
          </w:tcPr>
          <w:p w14:paraId="7B003F5A" w14:textId="77777777" w:rsidR="00614B34" w:rsidRPr="00CF6110" w:rsidRDefault="00614B34" w:rsidP="000815BC">
            <w:pPr>
              <w:rPr>
                <w:lang w:val="en-GB"/>
              </w:rPr>
            </w:pPr>
          </w:p>
        </w:tc>
        <w:tc>
          <w:tcPr>
            <w:tcW w:w="810" w:type="dxa"/>
            <w:vMerge/>
            <w:tcBorders>
              <w:left w:val="nil"/>
              <w:right w:val="nil"/>
            </w:tcBorders>
          </w:tcPr>
          <w:p w14:paraId="538B4CEE" w14:textId="77777777" w:rsidR="00614B34" w:rsidRPr="00CF6110" w:rsidRDefault="00614B34" w:rsidP="000815BC">
            <w:pPr>
              <w:rPr>
                <w:lang w:val="en-GB"/>
              </w:rPr>
            </w:pPr>
          </w:p>
        </w:tc>
        <w:tc>
          <w:tcPr>
            <w:tcW w:w="1465" w:type="dxa"/>
            <w:tcBorders>
              <w:top w:val="nil"/>
              <w:left w:val="nil"/>
              <w:bottom w:val="nil"/>
            </w:tcBorders>
          </w:tcPr>
          <w:p w14:paraId="22133116" w14:textId="77777777" w:rsidR="00614B34" w:rsidRPr="00CF6110" w:rsidRDefault="00614B34" w:rsidP="000815BC">
            <w:pPr>
              <w:jc w:val="right"/>
              <w:rPr>
                <w:lang w:val="en-GB"/>
              </w:rPr>
            </w:pPr>
            <w:r w:rsidRPr="00CF6110">
              <w:rPr>
                <w:lang w:val="en-GB"/>
              </w:rPr>
              <w:t>Neck</w:t>
            </w:r>
          </w:p>
        </w:tc>
        <w:tc>
          <w:tcPr>
            <w:tcW w:w="500" w:type="dxa"/>
          </w:tcPr>
          <w:p w14:paraId="554EDEAD" w14:textId="77777777" w:rsidR="00614B34" w:rsidRPr="00CF6110" w:rsidRDefault="00614B34" w:rsidP="000815BC">
            <w:pPr>
              <w:rPr>
                <w:lang w:val="en-GB"/>
              </w:rPr>
            </w:pPr>
          </w:p>
        </w:tc>
        <w:tc>
          <w:tcPr>
            <w:tcW w:w="501" w:type="dxa"/>
          </w:tcPr>
          <w:p w14:paraId="4DC169D7" w14:textId="77777777" w:rsidR="00614B34" w:rsidRPr="00CF6110" w:rsidRDefault="00614B34" w:rsidP="000815BC">
            <w:pPr>
              <w:rPr>
                <w:lang w:val="en-GB"/>
              </w:rPr>
            </w:pPr>
          </w:p>
        </w:tc>
        <w:tc>
          <w:tcPr>
            <w:tcW w:w="501" w:type="dxa"/>
          </w:tcPr>
          <w:p w14:paraId="10063287" w14:textId="77777777" w:rsidR="00614B34" w:rsidRPr="00CF6110" w:rsidRDefault="00614B34" w:rsidP="000815BC">
            <w:pPr>
              <w:rPr>
                <w:lang w:val="en-GB"/>
              </w:rPr>
            </w:pPr>
          </w:p>
        </w:tc>
        <w:tc>
          <w:tcPr>
            <w:tcW w:w="501" w:type="dxa"/>
          </w:tcPr>
          <w:p w14:paraId="58CD1B37" w14:textId="77777777" w:rsidR="00614B34" w:rsidRPr="00CF6110" w:rsidRDefault="00614B34" w:rsidP="000815BC">
            <w:pPr>
              <w:rPr>
                <w:lang w:val="en-GB"/>
              </w:rPr>
            </w:pPr>
          </w:p>
        </w:tc>
        <w:tc>
          <w:tcPr>
            <w:tcW w:w="501" w:type="dxa"/>
          </w:tcPr>
          <w:p w14:paraId="4F99F355" w14:textId="77777777" w:rsidR="00614B34" w:rsidRPr="00CF6110" w:rsidRDefault="00614B34" w:rsidP="000815BC">
            <w:pPr>
              <w:rPr>
                <w:lang w:val="en-GB"/>
              </w:rPr>
            </w:pPr>
          </w:p>
        </w:tc>
        <w:tc>
          <w:tcPr>
            <w:tcW w:w="501" w:type="dxa"/>
          </w:tcPr>
          <w:p w14:paraId="6018E25D" w14:textId="77777777" w:rsidR="00614B34" w:rsidRPr="00CF6110" w:rsidRDefault="00614B34" w:rsidP="000815BC">
            <w:pPr>
              <w:rPr>
                <w:lang w:val="en-GB"/>
              </w:rPr>
            </w:pPr>
          </w:p>
        </w:tc>
        <w:tc>
          <w:tcPr>
            <w:tcW w:w="501" w:type="dxa"/>
          </w:tcPr>
          <w:p w14:paraId="35B0E580" w14:textId="77777777" w:rsidR="00614B34" w:rsidRPr="00CF6110" w:rsidRDefault="00614B34" w:rsidP="000815BC">
            <w:pPr>
              <w:rPr>
                <w:lang w:val="en-GB"/>
              </w:rPr>
            </w:pPr>
          </w:p>
        </w:tc>
        <w:tc>
          <w:tcPr>
            <w:tcW w:w="501" w:type="dxa"/>
          </w:tcPr>
          <w:p w14:paraId="5E611F90" w14:textId="77777777" w:rsidR="00614B34" w:rsidRPr="00CF6110" w:rsidRDefault="00614B34" w:rsidP="000815BC">
            <w:pPr>
              <w:rPr>
                <w:lang w:val="en-GB"/>
              </w:rPr>
            </w:pPr>
          </w:p>
        </w:tc>
        <w:tc>
          <w:tcPr>
            <w:tcW w:w="501" w:type="dxa"/>
          </w:tcPr>
          <w:p w14:paraId="4F04BCC4" w14:textId="77777777" w:rsidR="00614B34" w:rsidRPr="00CF6110" w:rsidRDefault="00614B34" w:rsidP="000815BC">
            <w:pPr>
              <w:rPr>
                <w:lang w:val="en-GB"/>
              </w:rPr>
            </w:pPr>
          </w:p>
        </w:tc>
        <w:tc>
          <w:tcPr>
            <w:tcW w:w="548" w:type="dxa"/>
            <w:tcBorders>
              <w:right w:val="single" w:sz="4" w:space="0" w:color="auto"/>
            </w:tcBorders>
          </w:tcPr>
          <w:p w14:paraId="03CA82CC" w14:textId="77777777" w:rsidR="00614B34" w:rsidRPr="00CF6110" w:rsidRDefault="00614B34" w:rsidP="000815BC">
            <w:pPr>
              <w:rPr>
                <w:lang w:val="en-GB"/>
              </w:rPr>
            </w:pPr>
          </w:p>
        </w:tc>
      </w:tr>
      <w:tr w:rsidR="00614B34" w:rsidRPr="00CF6110" w14:paraId="7836D18C" w14:textId="77777777" w:rsidTr="000815BC">
        <w:tc>
          <w:tcPr>
            <w:tcW w:w="1911" w:type="dxa"/>
            <w:vMerge/>
            <w:tcBorders>
              <w:left w:val="single" w:sz="4" w:space="0" w:color="auto"/>
              <w:right w:val="nil"/>
            </w:tcBorders>
          </w:tcPr>
          <w:p w14:paraId="6204B8CA" w14:textId="77777777" w:rsidR="00614B34" w:rsidRPr="00CF6110" w:rsidRDefault="00614B34" w:rsidP="000815BC">
            <w:pPr>
              <w:rPr>
                <w:lang w:val="en-GB"/>
              </w:rPr>
            </w:pPr>
          </w:p>
        </w:tc>
        <w:tc>
          <w:tcPr>
            <w:tcW w:w="810" w:type="dxa"/>
            <w:vMerge/>
            <w:tcBorders>
              <w:left w:val="nil"/>
              <w:right w:val="nil"/>
            </w:tcBorders>
          </w:tcPr>
          <w:p w14:paraId="6A3206BB" w14:textId="77777777" w:rsidR="00614B34" w:rsidRPr="00CF6110" w:rsidRDefault="00614B34" w:rsidP="000815BC">
            <w:pPr>
              <w:rPr>
                <w:lang w:val="en-GB"/>
              </w:rPr>
            </w:pPr>
          </w:p>
        </w:tc>
        <w:tc>
          <w:tcPr>
            <w:tcW w:w="1465" w:type="dxa"/>
            <w:tcBorders>
              <w:top w:val="nil"/>
              <w:left w:val="nil"/>
              <w:bottom w:val="nil"/>
            </w:tcBorders>
          </w:tcPr>
          <w:p w14:paraId="1C391C9C" w14:textId="77777777" w:rsidR="00614B34" w:rsidRPr="00CF6110" w:rsidRDefault="00614B34" w:rsidP="000815BC">
            <w:pPr>
              <w:jc w:val="right"/>
              <w:rPr>
                <w:lang w:val="en-GB"/>
              </w:rPr>
            </w:pPr>
            <w:r w:rsidRPr="00CF6110">
              <w:rPr>
                <w:lang w:val="en-GB"/>
              </w:rPr>
              <w:t>Chest</w:t>
            </w:r>
          </w:p>
        </w:tc>
        <w:tc>
          <w:tcPr>
            <w:tcW w:w="500" w:type="dxa"/>
          </w:tcPr>
          <w:p w14:paraId="560B5CFE" w14:textId="77777777" w:rsidR="00614B34" w:rsidRPr="00CF6110" w:rsidRDefault="00614B34" w:rsidP="000815BC">
            <w:pPr>
              <w:rPr>
                <w:lang w:val="en-GB"/>
              </w:rPr>
            </w:pPr>
          </w:p>
        </w:tc>
        <w:tc>
          <w:tcPr>
            <w:tcW w:w="501" w:type="dxa"/>
          </w:tcPr>
          <w:p w14:paraId="0CFB71B1" w14:textId="77777777" w:rsidR="00614B34" w:rsidRPr="00CF6110" w:rsidRDefault="00614B34" w:rsidP="000815BC">
            <w:pPr>
              <w:rPr>
                <w:lang w:val="en-GB"/>
              </w:rPr>
            </w:pPr>
          </w:p>
        </w:tc>
        <w:tc>
          <w:tcPr>
            <w:tcW w:w="501" w:type="dxa"/>
          </w:tcPr>
          <w:p w14:paraId="2545389E" w14:textId="77777777" w:rsidR="00614B34" w:rsidRPr="00CF6110" w:rsidRDefault="00614B34" w:rsidP="000815BC">
            <w:pPr>
              <w:rPr>
                <w:lang w:val="en-GB"/>
              </w:rPr>
            </w:pPr>
          </w:p>
        </w:tc>
        <w:tc>
          <w:tcPr>
            <w:tcW w:w="501" w:type="dxa"/>
          </w:tcPr>
          <w:p w14:paraId="6B99CA68" w14:textId="77777777" w:rsidR="00614B34" w:rsidRPr="00CF6110" w:rsidRDefault="00614B34" w:rsidP="000815BC">
            <w:pPr>
              <w:rPr>
                <w:lang w:val="en-GB"/>
              </w:rPr>
            </w:pPr>
          </w:p>
        </w:tc>
        <w:tc>
          <w:tcPr>
            <w:tcW w:w="501" w:type="dxa"/>
          </w:tcPr>
          <w:p w14:paraId="05F6DCCA" w14:textId="77777777" w:rsidR="00614B34" w:rsidRPr="00CF6110" w:rsidRDefault="00614B34" w:rsidP="000815BC">
            <w:pPr>
              <w:rPr>
                <w:lang w:val="en-GB"/>
              </w:rPr>
            </w:pPr>
          </w:p>
        </w:tc>
        <w:tc>
          <w:tcPr>
            <w:tcW w:w="501" w:type="dxa"/>
          </w:tcPr>
          <w:p w14:paraId="6A80DF29" w14:textId="77777777" w:rsidR="00614B34" w:rsidRPr="00CF6110" w:rsidRDefault="00614B34" w:rsidP="000815BC">
            <w:pPr>
              <w:rPr>
                <w:lang w:val="en-GB"/>
              </w:rPr>
            </w:pPr>
          </w:p>
        </w:tc>
        <w:tc>
          <w:tcPr>
            <w:tcW w:w="501" w:type="dxa"/>
          </w:tcPr>
          <w:p w14:paraId="6CFE276C" w14:textId="77777777" w:rsidR="00614B34" w:rsidRPr="00CF6110" w:rsidRDefault="00614B34" w:rsidP="000815BC">
            <w:pPr>
              <w:rPr>
                <w:lang w:val="en-GB"/>
              </w:rPr>
            </w:pPr>
          </w:p>
        </w:tc>
        <w:tc>
          <w:tcPr>
            <w:tcW w:w="501" w:type="dxa"/>
          </w:tcPr>
          <w:p w14:paraId="6D3B39EA" w14:textId="77777777" w:rsidR="00614B34" w:rsidRPr="00CF6110" w:rsidRDefault="00614B34" w:rsidP="000815BC">
            <w:pPr>
              <w:rPr>
                <w:lang w:val="en-GB"/>
              </w:rPr>
            </w:pPr>
          </w:p>
        </w:tc>
        <w:tc>
          <w:tcPr>
            <w:tcW w:w="501" w:type="dxa"/>
          </w:tcPr>
          <w:p w14:paraId="1429C491" w14:textId="77777777" w:rsidR="00614B34" w:rsidRPr="00CF6110" w:rsidRDefault="00614B34" w:rsidP="000815BC">
            <w:pPr>
              <w:rPr>
                <w:lang w:val="en-GB"/>
              </w:rPr>
            </w:pPr>
          </w:p>
        </w:tc>
        <w:tc>
          <w:tcPr>
            <w:tcW w:w="548" w:type="dxa"/>
            <w:tcBorders>
              <w:right w:val="single" w:sz="4" w:space="0" w:color="auto"/>
            </w:tcBorders>
          </w:tcPr>
          <w:p w14:paraId="21669A36" w14:textId="77777777" w:rsidR="00614B34" w:rsidRPr="00CF6110" w:rsidRDefault="00614B34" w:rsidP="000815BC">
            <w:pPr>
              <w:rPr>
                <w:lang w:val="en-GB"/>
              </w:rPr>
            </w:pPr>
          </w:p>
        </w:tc>
      </w:tr>
      <w:tr w:rsidR="00614B34" w:rsidRPr="00CF6110" w14:paraId="35D414CC" w14:textId="77777777" w:rsidTr="000815BC">
        <w:tc>
          <w:tcPr>
            <w:tcW w:w="1911" w:type="dxa"/>
            <w:vMerge/>
            <w:tcBorders>
              <w:left w:val="single" w:sz="4" w:space="0" w:color="auto"/>
              <w:right w:val="nil"/>
            </w:tcBorders>
          </w:tcPr>
          <w:p w14:paraId="6A11D015" w14:textId="77777777" w:rsidR="00614B34" w:rsidRPr="00CF6110" w:rsidRDefault="00614B34" w:rsidP="000815BC">
            <w:pPr>
              <w:rPr>
                <w:lang w:val="en-GB"/>
              </w:rPr>
            </w:pPr>
          </w:p>
        </w:tc>
        <w:tc>
          <w:tcPr>
            <w:tcW w:w="810" w:type="dxa"/>
            <w:vMerge/>
            <w:tcBorders>
              <w:left w:val="nil"/>
              <w:right w:val="nil"/>
            </w:tcBorders>
          </w:tcPr>
          <w:p w14:paraId="4868A8F1" w14:textId="77777777" w:rsidR="00614B34" w:rsidRPr="00CF6110" w:rsidRDefault="00614B34" w:rsidP="000815BC">
            <w:pPr>
              <w:rPr>
                <w:lang w:val="en-GB"/>
              </w:rPr>
            </w:pPr>
          </w:p>
        </w:tc>
        <w:tc>
          <w:tcPr>
            <w:tcW w:w="1465" w:type="dxa"/>
            <w:tcBorders>
              <w:top w:val="nil"/>
              <w:left w:val="nil"/>
              <w:bottom w:val="nil"/>
            </w:tcBorders>
          </w:tcPr>
          <w:p w14:paraId="7226144B" w14:textId="77777777" w:rsidR="00614B34" w:rsidRPr="00CF6110" w:rsidRDefault="00614B34" w:rsidP="000815BC">
            <w:pPr>
              <w:jc w:val="right"/>
              <w:rPr>
                <w:lang w:val="en-GB"/>
              </w:rPr>
            </w:pPr>
            <w:r w:rsidRPr="00CF6110">
              <w:rPr>
                <w:lang w:val="en-GB"/>
              </w:rPr>
              <w:t>Abdomen</w:t>
            </w:r>
          </w:p>
        </w:tc>
        <w:tc>
          <w:tcPr>
            <w:tcW w:w="500" w:type="dxa"/>
          </w:tcPr>
          <w:p w14:paraId="39E56CEB" w14:textId="77777777" w:rsidR="00614B34" w:rsidRPr="00CF6110" w:rsidRDefault="00614B34" w:rsidP="000815BC">
            <w:pPr>
              <w:rPr>
                <w:lang w:val="en-GB"/>
              </w:rPr>
            </w:pPr>
          </w:p>
        </w:tc>
        <w:tc>
          <w:tcPr>
            <w:tcW w:w="501" w:type="dxa"/>
          </w:tcPr>
          <w:p w14:paraId="31904DF6" w14:textId="77777777" w:rsidR="00614B34" w:rsidRPr="00CF6110" w:rsidRDefault="00614B34" w:rsidP="000815BC">
            <w:pPr>
              <w:rPr>
                <w:lang w:val="en-GB"/>
              </w:rPr>
            </w:pPr>
          </w:p>
        </w:tc>
        <w:tc>
          <w:tcPr>
            <w:tcW w:w="501" w:type="dxa"/>
          </w:tcPr>
          <w:p w14:paraId="080BA100" w14:textId="77777777" w:rsidR="00614B34" w:rsidRPr="00CF6110" w:rsidRDefault="00614B34" w:rsidP="000815BC">
            <w:pPr>
              <w:rPr>
                <w:lang w:val="en-GB"/>
              </w:rPr>
            </w:pPr>
          </w:p>
        </w:tc>
        <w:tc>
          <w:tcPr>
            <w:tcW w:w="501" w:type="dxa"/>
          </w:tcPr>
          <w:p w14:paraId="412C2D2E" w14:textId="77777777" w:rsidR="00614B34" w:rsidRPr="00CF6110" w:rsidRDefault="00614B34" w:rsidP="000815BC">
            <w:pPr>
              <w:rPr>
                <w:lang w:val="en-GB"/>
              </w:rPr>
            </w:pPr>
          </w:p>
        </w:tc>
        <w:tc>
          <w:tcPr>
            <w:tcW w:w="501" w:type="dxa"/>
          </w:tcPr>
          <w:p w14:paraId="56CE0FAE" w14:textId="77777777" w:rsidR="00614B34" w:rsidRPr="00CF6110" w:rsidRDefault="00614B34" w:rsidP="000815BC">
            <w:pPr>
              <w:rPr>
                <w:lang w:val="en-GB"/>
              </w:rPr>
            </w:pPr>
          </w:p>
        </w:tc>
        <w:tc>
          <w:tcPr>
            <w:tcW w:w="501" w:type="dxa"/>
          </w:tcPr>
          <w:p w14:paraId="3A3C7B79" w14:textId="77777777" w:rsidR="00614B34" w:rsidRPr="00CF6110" w:rsidRDefault="00614B34" w:rsidP="000815BC">
            <w:pPr>
              <w:rPr>
                <w:lang w:val="en-GB"/>
              </w:rPr>
            </w:pPr>
          </w:p>
        </w:tc>
        <w:tc>
          <w:tcPr>
            <w:tcW w:w="501" w:type="dxa"/>
          </w:tcPr>
          <w:p w14:paraId="3D59B510" w14:textId="77777777" w:rsidR="00614B34" w:rsidRPr="00CF6110" w:rsidRDefault="00614B34" w:rsidP="000815BC">
            <w:pPr>
              <w:rPr>
                <w:lang w:val="en-GB"/>
              </w:rPr>
            </w:pPr>
          </w:p>
        </w:tc>
        <w:tc>
          <w:tcPr>
            <w:tcW w:w="501" w:type="dxa"/>
          </w:tcPr>
          <w:p w14:paraId="3583F411" w14:textId="77777777" w:rsidR="00614B34" w:rsidRPr="00CF6110" w:rsidRDefault="00614B34" w:rsidP="000815BC">
            <w:pPr>
              <w:rPr>
                <w:lang w:val="en-GB"/>
              </w:rPr>
            </w:pPr>
          </w:p>
        </w:tc>
        <w:tc>
          <w:tcPr>
            <w:tcW w:w="501" w:type="dxa"/>
          </w:tcPr>
          <w:p w14:paraId="2236EE12" w14:textId="77777777" w:rsidR="00614B34" w:rsidRPr="00CF6110" w:rsidRDefault="00614B34" w:rsidP="000815BC">
            <w:pPr>
              <w:rPr>
                <w:lang w:val="en-GB"/>
              </w:rPr>
            </w:pPr>
          </w:p>
        </w:tc>
        <w:tc>
          <w:tcPr>
            <w:tcW w:w="548" w:type="dxa"/>
            <w:tcBorders>
              <w:right w:val="single" w:sz="4" w:space="0" w:color="auto"/>
            </w:tcBorders>
          </w:tcPr>
          <w:p w14:paraId="3057DD5D" w14:textId="77777777" w:rsidR="00614B34" w:rsidRPr="00CF6110" w:rsidRDefault="00614B34" w:rsidP="000815BC">
            <w:pPr>
              <w:rPr>
                <w:lang w:val="en-GB"/>
              </w:rPr>
            </w:pPr>
          </w:p>
        </w:tc>
      </w:tr>
      <w:tr w:rsidR="00614B34" w:rsidRPr="00CF6110" w14:paraId="34AEE92D" w14:textId="77777777" w:rsidTr="000815BC">
        <w:tc>
          <w:tcPr>
            <w:tcW w:w="1911" w:type="dxa"/>
            <w:vMerge/>
            <w:tcBorders>
              <w:left w:val="single" w:sz="4" w:space="0" w:color="auto"/>
              <w:right w:val="nil"/>
            </w:tcBorders>
          </w:tcPr>
          <w:p w14:paraId="242EB20C" w14:textId="77777777" w:rsidR="00614B34" w:rsidRPr="00CF6110" w:rsidRDefault="00614B34" w:rsidP="000815BC">
            <w:pPr>
              <w:rPr>
                <w:lang w:val="en-GB"/>
              </w:rPr>
            </w:pPr>
          </w:p>
        </w:tc>
        <w:tc>
          <w:tcPr>
            <w:tcW w:w="810" w:type="dxa"/>
            <w:vMerge/>
            <w:tcBorders>
              <w:left w:val="nil"/>
              <w:bottom w:val="nil"/>
              <w:right w:val="nil"/>
            </w:tcBorders>
          </w:tcPr>
          <w:p w14:paraId="2E714B54" w14:textId="77777777" w:rsidR="00614B34" w:rsidRPr="00CF6110" w:rsidRDefault="00614B34" w:rsidP="000815BC">
            <w:pPr>
              <w:rPr>
                <w:lang w:val="en-GB"/>
              </w:rPr>
            </w:pPr>
          </w:p>
        </w:tc>
        <w:tc>
          <w:tcPr>
            <w:tcW w:w="1465" w:type="dxa"/>
            <w:tcBorders>
              <w:top w:val="nil"/>
              <w:left w:val="nil"/>
              <w:bottom w:val="nil"/>
            </w:tcBorders>
          </w:tcPr>
          <w:p w14:paraId="4B63AE9B" w14:textId="77777777" w:rsidR="00614B34" w:rsidRPr="00CF6110" w:rsidRDefault="00614B34" w:rsidP="000815BC">
            <w:pPr>
              <w:jc w:val="right"/>
              <w:rPr>
                <w:lang w:val="en-GB"/>
              </w:rPr>
            </w:pPr>
            <w:r w:rsidRPr="00CF6110">
              <w:rPr>
                <w:lang w:val="en-GB"/>
              </w:rPr>
              <w:t>Back</w:t>
            </w:r>
          </w:p>
        </w:tc>
        <w:tc>
          <w:tcPr>
            <w:tcW w:w="500" w:type="dxa"/>
          </w:tcPr>
          <w:p w14:paraId="4A2E4906" w14:textId="77777777" w:rsidR="00614B34" w:rsidRPr="00CF6110" w:rsidRDefault="00614B34" w:rsidP="000815BC">
            <w:pPr>
              <w:rPr>
                <w:lang w:val="en-GB"/>
              </w:rPr>
            </w:pPr>
          </w:p>
        </w:tc>
        <w:tc>
          <w:tcPr>
            <w:tcW w:w="501" w:type="dxa"/>
          </w:tcPr>
          <w:p w14:paraId="6CB4476A" w14:textId="77777777" w:rsidR="00614B34" w:rsidRPr="00CF6110" w:rsidRDefault="00614B34" w:rsidP="000815BC">
            <w:pPr>
              <w:rPr>
                <w:lang w:val="en-GB"/>
              </w:rPr>
            </w:pPr>
          </w:p>
        </w:tc>
        <w:tc>
          <w:tcPr>
            <w:tcW w:w="501" w:type="dxa"/>
          </w:tcPr>
          <w:p w14:paraId="5B249E59" w14:textId="77777777" w:rsidR="00614B34" w:rsidRPr="00CF6110" w:rsidRDefault="00614B34" w:rsidP="000815BC">
            <w:pPr>
              <w:rPr>
                <w:lang w:val="en-GB"/>
              </w:rPr>
            </w:pPr>
          </w:p>
        </w:tc>
        <w:tc>
          <w:tcPr>
            <w:tcW w:w="501" w:type="dxa"/>
          </w:tcPr>
          <w:p w14:paraId="26DBAB74" w14:textId="77777777" w:rsidR="00614B34" w:rsidRPr="00CF6110" w:rsidRDefault="00614B34" w:rsidP="000815BC">
            <w:pPr>
              <w:rPr>
                <w:lang w:val="en-GB"/>
              </w:rPr>
            </w:pPr>
          </w:p>
        </w:tc>
        <w:tc>
          <w:tcPr>
            <w:tcW w:w="501" w:type="dxa"/>
          </w:tcPr>
          <w:p w14:paraId="544D42ED" w14:textId="77777777" w:rsidR="00614B34" w:rsidRPr="00CF6110" w:rsidRDefault="00614B34" w:rsidP="000815BC">
            <w:pPr>
              <w:rPr>
                <w:lang w:val="en-GB"/>
              </w:rPr>
            </w:pPr>
          </w:p>
        </w:tc>
        <w:tc>
          <w:tcPr>
            <w:tcW w:w="501" w:type="dxa"/>
          </w:tcPr>
          <w:p w14:paraId="330D6A5F" w14:textId="77777777" w:rsidR="00614B34" w:rsidRPr="00CF6110" w:rsidRDefault="00614B34" w:rsidP="000815BC">
            <w:pPr>
              <w:rPr>
                <w:lang w:val="en-GB"/>
              </w:rPr>
            </w:pPr>
          </w:p>
        </w:tc>
        <w:tc>
          <w:tcPr>
            <w:tcW w:w="501" w:type="dxa"/>
          </w:tcPr>
          <w:p w14:paraId="24B6840C" w14:textId="77777777" w:rsidR="00614B34" w:rsidRPr="00CF6110" w:rsidRDefault="00614B34" w:rsidP="000815BC">
            <w:pPr>
              <w:rPr>
                <w:lang w:val="en-GB"/>
              </w:rPr>
            </w:pPr>
          </w:p>
        </w:tc>
        <w:tc>
          <w:tcPr>
            <w:tcW w:w="501" w:type="dxa"/>
          </w:tcPr>
          <w:p w14:paraId="08F4896B" w14:textId="77777777" w:rsidR="00614B34" w:rsidRPr="00CF6110" w:rsidRDefault="00614B34" w:rsidP="000815BC">
            <w:pPr>
              <w:rPr>
                <w:lang w:val="en-GB"/>
              </w:rPr>
            </w:pPr>
          </w:p>
        </w:tc>
        <w:tc>
          <w:tcPr>
            <w:tcW w:w="501" w:type="dxa"/>
          </w:tcPr>
          <w:p w14:paraId="2848852C" w14:textId="77777777" w:rsidR="00614B34" w:rsidRPr="00CF6110" w:rsidRDefault="00614B34" w:rsidP="000815BC">
            <w:pPr>
              <w:rPr>
                <w:lang w:val="en-GB"/>
              </w:rPr>
            </w:pPr>
          </w:p>
        </w:tc>
        <w:tc>
          <w:tcPr>
            <w:tcW w:w="548" w:type="dxa"/>
            <w:tcBorders>
              <w:right w:val="single" w:sz="4" w:space="0" w:color="auto"/>
            </w:tcBorders>
          </w:tcPr>
          <w:p w14:paraId="01299E6A" w14:textId="77777777" w:rsidR="00614B34" w:rsidRPr="00CF6110" w:rsidRDefault="00614B34" w:rsidP="000815BC">
            <w:pPr>
              <w:rPr>
                <w:lang w:val="en-GB"/>
              </w:rPr>
            </w:pPr>
          </w:p>
        </w:tc>
      </w:tr>
      <w:tr w:rsidR="00614B34" w:rsidRPr="00CF6110" w14:paraId="53496CCA" w14:textId="77777777" w:rsidTr="000815BC">
        <w:tc>
          <w:tcPr>
            <w:tcW w:w="1911" w:type="dxa"/>
            <w:vMerge/>
            <w:tcBorders>
              <w:left w:val="single" w:sz="4" w:space="0" w:color="auto"/>
              <w:right w:val="nil"/>
            </w:tcBorders>
          </w:tcPr>
          <w:p w14:paraId="353444AF" w14:textId="77777777" w:rsidR="00614B34" w:rsidRPr="00CF6110" w:rsidRDefault="00614B34" w:rsidP="000815BC">
            <w:pPr>
              <w:rPr>
                <w:lang w:val="en-GB"/>
              </w:rPr>
            </w:pPr>
          </w:p>
        </w:tc>
        <w:tc>
          <w:tcPr>
            <w:tcW w:w="810" w:type="dxa"/>
            <w:vMerge w:val="restart"/>
            <w:tcBorders>
              <w:top w:val="nil"/>
              <w:left w:val="nil"/>
              <w:right w:val="nil"/>
            </w:tcBorders>
            <w:vAlign w:val="center"/>
          </w:tcPr>
          <w:p w14:paraId="313BAAAE" w14:textId="77777777" w:rsidR="00614B34" w:rsidRPr="00CF6110" w:rsidRDefault="00614B34" w:rsidP="000815BC">
            <w:pPr>
              <w:jc w:val="center"/>
              <w:rPr>
                <w:lang w:val="en-GB"/>
              </w:rPr>
            </w:pPr>
            <w:r w:rsidRPr="00CF6110">
              <w:rPr>
                <w:lang w:val="en-GB"/>
              </w:rPr>
              <w:t>ARM&lt;</w:t>
            </w:r>
          </w:p>
        </w:tc>
        <w:tc>
          <w:tcPr>
            <w:tcW w:w="1465" w:type="dxa"/>
            <w:tcBorders>
              <w:top w:val="nil"/>
              <w:left w:val="nil"/>
              <w:bottom w:val="nil"/>
            </w:tcBorders>
          </w:tcPr>
          <w:p w14:paraId="590FA0C6" w14:textId="77777777" w:rsidR="00614B34" w:rsidRPr="00CF6110" w:rsidRDefault="00614B34" w:rsidP="000815BC">
            <w:pPr>
              <w:jc w:val="right"/>
              <w:rPr>
                <w:lang w:val="en-GB"/>
              </w:rPr>
            </w:pPr>
            <w:r w:rsidRPr="00CF6110">
              <w:rPr>
                <w:lang w:val="en-GB"/>
              </w:rPr>
              <w:t>Right</w:t>
            </w:r>
          </w:p>
        </w:tc>
        <w:tc>
          <w:tcPr>
            <w:tcW w:w="500" w:type="dxa"/>
          </w:tcPr>
          <w:p w14:paraId="4797C008" w14:textId="77777777" w:rsidR="00614B34" w:rsidRPr="00CF6110" w:rsidRDefault="00614B34" w:rsidP="000815BC">
            <w:pPr>
              <w:rPr>
                <w:lang w:val="en-GB"/>
              </w:rPr>
            </w:pPr>
          </w:p>
        </w:tc>
        <w:tc>
          <w:tcPr>
            <w:tcW w:w="501" w:type="dxa"/>
          </w:tcPr>
          <w:p w14:paraId="23AECAE0" w14:textId="77777777" w:rsidR="00614B34" w:rsidRPr="00CF6110" w:rsidRDefault="00614B34" w:rsidP="000815BC">
            <w:pPr>
              <w:rPr>
                <w:lang w:val="en-GB"/>
              </w:rPr>
            </w:pPr>
          </w:p>
        </w:tc>
        <w:tc>
          <w:tcPr>
            <w:tcW w:w="501" w:type="dxa"/>
          </w:tcPr>
          <w:p w14:paraId="03A9B04C" w14:textId="77777777" w:rsidR="00614B34" w:rsidRPr="00CF6110" w:rsidRDefault="00614B34" w:rsidP="000815BC">
            <w:pPr>
              <w:rPr>
                <w:lang w:val="en-GB"/>
              </w:rPr>
            </w:pPr>
          </w:p>
        </w:tc>
        <w:tc>
          <w:tcPr>
            <w:tcW w:w="501" w:type="dxa"/>
          </w:tcPr>
          <w:p w14:paraId="1FDCFA93" w14:textId="77777777" w:rsidR="00614B34" w:rsidRPr="00CF6110" w:rsidRDefault="00614B34" w:rsidP="000815BC">
            <w:pPr>
              <w:rPr>
                <w:lang w:val="en-GB"/>
              </w:rPr>
            </w:pPr>
          </w:p>
        </w:tc>
        <w:tc>
          <w:tcPr>
            <w:tcW w:w="501" w:type="dxa"/>
          </w:tcPr>
          <w:p w14:paraId="7B859E42" w14:textId="77777777" w:rsidR="00614B34" w:rsidRPr="00CF6110" w:rsidRDefault="00614B34" w:rsidP="000815BC">
            <w:pPr>
              <w:rPr>
                <w:lang w:val="en-GB"/>
              </w:rPr>
            </w:pPr>
          </w:p>
        </w:tc>
        <w:tc>
          <w:tcPr>
            <w:tcW w:w="501" w:type="dxa"/>
          </w:tcPr>
          <w:p w14:paraId="50154768" w14:textId="77777777" w:rsidR="00614B34" w:rsidRPr="00CF6110" w:rsidRDefault="00614B34" w:rsidP="000815BC">
            <w:pPr>
              <w:rPr>
                <w:lang w:val="en-GB"/>
              </w:rPr>
            </w:pPr>
          </w:p>
        </w:tc>
        <w:tc>
          <w:tcPr>
            <w:tcW w:w="501" w:type="dxa"/>
          </w:tcPr>
          <w:p w14:paraId="5B613D51" w14:textId="77777777" w:rsidR="00614B34" w:rsidRPr="00CF6110" w:rsidRDefault="00614B34" w:rsidP="000815BC">
            <w:pPr>
              <w:rPr>
                <w:lang w:val="en-GB"/>
              </w:rPr>
            </w:pPr>
          </w:p>
        </w:tc>
        <w:tc>
          <w:tcPr>
            <w:tcW w:w="501" w:type="dxa"/>
          </w:tcPr>
          <w:p w14:paraId="3C7A32C7" w14:textId="77777777" w:rsidR="00614B34" w:rsidRPr="00CF6110" w:rsidRDefault="00614B34" w:rsidP="000815BC">
            <w:pPr>
              <w:rPr>
                <w:lang w:val="en-GB"/>
              </w:rPr>
            </w:pPr>
          </w:p>
        </w:tc>
        <w:tc>
          <w:tcPr>
            <w:tcW w:w="501" w:type="dxa"/>
          </w:tcPr>
          <w:p w14:paraId="36FADAC7" w14:textId="77777777" w:rsidR="00614B34" w:rsidRPr="00CF6110" w:rsidRDefault="00614B34" w:rsidP="000815BC">
            <w:pPr>
              <w:rPr>
                <w:lang w:val="en-GB"/>
              </w:rPr>
            </w:pPr>
          </w:p>
        </w:tc>
        <w:tc>
          <w:tcPr>
            <w:tcW w:w="548" w:type="dxa"/>
            <w:tcBorders>
              <w:right w:val="single" w:sz="4" w:space="0" w:color="auto"/>
            </w:tcBorders>
          </w:tcPr>
          <w:p w14:paraId="50A7E001" w14:textId="77777777" w:rsidR="00614B34" w:rsidRPr="00CF6110" w:rsidRDefault="00614B34" w:rsidP="000815BC">
            <w:pPr>
              <w:rPr>
                <w:lang w:val="en-GB"/>
              </w:rPr>
            </w:pPr>
          </w:p>
        </w:tc>
      </w:tr>
      <w:tr w:rsidR="00614B34" w:rsidRPr="00CF6110" w14:paraId="3F19775A" w14:textId="77777777" w:rsidTr="000815BC">
        <w:tc>
          <w:tcPr>
            <w:tcW w:w="1911" w:type="dxa"/>
            <w:vMerge/>
            <w:tcBorders>
              <w:left w:val="single" w:sz="4" w:space="0" w:color="auto"/>
              <w:right w:val="nil"/>
            </w:tcBorders>
          </w:tcPr>
          <w:p w14:paraId="42DF66D6" w14:textId="77777777" w:rsidR="00614B34" w:rsidRPr="00CF6110" w:rsidRDefault="00614B34" w:rsidP="000815BC">
            <w:pPr>
              <w:rPr>
                <w:lang w:val="en-GB"/>
              </w:rPr>
            </w:pPr>
          </w:p>
        </w:tc>
        <w:tc>
          <w:tcPr>
            <w:tcW w:w="810" w:type="dxa"/>
            <w:vMerge/>
            <w:tcBorders>
              <w:top w:val="nil"/>
              <w:left w:val="nil"/>
              <w:bottom w:val="nil"/>
              <w:right w:val="nil"/>
            </w:tcBorders>
          </w:tcPr>
          <w:p w14:paraId="0F78F756" w14:textId="77777777" w:rsidR="00614B34" w:rsidRPr="00CF6110" w:rsidRDefault="00614B34" w:rsidP="000815BC">
            <w:pPr>
              <w:rPr>
                <w:lang w:val="en-GB"/>
              </w:rPr>
            </w:pPr>
          </w:p>
        </w:tc>
        <w:tc>
          <w:tcPr>
            <w:tcW w:w="1465" w:type="dxa"/>
            <w:tcBorders>
              <w:top w:val="nil"/>
              <w:left w:val="nil"/>
              <w:bottom w:val="nil"/>
            </w:tcBorders>
          </w:tcPr>
          <w:p w14:paraId="2EB55EAF" w14:textId="77777777" w:rsidR="00614B34" w:rsidRPr="00CF6110" w:rsidRDefault="00614B34" w:rsidP="000815BC">
            <w:pPr>
              <w:jc w:val="right"/>
              <w:rPr>
                <w:lang w:val="en-GB"/>
              </w:rPr>
            </w:pPr>
            <w:r w:rsidRPr="00CF6110">
              <w:rPr>
                <w:lang w:val="en-GB"/>
              </w:rPr>
              <w:t>Left</w:t>
            </w:r>
          </w:p>
        </w:tc>
        <w:tc>
          <w:tcPr>
            <w:tcW w:w="500" w:type="dxa"/>
          </w:tcPr>
          <w:p w14:paraId="7EFE1B24" w14:textId="77777777" w:rsidR="00614B34" w:rsidRPr="00CF6110" w:rsidRDefault="00614B34" w:rsidP="000815BC">
            <w:pPr>
              <w:rPr>
                <w:lang w:val="en-GB"/>
              </w:rPr>
            </w:pPr>
          </w:p>
        </w:tc>
        <w:tc>
          <w:tcPr>
            <w:tcW w:w="501" w:type="dxa"/>
          </w:tcPr>
          <w:p w14:paraId="75641D6D" w14:textId="77777777" w:rsidR="00614B34" w:rsidRPr="00CF6110" w:rsidRDefault="00614B34" w:rsidP="000815BC">
            <w:pPr>
              <w:rPr>
                <w:lang w:val="en-GB"/>
              </w:rPr>
            </w:pPr>
          </w:p>
        </w:tc>
        <w:tc>
          <w:tcPr>
            <w:tcW w:w="501" w:type="dxa"/>
          </w:tcPr>
          <w:p w14:paraId="1CC9C76D" w14:textId="77777777" w:rsidR="00614B34" w:rsidRPr="00CF6110" w:rsidRDefault="00614B34" w:rsidP="000815BC">
            <w:pPr>
              <w:rPr>
                <w:lang w:val="en-GB"/>
              </w:rPr>
            </w:pPr>
          </w:p>
        </w:tc>
        <w:tc>
          <w:tcPr>
            <w:tcW w:w="501" w:type="dxa"/>
          </w:tcPr>
          <w:p w14:paraId="03F45893" w14:textId="77777777" w:rsidR="00614B34" w:rsidRPr="00CF6110" w:rsidRDefault="00614B34" w:rsidP="000815BC">
            <w:pPr>
              <w:rPr>
                <w:lang w:val="en-GB"/>
              </w:rPr>
            </w:pPr>
          </w:p>
        </w:tc>
        <w:tc>
          <w:tcPr>
            <w:tcW w:w="501" w:type="dxa"/>
          </w:tcPr>
          <w:p w14:paraId="4FF6A6D0" w14:textId="77777777" w:rsidR="00614B34" w:rsidRPr="00CF6110" w:rsidRDefault="00614B34" w:rsidP="000815BC">
            <w:pPr>
              <w:rPr>
                <w:lang w:val="en-GB"/>
              </w:rPr>
            </w:pPr>
          </w:p>
        </w:tc>
        <w:tc>
          <w:tcPr>
            <w:tcW w:w="501" w:type="dxa"/>
          </w:tcPr>
          <w:p w14:paraId="446A683B" w14:textId="77777777" w:rsidR="00614B34" w:rsidRPr="00CF6110" w:rsidRDefault="00614B34" w:rsidP="000815BC">
            <w:pPr>
              <w:rPr>
                <w:lang w:val="en-GB"/>
              </w:rPr>
            </w:pPr>
          </w:p>
        </w:tc>
        <w:tc>
          <w:tcPr>
            <w:tcW w:w="501" w:type="dxa"/>
          </w:tcPr>
          <w:p w14:paraId="412D8423" w14:textId="77777777" w:rsidR="00614B34" w:rsidRPr="00CF6110" w:rsidRDefault="00614B34" w:rsidP="000815BC">
            <w:pPr>
              <w:rPr>
                <w:lang w:val="en-GB"/>
              </w:rPr>
            </w:pPr>
          </w:p>
        </w:tc>
        <w:tc>
          <w:tcPr>
            <w:tcW w:w="501" w:type="dxa"/>
          </w:tcPr>
          <w:p w14:paraId="0A33115A" w14:textId="77777777" w:rsidR="00614B34" w:rsidRPr="00CF6110" w:rsidRDefault="00614B34" w:rsidP="000815BC">
            <w:pPr>
              <w:rPr>
                <w:lang w:val="en-GB"/>
              </w:rPr>
            </w:pPr>
          </w:p>
        </w:tc>
        <w:tc>
          <w:tcPr>
            <w:tcW w:w="501" w:type="dxa"/>
          </w:tcPr>
          <w:p w14:paraId="642D6CFB" w14:textId="77777777" w:rsidR="00614B34" w:rsidRPr="00CF6110" w:rsidRDefault="00614B34" w:rsidP="000815BC">
            <w:pPr>
              <w:rPr>
                <w:lang w:val="en-GB"/>
              </w:rPr>
            </w:pPr>
          </w:p>
        </w:tc>
        <w:tc>
          <w:tcPr>
            <w:tcW w:w="548" w:type="dxa"/>
            <w:tcBorders>
              <w:right w:val="single" w:sz="4" w:space="0" w:color="auto"/>
            </w:tcBorders>
          </w:tcPr>
          <w:p w14:paraId="3DBAB75E" w14:textId="77777777" w:rsidR="00614B34" w:rsidRPr="00CF6110" w:rsidRDefault="00614B34" w:rsidP="000815BC">
            <w:pPr>
              <w:rPr>
                <w:lang w:val="en-GB"/>
              </w:rPr>
            </w:pPr>
          </w:p>
        </w:tc>
      </w:tr>
      <w:tr w:rsidR="00614B34" w:rsidRPr="00CF6110" w14:paraId="00E8FDB9" w14:textId="77777777" w:rsidTr="000815BC">
        <w:tc>
          <w:tcPr>
            <w:tcW w:w="1911" w:type="dxa"/>
            <w:vMerge/>
            <w:tcBorders>
              <w:left w:val="single" w:sz="4" w:space="0" w:color="auto"/>
              <w:right w:val="nil"/>
            </w:tcBorders>
          </w:tcPr>
          <w:p w14:paraId="4F04883E" w14:textId="77777777" w:rsidR="00614B34" w:rsidRPr="00CF6110" w:rsidRDefault="00614B34" w:rsidP="000815BC">
            <w:pPr>
              <w:rPr>
                <w:lang w:val="en-GB"/>
              </w:rPr>
            </w:pPr>
          </w:p>
        </w:tc>
        <w:tc>
          <w:tcPr>
            <w:tcW w:w="810" w:type="dxa"/>
            <w:vMerge w:val="restart"/>
            <w:tcBorders>
              <w:top w:val="nil"/>
              <w:left w:val="nil"/>
              <w:bottom w:val="nil"/>
              <w:right w:val="nil"/>
            </w:tcBorders>
            <w:vAlign w:val="center"/>
          </w:tcPr>
          <w:p w14:paraId="7BEB9679" w14:textId="77777777" w:rsidR="00614B34" w:rsidRPr="00CF6110" w:rsidRDefault="00614B34" w:rsidP="000815BC">
            <w:pPr>
              <w:jc w:val="center"/>
              <w:rPr>
                <w:lang w:val="en-GB"/>
              </w:rPr>
            </w:pPr>
            <w:r w:rsidRPr="00CF6110">
              <w:rPr>
                <w:lang w:val="en-GB"/>
              </w:rPr>
              <w:t>LEG&lt;</w:t>
            </w:r>
          </w:p>
        </w:tc>
        <w:tc>
          <w:tcPr>
            <w:tcW w:w="1465" w:type="dxa"/>
            <w:tcBorders>
              <w:top w:val="nil"/>
              <w:left w:val="nil"/>
              <w:bottom w:val="nil"/>
            </w:tcBorders>
          </w:tcPr>
          <w:p w14:paraId="17F8AC00" w14:textId="77777777" w:rsidR="00614B34" w:rsidRPr="00CF6110" w:rsidRDefault="00614B34" w:rsidP="000815BC">
            <w:pPr>
              <w:jc w:val="right"/>
              <w:rPr>
                <w:lang w:val="en-GB"/>
              </w:rPr>
            </w:pPr>
            <w:r w:rsidRPr="00CF6110">
              <w:rPr>
                <w:lang w:val="en-GB"/>
              </w:rPr>
              <w:t>Right</w:t>
            </w:r>
          </w:p>
        </w:tc>
        <w:tc>
          <w:tcPr>
            <w:tcW w:w="500" w:type="dxa"/>
          </w:tcPr>
          <w:p w14:paraId="39EB4235" w14:textId="77777777" w:rsidR="00614B34" w:rsidRPr="00CF6110" w:rsidRDefault="00614B34" w:rsidP="000815BC">
            <w:pPr>
              <w:rPr>
                <w:lang w:val="en-GB"/>
              </w:rPr>
            </w:pPr>
          </w:p>
        </w:tc>
        <w:tc>
          <w:tcPr>
            <w:tcW w:w="501" w:type="dxa"/>
          </w:tcPr>
          <w:p w14:paraId="1157CCAA" w14:textId="77777777" w:rsidR="00614B34" w:rsidRPr="00CF6110" w:rsidRDefault="00614B34" w:rsidP="000815BC">
            <w:pPr>
              <w:rPr>
                <w:lang w:val="en-GB"/>
              </w:rPr>
            </w:pPr>
          </w:p>
        </w:tc>
        <w:tc>
          <w:tcPr>
            <w:tcW w:w="501" w:type="dxa"/>
          </w:tcPr>
          <w:p w14:paraId="70534E53" w14:textId="77777777" w:rsidR="00614B34" w:rsidRPr="00CF6110" w:rsidRDefault="00614B34" w:rsidP="000815BC">
            <w:pPr>
              <w:rPr>
                <w:lang w:val="en-GB"/>
              </w:rPr>
            </w:pPr>
          </w:p>
        </w:tc>
        <w:tc>
          <w:tcPr>
            <w:tcW w:w="501" w:type="dxa"/>
          </w:tcPr>
          <w:p w14:paraId="46F0CBAD" w14:textId="77777777" w:rsidR="00614B34" w:rsidRPr="00CF6110" w:rsidRDefault="00614B34" w:rsidP="000815BC">
            <w:pPr>
              <w:rPr>
                <w:lang w:val="en-GB"/>
              </w:rPr>
            </w:pPr>
          </w:p>
        </w:tc>
        <w:tc>
          <w:tcPr>
            <w:tcW w:w="501" w:type="dxa"/>
          </w:tcPr>
          <w:p w14:paraId="1EC279B3" w14:textId="77777777" w:rsidR="00614B34" w:rsidRPr="00CF6110" w:rsidRDefault="00614B34" w:rsidP="000815BC">
            <w:pPr>
              <w:rPr>
                <w:lang w:val="en-GB"/>
              </w:rPr>
            </w:pPr>
          </w:p>
        </w:tc>
        <w:tc>
          <w:tcPr>
            <w:tcW w:w="501" w:type="dxa"/>
          </w:tcPr>
          <w:p w14:paraId="25C3974E" w14:textId="77777777" w:rsidR="00614B34" w:rsidRPr="00CF6110" w:rsidRDefault="00614B34" w:rsidP="000815BC">
            <w:pPr>
              <w:rPr>
                <w:lang w:val="en-GB"/>
              </w:rPr>
            </w:pPr>
          </w:p>
        </w:tc>
        <w:tc>
          <w:tcPr>
            <w:tcW w:w="501" w:type="dxa"/>
          </w:tcPr>
          <w:p w14:paraId="5B90458E" w14:textId="77777777" w:rsidR="00614B34" w:rsidRPr="00CF6110" w:rsidRDefault="00614B34" w:rsidP="000815BC">
            <w:pPr>
              <w:rPr>
                <w:lang w:val="en-GB"/>
              </w:rPr>
            </w:pPr>
          </w:p>
        </w:tc>
        <w:tc>
          <w:tcPr>
            <w:tcW w:w="501" w:type="dxa"/>
          </w:tcPr>
          <w:p w14:paraId="48C93798" w14:textId="77777777" w:rsidR="00614B34" w:rsidRPr="00CF6110" w:rsidRDefault="00614B34" w:rsidP="000815BC">
            <w:pPr>
              <w:rPr>
                <w:lang w:val="en-GB"/>
              </w:rPr>
            </w:pPr>
          </w:p>
        </w:tc>
        <w:tc>
          <w:tcPr>
            <w:tcW w:w="501" w:type="dxa"/>
          </w:tcPr>
          <w:p w14:paraId="6A66A858" w14:textId="77777777" w:rsidR="00614B34" w:rsidRPr="00CF6110" w:rsidRDefault="00614B34" w:rsidP="000815BC">
            <w:pPr>
              <w:rPr>
                <w:lang w:val="en-GB"/>
              </w:rPr>
            </w:pPr>
          </w:p>
        </w:tc>
        <w:tc>
          <w:tcPr>
            <w:tcW w:w="548" w:type="dxa"/>
            <w:tcBorders>
              <w:right w:val="single" w:sz="4" w:space="0" w:color="auto"/>
            </w:tcBorders>
          </w:tcPr>
          <w:p w14:paraId="7F5527E8" w14:textId="77777777" w:rsidR="00614B34" w:rsidRPr="00CF6110" w:rsidRDefault="00614B34" w:rsidP="000815BC">
            <w:pPr>
              <w:rPr>
                <w:lang w:val="en-GB"/>
              </w:rPr>
            </w:pPr>
          </w:p>
        </w:tc>
      </w:tr>
      <w:tr w:rsidR="00614B34" w:rsidRPr="00CF6110" w14:paraId="14BE16C3" w14:textId="77777777" w:rsidTr="000815BC">
        <w:tc>
          <w:tcPr>
            <w:tcW w:w="1911" w:type="dxa"/>
            <w:vMerge/>
            <w:tcBorders>
              <w:left w:val="single" w:sz="4" w:space="0" w:color="auto"/>
              <w:bottom w:val="single" w:sz="4" w:space="0" w:color="auto"/>
              <w:right w:val="nil"/>
            </w:tcBorders>
          </w:tcPr>
          <w:p w14:paraId="055A613A" w14:textId="77777777" w:rsidR="00614B34" w:rsidRPr="00CF6110" w:rsidRDefault="00614B34" w:rsidP="000815BC">
            <w:pPr>
              <w:rPr>
                <w:lang w:val="en-GB"/>
              </w:rPr>
            </w:pPr>
          </w:p>
        </w:tc>
        <w:tc>
          <w:tcPr>
            <w:tcW w:w="810" w:type="dxa"/>
            <w:vMerge/>
            <w:tcBorders>
              <w:top w:val="single" w:sz="4" w:space="0" w:color="auto"/>
              <w:left w:val="nil"/>
              <w:bottom w:val="single" w:sz="4" w:space="0" w:color="auto"/>
              <w:right w:val="nil"/>
            </w:tcBorders>
          </w:tcPr>
          <w:p w14:paraId="77509854" w14:textId="77777777" w:rsidR="00614B34" w:rsidRPr="00CF6110" w:rsidRDefault="00614B34" w:rsidP="000815BC">
            <w:pPr>
              <w:rPr>
                <w:lang w:val="en-GB"/>
              </w:rPr>
            </w:pPr>
          </w:p>
        </w:tc>
        <w:tc>
          <w:tcPr>
            <w:tcW w:w="1465" w:type="dxa"/>
            <w:tcBorders>
              <w:top w:val="nil"/>
              <w:left w:val="nil"/>
              <w:bottom w:val="single" w:sz="4" w:space="0" w:color="auto"/>
            </w:tcBorders>
          </w:tcPr>
          <w:p w14:paraId="69F0C4EF" w14:textId="77777777" w:rsidR="00614B34" w:rsidRPr="00CF6110" w:rsidRDefault="00614B34" w:rsidP="000815BC">
            <w:pPr>
              <w:jc w:val="right"/>
              <w:rPr>
                <w:lang w:val="en-GB"/>
              </w:rPr>
            </w:pPr>
            <w:r w:rsidRPr="00CF6110">
              <w:rPr>
                <w:lang w:val="en-GB"/>
              </w:rPr>
              <w:t>Left</w:t>
            </w:r>
          </w:p>
        </w:tc>
        <w:tc>
          <w:tcPr>
            <w:tcW w:w="500" w:type="dxa"/>
          </w:tcPr>
          <w:p w14:paraId="54BFED80" w14:textId="77777777" w:rsidR="00614B34" w:rsidRPr="00CF6110" w:rsidRDefault="00614B34" w:rsidP="000815BC">
            <w:pPr>
              <w:rPr>
                <w:lang w:val="en-GB"/>
              </w:rPr>
            </w:pPr>
          </w:p>
        </w:tc>
        <w:tc>
          <w:tcPr>
            <w:tcW w:w="501" w:type="dxa"/>
          </w:tcPr>
          <w:p w14:paraId="620717D2" w14:textId="77777777" w:rsidR="00614B34" w:rsidRPr="00CF6110" w:rsidRDefault="00614B34" w:rsidP="000815BC">
            <w:pPr>
              <w:rPr>
                <w:lang w:val="en-GB"/>
              </w:rPr>
            </w:pPr>
          </w:p>
        </w:tc>
        <w:tc>
          <w:tcPr>
            <w:tcW w:w="501" w:type="dxa"/>
          </w:tcPr>
          <w:p w14:paraId="4529C8B4" w14:textId="77777777" w:rsidR="00614B34" w:rsidRPr="00CF6110" w:rsidRDefault="00614B34" w:rsidP="000815BC">
            <w:pPr>
              <w:rPr>
                <w:lang w:val="en-GB"/>
              </w:rPr>
            </w:pPr>
          </w:p>
        </w:tc>
        <w:tc>
          <w:tcPr>
            <w:tcW w:w="501" w:type="dxa"/>
          </w:tcPr>
          <w:p w14:paraId="6F056D11" w14:textId="77777777" w:rsidR="00614B34" w:rsidRPr="00CF6110" w:rsidRDefault="00614B34" w:rsidP="000815BC">
            <w:pPr>
              <w:rPr>
                <w:lang w:val="en-GB"/>
              </w:rPr>
            </w:pPr>
          </w:p>
        </w:tc>
        <w:tc>
          <w:tcPr>
            <w:tcW w:w="501" w:type="dxa"/>
          </w:tcPr>
          <w:p w14:paraId="3E36108C" w14:textId="77777777" w:rsidR="00614B34" w:rsidRPr="00CF6110" w:rsidRDefault="00614B34" w:rsidP="000815BC">
            <w:pPr>
              <w:rPr>
                <w:lang w:val="en-GB"/>
              </w:rPr>
            </w:pPr>
          </w:p>
        </w:tc>
        <w:tc>
          <w:tcPr>
            <w:tcW w:w="501" w:type="dxa"/>
          </w:tcPr>
          <w:p w14:paraId="3B25AFF0" w14:textId="77777777" w:rsidR="00614B34" w:rsidRPr="00CF6110" w:rsidRDefault="00614B34" w:rsidP="000815BC">
            <w:pPr>
              <w:rPr>
                <w:lang w:val="en-GB"/>
              </w:rPr>
            </w:pPr>
          </w:p>
        </w:tc>
        <w:tc>
          <w:tcPr>
            <w:tcW w:w="501" w:type="dxa"/>
          </w:tcPr>
          <w:p w14:paraId="2FDB654D" w14:textId="77777777" w:rsidR="00614B34" w:rsidRPr="00CF6110" w:rsidRDefault="00614B34" w:rsidP="000815BC">
            <w:pPr>
              <w:rPr>
                <w:lang w:val="en-GB"/>
              </w:rPr>
            </w:pPr>
          </w:p>
        </w:tc>
        <w:tc>
          <w:tcPr>
            <w:tcW w:w="501" w:type="dxa"/>
          </w:tcPr>
          <w:p w14:paraId="0ECA1005" w14:textId="77777777" w:rsidR="00614B34" w:rsidRPr="00CF6110" w:rsidRDefault="00614B34" w:rsidP="000815BC">
            <w:pPr>
              <w:rPr>
                <w:lang w:val="en-GB"/>
              </w:rPr>
            </w:pPr>
          </w:p>
        </w:tc>
        <w:tc>
          <w:tcPr>
            <w:tcW w:w="501" w:type="dxa"/>
          </w:tcPr>
          <w:p w14:paraId="78D54982" w14:textId="77777777" w:rsidR="00614B34" w:rsidRPr="00CF6110" w:rsidRDefault="00614B34" w:rsidP="000815BC">
            <w:pPr>
              <w:rPr>
                <w:lang w:val="en-GB"/>
              </w:rPr>
            </w:pPr>
          </w:p>
        </w:tc>
        <w:tc>
          <w:tcPr>
            <w:tcW w:w="548" w:type="dxa"/>
            <w:tcBorders>
              <w:right w:val="single" w:sz="4" w:space="0" w:color="auto"/>
            </w:tcBorders>
          </w:tcPr>
          <w:p w14:paraId="2971FB30" w14:textId="77777777" w:rsidR="00614B34" w:rsidRPr="00CF6110" w:rsidRDefault="00614B34" w:rsidP="000815BC">
            <w:pPr>
              <w:rPr>
                <w:lang w:val="en-GB"/>
              </w:rPr>
            </w:pPr>
          </w:p>
        </w:tc>
      </w:tr>
      <w:tr w:rsidR="00614B34" w:rsidRPr="00CF6110" w14:paraId="71A0B7B5" w14:textId="77777777" w:rsidTr="000815BC">
        <w:tc>
          <w:tcPr>
            <w:tcW w:w="2721" w:type="dxa"/>
            <w:gridSpan w:val="2"/>
            <w:vMerge w:val="restart"/>
            <w:tcBorders>
              <w:left w:val="single" w:sz="4" w:space="0" w:color="auto"/>
              <w:bottom w:val="nil"/>
              <w:right w:val="nil"/>
            </w:tcBorders>
            <w:vAlign w:val="center"/>
          </w:tcPr>
          <w:p w14:paraId="5B7C04C4" w14:textId="77777777" w:rsidR="00614B34" w:rsidRPr="00CF6110" w:rsidRDefault="00614B34" w:rsidP="00614B34">
            <w:pPr>
              <w:pStyle w:val="Paragraphedeliste"/>
              <w:numPr>
                <w:ilvl w:val="0"/>
                <w:numId w:val="21"/>
              </w:numPr>
              <w:ind w:hanging="578"/>
              <w:jc w:val="center"/>
              <w:rPr>
                <w:rFonts w:ascii="Times New Roman" w:hAnsi="Times New Roman" w:cs="Times New Roman"/>
                <w:noProof w:val="0"/>
                <w:sz w:val="20"/>
                <w:szCs w:val="20"/>
                <w:lang w:val="en-GB"/>
              </w:rPr>
            </w:pPr>
            <w:r w:rsidRPr="00CF6110">
              <w:rPr>
                <w:rFonts w:ascii="Times New Roman" w:hAnsi="Times New Roman" w:cs="Times New Roman"/>
                <w:noProof w:val="0"/>
                <w:sz w:val="20"/>
                <w:szCs w:val="20"/>
                <w:lang w:val="en-GB"/>
              </w:rPr>
              <w:t>The skin wound is:</w:t>
            </w:r>
          </w:p>
        </w:tc>
        <w:tc>
          <w:tcPr>
            <w:tcW w:w="1465" w:type="dxa"/>
            <w:tcBorders>
              <w:left w:val="nil"/>
              <w:bottom w:val="nil"/>
            </w:tcBorders>
          </w:tcPr>
          <w:p w14:paraId="3FCFA972" w14:textId="77777777" w:rsidR="00614B34" w:rsidRPr="00CF6110" w:rsidRDefault="00614B34" w:rsidP="000815BC">
            <w:pPr>
              <w:jc w:val="right"/>
              <w:rPr>
                <w:lang w:val="en-GB"/>
              </w:rPr>
            </w:pPr>
            <w:r w:rsidRPr="00CF6110">
              <w:rPr>
                <w:lang w:val="en-GB"/>
              </w:rPr>
              <w:t>Horizontal</w:t>
            </w:r>
          </w:p>
        </w:tc>
        <w:tc>
          <w:tcPr>
            <w:tcW w:w="500" w:type="dxa"/>
          </w:tcPr>
          <w:p w14:paraId="1CA456E1" w14:textId="77777777" w:rsidR="00614B34" w:rsidRPr="00CF6110" w:rsidRDefault="00614B34" w:rsidP="000815BC">
            <w:pPr>
              <w:rPr>
                <w:lang w:val="en-GB"/>
              </w:rPr>
            </w:pPr>
          </w:p>
        </w:tc>
        <w:tc>
          <w:tcPr>
            <w:tcW w:w="501" w:type="dxa"/>
          </w:tcPr>
          <w:p w14:paraId="67A5AEC2" w14:textId="77777777" w:rsidR="00614B34" w:rsidRPr="00CF6110" w:rsidRDefault="00614B34" w:rsidP="000815BC">
            <w:pPr>
              <w:rPr>
                <w:lang w:val="en-GB"/>
              </w:rPr>
            </w:pPr>
          </w:p>
        </w:tc>
        <w:tc>
          <w:tcPr>
            <w:tcW w:w="501" w:type="dxa"/>
          </w:tcPr>
          <w:p w14:paraId="5A2E2B15" w14:textId="77777777" w:rsidR="00614B34" w:rsidRPr="00CF6110" w:rsidRDefault="00614B34" w:rsidP="000815BC">
            <w:pPr>
              <w:rPr>
                <w:lang w:val="en-GB"/>
              </w:rPr>
            </w:pPr>
          </w:p>
        </w:tc>
        <w:tc>
          <w:tcPr>
            <w:tcW w:w="501" w:type="dxa"/>
          </w:tcPr>
          <w:p w14:paraId="38379FF8" w14:textId="77777777" w:rsidR="00614B34" w:rsidRPr="00CF6110" w:rsidRDefault="00614B34" w:rsidP="000815BC">
            <w:pPr>
              <w:rPr>
                <w:lang w:val="en-GB"/>
              </w:rPr>
            </w:pPr>
          </w:p>
        </w:tc>
        <w:tc>
          <w:tcPr>
            <w:tcW w:w="501" w:type="dxa"/>
          </w:tcPr>
          <w:p w14:paraId="4900B0AE" w14:textId="77777777" w:rsidR="00614B34" w:rsidRPr="00CF6110" w:rsidRDefault="00614B34" w:rsidP="000815BC">
            <w:pPr>
              <w:rPr>
                <w:lang w:val="en-GB"/>
              </w:rPr>
            </w:pPr>
          </w:p>
        </w:tc>
        <w:tc>
          <w:tcPr>
            <w:tcW w:w="501" w:type="dxa"/>
          </w:tcPr>
          <w:p w14:paraId="3A86D6E8" w14:textId="77777777" w:rsidR="00614B34" w:rsidRPr="00CF6110" w:rsidRDefault="00614B34" w:rsidP="000815BC">
            <w:pPr>
              <w:rPr>
                <w:lang w:val="en-GB"/>
              </w:rPr>
            </w:pPr>
          </w:p>
        </w:tc>
        <w:tc>
          <w:tcPr>
            <w:tcW w:w="501" w:type="dxa"/>
          </w:tcPr>
          <w:p w14:paraId="61EF57FF" w14:textId="77777777" w:rsidR="00614B34" w:rsidRPr="00CF6110" w:rsidRDefault="00614B34" w:rsidP="000815BC">
            <w:pPr>
              <w:rPr>
                <w:lang w:val="en-GB"/>
              </w:rPr>
            </w:pPr>
          </w:p>
        </w:tc>
        <w:tc>
          <w:tcPr>
            <w:tcW w:w="501" w:type="dxa"/>
          </w:tcPr>
          <w:p w14:paraId="360FCA0C" w14:textId="77777777" w:rsidR="00614B34" w:rsidRPr="00CF6110" w:rsidRDefault="00614B34" w:rsidP="000815BC">
            <w:pPr>
              <w:rPr>
                <w:lang w:val="en-GB"/>
              </w:rPr>
            </w:pPr>
          </w:p>
        </w:tc>
        <w:tc>
          <w:tcPr>
            <w:tcW w:w="501" w:type="dxa"/>
          </w:tcPr>
          <w:p w14:paraId="16C7043B" w14:textId="77777777" w:rsidR="00614B34" w:rsidRPr="00CF6110" w:rsidRDefault="00614B34" w:rsidP="000815BC">
            <w:pPr>
              <w:rPr>
                <w:lang w:val="en-GB"/>
              </w:rPr>
            </w:pPr>
          </w:p>
        </w:tc>
        <w:tc>
          <w:tcPr>
            <w:tcW w:w="548" w:type="dxa"/>
            <w:tcBorders>
              <w:right w:val="single" w:sz="4" w:space="0" w:color="auto"/>
            </w:tcBorders>
          </w:tcPr>
          <w:p w14:paraId="6BFA050D" w14:textId="77777777" w:rsidR="00614B34" w:rsidRPr="00CF6110" w:rsidRDefault="00614B34" w:rsidP="000815BC">
            <w:pPr>
              <w:rPr>
                <w:lang w:val="en-GB"/>
              </w:rPr>
            </w:pPr>
          </w:p>
        </w:tc>
      </w:tr>
      <w:tr w:rsidR="00614B34" w:rsidRPr="00CF6110" w14:paraId="1AF1A840" w14:textId="77777777" w:rsidTr="000815BC">
        <w:tc>
          <w:tcPr>
            <w:tcW w:w="2721" w:type="dxa"/>
            <w:gridSpan w:val="2"/>
            <w:vMerge/>
            <w:tcBorders>
              <w:top w:val="nil"/>
              <w:left w:val="single" w:sz="4" w:space="0" w:color="auto"/>
              <w:bottom w:val="single" w:sz="4" w:space="0" w:color="auto"/>
              <w:right w:val="nil"/>
            </w:tcBorders>
          </w:tcPr>
          <w:p w14:paraId="3DB4A1DA" w14:textId="77777777" w:rsidR="00614B34" w:rsidRPr="00CF6110" w:rsidRDefault="00614B34" w:rsidP="000815BC">
            <w:pPr>
              <w:rPr>
                <w:lang w:val="en-GB"/>
              </w:rPr>
            </w:pPr>
          </w:p>
        </w:tc>
        <w:tc>
          <w:tcPr>
            <w:tcW w:w="1465" w:type="dxa"/>
            <w:tcBorders>
              <w:top w:val="nil"/>
              <w:left w:val="nil"/>
              <w:bottom w:val="nil"/>
            </w:tcBorders>
          </w:tcPr>
          <w:p w14:paraId="55B1EEDA" w14:textId="77777777" w:rsidR="00614B34" w:rsidRPr="00CF6110" w:rsidRDefault="00614B34" w:rsidP="000815BC">
            <w:pPr>
              <w:jc w:val="right"/>
              <w:rPr>
                <w:lang w:val="en-GB"/>
              </w:rPr>
            </w:pPr>
            <w:r w:rsidRPr="00CF6110">
              <w:rPr>
                <w:lang w:val="en-GB"/>
              </w:rPr>
              <w:t>Vertical</w:t>
            </w:r>
          </w:p>
        </w:tc>
        <w:tc>
          <w:tcPr>
            <w:tcW w:w="500" w:type="dxa"/>
          </w:tcPr>
          <w:p w14:paraId="2625060D" w14:textId="77777777" w:rsidR="00614B34" w:rsidRPr="00CF6110" w:rsidRDefault="00614B34" w:rsidP="000815BC">
            <w:pPr>
              <w:rPr>
                <w:lang w:val="en-GB"/>
              </w:rPr>
            </w:pPr>
          </w:p>
        </w:tc>
        <w:tc>
          <w:tcPr>
            <w:tcW w:w="501" w:type="dxa"/>
          </w:tcPr>
          <w:p w14:paraId="7565E6ED" w14:textId="77777777" w:rsidR="00614B34" w:rsidRPr="00CF6110" w:rsidRDefault="00614B34" w:rsidP="000815BC">
            <w:pPr>
              <w:rPr>
                <w:lang w:val="en-GB"/>
              </w:rPr>
            </w:pPr>
          </w:p>
        </w:tc>
        <w:tc>
          <w:tcPr>
            <w:tcW w:w="501" w:type="dxa"/>
          </w:tcPr>
          <w:p w14:paraId="615919DE" w14:textId="77777777" w:rsidR="00614B34" w:rsidRPr="00CF6110" w:rsidRDefault="00614B34" w:rsidP="000815BC">
            <w:pPr>
              <w:rPr>
                <w:lang w:val="en-GB"/>
              </w:rPr>
            </w:pPr>
          </w:p>
        </w:tc>
        <w:tc>
          <w:tcPr>
            <w:tcW w:w="501" w:type="dxa"/>
          </w:tcPr>
          <w:p w14:paraId="32423895" w14:textId="77777777" w:rsidR="00614B34" w:rsidRPr="00CF6110" w:rsidRDefault="00614B34" w:rsidP="000815BC">
            <w:pPr>
              <w:rPr>
                <w:lang w:val="en-GB"/>
              </w:rPr>
            </w:pPr>
          </w:p>
        </w:tc>
        <w:tc>
          <w:tcPr>
            <w:tcW w:w="501" w:type="dxa"/>
          </w:tcPr>
          <w:p w14:paraId="31818B4A" w14:textId="77777777" w:rsidR="00614B34" w:rsidRPr="00CF6110" w:rsidRDefault="00614B34" w:rsidP="000815BC">
            <w:pPr>
              <w:rPr>
                <w:lang w:val="en-GB"/>
              </w:rPr>
            </w:pPr>
          </w:p>
        </w:tc>
        <w:tc>
          <w:tcPr>
            <w:tcW w:w="501" w:type="dxa"/>
          </w:tcPr>
          <w:p w14:paraId="51C96395" w14:textId="77777777" w:rsidR="00614B34" w:rsidRPr="00CF6110" w:rsidRDefault="00614B34" w:rsidP="000815BC">
            <w:pPr>
              <w:rPr>
                <w:lang w:val="en-GB"/>
              </w:rPr>
            </w:pPr>
          </w:p>
        </w:tc>
        <w:tc>
          <w:tcPr>
            <w:tcW w:w="501" w:type="dxa"/>
          </w:tcPr>
          <w:p w14:paraId="35FE32D5" w14:textId="77777777" w:rsidR="00614B34" w:rsidRPr="00CF6110" w:rsidRDefault="00614B34" w:rsidP="000815BC">
            <w:pPr>
              <w:rPr>
                <w:lang w:val="en-GB"/>
              </w:rPr>
            </w:pPr>
          </w:p>
        </w:tc>
        <w:tc>
          <w:tcPr>
            <w:tcW w:w="501" w:type="dxa"/>
          </w:tcPr>
          <w:p w14:paraId="73F0D7D6" w14:textId="77777777" w:rsidR="00614B34" w:rsidRPr="00CF6110" w:rsidRDefault="00614B34" w:rsidP="000815BC">
            <w:pPr>
              <w:rPr>
                <w:lang w:val="en-GB"/>
              </w:rPr>
            </w:pPr>
          </w:p>
        </w:tc>
        <w:tc>
          <w:tcPr>
            <w:tcW w:w="501" w:type="dxa"/>
          </w:tcPr>
          <w:p w14:paraId="7995315D" w14:textId="77777777" w:rsidR="00614B34" w:rsidRPr="00CF6110" w:rsidRDefault="00614B34" w:rsidP="000815BC">
            <w:pPr>
              <w:rPr>
                <w:lang w:val="en-GB"/>
              </w:rPr>
            </w:pPr>
          </w:p>
        </w:tc>
        <w:tc>
          <w:tcPr>
            <w:tcW w:w="548" w:type="dxa"/>
            <w:tcBorders>
              <w:right w:val="single" w:sz="4" w:space="0" w:color="auto"/>
            </w:tcBorders>
          </w:tcPr>
          <w:p w14:paraId="6B93AA1A" w14:textId="77777777" w:rsidR="00614B34" w:rsidRPr="00CF6110" w:rsidRDefault="00614B34" w:rsidP="000815BC">
            <w:pPr>
              <w:rPr>
                <w:lang w:val="en-GB"/>
              </w:rPr>
            </w:pPr>
          </w:p>
        </w:tc>
      </w:tr>
      <w:tr w:rsidR="00614B34" w:rsidRPr="00CF6110" w14:paraId="28470F92" w14:textId="77777777" w:rsidTr="000815BC">
        <w:tc>
          <w:tcPr>
            <w:tcW w:w="2721" w:type="dxa"/>
            <w:gridSpan w:val="2"/>
            <w:vMerge/>
            <w:tcBorders>
              <w:top w:val="single" w:sz="4" w:space="0" w:color="auto"/>
              <w:left w:val="single" w:sz="4" w:space="0" w:color="auto"/>
              <w:right w:val="nil"/>
            </w:tcBorders>
          </w:tcPr>
          <w:p w14:paraId="43D05C04" w14:textId="77777777" w:rsidR="00614B34" w:rsidRPr="00CF6110" w:rsidRDefault="00614B34" w:rsidP="000815BC">
            <w:pPr>
              <w:rPr>
                <w:lang w:val="en-GB"/>
              </w:rPr>
            </w:pPr>
          </w:p>
        </w:tc>
        <w:tc>
          <w:tcPr>
            <w:tcW w:w="1465" w:type="dxa"/>
            <w:tcBorders>
              <w:top w:val="nil"/>
              <w:left w:val="nil"/>
              <w:bottom w:val="single" w:sz="4" w:space="0" w:color="auto"/>
            </w:tcBorders>
          </w:tcPr>
          <w:p w14:paraId="2B66EB35" w14:textId="77777777" w:rsidR="00614B34" w:rsidRPr="00CF6110" w:rsidRDefault="00614B34" w:rsidP="000815BC">
            <w:pPr>
              <w:jc w:val="right"/>
              <w:rPr>
                <w:lang w:val="en-GB"/>
              </w:rPr>
            </w:pPr>
            <w:r w:rsidRPr="00CF6110">
              <w:rPr>
                <w:lang w:val="en-GB"/>
              </w:rPr>
              <w:t>Oblique</w:t>
            </w:r>
          </w:p>
        </w:tc>
        <w:tc>
          <w:tcPr>
            <w:tcW w:w="500" w:type="dxa"/>
          </w:tcPr>
          <w:p w14:paraId="265A1D5B" w14:textId="77777777" w:rsidR="00614B34" w:rsidRPr="00CF6110" w:rsidRDefault="00614B34" w:rsidP="000815BC">
            <w:pPr>
              <w:rPr>
                <w:lang w:val="en-GB"/>
              </w:rPr>
            </w:pPr>
          </w:p>
        </w:tc>
        <w:tc>
          <w:tcPr>
            <w:tcW w:w="501" w:type="dxa"/>
          </w:tcPr>
          <w:p w14:paraId="6A250260" w14:textId="77777777" w:rsidR="00614B34" w:rsidRPr="00CF6110" w:rsidRDefault="00614B34" w:rsidP="000815BC">
            <w:pPr>
              <w:rPr>
                <w:lang w:val="en-GB"/>
              </w:rPr>
            </w:pPr>
          </w:p>
        </w:tc>
        <w:tc>
          <w:tcPr>
            <w:tcW w:w="501" w:type="dxa"/>
          </w:tcPr>
          <w:p w14:paraId="28D9004E" w14:textId="77777777" w:rsidR="00614B34" w:rsidRPr="00CF6110" w:rsidRDefault="00614B34" w:rsidP="000815BC">
            <w:pPr>
              <w:rPr>
                <w:lang w:val="en-GB"/>
              </w:rPr>
            </w:pPr>
          </w:p>
        </w:tc>
        <w:tc>
          <w:tcPr>
            <w:tcW w:w="501" w:type="dxa"/>
          </w:tcPr>
          <w:p w14:paraId="27ED8B9A" w14:textId="77777777" w:rsidR="00614B34" w:rsidRPr="00CF6110" w:rsidRDefault="00614B34" w:rsidP="000815BC">
            <w:pPr>
              <w:rPr>
                <w:lang w:val="en-GB"/>
              </w:rPr>
            </w:pPr>
          </w:p>
        </w:tc>
        <w:tc>
          <w:tcPr>
            <w:tcW w:w="501" w:type="dxa"/>
          </w:tcPr>
          <w:p w14:paraId="5F114F90" w14:textId="77777777" w:rsidR="00614B34" w:rsidRPr="00CF6110" w:rsidRDefault="00614B34" w:rsidP="000815BC">
            <w:pPr>
              <w:rPr>
                <w:lang w:val="en-GB"/>
              </w:rPr>
            </w:pPr>
          </w:p>
        </w:tc>
        <w:tc>
          <w:tcPr>
            <w:tcW w:w="501" w:type="dxa"/>
          </w:tcPr>
          <w:p w14:paraId="36261F21" w14:textId="77777777" w:rsidR="00614B34" w:rsidRPr="00CF6110" w:rsidRDefault="00614B34" w:rsidP="000815BC">
            <w:pPr>
              <w:rPr>
                <w:lang w:val="en-GB"/>
              </w:rPr>
            </w:pPr>
          </w:p>
        </w:tc>
        <w:tc>
          <w:tcPr>
            <w:tcW w:w="501" w:type="dxa"/>
          </w:tcPr>
          <w:p w14:paraId="6F850A54" w14:textId="77777777" w:rsidR="00614B34" w:rsidRPr="00CF6110" w:rsidRDefault="00614B34" w:rsidP="000815BC">
            <w:pPr>
              <w:rPr>
                <w:lang w:val="en-GB"/>
              </w:rPr>
            </w:pPr>
          </w:p>
        </w:tc>
        <w:tc>
          <w:tcPr>
            <w:tcW w:w="501" w:type="dxa"/>
          </w:tcPr>
          <w:p w14:paraId="5DEA3472" w14:textId="77777777" w:rsidR="00614B34" w:rsidRPr="00CF6110" w:rsidRDefault="00614B34" w:rsidP="000815BC">
            <w:pPr>
              <w:rPr>
                <w:lang w:val="en-GB"/>
              </w:rPr>
            </w:pPr>
          </w:p>
        </w:tc>
        <w:tc>
          <w:tcPr>
            <w:tcW w:w="501" w:type="dxa"/>
          </w:tcPr>
          <w:p w14:paraId="7CEAE409" w14:textId="77777777" w:rsidR="00614B34" w:rsidRPr="00CF6110" w:rsidRDefault="00614B34" w:rsidP="000815BC">
            <w:pPr>
              <w:rPr>
                <w:lang w:val="en-GB"/>
              </w:rPr>
            </w:pPr>
          </w:p>
        </w:tc>
        <w:tc>
          <w:tcPr>
            <w:tcW w:w="548" w:type="dxa"/>
            <w:tcBorders>
              <w:right w:val="single" w:sz="4" w:space="0" w:color="auto"/>
            </w:tcBorders>
          </w:tcPr>
          <w:p w14:paraId="5A3B1951" w14:textId="77777777" w:rsidR="00614B34" w:rsidRPr="00CF6110" w:rsidRDefault="00614B34" w:rsidP="000815BC">
            <w:pPr>
              <w:rPr>
                <w:lang w:val="en-GB"/>
              </w:rPr>
            </w:pPr>
          </w:p>
        </w:tc>
      </w:tr>
      <w:tr w:rsidR="00614B34" w:rsidRPr="00CF6110" w14:paraId="2F1ED192" w14:textId="77777777" w:rsidTr="000815BC">
        <w:tc>
          <w:tcPr>
            <w:tcW w:w="2721" w:type="dxa"/>
            <w:gridSpan w:val="2"/>
            <w:vMerge w:val="restart"/>
            <w:tcBorders>
              <w:left w:val="single" w:sz="4" w:space="0" w:color="auto"/>
            </w:tcBorders>
            <w:vAlign w:val="center"/>
          </w:tcPr>
          <w:p w14:paraId="492D1108" w14:textId="77777777" w:rsidR="00614B34" w:rsidRPr="00CF6110" w:rsidRDefault="00614B34" w:rsidP="00614B34">
            <w:pPr>
              <w:pStyle w:val="Paragraphedeliste"/>
              <w:numPr>
                <w:ilvl w:val="0"/>
                <w:numId w:val="21"/>
              </w:numPr>
              <w:ind w:hanging="578"/>
              <w:jc w:val="center"/>
              <w:rPr>
                <w:rFonts w:ascii="Times New Roman" w:hAnsi="Times New Roman" w:cs="Times New Roman"/>
                <w:noProof w:val="0"/>
                <w:sz w:val="20"/>
                <w:szCs w:val="20"/>
                <w:lang w:val="en-GB"/>
              </w:rPr>
            </w:pPr>
            <w:r w:rsidRPr="00CF6110">
              <w:rPr>
                <w:rFonts w:ascii="Times New Roman" w:hAnsi="Times New Roman" w:cs="Times New Roman"/>
                <w:noProof w:val="0"/>
                <w:sz w:val="20"/>
                <w:szCs w:val="20"/>
                <w:lang w:val="en-GB"/>
              </w:rPr>
              <w:t>Centimetres from wound to:</w:t>
            </w:r>
          </w:p>
        </w:tc>
        <w:tc>
          <w:tcPr>
            <w:tcW w:w="1465" w:type="dxa"/>
            <w:tcBorders>
              <w:bottom w:val="nil"/>
            </w:tcBorders>
          </w:tcPr>
          <w:p w14:paraId="60F33433" w14:textId="77777777" w:rsidR="00614B34" w:rsidRPr="00CF6110" w:rsidRDefault="00614B34" w:rsidP="000815BC">
            <w:pPr>
              <w:jc w:val="right"/>
              <w:rPr>
                <w:lang w:val="en-GB"/>
              </w:rPr>
            </w:pPr>
            <w:r w:rsidRPr="00CF6110">
              <w:rPr>
                <w:lang w:val="en-GB"/>
              </w:rPr>
              <w:t>Top of head</w:t>
            </w:r>
          </w:p>
        </w:tc>
        <w:tc>
          <w:tcPr>
            <w:tcW w:w="500" w:type="dxa"/>
          </w:tcPr>
          <w:p w14:paraId="6D266FA0" w14:textId="77777777" w:rsidR="00614B34" w:rsidRPr="00CF6110" w:rsidRDefault="00614B34" w:rsidP="000815BC">
            <w:pPr>
              <w:rPr>
                <w:lang w:val="en-GB"/>
              </w:rPr>
            </w:pPr>
          </w:p>
        </w:tc>
        <w:tc>
          <w:tcPr>
            <w:tcW w:w="501" w:type="dxa"/>
          </w:tcPr>
          <w:p w14:paraId="76954AED" w14:textId="77777777" w:rsidR="00614B34" w:rsidRPr="00CF6110" w:rsidRDefault="00614B34" w:rsidP="000815BC">
            <w:pPr>
              <w:rPr>
                <w:lang w:val="en-GB"/>
              </w:rPr>
            </w:pPr>
          </w:p>
        </w:tc>
        <w:tc>
          <w:tcPr>
            <w:tcW w:w="501" w:type="dxa"/>
          </w:tcPr>
          <w:p w14:paraId="58686566" w14:textId="77777777" w:rsidR="00614B34" w:rsidRPr="00CF6110" w:rsidRDefault="00614B34" w:rsidP="000815BC">
            <w:pPr>
              <w:rPr>
                <w:lang w:val="en-GB"/>
              </w:rPr>
            </w:pPr>
          </w:p>
        </w:tc>
        <w:tc>
          <w:tcPr>
            <w:tcW w:w="501" w:type="dxa"/>
          </w:tcPr>
          <w:p w14:paraId="3806EB46" w14:textId="77777777" w:rsidR="00614B34" w:rsidRPr="00CF6110" w:rsidRDefault="00614B34" w:rsidP="000815BC">
            <w:pPr>
              <w:rPr>
                <w:lang w:val="en-GB"/>
              </w:rPr>
            </w:pPr>
          </w:p>
        </w:tc>
        <w:tc>
          <w:tcPr>
            <w:tcW w:w="501" w:type="dxa"/>
          </w:tcPr>
          <w:p w14:paraId="7C7CA183" w14:textId="77777777" w:rsidR="00614B34" w:rsidRPr="00CF6110" w:rsidRDefault="00614B34" w:rsidP="000815BC">
            <w:pPr>
              <w:rPr>
                <w:lang w:val="en-GB"/>
              </w:rPr>
            </w:pPr>
          </w:p>
        </w:tc>
        <w:tc>
          <w:tcPr>
            <w:tcW w:w="501" w:type="dxa"/>
          </w:tcPr>
          <w:p w14:paraId="544D0A90" w14:textId="77777777" w:rsidR="00614B34" w:rsidRPr="00CF6110" w:rsidRDefault="00614B34" w:rsidP="000815BC">
            <w:pPr>
              <w:rPr>
                <w:lang w:val="en-GB"/>
              </w:rPr>
            </w:pPr>
          </w:p>
        </w:tc>
        <w:tc>
          <w:tcPr>
            <w:tcW w:w="501" w:type="dxa"/>
          </w:tcPr>
          <w:p w14:paraId="2A9B066A" w14:textId="77777777" w:rsidR="00614B34" w:rsidRPr="00CF6110" w:rsidRDefault="00614B34" w:rsidP="000815BC">
            <w:pPr>
              <w:rPr>
                <w:lang w:val="en-GB"/>
              </w:rPr>
            </w:pPr>
          </w:p>
        </w:tc>
        <w:tc>
          <w:tcPr>
            <w:tcW w:w="501" w:type="dxa"/>
          </w:tcPr>
          <w:p w14:paraId="1851CAA8" w14:textId="77777777" w:rsidR="00614B34" w:rsidRPr="00CF6110" w:rsidRDefault="00614B34" w:rsidP="000815BC">
            <w:pPr>
              <w:rPr>
                <w:lang w:val="en-GB"/>
              </w:rPr>
            </w:pPr>
          </w:p>
        </w:tc>
        <w:tc>
          <w:tcPr>
            <w:tcW w:w="501" w:type="dxa"/>
          </w:tcPr>
          <w:p w14:paraId="14D840B6" w14:textId="77777777" w:rsidR="00614B34" w:rsidRPr="00CF6110" w:rsidRDefault="00614B34" w:rsidP="000815BC">
            <w:pPr>
              <w:rPr>
                <w:lang w:val="en-GB"/>
              </w:rPr>
            </w:pPr>
          </w:p>
        </w:tc>
        <w:tc>
          <w:tcPr>
            <w:tcW w:w="548" w:type="dxa"/>
            <w:tcBorders>
              <w:right w:val="single" w:sz="4" w:space="0" w:color="auto"/>
            </w:tcBorders>
          </w:tcPr>
          <w:p w14:paraId="47374A01" w14:textId="77777777" w:rsidR="00614B34" w:rsidRPr="00CF6110" w:rsidRDefault="00614B34" w:rsidP="000815BC">
            <w:pPr>
              <w:rPr>
                <w:lang w:val="en-GB"/>
              </w:rPr>
            </w:pPr>
          </w:p>
        </w:tc>
      </w:tr>
      <w:tr w:rsidR="00614B34" w:rsidRPr="00CF6110" w14:paraId="6E2D3369" w14:textId="77777777" w:rsidTr="000815BC">
        <w:tc>
          <w:tcPr>
            <w:tcW w:w="2721" w:type="dxa"/>
            <w:gridSpan w:val="2"/>
            <w:vMerge/>
            <w:tcBorders>
              <w:left w:val="single" w:sz="4" w:space="0" w:color="auto"/>
            </w:tcBorders>
          </w:tcPr>
          <w:p w14:paraId="4C5A9346" w14:textId="77777777" w:rsidR="00614B34" w:rsidRPr="00CF6110" w:rsidRDefault="00614B34" w:rsidP="000815BC">
            <w:pPr>
              <w:rPr>
                <w:lang w:val="en-GB"/>
              </w:rPr>
            </w:pPr>
          </w:p>
        </w:tc>
        <w:tc>
          <w:tcPr>
            <w:tcW w:w="1465" w:type="dxa"/>
            <w:tcBorders>
              <w:top w:val="nil"/>
              <w:bottom w:val="nil"/>
            </w:tcBorders>
            <w:vAlign w:val="center"/>
          </w:tcPr>
          <w:p w14:paraId="49D0B7F9" w14:textId="77777777" w:rsidR="00614B34" w:rsidRPr="00CF6110" w:rsidRDefault="00614B34" w:rsidP="000815BC">
            <w:pPr>
              <w:jc w:val="right"/>
              <w:rPr>
                <w:lang w:val="en-GB"/>
              </w:rPr>
            </w:pPr>
            <w:r w:rsidRPr="00CF6110">
              <w:rPr>
                <w:lang w:val="en-GB"/>
              </w:rPr>
              <w:t>Right of midline</w:t>
            </w:r>
          </w:p>
        </w:tc>
        <w:tc>
          <w:tcPr>
            <w:tcW w:w="500" w:type="dxa"/>
          </w:tcPr>
          <w:p w14:paraId="672EB999" w14:textId="77777777" w:rsidR="00614B34" w:rsidRPr="00CF6110" w:rsidRDefault="00614B34" w:rsidP="000815BC">
            <w:pPr>
              <w:rPr>
                <w:lang w:val="en-GB"/>
              </w:rPr>
            </w:pPr>
          </w:p>
        </w:tc>
        <w:tc>
          <w:tcPr>
            <w:tcW w:w="501" w:type="dxa"/>
          </w:tcPr>
          <w:p w14:paraId="0693233D" w14:textId="77777777" w:rsidR="00614B34" w:rsidRPr="00CF6110" w:rsidRDefault="00614B34" w:rsidP="000815BC">
            <w:pPr>
              <w:rPr>
                <w:lang w:val="en-GB"/>
              </w:rPr>
            </w:pPr>
          </w:p>
        </w:tc>
        <w:tc>
          <w:tcPr>
            <w:tcW w:w="501" w:type="dxa"/>
          </w:tcPr>
          <w:p w14:paraId="55BB89EA" w14:textId="77777777" w:rsidR="00614B34" w:rsidRPr="00CF6110" w:rsidRDefault="00614B34" w:rsidP="000815BC">
            <w:pPr>
              <w:rPr>
                <w:lang w:val="en-GB"/>
              </w:rPr>
            </w:pPr>
          </w:p>
        </w:tc>
        <w:tc>
          <w:tcPr>
            <w:tcW w:w="501" w:type="dxa"/>
          </w:tcPr>
          <w:p w14:paraId="16A6BD09" w14:textId="77777777" w:rsidR="00614B34" w:rsidRPr="00CF6110" w:rsidRDefault="00614B34" w:rsidP="000815BC">
            <w:pPr>
              <w:rPr>
                <w:lang w:val="en-GB"/>
              </w:rPr>
            </w:pPr>
          </w:p>
        </w:tc>
        <w:tc>
          <w:tcPr>
            <w:tcW w:w="501" w:type="dxa"/>
          </w:tcPr>
          <w:p w14:paraId="15AED2BF" w14:textId="77777777" w:rsidR="00614B34" w:rsidRPr="00CF6110" w:rsidRDefault="00614B34" w:rsidP="000815BC">
            <w:pPr>
              <w:rPr>
                <w:lang w:val="en-GB"/>
              </w:rPr>
            </w:pPr>
          </w:p>
        </w:tc>
        <w:tc>
          <w:tcPr>
            <w:tcW w:w="501" w:type="dxa"/>
          </w:tcPr>
          <w:p w14:paraId="6ED7A002" w14:textId="77777777" w:rsidR="00614B34" w:rsidRPr="00CF6110" w:rsidRDefault="00614B34" w:rsidP="000815BC">
            <w:pPr>
              <w:rPr>
                <w:lang w:val="en-GB"/>
              </w:rPr>
            </w:pPr>
          </w:p>
        </w:tc>
        <w:tc>
          <w:tcPr>
            <w:tcW w:w="501" w:type="dxa"/>
          </w:tcPr>
          <w:p w14:paraId="61225686" w14:textId="77777777" w:rsidR="00614B34" w:rsidRPr="00CF6110" w:rsidRDefault="00614B34" w:rsidP="000815BC">
            <w:pPr>
              <w:rPr>
                <w:lang w:val="en-GB"/>
              </w:rPr>
            </w:pPr>
          </w:p>
        </w:tc>
        <w:tc>
          <w:tcPr>
            <w:tcW w:w="501" w:type="dxa"/>
          </w:tcPr>
          <w:p w14:paraId="7D5E3ECC" w14:textId="77777777" w:rsidR="00614B34" w:rsidRPr="00CF6110" w:rsidRDefault="00614B34" w:rsidP="000815BC">
            <w:pPr>
              <w:rPr>
                <w:lang w:val="en-GB"/>
              </w:rPr>
            </w:pPr>
          </w:p>
        </w:tc>
        <w:tc>
          <w:tcPr>
            <w:tcW w:w="501" w:type="dxa"/>
          </w:tcPr>
          <w:p w14:paraId="239C1C6F" w14:textId="77777777" w:rsidR="00614B34" w:rsidRPr="00CF6110" w:rsidRDefault="00614B34" w:rsidP="000815BC">
            <w:pPr>
              <w:rPr>
                <w:lang w:val="en-GB"/>
              </w:rPr>
            </w:pPr>
          </w:p>
        </w:tc>
        <w:tc>
          <w:tcPr>
            <w:tcW w:w="548" w:type="dxa"/>
            <w:tcBorders>
              <w:right w:val="single" w:sz="4" w:space="0" w:color="auto"/>
            </w:tcBorders>
          </w:tcPr>
          <w:p w14:paraId="36FB9FC6" w14:textId="77777777" w:rsidR="00614B34" w:rsidRPr="00CF6110" w:rsidRDefault="00614B34" w:rsidP="000815BC">
            <w:pPr>
              <w:rPr>
                <w:lang w:val="en-GB"/>
              </w:rPr>
            </w:pPr>
          </w:p>
        </w:tc>
      </w:tr>
      <w:tr w:rsidR="00614B34" w:rsidRPr="00CF6110" w14:paraId="438E0963" w14:textId="77777777" w:rsidTr="000815BC">
        <w:tc>
          <w:tcPr>
            <w:tcW w:w="2721" w:type="dxa"/>
            <w:gridSpan w:val="2"/>
            <w:vMerge/>
            <w:tcBorders>
              <w:left w:val="single" w:sz="4" w:space="0" w:color="auto"/>
            </w:tcBorders>
          </w:tcPr>
          <w:p w14:paraId="571A4418" w14:textId="77777777" w:rsidR="00614B34" w:rsidRPr="00CF6110" w:rsidRDefault="00614B34" w:rsidP="000815BC">
            <w:pPr>
              <w:rPr>
                <w:lang w:val="en-GB"/>
              </w:rPr>
            </w:pPr>
          </w:p>
        </w:tc>
        <w:tc>
          <w:tcPr>
            <w:tcW w:w="1465" w:type="dxa"/>
            <w:tcBorders>
              <w:top w:val="nil"/>
              <w:bottom w:val="single" w:sz="4" w:space="0" w:color="auto"/>
            </w:tcBorders>
          </w:tcPr>
          <w:p w14:paraId="25B33DCA" w14:textId="77777777" w:rsidR="00614B34" w:rsidRPr="00CF6110" w:rsidRDefault="00614B34" w:rsidP="000815BC">
            <w:pPr>
              <w:jc w:val="right"/>
              <w:rPr>
                <w:lang w:val="en-GB"/>
              </w:rPr>
            </w:pPr>
            <w:r w:rsidRPr="00CF6110">
              <w:rPr>
                <w:lang w:val="en-GB"/>
              </w:rPr>
              <w:t>Left of midline</w:t>
            </w:r>
          </w:p>
        </w:tc>
        <w:tc>
          <w:tcPr>
            <w:tcW w:w="500" w:type="dxa"/>
          </w:tcPr>
          <w:p w14:paraId="68562587" w14:textId="77777777" w:rsidR="00614B34" w:rsidRPr="00CF6110" w:rsidRDefault="00614B34" w:rsidP="000815BC">
            <w:pPr>
              <w:rPr>
                <w:lang w:val="en-GB"/>
              </w:rPr>
            </w:pPr>
          </w:p>
        </w:tc>
        <w:tc>
          <w:tcPr>
            <w:tcW w:w="501" w:type="dxa"/>
          </w:tcPr>
          <w:p w14:paraId="4BEAA042" w14:textId="77777777" w:rsidR="00614B34" w:rsidRPr="00CF6110" w:rsidRDefault="00614B34" w:rsidP="000815BC">
            <w:pPr>
              <w:rPr>
                <w:lang w:val="en-GB"/>
              </w:rPr>
            </w:pPr>
          </w:p>
        </w:tc>
        <w:tc>
          <w:tcPr>
            <w:tcW w:w="501" w:type="dxa"/>
          </w:tcPr>
          <w:p w14:paraId="0312D341" w14:textId="77777777" w:rsidR="00614B34" w:rsidRPr="00CF6110" w:rsidRDefault="00614B34" w:rsidP="000815BC">
            <w:pPr>
              <w:rPr>
                <w:lang w:val="en-GB"/>
              </w:rPr>
            </w:pPr>
          </w:p>
        </w:tc>
        <w:tc>
          <w:tcPr>
            <w:tcW w:w="501" w:type="dxa"/>
          </w:tcPr>
          <w:p w14:paraId="043F1ED6" w14:textId="77777777" w:rsidR="00614B34" w:rsidRPr="00CF6110" w:rsidRDefault="00614B34" w:rsidP="000815BC">
            <w:pPr>
              <w:rPr>
                <w:lang w:val="en-GB"/>
              </w:rPr>
            </w:pPr>
          </w:p>
        </w:tc>
        <w:tc>
          <w:tcPr>
            <w:tcW w:w="501" w:type="dxa"/>
          </w:tcPr>
          <w:p w14:paraId="048EB065" w14:textId="77777777" w:rsidR="00614B34" w:rsidRPr="00CF6110" w:rsidRDefault="00614B34" w:rsidP="000815BC">
            <w:pPr>
              <w:rPr>
                <w:lang w:val="en-GB"/>
              </w:rPr>
            </w:pPr>
          </w:p>
        </w:tc>
        <w:tc>
          <w:tcPr>
            <w:tcW w:w="501" w:type="dxa"/>
          </w:tcPr>
          <w:p w14:paraId="7111C315" w14:textId="77777777" w:rsidR="00614B34" w:rsidRPr="00CF6110" w:rsidRDefault="00614B34" w:rsidP="000815BC">
            <w:pPr>
              <w:rPr>
                <w:lang w:val="en-GB"/>
              </w:rPr>
            </w:pPr>
          </w:p>
        </w:tc>
        <w:tc>
          <w:tcPr>
            <w:tcW w:w="501" w:type="dxa"/>
          </w:tcPr>
          <w:p w14:paraId="5175FA9C" w14:textId="77777777" w:rsidR="00614B34" w:rsidRPr="00CF6110" w:rsidRDefault="00614B34" w:rsidP="000815BC">
            <w:pPr>
              <w:rPr>
                <w:lang w:val="en-GB"/>
              </w:rPr>
            </w:pPr>
          </w:p>
        </w:tc>
        <w:tc>
          <w:tcPr>
            <w:tcW w:w="501" w:type="dxa"/>
          </w:tcPr>
          <w:p w14:paraId="361C20E4" w14:textId="77777777" w:rsidR="00614B34" w:rsidRPr="00CF6110" w:rsidRDefault="00614B34" w:rsidP="000815BC">
            <w:pPr>
              <w:rPr>
                <w:lang w:val="en-GB"/>
              </w:rPr>
            </w:pPr>
          </w:p>
        </w:tc>
        <w:tc>
          <w:tcPr>
            <w:tcW w:w="501" w:type="dxa"/>
          </w:tcPr>
          <w:p w14:paraId="7026AC15" w14:textId="77777777" w:rsidR="00614B34" w:rsidRPr="00CF6110" w:rsidRDefault="00614B34" w:rsidP="000815BC">
            <w:pPr>
              <w:rPr>
                <w:lang w:val="en-GB"/>
              </w:rPr>
            </w:pPr>
          </w:p>
        </w:tc>
        <w:tc>
          <w:tcPr>
            <w:tcW w:w="548" w:type="dxa"/>
            <w:tcBorders>
              <w:right w:val="single" w:sz="4" w:space="0" w:color="auto"/>
            </w:tcBorders>
          </w:tcPr>
          <w:p w14:paraId="16A498FE" w14:textId="77777777" w:rsidR="00614B34" w:rsidRPr="00CF6110" w:rsidRDefault="00614B34" w:rsidP="000815BC">
            <w:pPr>
              <w:rPr>
                <w:lang w:val="en-GB"/>
              </w:rPr>
            </w:pPr>
          </w:p>
        </w:tc>
      </w:tr>
      <w:tr w:rsidR="00614B34" w:rsidRPr="00CF6110" w14:paraId="3BB88328" w14:textId="77777777" w:rsidTr="000815BC">
        <w:tc>
          <w:tcPr>
            <w:tcW w:w="2721" w:type="dxa"/>
            <w:gridSpan w:val="2"/>
            <w:vMerge w:val="restart"/>
            <w:tcBorders>
              <w:left w:val="single" w:sz="4" w:space="0" w:color="auto"/>
            </w:tcBorders>
            <w:vAlign w:val="center"/>
          </w:tcPr>
          <w:p w14:paraId="3B0AEEE3" w14:textId="77777777" w:rsidR="00614B34" w:rsidRPr="00CF6110" w:rsidRDefault="00614B34" w:rsidP="00614B34">
            <w:pPr>
              <w:pStyle w:val="Paragraphedeliste"/>
              <w:numPr>
                <w:ilvl w:val="0"/>
                <w:numId w:val="21"/>
              </w:numPr>
              <w:ind w:left="284" w:hanging="568"/>
              <w:jc w:val="center"/>
              <w:rPr>
                <w:rFonts w:ascii="Times New Roman" w:hAnsi="Times New Roman" w:cs="Times New Roman"/>
                <w:noProof w:val="0"/>
                <w:sz w:val="20"/>
                <w:szCs w:val="20"/>
                <w:lang w:val="en-GB"/>
              </w:rPr>
            </w:pPr>
            <w:r w:rsidRPr="00CF6110">
              <w:rPr>
                <w:rFonts w:ascii="Times New Roman" w:hAnsi="Times New Roman" w:cs="Times New Roman"/>
                <w:noProof w:val="0"/>
                <w:sz w:val="20"/>
                <w:szCs w:val="20"/>
                <w:lang w:val="en-GB"/>
              </w:rPr>
              <w:t>Wound size in centimetres</w:t>
            </w:r>
          </w:p>
        </w:tc>
        <w:tc>
          <w:tcPr>
            <w:tcW w:w="1465" w:type="dxa"/>
            <w:tcBorders>
              <w:bottom w:val="nil"/>
            </w:tcBorders>
          </w:tcPr>
          <w:p w14:paraId="2D7B3EBA" w14:textId="77777777" w:rsidR="00614B34" w:rsidRPr="00CF6110" w:rsidRDefault="00614B34" w:rsidP="000815BC">
            <w:pPr>
              <w:jc w:val="right"/>
              <w:rPr>
                <w:lang w:val="en-GB"/>
              </w:rPr>
            </w:pPr>
            <w:r w:rsidRPr="00CF6110">
              <w:rPr>
                <w:lang w:val="en-GB"/>
              </w:rPr>
              <w:t>Width</w:t>
            </w:r>
          </w:p>
        </w:tc>
        <w:tc>
          <w:tcPr>
            <w:tcW w:w="500" w:type="dxa"/>
          </w:tcPr>
          <w:p w14:paraId="6C222B40" w14:textId="77777777" w:rsidR="00614B34" w:rsidRPr="00CF6110" w:rsidRDefault="00614B34" w:rsidP="000815BC">
            <w:pPr>
              <w:rPr>
                <w:lang w:val="en-GB"/>
              </w:rPr>
            </w:pPr>
          </w:p>
        </w:tc>
        <w:tc>
          <w:tcPr>
            <w:tcW w:w="501" w:type="dxa"/>
          </w:tcPr>
          <w:p w14:paraId="75E2339A" w14:textId="77777777" w:rsidR="00614B34" w:rsidRPr="00CF6110" w:rsidRDefault="00614B34" w:rsidP="000815BC">
            <w:pPr>
              <w:rPr>
                <w:lang w:val="en-GB"/>
              </w:rPr>
            </w:pPr>
          </w:p>
        </w:tc>
        <w:tc>
          <w:tcPr>
            <w:tcW w:w="501" w:type="dxa"/>
          </w:tcPr>
          <w:p w14:paraId="01E296CE" w14:textId="77777777" w:rsidR="00614B34" w:rsidRPr="00CF6110" w:rsidRDefault="00614B34" w:rsidP="000815BC">
            <w:pPr>
              <w:rPr>
                <w:lang w:val="en-GB"/>
              </w:rPr>
            </w:pPr>
          </w:p>
        </w:tc>
        <w:tc>
          <w:tcPr>
            <w:tcW w:w="501" w:type="dxa"/>
          </w:tcPr>
          <w:p w14:paraId="6CC01A0D" w14:textId="77777777" w:rsidR="00614B34" w:rsidRPr="00CF6110" w:rsidRDefault="00614B34" w:rsidP="000815BC">
            <w:pPr>
              <w:rPr>
                <w:lang w:val="en-GB"/>
              </w:rPr>
            </w:pPr>
          </w:p>
        </w:tc>
        <w:tc>
          <w:tcPr>
            <w:tcW w:w="501" w:type="dxa"/>
          </w:tcPr>
          <w:p w14:paraId="20B44DED" w14:textId="77777777" w:rsidR="00614B34" w:rsidRPr="00CF6110" w:rsidRDefault="00614B34" w:rsidP="000815BC">
            <w:pPr>
              <w:rPr>
                <w:lang w:val="en-GB"/>
              </w:rPr>
            </w:pPr>
          </w:p>
        </w:tc>
        <w:tc>
          <w:tcPr>
            <w:tcW w:w="501" w:type="dxa"/>
          </w:tcPr>
          <w:p w14:paraId="401E488D" w14:textId="77777777" w:rsidR="00614B34" w:rsidRPr="00CF6110" w:rsidRDefault="00614B34" w:rsidP="000815BC">
            <w:pPr>
              <w:rPr>
                <w:lang w:val="en-GB"/>
              </w:rPr>
            </w:pPr>
          </w:p>
        </w:tc>
        <w:tc>
          <w:tcPr>
            <w:tcW w:w="501" w:type="dxa"/>
          </w:tcPr>
          <w:p w14:paraId="64D21FB0" w14:textId="77777777" w:rsidR="00614B34" w:rsidRPr="00CF6110" w:rsidRDefault="00614B34" w:rsidP="000815BC">
            <w:pPr>
              <w:rPr>
                <w:lang w:val="en-GB"/>
              </w:rPr>
            </w:pPr>
          </w:p>
        </w:tc>
        <w:tc>
          <w:tcPr>
            <w:tcW w:w="501" w:type="dxa"/>
          </w:tcPr>
          <w:p w14:paraId="6C16944D" w14:textId="77777777" w:rsidR="00614B34" w:rsidRPr="00CF6110" w:rsidRDefault="00614B34" w:rsidP="000815BC">
            <w:pPr>
              <w:rPr>
                <w:lang w:val="en-GB"/>
              </w:rPr>
            </w:pPr>
          </w:p>
        </w:tc>
        <w:tc>
          <w:tcPr>
            <w:tcW w:w="501" w:type="dxa"/>
          </w:tcPr>
          <w:p w14:paraId="3944475B" w14:textId="77777777" w:rsidR="00614B34" w:rsidRPr="00CF6110" w:rsidRDefault="00614B34" w:rsidP="000815BC">
            <w:pPr>
              <w:rPr>
                <w:lang w:val="en-GB"/>
              </w:rPr>
            </w:pPr>
          </w:p>
        </w:tc>
        <w:tc>
          <w:tcPr>
            <w:tcW w:w="548" w:type="dxa"/>
            <w:tcBorders>
              <w:right w:val="single" w:sz="4" w:space="0" w:color="auto"/>
            </w:tcBorders>
          </w:tcPr>
          <w:p w14:paraId="0B7251CB" w14:textId="77777777" w:rsidR="00614B34" w:rsidRPr="00CF6110" w:rsidRDefault="00614B34" w:rsidP="000815BC">
            <w:pPr>
              <w:rPr>
                <w:lang w:val="en-GB"/>
              </w:rPr>
            </w:pPr>
          </w:p>
        </w:tc>
      </w:tr>
      <w:tr w:rsidR="00614B34" w:rsidRPr="00CF6110" w14:paraId="2DBFB896" w14:textId="77777777" w:rsidTr="000815BC">
        <w:tc>
          <w:tcPr>
            <w:tcW w:w="2721" w:type="dxa"/>
            <w:gridSpan w:val="2"/>
            <w:vMerge/>
            <w:tcBorders>
              <w:left w:val="single" w:sz="4" w:space="0" w:color="auto"/>
            </w:tcBorders>
          </w:tcPr>
          <w:p w14:paraId="308C6807" w14:textId="77777777" w:rsidR="00614B34" w:rsidRPr="00CF6110" w:rsidRDefault="00614B34" w:rsidP="000815BC">
            <w:pPr>
              <w:rPr>
                <w:lang w:val="en-GB"/>
              </w:rPr>
            </w:pPr>
          </w:p>
        </w:tc>
        <w:tc>
          <w:tcPr>
            <w:tcW w:w="1465" w:type="dxa"/>
            <w:tcBorders>
              <w:top w:val="nil"/>
              <w:bottom w:val="single" w:sz="4" w:space="0" w:color="auto"/>
            </w:tcBorders>
          </w:tcPr>
          <w:p w14:paraId="157FADDC" w14:textId="77777777" w:rsidR="00614B34" w:rsidRPr="00CF6110" w:rsidRDefault="00614B34" w:rsidP="000815BC">
            <w:pPr>
              <w:jc w:val="right"/>
              <w:rPr>
                <w:lang w:val="en-GB"/>
              </w:rPr>
            </w:pPr>
            <w:r w:rsidRPr="00CF6110">
              <w:rPr>
                <w:lang w:val="en-GB"/>
              </w:rPr>
              <w:t>Length</w:t>
            </w:r>
          </w:p>
        </w:tc>
        <w:tc>
          <w:tcPr>
            <w:tcW w:w="500" w:type="dxa"/>
          </w:tcPr>
          <w:p w14:paraId="5E3D982D" w14:textId="77777777" w:rsidR="00614B34" w:rsidRPr="00CF6110" w:rsidRDefault="00614B34" w:rsidP="000815BC">
            <w:pPr>
              <w:rPr>
                <w:lang w:val="en-GB"/>
              </w:rPr>
            </w:pPr>
          </w:p>
        </w:tc>
        <w:tc>
          <w:tcPr>
            <w:tcW w:w="501" w:type="dxa"/>
          </w:tcPr>
          <w:p w14:paraId="7C03EC95" w14:textId="77777777" w:rsidR="00614B34" w:rsidRPr="00CF6110" w:rsidRDefault="00614B34" w:rsidP="000815BC">
            <w:pPr>
              <w:rPr>
                <w:lang w:val="en-GB"/>
              </w:rPr>
            </w:pPr>
          </w:p>
        </w:tc>
        <w:tc>
          <w:tcPr>
            <w:tcW w:w="501" w:type="dxa"/>
          </w:tcPr>
          <w:p w14:paraId="3D980218" w14:textId="77777777" w:rsidR="00614B34" w:rsidRPr="00CF6110" w:rsidRDefault="00614B34" w:rsidP="000815BC">
            <w:pPr>
              <w:rPr>
                <w:lang w:val="en-GB"/>
              </w:rPr>
            </w:pPr>
          </w:p>
        </w:tc>
        <w:tc>
          <w:tcPr>
            <w:tcW w:w="501" w:type="dxa"/>
          </w:tcPr>
          <w:p w14:paraId="0B953733" w14:textId="77777777" w:rsidR="00614B34" w:rsidRPr="00CF6110" w:rsidRDefault="00614B34" w:rsidP="000815BC">
            <w:pPr>
              <w:rPr>
                <w:lang w:val="en-GB"/>
              </w:rPr>
            </w:pPr>
          </w:p>
        </w:tc>
        <w:tc>
          <w:tcPr>
            <w:tcW w:w="501" w:type="dxa"/>
          </w:tcPr>
          <w:p w14:paraId="76736941" w14:textId="77777777" w:rsidR="00614B34" w:rsidRPr="00CF6110" w:rsidRDefault="00614B34" w:rsidP="000815BC">
            <w:pPr>
              <w:rPr>
                <w:lang w:val="en-GB"/>
              </w:rPr>
            </w:pPr>
          </w:p>
        </w:tc>
        <w:tc>
          <w:tcPr>
            <w:tcW w:w="501" w:type="dxa"/>
          </w:tcPr>
          <w:p w14:paraId="4499D8A0" w14:textId="77777777" w:rsidR="00614B34" w:rsidRPr="00CF6110" w:rsidRDefault="00614B34" w:rsidP="000815BC">
            <w:pPr>
              <w:rPr>
                <w:lang w:val="en-GB"/>
              </w:rPr>
            </w:pPr>
          </w:p>
        </w:tc>
        <w:tc>
          <w:tcPr>
            <w:tcW w:w="501" w:type="dxa"/>
          </w:tcPr>
          <w:p w14:paraId="5D184F42" w14:textId="77777777" w:rsidR="00614B34" w:rsidRPr="00CF6110" w:rsidRDefault="00614B34" w:rsidP="000815BC">
            <w:pPr>
              <w:rPr>
                <w:lang w:val="en-GB"/>
              </w:rPr>
            </w:pPr>
          </w:p>
        </w:tc>
        <w:tc>
          <w:tcPr>
            <w:tcW w:w="501" w:type="dxa"/>
          </w:tcPr>
          <w:p w14:paraId="08A58EB7" w14:textId="77777777" w:rsidR="00614B34" w:rsidRPr="00CF6110" w:rsidRDefault="00614B34" w:rsidP="000815BC">
            <w:pPr>
              <w:rPr>
                <w:lang w:val="en-GB"/>
              </w:rPr>
            </w:pPr>
          </w:p>
        </w:tc>
        <w:tc>
          <w:tcPr>
            <w:tcW w:w="501" w:type="dxa"/>
          </w:tcPr>
          <w:p w14:paraId="5260BFFF" w14:textId="77777777" w:rsidR="00614B34" w:rsidRPr="00CF6110" w:rsidRDefault="00614B34" w:rsidP="000815BC">
            <w:pPr>
              <w:rPr>
                <w:lang w:val="en-GB"/>
              </w:rPr>
            </w:pPr>
          </w:p>
        </w:tc>
        <w:tc>
          <w:tcPr>
            <w:tcW w:w="548" w:type="dxa"/>
            <w:tcBorders>
              <w:right w:val="single" w:sz="4" w:space="0" w:color="auto"/>
            </w:tcBorders>
          </w:tcPr>
          <w:p w14:paraId="64B27858" w14:textId="77777777" w:rsidR="00614B34" w:rsidRPr="00CF6110" w:rsidRDefault="00614B34" w:rsidP="000815BC">
            <w:pPr>
              <w:rPr>
                <w:lang w:val="en-GB"/>
              </w:rPr>
            </w:pPr>
          </w:p>
        </w:tc>
      </w:tr>
      <w:tr w:rsidR="00614B34" w:rsidRPr="00CF6110" w14:paraId="17330DCA" w14:textId="77777777" w:rsidTr="000815BC">
        <w:tc>
          <w:tcPr>
            <w:tcW w:w="2721" w:type="dxa"/>
            <w:gridSpan w:val="2"/>
            <w:vMerge w:val="restart"/>
            <w:tcBorders>
              <w:left w:val="single" w:sz="4" w:space="0" w:color="auto"/>
            </w:tcBorders>
          </w:tcPr>
          <w:p w14:paraId="2F192C8F" w14:textId="749BC545" w:rsidR="00614B34" w:rsidRPr="00CF6110" w:rsidRDefault="00346947" w:rsidP="000815BC">
            <w:pPr>
              <w:ind w:left="993" w:hanging="993"/>
              <w:rPr>
                <w:lang w:val="en-GB"/>
              </w:rPr>
            </w:pPr>
            <w:r w:rsidRPr="00CF6110">
              <w:rPr>
                <w:lang w:val="en-GB"/>
              </w:rPr>
              <w:t xml:space="preserve"> </w:t>
            </w:r>
            <w:r w:rsidR="00614B34" w:rsidRPr="00CF6110">
              <w:rPr>
                <w:lang w:val="en-GB"/>
              </w:rPr>
              <w:t xml:space="preserve"> 5.</w:t>
            </w:r>
            <w:r w:rsidRPr="00CF6110">
              <w:rPr>
                <w:lang w:val="en-GB"/>
              </w:rPr>
              <w:t xml:space="preserve">  </w:t>
            </w:r>
            <w:r w:rsidR="00614B34" w:rsidRPr="00CF6110">
              <w:rPr>
                <w:lang w:val="en-GB"/>
              </w:rPr>
              <w:t>Course of stab</w:t>
            </w:r>
            <w:r w:rsidRPr="00CF6110">
              <w:rPr>
                <w:lang w:val="en-GB"/>
              </w:rPr>
              <w:t xml:space="preserve"> </w:t>
            </w:r>
            <w:r w:rsidR="00614B34" w:rsidRPr="00CF6110">
              <w:rPr>
                <w:lang w:val="en-GB"/>
              </w:rPr>
              <w:t>wound</w:t>
            </w:r>
          </w:p>
        </w:tc>
        <w:tc>
          <w:tcPr>
            <w:tcW w:w="1465" w:type="dxa"/>
            <w:tcBorders>
              <w:bottom w:val="nil"/>
            </w:tcBorders>
          </w:tcPr>
          <w:p w14:paraId="73CF2A29" w14:textId="77777777" w:rsidR="00614B34" w:rsidRPr="00CF6110" w:rsidRDefault="00614B34" w:rsidP="000815BC">
            <w:pPr>
              <w:jc w:val="right"/>
              <w:rPr>
                <w:lang w:val="en-GB"/>
              </w:rPr>
            </w:pPr>
            <w:r w:rsidRPr="00CF6110">
              <w:rPr>
                <w:lang w:val="en-GB"/>
              </w:rPr>
              <w:t>Backward</w:t>
            </w:r>
          </w:p>
        </w:tc>
        <w:tc>
          <w:tcPr>
            <w:tcW w:w="500" w:type="dxa"/>
          </w:tcPr>
          <w:p w14:paraId="6D915A48" w14:textId="77777777" w:rsidR="00614B34" w:rsidRPr="00CF6110" w:rsidRDefault="00614B34" w:rsidP="000815BC">
            <w:pPr>
              <w:rPr>
                <w:lang w:val="en-GB"/>
              </w:rPr>
            </w:pPr>
          </w:p>
        </w:tc>
        <w:tc>
          <w:tcPr>
            <w:tcW w:w="501" w:type="dxa"/>
          </w:tcPr>
          <w:p w14:paraId="7C4171DE" w14:textId="77777777" w:rsidR="00614B34" w:rsidRPr="00CF6110" w:rsidRDefault="00614B34" w:rsidP="000815BC">
            <w:pPr>
              <w:rPr>
                <w:lang w:val="en-GB"/>
              </w:rPr>
            </w:pPr>
          </w:p>
        </w:tc>
        <w:tc>
          <w:tcPr>
            <w:tcW w:w="501" w:type="dxa"/>
          </w:tcPr>
          <w:p w14:paraId="75BA3945" w14:textId="77777777" w:rsidR="00614B34" w:rsidRPr="00CF6110" w:rsidRDefault="00614B34" w:rsidP="000815BC">
            <w:pPr>
              <w:rPr>
                <w:lang w:val="en-GB"/>
              </w:rPr>
            </w:pPr>
          </w:p>
        </w:tc>
        <w:tc>
          <w:tcPr>
            <w:tcW w:w="501" w:type="dxa"/>
          </w:tcPr>
          <w:p w14:paraId="0434145D" w14:textId="77777777" w:rsidR="00614B34" w:rsidRPr="00CF6110" w:rsidRDefault="00614B34" w:rsidP="000815BC">
            <w:pPr>
              <w:rPr>
                <w:lang w:val="en-GB"/>
              </w:rPr>
            </w:pPr>
          </w:p>
        </w:tc>
        <w:tc>
          <w:tcPr>
            <w:tcW w:w="501" w:type="dxa"/>
          </w:tcPr>
          <w:p w14:paraId="5CFDF6D8" w14:textId="77777777" w:rsidR="00614B34" w:rsidRPr="00CF6110" w:rsidRDefault="00614B34" w:rsidP="000815BC">
            <w:pPr>
              <w:rPr>
                <w:lang w:val="en-GB"/>
              </w:rPr>
            </w:pPr>
          </w:p>
        </w:tc>
        <w:tc>
          <w:tcPr>
            <w:tcW w:w="501" w:type="dxa"/>
          </w:tcPr>
          <w:p w14:paraId="15F3AC1D" w14:textId="77777777" w:rsidR="00614B34" w:rsidRPr="00CF6110" w:rsidRDefault="00614B34" w:rsidP="000815BC">
            <w:pPr>
              <w:rPr>
                <w:lang w:val="en-GB"/>
              </w:rPr>
            </w:pPr>
          </w:p>
        </w:tc>
        <w:tc>
          <w:tcPr>
            <w:tcW w:w="501" w:type="dxa"/>
          </w:tcPr>
          <w:p w14:paraId="401EA0BD" w14:textId="77777777" w:rsidR="00614B34" w:rsidRPr="00CF6110" w:rsidRDefault="00614B34" w:rsidP="000815BC">
            <w:pPr>
              <w:rPr>
                <w:lang w:val="en-GB"/>
              </w:rPr>
            </w:pPr>
          </w:p>
        </w:tc>
        <w:tc>
          <w:tcPr>
            <w:tcW w:w="501" w:type="dxa"/>
          </w:tcPr>
          <w:p w14:paraId="72094215" w14:textId="77777777" w:rsidR="00614B34" w:rsidRPr="00CF6110" w:rsidRDefault="00614B34" w:rsidP="000815BC">
            <w:pPr>
              <w:rPr>
                <w:lang w:val="en-GB"/>
              </w:rPr>
            </w:pPr>
          </w:p>
        </w:tc>
        <w:tc>
          <w:tcPr>
            <w:tcW w:w="501" w:type="dxa"/>
          </w:tcPr>
          <w:p w14:paraId="68390E25" w14:textId="77777777" w:rsidR="00614B34" w:rsidRPr="00CF6110" w:rsidRDefault="00614B34" w:rsidP="000815BC">
            <w:pPr>
              <w:rPr>
                <w:lang w:val="en-GB"/>
              </w:rPr>
            </w:pPr>
          </w:p>
        </w:tc>
        <w:tc>
          <w:tcPr>
            <w:tcW w:w="548" w:type="dxa"/>
            <w:tcBorders>
              <w:right w:val="single" w:sz="4" w:space="0" w:color="auto"/>
            </w:tcBorders>
          </w:tcPr>
          <w:p w14:paraId="6FE09EA5" w14:textId="77777777" w:rsidR="00614B34" w:rsidRPr="00CF6110" w:rsidRDefault="00614B34" w:rsidP="000815BC">
            <w:pPr>
              <w:rPr>
                <w:lang w:val="en-GB"/>
              </w:rPr>
            </w:pPr>
          </w:p>
        </w:tc>
      </w:tr>
      <w:tr w:rsidR="00614B34" w:rsidRPr="00CF6110" w14:paraId="0387DF8C" w14:textId="77777777" w:rsidTr="000815BC">
        <w:tc>
          <w:tcPr>
            <w:tcW w:w="2721" w:type="dxa"/>
            <w:gridSpan w:val="2"/>
            <w:vMerge/>
            <w:tcBorders>
              <w:left w:val="single" w:sz="4" w:space="0" w:color="auto"/>
            </w:tcBorders>
          </w:tcPr>
          <w:p w14:paraId="1CA4BCF3" w14:textId="77777777" w:rsidR="00614B34" w:rsidRPr="00CF6110" w:rsidRDefault="00614B34" w:rsidP="000815BC">
            <w:pPr>
              <w:rPr>
                <w:lang w:val="en-GB"/>
              </w:rPr>
            </w:pPr>
          </w:p>
        </w:tc>
        <w:tc>
          <w:tcPr>
            <w:tcW w:w="1465" w:type="dxa"/>
            <w:tcBorders>
              <w:top w:val="nil"/>
              <w:bottom w:val="nil"/>
            </w:tcBorders>
          </w:tcPr>
          <w:p w14:paraId="76F18373" w14:textId="77777777" w:rsidR="00614B34" w:rsidRPr="00CF6110" w:rsidRDefault="00614B34" w:rsidP="000815BC">
            <w:pPr>
              <w:jc w:val="right"/>
              <w:rPr>
                <w:lang w:val="en-GB"/>
              </w:rPr>
            </w:pPr>
            <w:r w:rsidRPr="00CF6110">
              <w:rPr>
                <w:lang w:val="en-GB"/>
              </w:rPr>
              <w:t>Forward</w:t>
            </w:r>
          </w:p>
        </w:tc>
        <w:tc>
          <w:tcPr>
            <w:tcW w:w="500" w:type="dxa"/>
          </w:tcPr>
          <w:p w14:paraId="2A4CD66E" w14:textId="77777777" w:rsidR="00614B34" w:rsidRPr="00CF6110" w:rsidRDefault="00614B34" w:rsidP="000815BC">
            <w:pPr>
              <w:rPr>
                <w:lang w:val="en-GB"/>
              </w:rPr>
            </w:pPr>
          </w:p>
        </w:tc>
        <w:tc>
          <w:tcPr>
            <w:tcW w:w="501" w:type="dxa"/>
          </w:tcPr>
          <w:p w14:paraId="60CAF2FB" w14:textId="77777777" w:rsidR="00614B34" w:rsidRPr="00CF6110" w:rsidRDefault="00614B34" w:rsidP="000815BC">
            <w:pPr>
              <w:rPr>
                <w:lang w:val="en-GB"/>
              </w:rPr>
            </w:pPr>
          </w:p>
        </w:tc>
        <w:tc>
          <w:tcPr>
            <w:tcW w:w="501" w:type="dxa"/>
          </w:tcPr>
          <w:p w14:paraId="64D869CA" w14:textId="77777777" w:rsidR="00614B34" w:rsidRPr="00CF6110" w:rsidRDefault="00614B34" w:rsidP="000815BC">
            <w:pPr>
              <w:rPr>
                <w:lang w:val="en-GB"/>
              </w:rPr>
            </w:pPr>
          </w:p>
        </w:tc>
        <w:tc>
          <w:tcPr>
            <w:tcW w:w="501" w:type="dxa"/>
          </w:tcPr>
          <w:p w14:paraId="5D5F45B8" w14:textId="77777777" w:rsidR="00614B34" w:rsidRPr="00CF6110" w:rsidRDefault="00614B34" w:rsidP="000815BC">
            <w:pPr>
              <w:rPr>
                <w:lang w:val="en-GB"/>
              </w:rPr>
            </w:pPr>
          </w:p>
        </w:tc>
        <w:tc>
          <w:tcPr>
            <w:tcW w:w="501" w:type="dxa"/>
          </w:tcPr>
          <w:p w14:paraId="2B028DCB" w14:textId="77777777" w:rsidR="00614B34" w:rsidRPr="00CF6110" w:rsidRDefault="00614B34" w:rsidP="000815BC">
            <w:pPr>
              <w:rPr>
                <w:lang w:val="en-GB"/>
              </w:rPr>
            </w:pPr>
          </w:p>
        </w:tc>
        <w:tc>
          <w:tcPr>
            <w:tcW w:w="501" w:type="dxa"/>
          </w:tcPr>
          <w:p w14:paraId="1C067872" w14:textId="77777777" w:rsidR="00614B34" w:rsidRPr="00CF6110" w:rsidRDefault="00614B34" w:rsidP="000815BC">
            <w:pPr>
              <w:rPr>
                <w:lang w:val="en-GB"/>
              </w:rPr>
            </w:pPr>
          </w:p>
        </w:tc>
        <w:tc>
          <w:tcPr>
            <w:tcW w:w="501" w:type="dxa"/>
          </w:tcPr>
          <w:p w14:paraId="3F475CC5" w14:textId="77777777" w:rsidR="00614B34" w:rsidRPr="00CF6110" w:rsidRDefault="00614B34" w:rsidP="000815BC">
            <w:pPr>
              <w:rPr>
                <w:lang w:val="en-GB"/>
              </w:rPr>
            </w:pPr>
          </w:p>
        </w:tc>
        <w:tc>
          <w:tcPr>
            <w:tcW w:w="501" w:type="dxa"/>
          </w:tcPr>
          <w:p w14:paraId="2FBEC39D" w14:textId="77777777" w:rsidR="00614B34" w:rsidRPr="00CF6110" w:rsidRDefault="00614B34" w:rsidP="000815BC">
            <w:pPr>
              <w:rPr>
                <w:lang w:val="en-GB"/>
              </w:rPr>
            </w:pPr>
          </w:p>
        </w:tc>
        <w:tc>
          <w:tcPr>
            <w:tcW w:w="501" w:type="dxa"/>
          </w:tcPr>
          <w:p w14:paraId="446333E7" w14:textId="77777777" w:rsidR="00614B34" w:rsidRPr="00CF6110" w:rsidRDefault="00614B34" w:rsidP="000815BC">
            <w:pPr>
              <w:rPr>
                <w:lang w:val="en-GB"/>
              </w:rPr>
            </w:pPr>
          </w:p>
        </w:tc>
        <w:tc>
          <w:tcPr>
            <w:tcW w:w="548" w:type="dxa"/>
            <w:tcBorders>
              <w:right w:val="single" w:sz="4" w:space="0" w:color="auto"/>
            </w:tcBorders>
          </w:tcPr>
          <w:p w14:paraId="2CCB04E7" w14:textId="77777777" w:rsidR="00614B34" w:rsidRPr="00CF6110" w:rsidRDefault="00614B34" w:rsidP="000815BC">
            <w:pPr>
              <w:rPr>
                <w:lang w:val="en-GB"/>
              </w:rPr>
            </w:pPr>
          </w:p>
        </w:tc>
      </w:tr>
      <w:tr w:rsidR="00614B34" w:rsidRPr="00CF6110" w14:paraId="14A4898E" w14:textId="77777777" w:rsidTr="000815BC">
        <w:tc>
          <w:tcPr>
            <w:tcW w:w="2721" w:type="dxa"/>
            <w:gridSpan w:val="2"/>
            <w:vMerge/>
            <w:tcBorders>
              <w:left w:val="single" w:sz="4" w:space="0" w:color="auto"/>
            </w:tcBorders>
          </w:tcPr>
          <w:p w14:paraId="0E97B83B" w14:textId="77777777" w:rsidR="00614B34" w:rsidRPr="00CF6110" w:rsidRDefault="00614B34" w:rsidP="000815BC">
            <w:pPr>
              <w:rPr>
                <w:lang w:val="en-GB"/>
              </w:rPr>
            </w:pPr>
          </w:p>
        </w:tc>
        <w:tc>
          <w:tcPr>
            <w:tcW w:w="1465" w:type="dxa"/>
            <w:tcBorders>
              <w:top w:val="nil"/>
              <w:bottom w:val="nil"/>
            </w:tcBorders>
          </w:tcPr>
          <w:p w14:paraId="6D837603" w14:textId="77777777" w:rsidR="00614B34" w:rsidRPr="00CF6110" w:rsidRDefault="00614B34" w:rsidP="000815BC">
            <w:pPr>
              <w:jc w:val="right"/>
              <w:rPr>
                <w:lang w:val="en-GB"/>
              </w:rPr>
            </w:pPr>
            <w:r w:rsidRPr="00CF6110">
              <w:rPr>
                <w:lang w:val="en-GB"/>
              </w:rPr>
              <w:t>Upward</w:t>
            </w:r>
          </w:p>
        </w:tc>
        <w:tc>
          <w:tcPr>
            <w:tcW w:w="500" w:type="dxa"/>
          </w:tcPr>
          <w:p w14:paraId="67535556" w14:textId="77777777" w:rsidR="00614B34" w:rsidRPr="00CF6110" w:rsidRDefault="00614B34" w:rsidP="000815BC">
            <w:pPr>
              <w:rPr>
                <w:lang w:val="en-GB"/>
              </w:rPr>
            </w:pPr>
          </w:p>
        </w:tc>
        <w:tc>
          <w:tcPr>
            <w:tcW w:w="501" w:type="dxa"/>
          </w:tcPr>
          <w:p w14:paraId="02FDB503" w14:textId="77777777" w:rsidR="00614B34" w:rsidRPr="00CF6110" w:rsidRDefault="00614B34" w:rsidP="000815BC">
            <w:pPr>
              <w:rPr>
                <w:lang w:val="en-GB"/>
              </w:rPr>
            </w:pPr>
          </w:p>
        </w:tc>
        <w:tc>
          <w:tcPr>
            <w:tcW w:w="501" w:type="dxa"/>
          </w:tcPr>
          <w:p w14:paraId="5A15F5BA" w14:textId="77777777" w:rsidR="00614B34" w:rsidRPr="00CF6110" w:rsidRDefault="00614B34" w:rsidP="000815BC">
            <w:pPr>
              <w:rPr>
                <w:lang w:val="en-GB"/>
              </w:rPr>
            </w:pPr>
          </w:p>
        </w:tc>
        <w:tc>
          <w:tcPr>
            <w:tcW w:w="501" w:type="dxa"/>
          </w:tcPr>
          <w:p w14:paraId="1780BEE9" w14:textId="77777777" w:rsidR="00614B34" w:rsidRPr="00CF6110" w:rsidRDefault="00614B34" w:rsidP="000815BC">
            <w:pPr>
              <w:rPr>
                <w:lang w:val="en-GB"/>
              </w:rPr>
            </w:pPr>
          </w:p>
        </w:tc>
        <w:tc>
          <w:tcPr>
            <w:tcW w:w="501" w:type="dxa"/>
          </w:tcPr>
          <w:p w14:paraId="4128AF0F" w14:textId="77777777" w:rsidR="00614B34" w:rsidRPr="00CF6110" w:rsidRDefault="00614B34" w:rsidP="000815BC">
            <w:pPr>
              <w:rPr>
                <w:lang w:val="en-GB"/>
              </w:rPr>
            </w:pPr>
          </w:p>
        </w:tc>
        <w:tc>
          <w:tcPr>
            <w:tcW w:w="501" w:type="dxa"/>
          </w:tcPr>
          <w:p w14:paraId="50D0B80D" w14:textId="77777777" w:rsidR="00614B34" w:rsidRPr="00CF6110" w:rsidRDefault="00614B34" w:rsidP="000815BC">
            <w:pPr>
              <w:rPr>
                <w:lang w:val="en-GB"/>
              </w:rPr>
            </w:pPr>
          </w:p>
        </w:tc>
        <w:tc>
          <w:tcPr>
            <w:tcW w:w="501" w:type="dxa"/>
          </w:tcPr>
          <w:p w14:paraId="7231B03F" w14:textId="77777777" w:rsidR="00614B34" w:rsidRPr="00CF6110" w:rsidRDefault="00614B34" w:rsidP="000815BC">
            <w:pPr>
              <w:rPr>
                <w:lang w:val="en-GB"/>
              </w:rPr>
            </w:pPr>
          </w:p>
        </w:tc>
        <w:tc>
          <w:tcPr>
            <w:tcW w:w="501" w:type="dxa"/>
          </w:tcPr>
          <w:p w14:paraId="774365CE" w14:textId="77777777" w:rsidR="00614B34" w:rsidRPr="00CF6110" w:rsidRDefault="00614B34" w:rsidP="000815BC">
            <w:pPr>
              <w:rPr>
                <w:lang w:val="en-GB"/>
              </w:rPr>
            </w:pPr>
          </w:p>
        </w:tc>
        <w:tc>
          <w:tcPr>
            <w:tcW w:w="501" w:type="dxa"/>
          </w:tcPr>
          <w:p w14:paraId="6FA59907" w14:textId="77777777" w:rsidR="00614B34" w:rsidRPr="00CF6110" w:rsidRDefault="00614B34" w:rsidP="000815BC">
            <w:pPr>
              <w:rPr>
                <w:lang w:val="en-GB"/>
              </w:rPr>
            </w:pPr>
          </w:p>
        </w:tc>
        <w:tc>
          <w:tcPr>
            <w:tcW w:w="548" w:type="dxa"/>
            <w:tcBorders>
              <w:right w:val="single" w:sz="4" w:space="0" w:color="auto"/>
            </w:tcBorders>
          </w:tcPr>
          <w:p w14:paraId="3EEC91DC" w14:textId="77777777" w:rsidR="00614B34" w:rsidRPr="00CF6110" w:rsidRDefault="00614B34" w:rsidP="000815BC">
            <w:pPr>
              <w:rPr>
                <w:lang w:val="en-GB"/>
              </w:rPr>
            </w:pPr>
          </w:p>
        </w:tc>
      </w:tr>
      <w:tr w:rsidR="00614B34" w:rsidRPr="00CF6110" w14:paraId="7C2B4A17" w14:textId="77777777" w:rsidTr="000815BC">
        <w:tc>
          <w:tcPr>
            <w:tcW w:w="2721" w:type="dxa"/>
            <w:gridSpan w:val="2"/>
            <w:vMerge/>
            <w:tcBorders>
              <w:left w:val="single" w:sz="4" w:space="0" w:color="auto"/>
            </w:tcBorders>
          </w:tcPr>
          <w:p w14:paraId="073DBDE4" w14:textId="77777777" w:rsidR="00614B34" w:rsidRPr="00CF6110" w:rsidRDefault="00614B34" w:rsidP="000815BC">
            <w:pPr>
              <w:rPr>
                <w:lang w:val="en-GB"/>
              </w:rPr>
            </w:pPr>
          </w:p>
        </w:tc>
        <w:tc>
          <w:tcPr>
            <w:tcW w:w="1465" w:type="dxa"/>
            <w:tcBorders>
              <w:top w:val="nil"/>
              <w:bottom w:val="nil"/>
            </w:tcBorders>
          </w:tcPr>
          <w:p w14:paraId="66AA9B3C" w14:textId="77777777" w:rsidR="00614B34" w:rsidRPr="00CF6110" w:rsidRDefault="00614B34" w:rsidP="000815BC">
            <w:pPr>
              <w:jc w:val="right"/>
              <w:rPr>
                <w:lang w:val="en-GB"/>
              </w:rPr>
            </w:pPr>
            <w:r w:rsidRPr="00CF6110">
              <w:rPr>
                <w:lang w:val="en-GB"/>
              </w:rPr>
              <w:t>Downward</w:t>
            </w:r>
          </w:p>
        </w:tc>
        <w:tc>
          <w:tcPr>
            <w:tcW w:w="500" w:type="dxa"/>
          </w:tcPr>
          <w:p w14:paraId="3A122A9C" w14:textId="77777777" w:rsidR="00614B34" w:rsidRPr="00CF6110" w:rsidRDefault="00614B34" w:rsidP="000815BC">
            <w:pPr>
              <w:rPr>
                <w:lang w:val="en-GB"/>
              </w:rPr>
            </w:pPr>
          </w:p>
        </w:tc>
        <w:tc>
          <w:tcPr>
            <w:tcW w:w="501" w:type="dxa"/>
          </w:tcPr>
          <w:p w14:paraId="65F96608" w14:textId="77777777" w:rsidR="00614B34" w:rsidRPr="00CF6110" w:rsidRDefault="00614B34" w:rsidP="000815BC">
            <w:pPr>
              <w:rPr>
                <w:lang w:val="en-GB"/>
              </w:rPr>
            </w:pPr>
          </w:p>
        </w:tc>
        <w:tc>
          <w:tcPr>
            <w:tcW w:w="501" w:type="dxa"/>
          </w:tcPr>
          <w:p w14:paraId="2BCC2610" w14:textId="77777777" w:rsidR="00614B34" w:rsidRPr="00CF6110" w:rsidRDefault="00614B34" w:rsidP="000815BC">
            <w:pPr>
              <w:rPr>
                <w:lang w:val="en-GB"/>
              </w:rPr>
            </w:pPr>
          </w:p>
        </w:tc>
        <w:tc>
          <w:tcPr>
            <w:tcW w:w="501" w:type="dxa"/>
          </w:tcPr>
          <w:p w14:paraId="51DCEF88" w14:textId="77777777" w:rsidR="00614B34" w:rsidRPr="00CF6110" w:rsidRDefault="00614B34" w:rsidP="000815BC">
            <w:pPr>
              <w:rPr>
                <w:lang w:val="en-GB"/>
              </w:rPr>
            </w:pPr>
          </w:p>
        </w:tc>
        <w:tc>
          <w:tcPr>
            <w:tcW w:w="501" w:type="dxa"/>
          </w:tcPr>
          <w:p w14:paraId="23DE0555" w14:textId="77777777" w:rsidR="00614B34" w:rsidRPr="00CF6110" w:rsidRDefault="00614B34" w:rsidP="000815BC">
            <w:pPr>
              <w:rPr>
                <w:lang w:val="en-GB"/>
              </w:rPr>
            </w:pPr>
          </w:p>
        </w:tc>
        <w:tc>
          <w:tcPr>
            <w:tcW w:w="501" w:type="dxa"/>
          </w:tcPr>
          <w:p w14:paraId="177F47F3" w14:textId="77777777" w:rsidR="00614B34" w:rsidRPr="00CF6110" w:rsidRDefault="00614B34" w:rsidP="000815BC">
            <w:pPr>
              <w:rPr>
                <w:lang w:val="en-GB"/>
              </w:rPr>
            </w:pPr>
          </w:p>
        </w:tc>
        <w:tc>
          <w:tcPr>
            <w:tcW w:w="501" w:type="dxa"/>
          </w:tcPr>
          <w:p w14:paraId="08F8065A" w14:textId="77777777" w:rsidR="00614B34" w:rsidRPr="00CF6110" w:rsidRDefault="00614B34" w:rsidP="000815BC">
            <w:pPr>
              <w:rPr>
                <w:lang w:val="en-GB"/>
              </w:rPr>
            </w:pPr>
          </w:p>
        </w:tc>
        <w:tc>
          <w:tcPr>
            <w:tcW w:w="501" w:type="dxa"/>
          </w:tcPr>
          <w:p w14:paraId="2E1872B4" w14:textId="77777777" w:rsidR="00614B34" w:rsidRPr="00CF6110" w:rsidRDefault="00614B34" w:rsidP="000815BC">
            <w:pPr>
              <w:rPr>
                <w:lang w:val="en-GB"/>
              </w:rPr>
            </w:pPr>
          </w:p>
        </w:tc>
        <w:tc>
          <w:tcPr>
            <w:tcW w:w="501" w:type="dxa"/>
          </w:tcPr>
          <w:p w14:paraId="7AF52C38" w14:textId="77777777" w:rsidR="00614B34" w:rsidRPr="00CF6110" w:rsidRDefault="00614B34" w:rsidP="000815BC">
            <w:pPr>
              <w:rPr>
                <w:lang w:val="en-GB"/>
              </w:rPr>
            </w:pPr>
          </w:p>
        </w:tc>
        <w:tc>
          <w:tcPr>
            <w:tcW w:w="548" w:type="dxa"/>
            <w:tcBorders>
              <w:right w:val="single" w:sz="4" w:space="0" w:color="auto"/>
            </w:tcBorders>
          </w:tcPr>
          <w:p w14:paraId="2AAE4F77" w14:textId="77777777" w:rsidR="00614B34" w:rsidRPr="00CF6110" w:rsidRDefault="00614B34" w:rsidP="000815BC">
            <w:pPr>
              <w:rPr>
                <w:lang w:val="en-GB"/>
              </w:rPr>
            </w:pPr>
          </w:p>
        </w:tc>
      </w:tr>
      <w:tr w:rsidR="00614B34" w:rsidRPr="00CF6110" w14:paraId="4E4B15DC" w14:textId="77777777" w:rsidTr="000815BC">
        <w:tc>
          <w:tcPr>
            <w:tcW w:w="2721" w:type="dxa"/>
            <w:gridSpan w:val="2"/>
            <w:vMerge/>
            <w:tcBorders>
              <w:left w:val="single" w:sz="4" w:space="0" w:color="auto"/>
            </w:tcBorders>
          </w:tcPr>
          <w:p w14:paraId="23C64799" w14:textId="77777777" w:rsidR="00614B34" w:rsidRPr="00CF6110" w:rsidRDefault="00614B34" w:rsidP="000815BC">
            <w:pPr>
              <w:rPr>
                <w:lang w:val="en-GB"/>
              </w:rPr>
            </w:pPr>
          </w:p>
        </w:tc>
        <w:tc>
          <w:tcPr>
            <w:tcW w:w="1465" w:type="dxa"/>
            <w:tcBorders>
              <w:top w:val="nil"/>
              <w:bottom w:val="nil"/>
            </w:tcBorders>
          </w:tcPr>
          <w:p w14:paraId="08B57A26" w14:textId="77777777" w:rsidR="00614B34" w:rsidRPr="00CF6110" w:rsidRDefault="00614B34" w:rsidP="000815BC">
            <w:pPr>
              <w:jc w:val="right"/>
              <w:rPr>
                <w:lang w:val="en-GB"/>
              </w:rPr>
            </w:pPr>
            <w:r w:rsidRPr="00CF6110">
              <w:rPr>
                <w:lang w:val="en-GB"/>
              </w:rPr>
              <w:t>Medially</w:t>
            </w:r>
          </w:p>
        </w:tc>
        <w:tc>
          <w:tcPr>
            <w:tcW w:w="500" w:type="dxa"/>
          </w:tcPr>
          <w:p w14:paraId="351BB4CF" w14:textId="77777777" w:rsidR="00614B34" w:rsidRPr="00CF6110" w:rsidRDefault="00614B34" w:rsidP="000815BC">
            <w:pPr>
              <w:rPr>
                <w:lang w:val="en-GB"/>
              </w:rPr>
            </w:pPr>
          </w:p>
        </w:tc>
        <w:tc>
          <w:tcPr>
            <w:tcW w:w="501" w:type="dxa"/>
          </w:tcPr>
          <w:p w14:paraId="02F43B1A" w14:textId="77777777" w:rsidR="00614B34" w:rsidRPr="00CF6110" w:rsidRDefault="00614B34" w:rsidP="000815BC">
            <w:pPr>
              <w:rPr>
                <w:lang w:val="en-GB"/>
              </w:rPr>
            </w:pPr>
          </w:p>
        </w:tc>
        <w:tc>
          <w:tcPr>
            <w:tcW w:w="501" w:type="dxa"/>
          </w:tcPr>
          <w:p w14:paraId="6E8BF603" w14:textId="77777777" w:rsidR="00614B34" w:rsidRPr="00CF6110" w:rsidRDefault="00614B34" w:rsidP="000815BC">
            <w:pPr>
              <w:rPr>
                <w:lang w:val="en-GB"/>
              </w:rPr>
            </w:pPr>
          </w:p>
        </w:tc>
        <w:tc>
          <w:tcPr>
            <w:tcW w:w="501" w:type="dxa"/>
          </w:tcPr>
          <w:p w14:paraId="0A69B952" w14:textId="77777777" w:rsidR="00614B34" w:rsidRPr="00CF6110" w:rsidRDefault="00614B34" w:rsidP="000815BC">
            <w:pPr>
              <w:rPr>
                <w:lang w:val="en-GB"/>
              </w:rPr>
            </w:pPr>
          </w:p>
        </w:tc>
        <w:tc>
          <w:tcPr>
            <w:tcW w:w="501" w:type="dxa"/>
          </w:tcPr>
          <w:p w14:paraId="14F73C4F" w14:textId="77777777" w:rsidR="00614B34" w:rsidRPr="00CF6110" w:rsidRDefault="00614B34" w:rsidP="000815BC">
            <w:pPr>
              <w:rPr>
                <w:lang w:val="en-GB"/>
              </w:rPr>
            </w:pPr>
          </w:p>
        </w:tc>
        <w:tc>
          <w:tcPr>
            <w:tcW w:w="501" w:type="dxa"/>
          </w:tcPr>
          <w:p w14:paraId="6BD15B0B" w14:textId="77777777" w:rsidR="00614B34" w:rsidRPr="00CF6110" w:rsidRDefault="00614B34" w:rsidP="000815BC">
            <w:pPr>
              <w:rPr>
                <w:lang w:val="en-GB"/>
              </w:rPr>
            </w:pPr>
          </w:p>
        </w:tc>
        <w:tc>
          <w:tcPr>
            <w:tcW w:w="501" w:type="dxa"/>
          </w:tcPr>
          <w:p w14:paraId="599EA59D" w14:textId="77777777" w:rsidR="00614B34" w:rsidRPr="00CF6110" w:rsidRDefault="00614B34" w:rsidP="000815BC">
            <w:pPr>
              <w:rPr>
                <w:lang w:val="en-GB"/>
              </w:rPr>
            </w:pPr>
          </w:p>
        </w:tc>
        <w:tc>
          <w:tcPr>
            <w:tcW w:w="501" w:type="dxa"/>
          </w:tcPr>
          <w:p w14:paraId="3644522D" w14:textId="77777777" w:rsidR="00614B34" w:rsidRPr="00CF6110" w:rsidRDefault="00614B34" w:rsidP="000815BC">
            <w:pPr>
              <w:rPr>
                <w:lang w:val="en-GB"/>
              </w:rPr>
            </w:pPr>
          </w:p>
        </w:tc>
        <w:tc>
          <w:tcPr>
            <w:tcW w:w="501" w:type="dxa"/>
          </w:tcPr>
          <w:p w14:paraId="76114F87" w14:textId="77777777" w:rsidR="00614B34" w:rsidRPr="00CF6110" w:rsidRDefault="00614B34" w:rsidP="000815BC">
            <w:pPr>
              <w:rPr>
                <w:lang w:val="en-GB"/>
              </w:rPr>
            </w:pPr>
          </w:p>
        </w:tc>
        <w:tc>
          <w:tcPr>
            <w:tcW w:w="548" w:type="dxa"/>
            <w:tcBorders>
              <w:right w:val="single" w:sz="4" w:space="0" w:color="auto"/>
            </w:tcBorders>
          </w:tcPr>
          <w:p w14:paraId="1124DD51" w14:textId="77777777" w:rsidR="00614B34" w:rsidRPr="00CF6110" w:rsidRDefault="00614B34" w:rsidP="000815BC">
            <w:pPr>
              <w:rPr>
                <w:lang w:val="en-GB"/>
              </w:rPr>
            </w:pPr>
          </w:p>
        </w:tc>
      </w:tr>
      <w:tr w:rsidR="00614B34" w:rsidRPr="00CF6110" w14:paraId="2B782940" w14:textId="77777777" w:rsidTr="000815BC">
        <w:tc>
          <w:tcPr>
            <w:tcW w:w="2721" w:type="dxa"/>
            <w:gridSpan w:val="2"/>
            <w:vMerge/>
            <w:tcBorders>
              <w:left w:val="single" w:sz="4" w:space="0" w:color="auto"/>
            </w:tcBorders>
          </w:tcPr>
          <w:p w14:paraId="319283EC" w14:textId="77777777" w:rsidR="00614B34" w:rsidRPr="00CF6110" w:rsidRDefault="00614B34" w:rsidP="000815BC">
            <w:pPr>
              <w:rPr>
                <w:lang w:val="en-GB"/>
              </w:rPr>
            </w:pPr>
          </w:p>
        </w:tc>
        <w:tc>
          <w:tcPr>
            <w:tcW w:w="1465" w:type="dxa"/>
            <w:tcBorders>
              <w:top w:val="nil"/>
            </w:tcBorders>
          </w:tcPr>
          <w:p w14:paraId="5CDBB6E5" w14:textId="77777777" w:rsidR="00614B34" w:rsidRPr="00CF6110" w:rsidRDefault="00614B34" w:rsidP="000815BC">
            <w:pPr>
              <w:jc w:val="right"/>
              <w:rPr>
                <w:lang w:val="en-GB"/>
              </w:rPr>
            </w:pPr>
            <w:r w:rsidRPr="00CF6110">
              <w:rPr>
                <w:lang w:val="en-GB"/>
              </w:rPr>
              <w:t>Laterally</w:t>
            </w:r>
          </w:p>
        </w:tc>
        <w:tc>
          <w:tcPr>
            <w:tcW w:w="500" w:type="dxa"/>
          </w:tcPr>
          <w:p w14:paraId="740457F0" w14:textId="77777777" w:rsidR="00614B34" w:rsidRPr="00CF6110" w:rsidRDefault="00614B34" w:rsidP="000815BC">
            <w:pPr>
              <w:rPr>
                <w:lang w:val="en-GB"/>
              </w:rPr>
            </w:pPr>
          </w:p>
        </w:tc>
        <w:tc>
          <w:tcPr>
            <w:tcW w:w="501" w:type="dxa"/>
          </w:tcPr>
          <w:p w14:paraId="65AE8FD7" w14:textId="77777777" w:rsidR="00614B34" w:rsidRPr="00CF6110" w:rsidRDefault="00614B34" w:rsidP="000815BC">
            <w:pPr>
              <w:rPr>
                <w:lang w:val="en-GB"/>
              </w:rPr>
            </w:pPr>
          </w:p>
        </w:tc>
        <w:tc>
          <w:tcPr>
            <w:tcW w:w="501" w:type="dxa"/>
          </w:tcPr>
          <w:p w14:paraId="74D11C78" w14:textId="77777777" w:rsidR="00614B34" w:rsidRPr="00CF6110" w:rsidRDefault="00614B34" w:rsidP="000815BC">
            <w:pPr>
              <w:rPr>
                <w:lang w:val="en-GB"/>
              </w:rPr>
            </w:pPr>
          </w:p>
        </w:tc>
        <w:tc>
          <w:tcPr>
            <w:tcW w:w="501" w:type="dxa"/>
          </w:tcPr>
          <w:p w14:paraId="153E20FB" w14:textId="77777777" w:rsidR="00614B34" w:rsidRPr="00CF6110" w:rsidRDefault="00614B34" w:rsidP="000815BC">
            <w:pPr>
              <w:rPr>
                <w:lang w:val="en-GB"/>
              </w:rPr>
            </w:pPr>
          </w:p>
        </w:tc>
        <w:tc>
          <w:tcPr>
            <w:tcW w:w="501" w:type="dxa"/>
          </w:tcPr>
          <w:p w14:paraId="0B83FA8E" w14:textId="77777777" w:rsidR="00614B34" w:rsidRPr="00CF6110" w:rsidRDefault="00614B34" w:rsidP="000815BC">
            <w:pPr>
              <w:rPr>
                <w:lang w:val="en-GB"/>
              </w:rPr>
            </w:pPr>
          </w:p>
        </w:tc>
        <w:tc>
          <w:tcPr>
            <w:tcW w:w="501" w:type="dxa"/>
          </w:tcPr>
          <w:p w14:paraId="612FC3FE" w14:textId="77777777" w:rsidR="00614B34" w:rsidRPr="00CF6110" w:rsidRDefault="00614B34" w:rsidP="000815BC">
            <w:pPr>
              <w:rPr>
                <w:lang w:val="en-GB"/>
              </w:rPr>
            </w:pPr>
          </w:p>
        </w:tc>
        <w:tc>
          <w:tcPr>
            <w:tcW w:w="501" w:type="dxa"/>
          </w:tcPr>
          <w:p w14:paraId="007EE023" w14:textId="77777777" w:rsidR="00614B34" w:rsidRPr="00CF6110" w:rsidRDefault="00614B34" w:rsidP="000815BC">
            <w:pPr>
              <w:rPr>
                <w:lang w:val="en-GB"/>
              </w:rPr>
            </w:pPr>
          </w:p>
        </w:tc>
        <w:tc>
          <w:tcPr>
            <w:tcW w:w="501" w:type="dxa"/>
          </w:tcPr>
          <w:p w14:paraId="1E6951AB" w14:textId="77777777" w:rsidR="00614B34" w:rsidRPr="00CF6110" w:rsidRDefault="00614B34" w:rsidP="000815BC">
            <w:pPr>
              <w:rPr>
                <w:lang w:val="en-GB"/>
              </w:rPr>
            </w:pPr>
          </w:p>
        </w:tc>
        <w:tc>
          <w:tcPr>
            <w:tcW w:w="501" w:type="dxa"/>
          </w:tcPr>
          <w:p w14:paraId="496ED461" w14:textId="77777777" w:rsidR="00614B34" w:rsidRPr="00CF6110" w:rsidRDefault="00614B34" w:rsidP="000815BC">
            <w:pPr>
              <w:rPr>
                <w:lang w:val="en-GB"/>
              </w:rPr>
            </w:pPr>
          </w:p>
        </w:tc>
        <w:tc>
          <w:tcPr>
            <w:tcW w:w="548" w:type="dxa"/>
            <w:tcBorders>
              <w:right w:val="single" w:sz="4" w:space="0" w:color="auto"/>
            </w:tcBorders>
          </w:tcPr>
          <w:p w14:paraId="3BD6689D" w14:textId="77777777" w:rsidR="00614B34" w:rsidRPr="00CF6110" w:rsidRDefault="00614B34" w:rsidP="000815BC">
            <w:pPr>
              <w:rPr>
                <w:lang w:val="en-GB"/>
              </w:rPr>
            </w:pPr>
          </w:p>
        </w:tc>
      </w:tr>
    </w:tbl>
    <w:p w14:paraId="3BD34A67" w14:textId="77777777" w:rsidR="00614B34" w:rsidRPr="00CF6110" w:rsidRDefault="00614B34" w:rsidP="00614B34"/>
    <w:p w14:paraId="33DA1634" w14:textId="77777777" w:rsidR="00614B34" w:rsidRPr="00CF6110" w:rsidRDefault="00614B34" w:rsidP="00614B34">
      <w:r w:rsidRPr="00CF6110">
        <w:t>Photographs taken of all wounds:  YES____ NO____</w:t>
      </w:r>
    </w:p>
    <w:p w14:paraId="509298FD" w14:textId="77777777" w:rsidR="00614B34" w:rsidRPr="00CF6110" w:rsidRDefault="00614B34" w:rsidP="00614B34">
      <w:r w:rsidRPr="00CF6110">
        <w:t>REMARKS:</w:t>
      </w:r>
    </w:p>
    <w:p w14:paraId="2304026B" w14:textId="77777777" w:rsidR="00614B34" w:rsidRPr="00CF6110" w:rsidRDefault="00614B34" w:rsidP="00614B34"/>
    <w:p w14:paraId="6BDD9AE9" w14:textId="77777777" w:rsidR="00614B34" w:rsidRPr="00CF6110" w:rsidRDefault="00614B34" w:rsidP="00614B34"/>
    <w:p w14:paraId="2F8CC6E5" w14:textId="77777777" w:rsidR="00614B34" w:rsidRPr="00CF6110" w:rsidRDefault="00614B34" w:rsidP="00614B34">
      <w:r w:rsidRPr="00CF6110">
        <w:t>Examined by</w:t>
      </w:r>
      <w:proofErr w:type="gramStart"/>
      <w:r w:rsidRPr="00CF6110">
        <w:t>:_</w:t>
      </w:r>
      <w:proofErr w:type="gramEnd"/>
      <w:r w:rsidRPr="00CF6110">
        <w:t>_______________________________________ Date: ________</w:t>
      </w:r>
    </w:p>
    <w:p w14:paraId="46B7088C" w14:textId="77777777" w:rsidR="00614B34" w:rsidRPr="00CF6110" w:rsidRDefault="00614B34" w:rsidP="00614B34">
      <w:pPr>
        <w:spacing w:after="200" w:line="276" w:lineRule="auto"/>
      </w:pPr>
    </w:p>
    <w:p w14:paraId="76CFB607" w14:textId="77777777" w:rsidR="00614B34" w:rsidRPr="00CF6110" w:rsidRDefault="00614B34" w:rsidP="00614B34">
      <w:pPr>
        <w:spacing w:after="200" w:line="276" w:lineRule="auto"/>
      </w:pPr>
      <w:r w:rsidRPr="00CF6110">
        <w:br w:type="page"/>
      </w:r>
    </w:p>
    <w:p w14:paraId="19871C36" w14:textId="77777777" w:rsidR="00614B34" w:rsidRPr="00CF6110" w:rsidRDefault="00614B34" w:rsidP="00614B34">
      <w:pPr>
        <w:pStyle w:val="H1G"/>
        <w:spacing w:line="240" w:lineRule="atLeast"/>
        <w:rPr>
          <w:bCs/>
        </w:rPr>
      </w:pPr>
      <w:r w:rsidRPr="00CF6110">
        <w:lastRenderedPageBreak/>
        <w:tab/>
        <w:t xml:space="preserve">Annex 5. </w:t>
      </w:r>
      <w:r w:rsidRPr="00CF6110">
        <w:tab/>
      </w:r>
      <w:r w:rsidRPr="00CF6110">
        <w:rPr>
          <w:bCs/>
        </w:rPr>
        <w:t>Dental Chart</w:t>
      </w:r>
    </w:p>
    <w:p w14:paraId="6F520C38" w14:textId="77777777" w:rsidR="00D8399D" w:rsidRPr="00CF6110" w:rsidRDefault="00614B34" w:rsidP="00614B34">
      <w:pPr>
        <w:pStyle w:val="SingleTxtG"/>
        <w:rPr>
          <w:u w:val="single"/>
        </w:rPr>
      </w:pPr>
      <w:r w:rsidRPr="00CF6110">
        <w:rPr>
          <w:lang w:eastAsia="en-GB"/>
        </w:rPr>
        <w:drawing>
          <wp:inline distT="0" distB="0" distL="0" distR="0" wp14:anchorId="2F831762" wp14:editId="5324C4F8">
            <wp:extent cx="5314950" cy="754411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0838" cy="7552476"/>
                    </a:xfrm>
                    <a:prstGeom prst="rect">
                      <a:avLst/>
                    </a:prstGeom>
                    <a:noFill/>
                    <a:ln>
                      <a:noFill/>
                    </a:ln>
                  </pic:spPr>
                </pic:pic>
              </a:graphicData>
            </a:graphic>
          </wp:inline>
        </w:drawing>
      </w:r>
      <w:r w:rsidRPr="00CF6110">
        <w:tab/>
      </w:r>
      <w:r w:rsidRPr="00CF6110">
        <w:tab/>
      </w:r>
      <w:r w:rsidRPr="00CF6110">
        <w:tab/>
      </w:r>
      <w:r w:rsidRPr="00CF6110">
        <w:tab/>
      </w:r>
      <w:r w:rsidRPr="00CF6110">
        <w:tab/>
      </w:r>
      <w:r w:rsidRPr="00CF6110">
        <w:tab/>
      </w:r>
      <w:r w:rsidR="00D8399D" w:rsidRPr="00CF6110">
        <w:rPr>
          <w:u w:val="single"/>
        </w:rPr>
        <w:tab/>
      </w:r>
      <w:r w:rsidR="00D8399D" w:rsidRPr="00CF6110">
        <w:rPr>
          <w:u w:val="single"/>
        </w:rPr>
        <w:tab/>
      </w:r>
      <w:r w:rsidR="00D8399D" w:rsidRPr="00CF6110">
        <w:rPr>
          <w:u w:val="single"/>
        </w:rPr>
        <w:tab/>
      </w:r>
    </w:p>
    <w:sectPr w:rsidR="00D8399D" w:rsidRPr="00CF6110" w:rsidSect="00AF4876">
      <w:headerReference w:type="even" r:id="rId40"/>
      <w:headerReference w:type="default" r:id="rId41"/>
      <w:footerReference w:type="even" r:id="rId42"/>
      <w:footerReference w:type="default" r:id="rId43"/>
      <w:endnotePr>
        <w:numFmt w:val="decimal"/>
      </w:endnotePr>
      <w:type w:val="continuous"/>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AC6C9" w14:textId="77777777" w:rsidR="00BB23AA" w:rsidRPr="00C47B2E" w:rsidRDefault="00BB23AA" w:rsidP="00C47B2E">
      <w:pPr>
        <w:pStyle w:val="Pieddepage"/>
      </w:pPr>
    </w:p>
  </w:endnote>
  <w:endnote w:type="continuationSeparator" w:id="0">
    <w:p w14:paraId="4DB91D8B" w14:textId="77777777" w:rsidR="00BB23AA" w:rsidRPr="00C47B2E" w:rsidRDefault="00BB23AA" w:rsidP="00C47B2E">
      <w:pPr>
        <w:pStyle w:val="Pieddepage"/>
      </w:pPr>
    </w:p>
  </w:endnote>
  <w:endnote w:type="continuationNotice" w:id="1">
    <w:p w14:paraId="49833492" w14:textId="77777777" w:rsidR="00BB23AA" w:rsidRPr="00C47B2E" w:rsidRDefault="00BB23AA" w:rsidP="00C47B2E">
      <w:pPr>
        <w:pStyle w:val="Pieddepa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C559B" w14:textId="77777777" w:rsidR="008B7021" w:rsidRPr="00AF4876" w:rsidRDefault="008B7021" w:rsidP="00AF4876">
    <w:pPr>
      <w:pStyle w:val="Pieddepage"/>
      <w:tabs>
        <w:tab w:val="right" w:pos="9598"/>
      </w:tabs>
    </w:pPr>
    <w:r>
      <w:fldChar w:fldCharType="begin"/>
    </w:r>
    <w:r>
      <w:instrText xml:space="preserve"> PAGE  \* MERGEFORMAT </w:instrText>
    </w:r>
    <w:r>
      <w:fldChar w:fldCharType="separate"/>
    </w:r>
    <w:r w:rsidR="005F2CD1" w:rsidRPr="005F2CD1">
      <w:rPr>
        <w:b/>
        <w:noProof/>
        <w:sz w:val="18"/>
      </w:rPr>
      <w:t>2</w:t>
    </w:r>
    <w:r>
      <w:rPr>
        <w:b/>
        <w:noProof/>
        <w:sz w:val="18"/>
      </w:rPr>
      <w:fldChar w:fldCharType="end"/>
    </w:r>
    <w:r>
      <w:rPr>
        <w:sz w:val="18"/>
      </w:rPr>
      <w:tab/>
    </w:r>
  </w:p>
  <w:p w14:paraId="67BCDC7E" w14:textId="77777777" w:rsidR="008B7021" w:rsidRDefault="008B70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9FFAF" w14:textId="77777777" w:rsidR="008B7021" w:rsidRPr="00AF4876" w:rsidRDefault="008B7021" w:rsidP="00AF4876">
    <w:pPr>
      <w:pStyle w:val="Pieddepage"/>
      <w:tabs>
        <w:tab w:val="right" w:pos="9598"/>
      </w:tabs>
      <w:rPr>
        <w:b/>
        <w:sz w:val="18"/>
      </w:rPr>
    </w:pPr>
    <w:r>
      <w:tab/>
    </w:r>
    <w:r>
      <w:fldChar w:fldCharType="begin"/>
    </w:r>
    <w:r>
      <w:instrText xml:space="preserve"> PAGE  \* MERGEFORMAT </w:instrText>
    </w:r>
    <w:r>
      <w:fldChar w:fldCharType="separate"/>
    </w:r>
    <w:r w:rsidR="005F2CD1" w:rsidRPr="005F2CD1">
      <w:rPr>
        <w:b/>
        <w:noProof/>
        <w:sz w:val="18"/>
      </w:rPr>
      <w:t>3</w:t>
    </w:r>
    <w:r>
      <w:rPr>
        <w:b/>
        <w:noProof/>
        <w:sz w:val="18"/>
      </w:rPr>
      <w:fldChar w:fldCharType="end"/>
    </w:r>
  </w:p>
  <w:p w14:paraId="15A2A2A3" w14:textId="77777777" w:rsidR="008B7021" w:rsidRDefault="008B70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1B2AB" w14:textId="77777777" w:rsidR="00BB23AA" w:rsidRPr="00C47B2E" w:rsidRDefault="00BB23AA" w:rsidP="00C47B2E">
      <w:pPr>
        <w:tabs>
          <w:tab w:val="right" w:pos="2155"/>
        </w:tabs>
        <w:spacing w:after="80" w:line="240" w:lineRule="auto"/>
        <w:ind w:left="680"/>
      </w:pPr>
      <w:r>
        <w:rPr>
          <w:u w:val="single"/>
        </w:rPr>
        <w:tab/>
      </w:r>
    </w:p>
  </w:footnote>
  <w:footnote w:type="continuationSeparator" w:id="0">
    <w:p w14:paraId="4E73D718" w14:textId="77777777" w:rsidR="00BB23AA" w:rsidRPr="00C47B2E" w:rsidRDefault="00BB23AA" w:rsidP="005E716E">
      <w:pPr>
        <w:tabs>
          <w:tab w:val="right" w:pos="2155"/>
        </w:tabs>
        <w:spacing w:after="80" w:line="240" w:lineRule="auto"/>
        <w:ind w:left="680"/>
      </w:pPr>
      <w:r>
        <w:rPr>
          <w:u w:val="single"/>
        </w:rPr>
        <w:tab/>
      </w:r>
    </w:p>
  </w:footnote>
  <w:footnote w:type="continuationNotice" w:id="1">
    <w:p w14:paraId="68ADD902" w14:textId="77777777" w:rsidR="00BB23AA" w:rsidRPr="00C47B2E" w:rsidRDefault="00BB23AA" w:rsidP="00C47B2E">
      <w:pPr>
        <w:pStyle w:val="Pieddepage"/>
      </w:pPr>
    </w:p>
  </w:footnote>
  <w:footnote w:id="2">
    <w:p w14:paraId="4B88E624" w14:textId="77777777" w:rsidR="008B7021" w:rsidRPr="00CF6110" w:rsidRDefault="008B7021" w:rsidP="007502FD">
      <w:pPr>
        <w:pStyle w:val="Notedebasdepage"/>
      </w:pPr>
      <w:r w:rsidRPr="00CF6110">
        <w:rPr>
          <w:rStyle w:val="Appelnotedebasdep"/>
        </w:rPr>
        <w:tab/>
      </w:r>
      <w:r w:rsidRPr="00CF6110">
        <w:rPr>
          <w:rStyle w:val="Appelnotedebasdep"/>
          <w:sz w:val="20"/>
        </w:rPr>
        <w:t>*</w:t>
      </w:r>
      <w:r w:rsidRPr="00CF6110">
        <w:rPr>
          <w:rStyle w:val="Appelnotedebasdep"/>
          <w:sz w:val="20"/>
        </w:rPr>
        <w:tab/>
      </w:r>
      <w:proofErr w:type="gramStart"/>
      <w:r w:rsidRPr="00CF6110">
        <w:t>Circulated in the language of submission only.</w:t>
      </w:r>
      <w:proofErr w:type="gramEnd"/>
    </w:p>
  </w:footnote>
  <w:footnote w:id="3">
    <w:p w14:paraId="5DF1C7D2"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With respect to armed groups see Report of the UN Fact-Finding Mission on the Gaza Conflict, §1836.</w:t>
      </w:r>
    </w:p>
  </w:footnote>
  <w:footnote w:id="4">
    <w:p w14:paraId="6151146D" w14:textId="7E8972E9" w:rsidR="008B7021" w:rsidRPr="00CF6110" w:rsidRDefault="008B7021" w:rsidP="00101D2C">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Office of the UN High Commissioner for Human Rights (OHCHR), </w:t>
      </w:r>
      <w:r w:rsidRPr="00CF6110">
        <w:rPr>
          <w:i/>
          <w:szCs w:val="18"/>
        </w:rPr>
        <w:t>Guiding Principles on Business and Human Rights</w:t>
      </w:r>
      <w:r w:rsidRPr="00CF6110">
        <w:rPr>
          <w:szCs w:val="18"/>
        </w:rPr>
        <w:t xml:space="preserve">, UN doc. HR/PUB/11/04 (2011). </w:t>
      </w:r>
    </w:p>
  </w:footnote>
  <w:footnote w:id="5">
    <w:p w14:paraId="1F8BADD7" w14:textId="504BD963"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r>
      <w:proofErr w:type="gramStart"/>
      <w:r w:rsidRPr="00CF6110">
        <w:rPr>
          <w:szCs w:val="18"/>
        </w:rPr>
        <w:t xml:space="preserve">2005 </w:t>
      </w:r>
      <w:r w:rsidRPr="00CF6110">
        <w:rPr>
          <w:color w:val="000000"/>
          <w:szCs w:val="18"/>
        </w:rPr>
        <w:t xml:space="preserve">UN </w:t>
      </w:r>
      <w:r w:rsidRPr="00CF6110">
        <w:rPr>
          <w:color w:val="303030"/>
          <w:szCs w:val="18"/>
        </w:rPr>
        <w:t>Basic Principles and Guidelines on the Right to a Remedy and Reparation for Victims of Gross Violations of International Human Rights Law and Serious Violations of International Humanitarian Law</w:t>
      </w:r>
      <w:r w:rsidRPr="00CF6110">
        <w:rPr>
          <w:szCs w:val="18"/>
        </w:rPr>
        <w:t xml:space="preserve"> (hereafter, UN Basic Principles and Guidelines on the Right to Remedy and Reparations).</w:t>
      </w:r>
      <w:proofErr w:type="gramEnd"/>
      <w:r w:rsidRPr="00CF6110">
        <w:rPr>
          <w:szCs w:val="18"/>
        </w:rPr>
        <w:t xml:space="preserve"> </w:t>
      </w:r>
    </w:p>
  </w:footnote>
  <w:footnote w:id="6">
    <w:p w14:paraId="4C98CFD2"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ECOSOC Resolution 1989/65 of 24 May 1989.</w:t>
      </w:r>
    </w:p>
  </w:footnote>
  <w:footnote w:id="7">
    <w:p w14:paraId="1D698668"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UN General Assembly Resolution 44/162 of 15 December 1989.</w:t>
      </w:r>
    </w:p>
  </w:footnote>
  <w:footnote w:id="8">
    <w:p w14:paraId="7455F275" w14:textId="237E60FB"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UN Commission on Human Rights Resolutions 1998/36, 2000/32, 2003/33, and 2005/26.</w:t>
      </w:r>
      <w:proofErr w:type="gramEnd"/>
    </w:p>
  </w:footnote>
  <w:footnote w:id="9">
    <w:p w14:paraId="204378ED"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UN Human Rights Council Resolutions 9/11, 10/26, and 15/5. See further Section </w:t>
      </w:r>
      <w:proofErr w:type="gramStart"/>
      <w:r w:rsidRPr="00CF6110">
        <w:t>II(</w:t>
      </w:r>
      <w:proofErr w:type="gramEnd"/>
      <w:r w:rsidRPr="00CF6110">
        <w:t>B) below.</w:t>
      </w:r>
    </w:p>
  </w:footnote>
  <w:footnote w:id="10">
    <w:p w14:paraId="5782F0D7"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UN doc.</w:t>
      </w:r>
      <w:proofErr w:type="gramEnd"/>
      <w:r w:rsidRPr="00CF6110">
        <w:t xml:space="preserve"> </w:t>
      </w:r>
      <w:proofErr w:type="gramStart"/>
      <w:r w:rsidRPr="00CF6110">
        <w:t>A/HRC/18/25.</w:t>
      </w:r>
      <w:proofErr w:type="gramEnd"/>
    </w:p>
  </w:footnote>
  <w:footnote w:id="11">
    <w:p w14:paraId="555E52A7"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The history of this process and references to additional UN and other documents of relevance to investigations are available at: http://www.ohchr.org/EN/Issues/Executions/Pages/RevisionoftheUNManualPrevention ExtraLegalArbitrary.aspx.</w:t>
      </w:r>
    </w:p>
  </w:footnote>
  <w:footnote w:id="12">
    <w:p w14:paraId="1E95B5C0"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Adopted by the Seventh UN Congress on the Prevention of Crime and the Treatment of Offenders held at Milan from 26 August to 6 September 1985 and endorsed by General Assembly Resolutions 40/32 of 29 November 1985 and 40/146 of 13 December 1985.</w:t>
      </w:r>
      <w:proofErr w:type="gramEnd"/>
    </w:p>
  </w:footnote>
  <w:footnote w:id="13">
    <w:p w14:paraId="706A3B7F"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Adopted by the Seventh UN Congress on the Prevention of Crime and the Treatment of Offenders and endorsed by General Assembly Resolutions 40/32 of 29 November 1985 and 40/146 of 13 December 1985.</w:t>
      </w:r>
    </w:p>
  </w:footnote>
  <w:footnote w:id="14">
    <w:p w14:paraId="3679728B"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Adopted by the Eighth UN Congress on the Prevention of Crime and the Treatment of Offenders, Havana, </w:t>
      </w:r>
      <w:proofErr w:type="gramStart"/>
      <w:r w:rsidRPr="00CF6110">
        <w:t>27</w:t>
      </w:r>
      <w:proofErr w:type="gramEnd"/>
      <w:r w:rsidRPr="00CF6110">
        <w:t xml:space="preserve"> August to 7 September 1990.</w:t>
      </w:r>
    </w:p>
  </w:footnote>
  <w:footnote w:id="15">
    <w:p w14:paraId="6C2C1EA0"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Adopted by UN General Assembly Resolution 34/169 of 17 December 1979.</w:t>
      </w:r>
      <w:proofErr w:type="gramEnd"/>
    </w:p>
  </w:footnote>
  <w:footnote w:id="16">
    <w:p w14:paraId="739FE20C"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Ibid.</w:t>
      </w:r>
    </w:p>
  </w:footnote>
  <w:footnote w:id="17">
    <w:p w14:paraId="57AFE55D"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Siracusa Guidelines for International, Regional and National Fact-Finding Bodies, adopted by the International Institute in Higher Studies in Criminal Sciences, Siracusa, Italy, 2013.</w:t>
      </w:r>
    </w:p>
  </w:footnote>
  <w:footnote w:id="18">
    <w:p w14:paraId="11FEF622"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The International Human Rights Fact-Finding Guidelines (The Lund-London Guidelines) were produced by the International Bar Association’s Human Rights Institute and the Raoul Wallenberg Institute in 2009.</w:t>
      </w:r>
    </w:p>
  </w:footnote>
  <w:footnote w:id="19">
    <w:p w14:paraId="7D35258E"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OHCHR, </w:t>
      </w:r>
      <w:r w:rsidRPr="00CF6110">
        <w:rPr>
          <w:i/>
        </w:rPr>
        <w:t>Commissions of Inquiry and Fact-Finding Missions on International Human Rights and Humanitarian Law, Guidance and Practice</w:t>
      </w:r>
      <w:r w:rsidRPr="00CF6110">
        <w:t>, 2015.</w:t>
      </w:r>
    </w:p>
  </w:footnote>
  <w:footnote w:id="20">
    <w:p w14:paraId="7AEEA30E"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Art. </w:t>
      </w:r>
      <w:proofErr w:type="gramStart"/>
      <w:r w:rsidRPr="00CF6110">
        <w:t>6, 1966 International Covenant on Civil and Political Rights (ICCPR); Art.</w:t>
      </w:r>
      <w:proofErr w:type="gramEnd"/>
      <w:r w:rsidRPr="00CF6110">
        <w:t xml:space="preserve"> </w:t>
      </w:r>
      <w:proofErr w:type="gramStart"/>
      <w:r w:rsidRPr="00CF6110">
        <w:t>2, 1950 European Convention on Human Rights; Art.</w:t>
      </w:r>
      <w:proofErr w:type="gramEnd"/>
      <w:r w:rsidRPr="00CF6110">
        <w:t xml:space="preserve"> </w:t>
      </w:r>
      <w:proofErr w:type="gramStart"/>
      <w:r w:rsidRPr="00CF6110">
        <w:t>4, 1969 American Convention on Human Rights; and Art.</w:t>
      </w:r>
      <w:proofErr w:type="gramEnd"/>
      <w:r w:rsidRPr="00CF6110">
        <w:t xml:space="preserve"> 4, 1981 African Charter on Human and Peoples’ Rights.</w:t>
      </w:r>
    </w:p>
  </w:footnote>
  <w:footnote w:id="21">
    <w:p w14:paraId="2FF254A3"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Art. </w:t>
      </w:r>
      <w:proofErr w:type="gramStart"/>
      <w:r w:rsidRPr="00CF6110">
        <w:t>5, 2004 Arab Charter of Human Rights.</w:t>
      </w:r>
      <w:proofErr w:type="gramEnd"/>
    </w:p>
  </w:footnote>
  <w:footnote w:id="22">
    <w:p w14:paraId="7EA5B120"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See, e.g., Human Rights Committee, General Comment No. 31 on The Nature of the General Legal Obligation Imposed on States Parties to the Covenant, UN doc. CCPR/C/21/Rev.1/Add.13, 26 May 2004, §8.</w:t>
      </w:r>
    </w:p>
  </w:footnote>
  <w:footnote w:id="23">
    <w:p w14:paraId="35891681"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UN Human Rights Committee, Draft General Comment No. 36 on the Right to Life, 2 September 2015, §12.</w:t>
      </w:r>
      <w:proofErr w:type="gramEnd"/>
    </w:p>
  </w:footnote>
  <w:footnote w:id="24">
    <w:p w14:paraId="673132B2"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See, e.g., “Report of the independent expert for the United Nations study on violence against children”, UN doc.</w:t>
      </w:r>
      <w:proofErr w:type="gramEnd"/>
      <w:r w:rsidRPr="00CF6110">
        <w:t xml:space="preserve"> </w:t>
      </w:r>
      <w:proofErr w:type="gramStart"/>
      <w:r w:rsidRPr="00CF6110">
        <w:t>A/61/299, 29 August 2006, §§.</w:t>
      </w:r>
      <w:proofErr w:type="gramEnd"/>
    </w:p>
  </w:footnote>
  <w:footnote w:id="25">
    <w:p w14:paraId="6572BCB7" w14:textId="186D3DB3"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color w:val="000000"/>
        </w:rPr>
        <w:t xml:space="preserve">Declaration on the Elimination of Violence against Women, Article 4(c): States are urged to “exercise due diligence to prevent, investigate and, in accordance with national legislation, punish acts of violence against women, whether those acts are perpetrated by the State or by private persons.” </w:t>
      </w:r>
    </w:p>
  </w:footnote>
  <w:footnote w:id="26">
    <w:p w14:paraId="7DBEA174"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UN Guiding Principles on Business and Human Rights, Principle 1.</w:t>
      </w:r>
      <w:proofErr w:type="gramEnd"/>
      <w:r w:rsidRPr="00CF6110">
        <w:t xml:space="preserve"> </w:t>
      </w:r>
    </w:p>
  </w:footnote>
  <w:footnote w:id="27">
    <w:p w14:paraId="1544CB57"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rFonts w:eastAsia="Times New Roman"/>
        </w:rPr>
        <w:t xml:space="preserve">See, e.g., </w:t>
      </w:r>
      <w:r w:rsidRPr="00CF6110">
        <w:t xml:space="preserve">European Court of Human Rights (ECtHR), </w:t>
      </w:r>
      <w:r w:rsidRPr="00CF6110">
        <w:rPr>
          <w:i/>
        </w:rPr>
        <w:t xml:space="preserve">McCann </w:t>
      </w:r>
      <w:r w:rsidRPr="00CF6110">
        <w:t>et al. v.</w:t>
      </w:r>
      <w:r w:rsidRPr="00CF6110">
        <w:rPr>
          <w:i/>
        </w:rPr>
        <w:t xml:space="preserve"> United Kingdom</w:t>
      </w:r>
      <w:r w:rsidRPr="00CF6110">
        <w:t xml:space="preserve">, Judgment (Grand Chamber), 27 September 1995, §161; Inter-American Court of Human Rights (IACtHR), </w:t>
      </w:r>
      <w:r w:rsidRPr="00CF6110">
        <w:rPr>
          <w:i/>
          <w:iCs/>
        </w:rPr>
        <w:t xml:space="preserve">Montero-Aranguren </w:t>
      </w:r>
      <w:r w:rsidRPr="00CF6110">
        <w:rPr>
          <w:iCs/>
        </w:rPr>
        <w:t>et al.</w:t>
      </w:r>
      <w:r w:rsidRPr="00CF6110">
        <w:rPr>
          <w:i/>
          <w:iCs/>
        </w:rPr>
        <w:t xml:space="preserve"> (Detention Center of Catia) </w:t>
      </w:r>
      <w:r w:rsidRPr="00CF6110">
        <w:rPr>
          <w:iCs/>
        </w:rPr>
        <w:t>v.</w:t>
      </w:r>
      <w:r w:rsidRPr="00CF6110">
        <w:rPr>
          <w:i/>
          <w:iCs/>
        </w:rPr>
        <w:t xml:space="preserve"> Venezuela, </w:t>
      </w:r>
      <w:r w:rsidRPr="00CF6110">
        <w:t xml:space="preserve">Judgment, 5 July 2006, §66; African Commission on Human and Peoples’ Rights, General Comment No. 3 on the Right to Life, November 2015, §§2, 15; Human Rights Committee, General Comment No. 31, </w:t>
      </w:r>
      <w:r w:rsidRPr="00CF6110">
        <w:rPr>
          <w:i/>
        </w:rPr>
        <w:t>op. cit.</w:t>
      </w:r>
      <w:r w:rsidRPr="00CF6110">
        <w:t xml:space="preserve">, §§15 and 18. </w:t>
      </w:r>
    </w:p>
  </w:footnote>
  <w:footnote w:id="28">
    <w:p w14:paraId="0B39872D"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bCs/>
        </w:rPr>
        <w:t>UN Commission on Human Rights, Updated Set of Principles for the Protection and Promotion of Human Rights through Action to Combat Impunity, UN doc. E/CN.4/2005/102/Add.1, 8 February 2005, Principle 1.</w:t>
      </w:r>
    </w:p>
  </w:footnote>
  <w:footnote w:id="29">
    <w:p w14:paraId="39037029"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See, e.g., Human Rights Committee, General Comment No. 31, </w:t>
      </w:r>
      <w:r w:rsidRPr="00CF6110">
        <w:rPr>
          <w:i/>
        </w:rPr>
        <w:t>op. cit.</w:t>
      </w:r>
      <w:r w:rsidRPr="00CF6110">
        <w:t>, §18.</w:t>
      </w:r>
      <w:proofErr w:type="gramEnd"/>
    </w:p>
  </w:footnote>
  <w:footnote w:id="30">
    <w:p w14:paraId="53F2B22E" w14:textId="77777777" w:rsidR="008B7021" w:rsidRPr="00CF6110" w:rsidRDefault="008B7021" w:rsidP="007502FD">
      <w:pPr>
        <w:pStyle w:val="Notedebasdepage"/>
        <w:rPr>
          <w:color w:val="303030"/>
        </w:rPr>
      </w:pPr>
      <w:r w:rsidRPr="00CF6110">
        <w:tab/>
      </w:r>
      <w:r w:rsidRPr="00CF6110">
        <w:rPr>
          <w:rStyle w:val="Appelnotedebasdep"/>
          <w:szCs w:val="18"/>
        </w:rPr>
        <w:footnoteRef/>
      </w:r>
      <w:r w:rsidRPr="00CF6110">
        <w:t xml:space="preserve"> </w:t>
      </w:r>
      <w:r w:rsidRPr="00CF6110">
        <w:tab/>
      </w:r>
      <w:proofErr w:type="gramStart"/>
      <w:r w:rsidRPr="00CF6110">
        <w:rPr>
          <w:color w:val="000000"/>
          <w:shd w:val="clear" w:color="auto" w:fill="FFFFFF"/>
        </w:rPr>
        <w:t>Report of the UN Special Rapporteur on extrajudicial, summary or arbitrary executions to the 70</w:t>
      </w:r>
      <w:r w:rsidRPr="00CF6110">
        <w:rPr>
          <w:color w:val="000000"/>
          <w:shd w:val="clear" w:color="auto" w:fill="FFFFFF"/>
          <w:vertAlign w:val="superscript"/>
        </w:rPr>
        <w:t>th</w:t>
      </w:r>
      <w:r w:rsidRPr="00CF6110">
        <w:rPr>
          <w:color w:val="000000"/>
          <w:shd w:val="clear" w:color="auto" w:fill="FFFFFF"/>
        </w:rPr>
        <w:t xml:space="preserve"> session of the General Assembly, UN doc.</w:t>
      </w:r>
      <w:proofErr w:type="gramEnd"/>
      <w:r w:rsidRPr="00CF6110">
        <w:rPr>
          <w:color w:val="000000"/>
        </w:rPr>
        <w:t xml:space="preserve"> </w:t>
      </w:r>
      <w:proofErr w:type="gramStart"/>
      <w:r w:rsidRPr="00CF6110">
        <w:rPr>
          <w:shd w:val="clear" w:color="auto" w:fill="FFFFFF"/>
        </w:rPr>
        <w:t>A/70/304</w:t>
      </w:r>
      <w:r w:rsidRPr="00CF6110">
        <w:t xml:space="preserve">; </w:t>
      </w:r>
      <w:r w:rsidRPr="00CF6110">
        <w:rPr>
          <w:color w:val="000000"/>
        </w:rPr>
        <w:t xml:space="preserve">Preamble to the </w:t>
      </w:r>
      <w:r w:rsidRPr="00CF6110">
        <w:rPr>
          <w:rFonts w:eastAsia="Baskerville Old Face"/>
        </w:rPr>
        <w:t>UN Basic Principles and Guidelines on the Right to Remedy and Reparation</w:t>
      </w:r>
      <w:r w:rsidRPr="00CF6110">
        <w:rPr>
          <w:color w:val="303030"/>
        </w:rPr>
        <w:t>.</w:t>
      </w:r>
      <w:proofErr w:type="gramEnd"/>
    </w:p>
  </w:footnote>
  <w:footnote w:id="31">
    <w:p w14:paraId="20AA6E06"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See, e.g., IACtHR, </w:t>
      </w:r>
      <w:r w:rsidRPr="00CF6110">
        <w:rPr>
          <w:i/>
        </w:rPr>
        <w:t xml:space="preserve">La </w:t>
      </w:r>
      <w:proofErr w:type="spellStart"/>
      <w:r w:rsidRPr="00CF6110">
        <w:rPr>
          <w:i/>
        </w:rPr>
        <w:t>Cantuta</w:t>
      </w:r>
      <w:proofErr w:type="spellEnd"/>
      <w:r w:rsidRPr="00CF6110">
        <w:t xml:space="preserve"> v. </w:t>
      </w:r>
      <w:r w:rsidRPr="00CF6110">
        <w:rPr>
          <w:i/>
        </w:rPr>
        <w:t>Peru</w:t>
      </w:r>
      <w:r w:rsidRPr="00CF6110">
        <w:t>, Judgment, 29 November 2006, §160.</w:t>
      </w:r>
      <w:proofErr w:type="gramEnd"/>
    </w:p>
  </w:footnote>
  <w:footnote w:id="32">
    <w:p w14:paraId="454B9174" w14:textId="77777777" w:rsidR="008B7021" w:rsidRPr="00CF6110" w:rsidRDefault="008B7021" w:rsidP="007502FD">
      <w:pPr>
        <w:pStyle w:val="Notedebasdepage"/>
      </w:pPr>
      <w:r w:rsidRPr="00CF6110">
        <w:rPr>
          <w:rFonts w:eastAsia="Baskerville Old Face"/>
        </w:rPr>
        <w:tab/>
      </w:r>
      <w:r w:rsidRPr="00CF6110">
        <w:rPr>
          <w:rStyle w:val="Appelnotedebasdep"/>
          <w:rFonts w:eastAsia="Baskerville Old Face"/>
          <w:szCs w:val="18"/>
        </w:rPr>
        <w:footnoteRef/>
      </w:r>
      <w:r w:rsidRPr="00CF6110">
        <w:rPr>
          <w:rFonts w:eastAsia="Baskerville Old Face"/>
        </w:rPr>
        <w:t xml:space="preserve"> </w:t>
      </w:r>
      <w:r w:rsidRPr="00CF6110">
        <w:rPr>
          <w:rFonts w:eastAsia="Baskerville Old Face"/>
        </w:rPr>
        <w:tab/>
        <w:t xml:space="preserve">See UN Basic Principles and Guidelines on the Right to Remedy and Reparation; Updated Set of Principles on the Protection and Promotion of Human Rights through Action to Combat Impunity, Principle 4; ICCPR, Art. </w:t>
      </w:r>
      <w:proofErr w:type="gramStart"/>
      <w:r w:rsidRPr="00CF6110">
        <w:rPr>
          <w:rFonts w:eastAsia="Baskerville Old Face"/>
        </w:rPr>
        <w:t>2(3).</w:t>
      </w:r>
      <w:proofErr w:type="gramEnd"/>
    </w:p>
  </w:footnote>
  <w:footnote w:id="33">
    <w:p w14:paraId="7F17EE99"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rFonts w:eastAsia="Baskerville Old Face"/>
        </w:rPr>
        <w:t>Reparation includes restitution, compensation, rehabilitation, guarantees of non-repetition, and satisfaction.</w:t>
      </w:r>
    </w:p>
  </w:footnote>
  <w:footnote w:id="34">
    <w:p w14:paraId="1DBFA78C" w14:textId="6BD136B5" w:rsidR="008B7021" w:rsidRPr="00CF6110" w:rsidRDefault="008B7021" w:rsidP="000815BC">
      <w:pPr>
        <w:pStyle w:val="Notedebasdepage"/>
      </w:pPr>
      <w:r w:rsidRPr="00CF6110">
        <w:tab/>
      </w:r>
      <w:r w:rsidRPr="00CF6110">
        <w:rPr>
          <w:rStyle w:val="Appelnotedebasdep"/>
          <w:szCs w:val="18"/>
        </w:rPr>
        <w:footnoteRef/>
      </w:r>
      <w:r w:rsidRPr="00CF6110">
        <w:t xml:space="preserve"> </w:t>
      </w:r>
      <w:r w:rsidRPr="00CF6110">
        <w:tab/>
      </w:r>
      <w:r w:rsidRPr="00CF6110">
        <w:rPr>
          <w:rFonts w:eastAsia="Baskerville Old Face"/>
        </w:rPr>
        <w:t xml:space="preserve">Art. 24(6) of the International Convention for the Protection of All Persons from Enforced Disappearance obliges States parties to adopt adequate measures (for example, issuing certificates of absence due to enforced disappearance) to regulate the legal status of the disappeared person and his or her relatives in fields such as social welfare, financial matters, family law and property rights. </w:t>
      </w:r>
    </w:p>
  </w:footnote>
  <w:footnote w:id="35">
    <w:p w14:paraId="54294D28" w14:textId="24FA2BAF"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See, e.g., Human Rights Committee, General Comment No. 31, </w:t>
      </w:r>
      <w:r w:rsidRPr="00CF6110">
        <w:rPr>
          <w:i/>
        </w:rPr>
        <w:t>op. cit.</w:t>
      </w:r>
      <w:r w:rsidRPr="00CF6110">
        <w:t xml:space="preserve">, §§15–17 and 19; Committee on Enforced Disappearance, </w:t>
      </w:r>
      <w:proofErr w:type="spellStart"/>
      <w:r w:rsidRPr="00CF6110">
        <w:rPr>
          <w:i/>
        </w:rPr>
        <w:t>Yrusta</w:t>
      </w:r>
      <w:proofErr w:type="spellEnd"/>
      <w:r w:rsidRPr="00CF6110">
        <w:t xml:space="preserve"> v. </w:t>
      </w:r>
      <w:r w:rsidRPr="00CF6110">
        <w:rPr>
          <w:i/>
        </w:rPr>
        <w:t>Argentina</w:t>
      </w:r>
      <w:r w:rsidRPr="00CF6110">
        <w:t>, Views (Comm. No. 1/2013), April 2016.</w:t>
      </w:r>
      <w:proofErr w:type="gramEnd"/>
    </w:p>
  </w:footnote>
  <w:footnote w:id="36">
    <w:p w14:paraId="4F81CED2" w14:textId="6C15C4B8" w:rsidR="008B7021" w:rsidRPr="00CF6110" w:rsidRDefault="008B7021" w:rsidP="007502FD">
      <w:pPr>
        <w:pStyle w:val="Notedebasdepage"/>
      </w:pPr>
      <w:r w:rsidRPr="00CF6110">
        <w:rPr>
          <w:rFonts w:eastAsia="Baskerville Old Face"/>
        </w:rPr>
        <w:tab/>
      </w:r>
      <w:r w:rsidRPr="00CF6110">
        <w:rPr>
          <w:rStyle w:val="Appelnotedebasdep"/>
          <w:rFonts w:eastAsia="Baskerville Old Face"/>
          <w:szCs w:val="18"/>
        </w:rPr>
        <w:footnoteRef/>
      </w:r>
      <w:r w:rsidRPr="00CF6110">
        <w:rPr>
          <w:rFonts w:eastAsia="Baskerville Old Face"/>
        </w:rPr>
        <w:t xml:space="preserve"> </w:t>
      </w:r>
      <w:r w:rsidRPr="00CF6110">
        <w:rPr>
          <w:rFonts w:eastAsia="Baskerville Old Face"/>
        </w:rPr>
        <w:tab/>
        <w:t xml:space="preserve">See, inter alia, UN General Assembly Resolution 68/165, adopted on 18 December 2013; ICCPED Arts. 12 and 24(2); IACHR, </w:t>
      </w:r>
      <w:r w:rsidRPr="00CF6110">
        <w:rPr>
          <w:rFonts w:eastAsia="Baskerville Old Face"/>
          <w:i/>
          <w:iCs/>
        </w:rPr>
        <w:t>Report on the Demobilization Process in Colombia</w:t>
      </w:r>
      <w:r w:rsidRPr="00CF6110">
        <w:rPr>
          <w:rFonts w:eastAsia="Baskerville Old Face"/>
        </w:rPr>
        <w:t xml:space="preserve">, OEA/Ser.L/V/II.120, Doc. 60, December 13, 2004, §18, citing, inter alia, IACHR, </w:t>
      </w:r>
      <w:r w:rsidRPr="00CF6110">
        <w:rPr>
          <w:rFonts w:eastAsia="Baskerville Old Face"/>
          <w:i/>
          <w:iCs/>
        </w:rPr>
        <w:t>Annual Report of the Inter-American Commission on Human Rights 1985–86</w:t>
      </w:r>
      <w:r w:rsidRPr="00CF6110">
        <w:rPr>
          <w:rFonts w:eastAsia="Baskerville Old Face"/>
        </w:rPr>
        <w:t>, OEA/Ser.L/V/II.68, Doc. 8 rev. 1, 26 September 1986, Ch. V.</w:t>
      </w:r>
    </w:p>
  </w:footnote>
  <w:footnote w:id="37">
    <w:p w14:paraId="05DFF4D4" w14:textId="010558F8" w:rsidR="008B7021" w:rsidRPr="00CF6110" w:rsidRDefault="008B7021" w:rsidP="007213FD">
      <w:pPr>
        <w:pStyle w:val="Notedebasdepage"/>
      </w:pPr>
      <w:r w:rsidRPr="00CF6110">
        <w:rPr>
          <w:rFonts w:eastAsia="Baskerville Old Face"/>
        </w:rPr>
        <w:tab/>
      </w:r>
      <w:r w:rsidRPr="00CF6110">
        <w:rPr>
          <w:rStyle w:val="Appelnotedebasdep"/>
          <w:rFonts w:eastAsia="Baskerville Old Face"/>
          <w:szCs w:val="18"/>
        </w:rPr>
        <w:footnoteRef/>
      </w:r>
      <w:r w:rsidRPr="00CF6110">
        <w:rPr>
          <w:rFonts w:eastAsia="Baskerville Old Face"/>
        </w:rPr>
        <w:t xml:space="preserve"> </w:t>
      </w:r>
      <w:r w:rsidRPr="00CF6110">
        <w:rPr>
          <w:rFonts w:eastAsia="Baskerville Old Face"/>
        </w:rPr>
        <w:tab/>
        <w:t>Under the International Convention for the Protection of All Persons from Enforced Disappearance (ICCPED), a victim is not only the person who is subjected to enforced disappearance but “any individual who has suffered harm as the direct result” of the crime. ICCPED, Art. 24. As a consequence, the family and the community to which the disappeared person belonged can all be considered as victims under the Convention. See also ICCPED Art. 12.</w:t>
      </w:r>
    </w:p>
  </w:footnote>
  <w:footnote w:id="38">
    <w:p w14:paraId="41E83F95" w14:textId="77777777" w:rsidR="008B7021" w:rsidRPr="00CF6110" w:rsidRDefault="008B7021" w:rsidP="007502FD">
      <w:pPr>
        <w:pStyle w:val="Notedebasdepage"/>
      </w:pPr>
      <w:r w:rsidRPr="00CF6110">
        <w:rPr>
          <w:lang w:eastAsia="en-GB"/>
        </w:rPr>
        <w:tab/>
      </w:r>
      <w:r w:rsidRPr="00CF6110">
        <w:rPr>
          <w:rStyle w:val="Appelnotedebasdep"/>
          <w:rFonts w:eastAsia="Baskerville Old Face"/>
          <w:szCs w:val="18"/>
        </w:rPr>
        <w:footnoteRef/>
      </w:r>
      <w:r w:rsidRPr="00CF6110">
        <w:rPr>
          <w:lang w:eastAsia="en-GB"/>
        </w:rPr>
        <w:t xml:space="preserve"> </w:t>
      </w:r>
      <w:r w:rsidRPr="00CF6110">
        <w:rPr>
          <w:lang w:eastAsia="en-GB"/>
        </w:rPr>
        <w:tab/>
        <w:t>Inter-American Commission on Human Rights</w:t>
      </w:r>
      <w:r w:rsidRPr="00CF6110">
        <w:rPr>
          <w:rFonts w:eastAsia="Baskerville Old Face"/>
          <w:i/>
          <w:iCs/>
        </w:rPr>
        <w:t>, Report on the Right to Truth in the Americas</w:t>
      </w:r>
      <w:r w:rsidRPr="00CF6110">
        <w:rPr>
          <w:rFonts w:eastAsia="Baskerville Old Face"/>
        </w:rPr>
        <w:t>, August 2014.</w:t>
      </w:r>
    </w:p>
  </w:footnote>
  <w:footnote w:id="39">
    <w:p w14:paraId="483CD8D4" w14:textId="12E7AE0E" w:rsidR="008B7021" w:rsidRPr="00CF6110" w:rsidRDefault="008B7021" w:rsidP="007A5B17">
      <w:pPr>
        <w:pStyle w:val="Notedebasdepage"/>
      </w:pPr>
      <w:r w:rsidRPr="00CF6110">
        <w:rPr>
          <w:lang w:eastAsia="en-GB"/>
        </w:rPr>
        <w:tab/>
      </w:r>
      <w:r w:rsidRPr="00CF6110">
        <w:rPr>
          <w:rStyle w:val="Appelnotedebasdep"/>
          <w:rFonts w:eastAsia="Baskerville Old Face"/>
          <w:szCs w:val="18"/>
        </w:rPr>
        <w:footnoteRef/>
      </w:r>
      <w:r w:rsidRPr="00CF6110">
        <w:rPr>
          <w:lang w:eastAsia="en-GB"/>
        </w:rPr>
        <w:t xml:space="preserve"> </w:t>
      </w:r>
      <w:r w:rsidRPr="00CF6110">
        <w:rPr>
          <w:lang w:eastAsia="en-GB"/>
        </w:rPr>
        <w:tab/>
      </w:r>
      <w:r w:rsidRPr="00CF6110">
        <w:rPr>
          <w:rFonts w:eastAsia="Baskerville Old Face"/>
        </w:rPr>
        <w:t xml:space="preserve">ICCPED, Arts. </w:t>
      </w:r>
      <w:proofErr w:type="gramStart"/>
      <w:r w:rsidRPr="00CF6110">
        <w:rPr>
          <w:rFonts w:eastAsia="Baskerville Old Face"/>
        </w:rPr>
        <w:t>8 and 24(6).</w:t>
      </w:r>
      <w:proofErr w:type="gramEnd"/>
    </w:p>
  </w:footnote>
  <w:footnote w:id="40">
    <w:p w14:paraId="05DC032F" w14:textId="77777777" w:rsidR="008B7021" w:rsidRPr="00CF6110" w:rsidRDefault="008B7021" w:rsidP="007502FD">
      <w:pPr>
        <w:pStyle w:val="Notedebasdepage"/>
      </w:pPr>
      <w:r w:rsidRPr="00CF6110">
        <w:rPr>
          <w:rFonts w:eastAsia="Baskerville Old Face"/>
        </w:rPr>
        <w:tab/>
      </w:r>
      <w:r w:rsidRPr="00CF6110">
        <w:rPr>
          <w:rStyle w:val="Appelnotedebasdep"/>
          <w:rFonts w:eastAsia="Baskerville Old Face"/>
          <w:szCs w:val="18"/>
        </w:rPr>
        <w:footnoteRef/>
      </w:r>
      <w:r w:rsidRPr="00CF6110">
        <w:rPr>
          <w:rFonts w:eastAsia="Baskerville Old Face"/>
        </w:rPr>
        <w:t xml:space="preserve"> </w:t>
      </w:r>
      <w:r w:rsidRPr="00CF6110">
        <w:rPr>
          <w:rFonts w:eastAsia="Baskerville Old Face"/>
        </w:rPr>
        <w:tab/>
      </w:r>
      <w:proofErr w:type="gramStart"/>
      <w:r w:rsidRPr="00CF6110">
        <w:rPr>
          <w:rFonts w:eastAsia="Baskerville Old Face"/>
        </w:rPr>
        <w:t>1977 Additional Protocol I, Arts.</w:t>
      </w:r>
      <w:proofErr w:type="gramEnd"/>
      <w:r w:rsidRPr="00CF6110">
        <w:rPr>
          <w:rFonts w:eastAsia="Baskerville Old Face"/>
        </w:rPr>
        <w:t xml:space="preserve"> </w:t>
      </w:r>
      <w:proofErr w:type="gramStart"/>
      <w:r w:rsidRPr="00CF6110">
        <w:rPr>
          <w:rFonts w:eastAsia="Baskerville Old Face"/>
        </w:rPr>
        <w:t>32, 33; ICRC, Customary IHL Study, Rule 117.</w:t>
      </w:r>
      <w:proofErr w:type="gramEnd"/>
    </w:p>
  </w:footnote>
  <w:footnote w:id="41">
    <w:p w14:paraId="6472E38F" w14:textId="4FED668B"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ICRC, Customary IHL Study, Rules 116 and 114; 1949 Geneva Convention I, Arts. </w:t>
      </w:r>
      <w:proofErr w:type="gramStart"/>
      <w:r w:rsidRPr="00CF6110">
        <w:t>16, 17; 1949 Geneva Convention II, Arts.</w:t>
      </w:r>
      <w:proofErr w:type="gramEnd"/>
      <w:r w:rsidRPr="00CF6110">
        <w:t xml:space="preserve"> </w:t>
      </w:r>
      <w:proofErr w:type="gramStart"/>
      <w:r w:rsidRPr="00CF6110">
        <w:t>19, 20; 1949 Geneva Convention III, Art.</w:t>
      </w:r>
      <w:proofErr w:type="gramEnd"/>
      <w:r w:rsidRPr="00CF6110">
        <w:t xml:space="preserve"> </w:t>
      </w:r>
      <w:proofErr w:type="gramStart"/>
      <w:r w:rsidRPr="00CF6110">
        <w:t>120; 1949 Geneva Convention IV, Arts.</w:t>
      </w:r>
      <w:proofErr w:type="gramEnd"/>
      <w:r w:rsidRPr="00CF6110">
        <w:t xml:space="preserve"> </w:t>
      </w:r>
      <w:proofErr w:type="gramStart"/>
      <w:r w:rsidRPr="00CF6110">
        <w:t>129, 130; 1977 Additional Protocol I, Art.</w:t>
      </w:r>
      <w:proofErr w:type="gramEnd"/>
      <w:r w:rsidRPr="00CF6110">
        <w:t xml:space="preserve"> 34.</w:t>
      </w:r>
    </w:p>
  </w:footnote>
  <w:footnote w:id="42">
    <w:p w14:paraId="56BC8ED8" w14:textId="26C068E7" w:rsidR="008B7021" w:rsidRPr="00CF6110" w:rsidRDefault="008B7021" w:rsidP="00B96FA7">
      <w:pPr>
        <w:pStyle w:val="Notedebasdepage"/>
      </w:pPr>
      <w:r w:rsidRPr="00CF6110">
        <w:tab/>
      </w:r>
      <w:r w:rsidRPr="00CF6110">
        <w:rPr>
          <w:rStyle w:val="Appelnotedebasdep"/>
          <w:szCs w:val="18"/>
        </w:rPr>
        <w:footnoteRef/>
      </w:r>
      <w:r w:rsidRPr="00CF6110">
        <w:t xml:space="preserve"> </w:t>
      </w:r>
      <w:r w:rsidRPr="00CF6110">
        <w:tab/>
      </w:r>
      <w:proofErr w:type="gramStart"/>
      <w:r w:rsidRPr="00CF6110">
        <w:t>1949 Geneva Convention I, Art.</w:t>
      </w:r>
      <w:proofErr w:type="gramEnd"/>
      <w:r w:rsidRPr="00CF6110">
        <w:t xml:space="preserve"> </w:t>
      </w:r>
      <w:proofErr w:type="gramStart"/>
      <w:r w:rsidRPr="00CF6110">
        <w:t>16; 1949 Geneva Convention II, Art.</w:t>
      </w:r>
      <w:proofErr w:type="gramEnd"/>
      <w:r w:rsidRPr="00CF6110">
        <w:t xml:space="preserve"> </w:t>
      </w:r>
      <w:proofErr w:type="gramStart"/>
      <w:r w:rsidRPr="00CF6110">
        <w:t>19; 1949 Geneva Convention III, Arts.</w:t>
      </w:r>
      <w:proofErr w:type="gramEnd"/>
      <w:r w:rsidRPr="00CF6110">
        <w:t xml:space="preserve"> </w:t>
      </w:r>
      <w:proofErr w:type="gramStart"/>
      <w:r w:rsidRPr="00CF6110">
        <w:t>120, 122; 1949 Geneva Convention IV, Art.</w:t>
      </w:r>
      <w:proofErr w:type="gramEnd"/>
      <w:r w:rsidRPr="00CF6110">
        <w:t xml:space="preserve"> 136.</w:t>
      </w:r>
    </w:p>
  </w:footnote>
  <w:footnote w:id="43">
    <w:p w14:paraId="2690DBB6" w14:textId="0EDBE4FA" w:rsidR="008B7021" w:rsidRPr="00CF6110" w:rsidRDefault="008B7021" w:rsidP="007502FD">
      <w:pPr>
        <w:pStyle w:val="Notedebasdepage"/>
        <w:rPr>
          <w:lang w:eastAsia="en-GB"/>
        </w:rPr>
      </w:pPr>
      <w:r w:rsidRPr="00CF6110">
        <w:tab/>
      </w:r>
      <w:r w:rsidRPr="00CF6110">
        <w:rPr>
          <w:rStyle w:val="Appelnotedebasdep"/>
          <w:szCs w:val="18"/>
        </w:rPr>
        <w:footnoteRef/>
      </w:r>
      <w:r w:rsidRPr="00CF6110">
        <w:t xml:space="preserve"> </w:t>
      </w:r>
      <w:r w:rsidRPr="00CF6110">
        <w:tab/>
      </w:r>
      <w:r w:rsidRPr="00CF6110">
        <w:rPr>
          <w:iCs/>
          <w:lang w:eastAsia="en-GB"/>
        </w:rPr>
        <w:t>See, e.g</w:t>
      </w:r>
      <w:r w:rsidRPr="00CF6110">
        <w:rPr>
          <w:lang w:eastAsia="en-GB"/>
        </w:rPr>
        <w:t xml:space="preserve">. UN Basic Principles on Use of Force and Firearms by Law Enforcement Officials, Principles 6, 22, 23; UN Principles on the Effective Prevention and Investigation of Extra-Legal, Arbitrary and Summary Executions, Principle 9; Body of Principles for the Protection of All Persons under Any Form of Detention or Imprisonment, Principle 34; 1984 UN Convention against Torture, Arts. </w:t>
      </w:r>
      <w:proofErr w:type="gramStart"/>
      <w:r w:rsidRPr="00CF6110">
        <w:rPr>
          <w:lang w:eastAsia="en-GB"/>
        </w:rPr>
        <w:t>12 &amp; 13; ICCPED, Art.</w:t>
      </w:r>
      <w:proofErr w:type="gramEnd"/>
      <w:r w:rsidRPr="00CF6110">
        <w:rPr>
          <w:lang w:eastAsia="en-GB"/>
        </w:rPr>
        <w:t xml:space="preserve"> 2. In situations of international armed conflict, see 1949 Geneva Convention III (with respect to prisoners of war), Art 121; 1949 Geneva Convention IV (concerning civilian internees), Art. 131.</w:t>
      </w:r>
    </w:p>
  </w:footnote>
  <w:footnote w:id="44">
    <w:p w14:paraId="1E49AB23"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Report of the Special Rapporteur on extrajudicial, summary or arbitrary executions to the UN Commission on Human Rights, UN doc. E/CN.4/2005/7, 22 December 2004, §§70–71.</w:t>
      </w:r>
    </w:p>
  </w:footnote>
  <w:footnote w:id="45">
    <w:p w14:paraId="0B372546"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 xml:space="preserve">Human Rights Committee, </w:t>
      </w:r>
      <w:r w:rsidRPr="00CF6110">
        <w:rPr>
          <w:i/>
          <w:iCs/>
          <w:lang w:eastAsia="en-GB"/>
        </w:rPr>
        <w:t>Krasovskaya</w:t>
      </w:r>
      <w:r w:rsidRPr="00CF6110">
        <w:rPr>
          <w:lang w:eastAsia="en-GB"/>
        </w:rPr>
        <w:t xml:space="preserve"> v. </w:t>
      </w:r>
      <w:r w:rsidRPr="00CF6110">
        <w:rPr>
          <w:i/>
          <w:iCs/>
          <w:lang w:eastAsia="en-GB"/>
        </w:rPr>
        <w:t>Belarus</w:t>
      </w:r>
      <w:r w:rsidRPr="00CF6110">
        <w:rPr>
          <w:lang w:eastAsia="en-GB"/>
        </w:rPr>
        <w:t>, Views (Comm. No. 1820/2008), 6 June 2012.</w:t>
      </w:r>
    </w:p>
  </w:footnote>
  <w:footnote w:id="46">
    <w:p w14:paraId="5D9DB3D0"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rPr>
          <w:lang w:eastAsia="en-GB"/>
        </w:rPr>
        <w:t xml:space="preserve">IACtHR, </w:t>
      </w:r>
      <w:r w:rsidRPr="00CF6110">
        <w:rPr>
          <w:i/>
          <w:iCs/>
          <w:lang w:eastAsia="en-GB"/>
        </w:rPr>
        <w:t>Case of González</w:t>
      </w:r>
      <w:r w:rsidRPr="00CF6110">
        <w:rPr>
          <w:lang w:eastAsia="en-GB"/>
        </w:rPr>
        <w:t xml:space="preserve"> et al. (“</w:t>
      </w:r>
      <w:r w:rsidRPr="00CF6110">
        <w:rPr>
          <w:i/>
          <w:iCs/>
          <w:lang w:eastAsia="en-GB"/>
        </w:rPr>
        <w:t>Cotton Field</w:t>
      </w:r>
      <w:r w:rsidRPr="00CF6110">
        <w:rPr>
          <w:lang w:eastAsia="en-GB"/>
        </w:rPr>
        <w:t xml:space="preserve">”) v. </w:t>
      </w:r>
      <w:r w:rsidRPr="00CF6110">
        <w:rPr>
          <w:i/>
          <w:iCs/>
          <w:lang w:eastAsia="en-GB"/>
        </w:rPr>
        <w:t>Mexico</w:t>
      </w:r>
      <w:r w:rsidRPr="00CF6110">
        <w:rPr>
          <w:lang w:eastAsia="en-GB"/>
        </w:rPr>
        <w:t>, 16 November 2009, §455; Report of the Special Rapporteur on violence against women, its causes and consequences, UN doc.</w:t>
      </w:r>
      <w:proofErr w:type="gramEnd"/>
      <w:r w:rsidRPr="00CF6110">
        <w:rPr>
          <w:lang w:eastAsia="en-GB"/>
        </w:rPr>
        <w:t xml:space="preserve"> </w:t>
      </w:r>
      <w:proofErr w:type="gramStart"/>
      <w:r w:rsidRPr="00CF6110">
        <w:rPr>
          <w:lang w:eastAsia="en-GB"/>
        </w:rPr>
        <w:t>A/HRC/23/49, 14 May 2013, §73.</w:t>
      </w:r>
      <w:proofErr w:type="gramEnd"/>
    </w:p>
  </w:footnote>
  <w:footnote w:id="47">
    <w:p w14:paraId="0608140C" w14:textId="48BC2BE6" w:rsidR="008B7021" w:rsidRPr="00CF6110" w:rsidRDefault="008B7021" w:rsidP="007502FD">
      <w:pPr>
        <w:pStyle w:val="Notedebasdepage"/>
        <w:rPr>
          <w:lang w:eastAsia="en-GB"/>
        </w:rPr>
      </w:pPr>
      <w:r w:rsidRPr="00CF6110">
        <w:tab/>
      </w:r>
      <w:r w:rsidRPr="00CF6110">
        <w:rPr>
          <w:rStyle w:val="Appelnotedebasdep"/>
          <w:szCs w:val="18"/>
        </w:rPr>
        <w:footnoteRef/>
      </w:r>
      <w:r w:rsidRPr="00CF6110">
        <w:t xml:space="preserve"> </w:t>
      </w:r>
      <w:r w:rsidRPr="00CF6110">
        <w:tab/>
      </w:r>
      <w:r w:rsidRPr="00CF6110">
        <w:rPr>
          <w:lang w:eastAsia="en-GB"/>
        </w:rPr>
        <w:t>African Commission on Human and Peoples’ Rights, Resolution 275 on Protection against Violence and other Human Rights Violations against Persons on the basis of their real or imputed Sexual Orientation or Gender Identity, adopted at 55</w:t>
      </w:r>
      <w:r w:rsidRPr="00CF6110">
        <w:rPr>
          <w:vertAlign w:val="superscript"/>
          <w:lang w:eastAsia="en-GB"/>
        </w:rPr>
        <w:t>th</w:t>
      </w:r>
      <w:r w:rsidRPr="00CF6110">
        <w:rPr>
          <w:lang w:eastAsia="en-GB"/>
        </w:rPr>
        <w:t xml:space="preserve"> Ordinary Session, Luanda, </w:t>
      </w:r>
      <w:proofErr w:type="gramStart"/>
      <w:r w:rsidRPr="00CF6110">
        <w:rPr>
          <w:lang w:eastAsia="en-GB"/>
        </w:rPr>
        <w:t>28</w:t>
      </w:r>
      <w:proofErr w:type="gramEnd"/>
      <w:r w:rsidRPr="00CF6110">
        <w:rPr>
          <w:lang w:eastAsia="en-GB"/>
        </w:rPr>
        <w:t xml:space="preserve"> April to 12 May 2014.</w:t>
      </w:r>
    </w:p>
  </w:footnote>
  <w:footnote w:id="48">
    <w:p w14:paraId="7EF5CFE5"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“Discriminatory laws and practices and acts of violence against individuals based on their sexual orientation and gender identity”, Report of the UN High Commissioner for Human Rights, 17 November 2011.</w:t>
      </w:r>
    </w:p>
  </w:footnote>
  <w:footnote w:id="49">
    <w:p w14:paraId="37358598"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 xml:space="preserve">Urgent Appeal to government of Pakistan from Mandates of the Special Rapporteur on freedom of religion or belief; the Special Rapporteur on minority issues; and the Special Rapporteur on extrajudicial, summary or arbitrary executions, 23 October 2014 (concerning the murder of two </w:t>
      </w:r>
      <w:proofErr w:type="spellStart"/>
      <w:r w:rsidRPr="00CF6110">
        <w:rPr>
          <w:i/>
          <w:lang w:eastAsia="en-GB"/>
        </w:rPr>
        <w:t>Ahmediya</w:t>
      </w:r>
      <w:proofErr w:type="spellEnd"/>
      <w:r w:rsidRPr="00CF6110">
        <w:rPr>
          <w:lang w:eastAsia="en-GB"/>
        </w:rPr>
        <w:t xml:space="preserve"> Muslims in Pakistan).</w:t>
      </w:r>
    </w:p>
  </w:footnote>
  <w:footnote w:id="50">
    <w:p w14:paraId="1B52E65F"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 xml:space="preserve">ECtHR, </w:t>
      </w:r>
      <w:r w:rsidRPr="00CF6110">
        <w:rPr>
          <w:i/>
          <w:iCs/>
          <w:lang w:eastAsia="en-GB"/>
        </w:rPr>
        <w:t>Nachova</w:t>
      </w:r>
      <w:r w:rsidRPr="00CF6110">
        <w:rPr>
          <w:lang w:eastAsia="en-GB"/>
        </w:rPr>
        <w:t xml:space="preserve"> v. </w:t>
      </w:r>
      <w:r w:rsidRPr="00CF6110">
        <w:rPr>
          <w:i/>
          <w:iCs/>
          <w:lang w:eastAsia="en-GB"/>
        </w:rPr>
        <w:t>Bulgaria</w:t>
      </w:r>
      <w:r w:rsidRPr="00CF6110">
        <w:rPr>
          <w:lang w:eastAsia="en-GB"/>
        </w:rPr>
        <w:t xml:space="preserve">, Judgment, 6 July 2005, §§162–68; see also </w:t>
      </w:r>
      <w:r w:rsidRPr="00CF6110">
        <w:rPr>
          <w:i/>
          <w:iCs/>
          <w:lang w:eastAsia="en-GB"/>
        </w:rPr>
        <w:t>B.S.</w:t>
      </w:r>
      <w:r w:rsidRPr="00CF6110">
        <w:rPr>
          <w:lang w:eastAsia="en-GB"/>
        </w:rPr>
        <w:t xml:space="preserve"> v. </w:t>
      </w:r>
      <w:r w:rsidRPr="00CF6110">
        <w:rPr>
          <w:i/>
          <w:iCs/>
          <w:lang w:eastAsia="en-GB"/>
        </w:rPr>
        <w:t>Spain</w:t>
      </w:r>
      <w:r w:rsidRPr="00CF6110">
        <w:rPr>
          <w:lang w:eastAsia="en-GB"/>
        </w:rPr>
        <w:t xml:space="preserve">, Judgment, 24 July 2012, §§58–59 and </w:t>
      </w:r>
      <w:r w:rsidRPr="00CF6110">
        <w:rPr>
          <w:i/>
          <w:iCs/>
          <w:lang w:eastAsia="en-GB"/>
        </w:rPr>
        <w:t>X</w:t>
      </w:r>
      <w:r w:rsidRPr="00CF6110">
        <w:rPr>
          <w:lang w:eastAsia="en-GB"/>
        </w:rPr>
        <w:t xml:space="preserve"> v. </w:t>
      </w:r>
      <w:r w:rsidRPr="00CF6110">
        <w:rPr>
          <w:i/>
          <w:iCs/>
          <w:lang w:eastAsia="en-GB"/>
        </w:rPr>
        <w:t>Turkey</w:t>
      </w:r>
      <w:r w:rsidRPr="00CF6110">
        <w:rPr>
          <w:lang w:eastAsia="en-GB"/>
        </w:rPr>
        <w:t>, Judgment, 9 October 2012, §62.</w:t>
      </w:r>
    </w:p>
  </w:footnote>
  <w:footnote w:id="51">
    <w:p w14:paraId="565C8F4B"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See, e.g., Report of the Special Rapporteur on extrajudicial, summary or arbitrary executions to the Human Rights Council, UN doc.</w:t>
      </w:r>
      <w:proofErr w:type="gramEnd"/>
      <w:r w:rsidRPr="00CF6110">
        <w:t xml:space="preserve"> </w:t>
      </w:r>
      <w:proofErr w:type="gramStart"/>
      <w:r w:rsidRPr="00CF6110">
        <w:t>A/HRC/11/2, 27 May 2009, §§43–59, which concerns the killing of “witches”.</w:t>
      </w:r>
      <w:proofErr w:type="gramEnd"/>
      <w:r w:rsidRPr="00CF6110">
        <w:t xml:space="preserve"> On “social cleansing” (killings of gang members, criminal suspects, and other “undesirables”), see Special Rapporteur on extrajudicial, summary or arbitrary executions, Report on Mission to Guatemala, UN doc. A/HRC/4/20/Add.2, 19 February 2007; as regards effective investigation into killing of “street children”, see IACtHR, </w:t>
      </w:r>
      <w:r w:rsidRPr="00CF6110">
        <w:rPr>
          <w:i/>
          <w:iCs/>
        </w:rPr>
        <w:t>Villagrán</w:t>
      </w:r>
      <w:r w:rsidRPr="00CF6110">
        <w:t xml:space="preserve"> </w:t>
      </w:r>
      <w:r w:rsidRPr="00CF6110">
        <w:rPr>
          <w:i/>
          <w:iCs/>
        </w:rPr>
        <w:t>Morales</w:t>
      </w:r>
      <w:r w:rsidRPr="00CF6110">
        <w:t xml:space="preserve"> </w:t>
      </w:r>
      <w:r w:rsidRPr="00CF6110">
        <w:rPr>
          <w:iCs/>
        </w:rPr>
        <w:t>et al.</w:t>
      </w:r>
      <w:r w:rsidRPr="00CF6110">
        <w:t xml:space="preserve"> </w:t>
      </w:r>
      <w:r w:rsidRPr="00CF6110">
        <w:rPr>
          <w:iCs/>
        </w:rPr>
        <w:t>v.</w:t>
      </w:r>
      <w:r w:rsidRPr="00CF6110">
        <w:t xml:space="preserve"> </w:t>
      </w:r>
      <w:r w:rsidRPr="00CF6110">
        <w:rPr>
          <w:i/>
          <w:iCs/>
        </w:rPr>
        <w:t>Guatemala,</w:t>
      </w:r>
      <w:r w:rsidRPr="00CF6110">
        <w:t xml:space="preserve"> Judgment, 19 November 1999, §259(8).</w:t>
      </w:r>
    </w:p>
  </w:footnote>
  <w:footnote w:id="52">
    <w:p w14:paraId="0093444F" w14:textId="5E397B5D" w:rsidR="008B7021" w:rsidRPr="00CF6110" w:rsidRDefault="008B7021" w:rsidP="00364455">
      <w:pPr>
        <w:pStyle w:val="Notedebasdepage"/>
      </w:pPr>
      <w:r w:rsidRPr="00CF6110">
        <w:tab/>
      </w:r>
      <w:r w:rsidRPr="00CF6110">
        <w:rPr>
          <w:rStyle w:val="Appelnotedebasdep"/>
          <w:szCs w:val="18"/>
        </w:rPr>
        <w:footnoteRef/>
      </w:r>
      <w:r w:rsidRPr="00CF6110">
        <w:t xml:space="preserve"> </w:t>
      </w:r>
      <w:r w:rsidRPr="00CF6110">
        <w:tab/>
      </w:r>
      <w:r w:rsidRPr="00CF6110">
        <w:rPr>
          <w:lang w:eastAsia="en-GB"/>
        </w:rPr>
        <w:t>Where relevant, this duty applies, mutatis mutandis, to enforced disappearance.</w:t>
      </w:r>
    </w:p>
  </w:footnote>
  <w:footnote w:id="53">
    <w:p w14:paraId="37F226B5"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rPr>
          <w:lang w:eastAsia="en-GB"/>
        </w:rPr>
        <w:t xml:space="preserve">ECtHR, </w:t>
      </w:r>
      <w:r w:rsidRPr="00CF6110">
        <w:rPr>
          <w:i/>
          <w:iCs/>
          <w:lang w:eastAsia="en-GB"/>
        </w:rPr>
        <w:t>Ergi</w:t>
      </w:r>
      <w:r w:rsidRPr="00CF6110">
        <w:rPr>
          <w:lang w:eastAsia="en-GB"/>
        </w:rPr>
        <w:t xml:space="preserve"> v. </w:t>
      </w:r>
      <w:r w:rsidRPr="00CF6110">
        <w:rPr>
          <w:i/>
          <w:iCs/>
          <w:lang w:eastAsia="en-GB"/>
        </w:rPr>
        <w:t>Turkey</w:t>
      </w:r>
      <w:r w:rsidRPr="00CF6110">
        <w:rPr>
          <w:lang w:eastAsia="en-GB"/>
        </w:rPr>
        <w:t xml:space="preserve">, Judgment, 28 July 1998, §82; </w:t>
      </w:r>
      <w:r w:rsidRPr="00CF6110">
        <w:rPr>
          <w:i/>
          <w:iCs/>
          <w:lang w:eastAsia="en-GB"/>
        </w:rPr>
        <w:t xml:space="preserve">Isayeva, </w:t>
      </w:r>
      <w:proofErr w:type="spellStart"/>
      <w:r w:rsidRPr="00CF6110">
        <w:rPr>
          <w:i/>
          <w:iCs/>
          <w:lang w:eastAsia="en-GB"/>
        </w:rPr>
        <w:t>Yusopva</w:t>
      </w:r>
      <w:proofErr w:type="spellEnd"/>
      <w:r w:rsidRPr="00CF6110">
        <w:rPr>
          <w:i/>
          <w:iCs/>
          <w:lang w:eastAsia="en-GB"/>
        </w:rPr>
        <w:t xml:space="preserve"> and Bazayeva </w:t>
      </w:r>
      <w:r w:rsidRPr="00CF6110">
        <w:rPr>
          <w:lang w:eastAsia="en-GB"/>
        </w:rPr>
        <w:t>v.</w:t>
      </w:r>
      <w:r w:rsidRPr="00CF6110">
        <w:rPr>
          <w:i/>
          <w:iCs/>
          <w:lang w:eastAsia="en-GB"/>
        </w:rPr>
        <w:t xml:space="preserve"> Russia</w:t>
      </w:r>
      <w:r w:rsidRPr="00CF6110">
        <w:rPr>
          <w:lang w:eastAsia="en-GB"/>
        </w:rPr>
        <w:t>, Judgment, 24 February 2005, §§208–09.</w:t>
      </w:r>
      <w:proofErr w:type="gramEnd"/>
      <w:r w:rsidRPr="00CF6110">
        <w:rPr>
          <w:lang w:eastAsia="en-GB"/>
        </w:rPr>
        <w:t xml:space="preserve"> </w:t>
      </w:r>
      <w:proofErr w:type="gramStart"/>
      <w:r w:rsidRPr="00CF6110">
        <w:rPr>
          <w:lang w:eastAsia="en-GB"/>
        </w:rPr>
        <w:t xml:space="preserve">IACtHR, </w:t>
      </w:r>
      <w:proofErr w:type="spellStart"/>
      <w:r w:rsidRPr="00CF6110">
        <w:rPr>
          <w:i/>
          <w:iCs/>
          <w:lang w:eastAsia="en-GB"/>
        </w:rPr>
        <w:t>Monter-Araguan</w:t>
      </w:r>
      <w:proofErr w:type="spellEnd"/>
      <w:r w:rsidRPr="00CF6110">
        <w:rPr>
          <w:lang w:eastAsia="en-GB"/>
        </w:rPr>
        <w:t xml:space="preserve"> et al. v. </w:t>
      </w:r>
      <w:r w:rsidRPr="00CF6110">
        <w:rPr>
          <w:i/>
          <w:iCs/>
          <w:lang w:eastAsia="en-GB"/>
        </w:rPr>
        <w:t>Venezuela</w:t>
      </w:r>
      <w:r w:rsidRPr="00CF6110">
        <w:rPr>
          <w:lang w:eastAsia="en-GB"/>
        </w:rPr>
        <w:t>, Judgment, 5 July 2006, §79.</w:t>
      </w:r>
      <w:proofErr w:type="gramEnd"/>
    </w:p>
  </w:footnote>
  <w:footnote w:id="54">
    <w:p w14:paraId="5FC3CE43"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See UN Standard Minimum Rules for the Treatment of Prisoners (the “Nelson Mandela Rules”), adopted by UN General Assembly Resolution 70/175 of 17 December 2015, Rule 71(1).</w:t>
      </w:r>
    </w:p>
  </w:footnote>
  <w:footnote w:id="55">
    <w:p w14:paraId="75CCB861"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ECtHR, </w:t>
      </w:r>
      <w:r w:rsidRPr="00CF6110">
        <w:rPr>
          <w:i/>
        </w:rPr>
        <w:t>Opuz</w:t>
      </w:r>
      <w:r w:rsidRPr="00CF6110">
        <w:t xml:space="preserve"> v. </w:t>
      </w:r>
      <w:r w:rsidRPr="00CF6110">
        <w:rPr>
          <w:i/>
        </w:rPr>
        <w:t>Turkey</w:t>
      </w:r>
      <w:r w:rsidRPr="00CF6110">
        <w:t>, Judgment, 9 June 2009, §150.</w:t>
      </w:r>
      <w:proofErr w:type="gramEnd"/>
    </w:p>
  </w:footnote>
  <w:footnote w:id="56">
    <w:p w14:paraId="49CA4B7D"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Human Rights Committee, General Comment 31, §10.</w:t>
      </w:r>
      <w:proofErr w:type="gramEnd"/>
    </w:p>
  </w:footnote>
  <w:footnote w:id="57">
    <w:p w14:paraId="70BEC3C3"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African Commission on Human and Peoples’ Rights, General Comment No. 3 on the Right to Life, November 2015. </w:t>
      </w:r>
    </w:p>
  </w:footnote>
  <w:footnote w:id="58">
    <w:p w14:paraId="6169095F" w14:textId="77777777" w:rsidR="008B7021" w:rsidRPr="00CF6110" w:rsidRDefault="008B7021" w:rsidP="007502FD">
      <w:pPr>
        <w:pStyle w:val="Notedebasdepage"/>
        <w:rPr>
          <w:i/>
        </w:rPr>
      </w:pPr>
      <w:r w:rsidRPr="00CF6110">
        <w:tab/>
      </w:r>
      <w:r w:rsidRPr="00CF6110">
        <w:rPr>
          <w:rStyle w:val="Appelnotedebasdep"/>
          <w:szCs w:val="18"/>
        </w:rPr>
        <w:footnoteRef/>
      </w:r>
      <w:r w:rsidRPr="00CF6110">
        <w:t xml:space="preserve"> </w:t>
      </w:r>
      <w:r w:rsidRPr="00CF6110">
        <w:tab/>
      </w:r>
      <w:proofErr w:type="gramStart"/>
      <w:r w:rsidRPr="00CF6110">
        <w:t xml:space="preserve">See, e.g., ECtHR, </w:t>
      </w:r>
      <w:r w:rsidRPr="00CF6110">
        <w:rPr>
          <w:i/>
        </w:rPr>
        <w:t>Jaloud</w:t>
      </w:r>
      <w:r w:rsidRPr="00CF6110">
        <w:t xml:space="preserve"> v.</w:t>
      </w:r>
      <w:proofErr w:type="gramEnd"/>
      <w:r w:rsidRPr="00CF6110">
        <w:t xml:space="preserve"> </w:t>
      </w:r>
      <w:r w:rsidRPr="00CF6110">
        <w:rPr>
          <w:i/>
        </w:rPr>
        <w:t>The Netherlands</w:t>
      </w:r>
      <w:r w:rsidRPr="00CF6110">
        <w:t xml:space="preserve">, Judgment (Grand Chamber), 20 November 2014, §164: “It is clear that where the death to be investigated under Article 2 occurs in circumstances of generalised violence, armed conflict or insurgency, obstacles may be placed in the way of investigators and, as the United Nations Special Rapporteur has also observed ..., concrete constraints may compel the use of less effective measures of investigation or may cause an investigation to be delayed …. Nonetheless, the obligation under Article 2 to safeguard life entails that, even in difficult security conditions, all reasonable steps must be taken to ensure that an effective, independent investigation is conducted into alleged breaches of the right to life”. </w:t>
      </w:r>
    </w:p>
  </w:footnote>
  <w:footnote w:id="59">
    <w:p w14:paraId="15997355" w14:textId="6D1D8442"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For a discussion of the duty to investigate violations of international humanitarian law (IHL) see ICRC Customary IHL Study, Rule 158 (Prosecution of War Crimes): “States must investigate war crimes allegedly committed by their nationals or armed forces, or on their territory…. They must also investigate other war crimes over which they have jurisdiction and, if appropriate, prosecute the suspects.” In the case of grave breaches of the Geneva Conventions, the exercise of universal jurisdiction is mandatory. See the 1949 Geneva Conventions</w:t>
      </w:r>
      <w:r w:rsidR="00990D60">
        <w:t>: Geneva I, Art. 49; Geneva II, A</w:t>
      </w:r>
      <w:r w:rsidRPr="00CF6110">
        <w:t xml:space="preserve">rt. 50; Geneva III, </w:t>
      </w:r>
      <w:r w:rsidR="00990D60">
        <w:t>A</w:t>
      </w:r>
      <w:r w:rsidRPr="00CF6110">
        <w:t>rt</w:t>
      </w:r>
      <w:r w:rsidR="00990D60">
        <w:t>.</w:t>
      </w:r>
      <w:r w:rsidRPr="00CF6110">
        <w:t xml:space="preserve"> </w:t>
      </w:r>
      <w:proofErr w:type="gramStart"/>
      <w:r w:rsidRPr="00CF6110">
        <w:t xml:space="preserve">129; Geneva IV, </w:t>
      </w:r>
      <w:r w:rsidR="00990D60">
        <w:t>A</w:t>
      </w:r>
      <w:r w:rsidRPr="00CF6110">
        <w:t>rt.</w:t>
      </w:r>
      <w:proofErr w:type="gramEnd"/>
      <w:r w:rsidRPr="00CF6110">
        <w:t xml:space="preserve"> </w:t>
      </w:r>
      <w:proofErr w:type="gramStart"/>
      <w:r w:rsidRPr="00CF6110">
        <w:t>146; and the 1977 Additional Protocol I, Art.</w:t>
      </w:r>
      <w:proofErr w:type="gramEnd"/>
      <w:r w:rsidRPr="00CF6110">
        <w:t xml:space="preserve"> 85; and see also the Basic Principles and Guidelines on the Right to a Remedy and Reparation for Victims of Gross Violations of International Human Rights Law and Serious Violations of International Humanitarian Law, UN General Assembly Resolution 60/147, 21 March 2006; Report of the UN Special Rapporteur on extrajudicial, summary or arbitrary executions, UN doc. </w:t>
      </w:r>
      <w:proofErr w:type="gramStart"/>
      <w:r w:rsidRPr="00CF6110">
        <w:t>A/68/382 13 September 2013, §101.</w:t>
      </w:r>
      <w:proofErr w:type="gramEnd"/>
      <w:r w:rsidRPr="00CF6110">
        <w:t xml:space="preserve"> See also e.g., Report of the UN Special Rapporteur on the Promotion and Protection of Human Rights and Fundamental Freedoms While Countering Terrorism, UN doc. </w:t>
      </w:r>
      <w:proofErr w:type="gramStart"/>
      <w:r w:rsidRPr="00CF6110">
        <w:t>A/68/389, 18 September 2013, §42.</w:t>
      </w:r>
      <w:proofErr w:type="gramEnd"/>
    </w:p>
  </w:footnote>
  <w:footnote w:id="60">
    <w:p w14:paraId="040C7112" w14:textId="2D6F7695" w:rsidR="008B7021" w:rsidRPr="00CF6110" w:rsidRDefault="008B7021" w:rsidP="00CC53AA">
      <w:pPr>
        <w:pStyle w:val="Notedebasdepage"/>
      </w:pPr>
      <w:r w:rsidRPr="00CF6110">
        <w:tab/>
      </w:r>
      <w:r w:rsidRPr="00CF6110">
        <w:rPr>
          <w:rStyle w:val="Appelnotedebasdep"/>
          <w:szCs w:val="18"/>
        </w:rPr>
        <w:footnoteRef/>
      </w:r>
      <w:r w:rsidRPr="00CF6110">
        <w:t xml:space="preserve"> </w:t>
      </w:r>
      <w:r w:rsidRPr="00CF6110">
        <w:tab/>
        <w:t xml:space="preserve">For instance, in the case of the death of a “protected person” such as a prisoner of war in relation to an international armed conflict. </w:t>
      </w:r>
    </w:p>
  </w:footnote>
  <w:footnote w:id="61">
    <w:p w14:paraId="3AEA33FC" w14:textId="299AAA4B"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See Human Rights Committee, General Comment No. 31, </w:t>
      </w:r>
      <w:r w:rsidRPr="00CF6110">
        <w:rPr>
          <w:i/>
        </w:rPr>
        <w:t>op. cit.</w:t>
      </w:r>
      <w:r w:rsidRPr="00CF6110">
        <w:t>, §15; UN Fact-Finding Mission on the Gaza Conflict, §1814; see also</w:t>
      </w:r>
      <w:r w:rsidRPr="00CF6110">
        <w:rPr>
          <w:i/>
        </w:rPr>
        <w:t xml:space="preserve"> </w:t>
      </w:r>
      <w:r w:rsidRPr="00CF6110">
        <w:t>UN Basic Principles on the Use of Force and Firearms by Law Enforcement Officials, Principles 22 and 23;</w:t>
      </w:r>
      <w:r w:rsidRPr="00CF6110">
        <w:rPr>
          <w:rFonts w:eastAsia="Times New Roman"/>
        </w:rPr>
        <w:t xml:space="preserve"> IACtHR, </w:t>
      </w:r>
      <w:r w:rsidRPr="00CF6110">
        <w:rPr>
          <w:i/>
        </w:rPr>
        <w:t xml:space="preserve">Gómez Palomino </w:t>
      </w:r>
      <w:r w:rsidRPr="00CF6110">
        <w:t>v.</w:t>
      </w:r>
      <w:r w:rsidRPr="00CF6110">
        <w:rPr>
          <w:i/>
        </w:rPr>
        <w:t xml:space="preserve"> Peru, </w:t>
      </w:r>
      <w:r w:rsidRPr="00CF6110">
        <w:t>§79ff;</w:t>
      </w:r>
      <w:r w:rsidRPr="00CF6110">
        <w:rPr>
          <w:i/>
        </w:rPr>
        <w:t xml:space="preserve"> Landaeta Mejías Brothers </w:t>
      </w:r>
      <w:r w:rsidRPr="00CF6110">
        <w:t>et al. v.</w:t>
      </w:r>
      <w:r w:rsidRPr="00CF6110">
        <w:rPr>
          <w:i/>
        </w:rPr>
        <w:t xml:space="preserve"> Venezuela</w:t>
      </w:r>
      <w:r w:rsidRPr="00CF6110">
        <w:t xml:space="preserve">; ACtHPR, </w:t>
      </w:r>
      <w:r w:rsidRPr="00CF6110">
        <w:rPr>
          <w:i/>
        </w:rPr>
        <w:t>Amnesty International</w:t>
      </w:r>
      <w:r w:rsidRPr="00CF6110">
        <w:t xml:space="preserve"> et al. v. </w:t>
      </w:r>
      <w:r w:rsidRPr="00CF6110">
        <w:rPr>
          <w:i/>
        </w:rPr>
        <w:t>Sudan</w:t>
      </w:r>
      <w:r w:rsidRPr="00CF6110">
        <w:t xml:space="preserve">, 15 November 1999, §51.l; ACmnHR, General Comment No. 3 on the Right to Life, </w:t>
      </w:r>
      <w:r w:rsidRPr="00CF6110">
        <w:rPr>
          <w:rFonts w:eastAsia="Times New Roman"/>
        </w:rPr>
        <w:t xml:space="preserve">§7; ICCPED, Art. </w:t>
      </w:r>
      <w:proofErr w:type="gramStart"/>
      <w:r w:rsidRPr="00CF6110">
        <w:rPr>
          <w:rFonts w:eastAsia="Times New Roman"/>
        </w:rPr>
        <w:t>12(1)</w:t>
      </w:r>
      <w:r w:rsidRPr="00CF6110">
        <w:t>.</w:t>
      </w:r>
      <w:proofErr w:type="gramEnd"/>
    </w:p>
  </w:footnote>
  <w:footnote w:id="62">
    <w:p w14:paraId="45D9158D"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IACtHR, </w:t>
      </w:r>
      <w:r w:rsidRPr="00CF6110">
        <w:rPr>
          <w:i/>
        </w:rPr>
        <w:t>Garibaldi</w:t>
      </w:r>
      <w:r w:rsidRPr="00CF6110">
        <w:t xml:space="preserve"> v. </w:t>
      </w:r>
      <w:r w:rsidRPr="00CF6110">
        <w:rPr>
          <w:i/>
        </w:rPr>
        <w:t>Brazil</w:t>
      </w:r>
      <w:r w:rsidRPr="00CF6110">
        <w:t xml:space="preserve">, Judgment, 23 September 2009, §139; Human Rights Committee, </w:t>
      </w:r>
      <w:r w:rsidRPr="00CF6110">
        <w:rPr>
          <w:i/>
        </w:rPr>
        <w:t>Hernandez</w:t>
      </w:r>
      <w:r w:rsidRPr="00CF6110">
        <w:t xml:space="preserve"> v. </w:t>
      </w:r>
      <w:r w:rsidRPr="00CF6110">
        <w:rPr>
          <w:i/>
        </w:rPr>
        <w:t>Philippines</w:t>
      </w:r>
      <w:r w:rsidRPr="00CF6110">
        <w:t>, Views (Comm. No. 1559/2007), 26 July 2010, §7.5.</w:t>
      </w:r>
      <w:proofErr w:type="gramEnd"/>
      <w:r w:rsidRPr="00CF6110">
        <w:t xml:space="preserve"> For the requirement during armed conflict, see, e.g., </w:t>
      </w:r>
      <w:r w:rsidRPr="00CF6110">
        <w:rPr>
          <w:rFonts w:eastAsia="Arial Unicode MS"/>
        </w:rPr>
        <w:t xml:space="preserve">Report of the detailed findings of the independent commission of inquiry established pursuant to Human Rights Council resolution S-21/1, </w:t>
      </w:r>
      <w:r w:rsidRPr="00CF6110">
        <w:t>UN doc. A/HRC/29/CRP.4, 24 June 2015, §625; Turkel II, Recommendation 10, §66, p. 399.</w:t>
      </w:r>
    </w:p>
  </w:footnote>
  <w:footnote w:id="63">
    <w:p w14:paraId="341C953F"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The Public Commission to Examine the Maritime Incident of 31 May 2010, Second Report: Turkel Commission, “Israel’s mechanisms for examining and investigating complaints and claims of violations of the laws of armed conflict according to international law” (February 2013) [Turkel II], §§37, 63–66; pp. 385, 397–99.</w:t>
      </w:r>
    </w:p>
  </w:footnote>
  <w:footnote w:id="64">
    <w:p w14:paraId="47964F41"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IACtHR,</w:t>
      </w:r>
      <w:r w:rsidRPr="00CF6110">
        <w:rPr>
          <w:i/>
          <w:iCs/>
        </w:rPr>
        <w:t xml:space="preserve"> Anzualdo Castro </w:t>
      </w:r>
      <w:r w:rsidRPr="00CF6110">
        <w:rPr>
          <w:iCs/>
        </w:rPr>
        <w:t>v</w:t>
      </w:r>
      <w:r w:rsidRPr="00CF6110">
        <w:rPr>
          <w:i/>
          <w:iCs/>
        </w:rPr>
        <w:t>. Peru</w:t>
      </w:r>
      <w:r w:rsidRPr="00CF6110">
        <w:t>, Judgment, 22 September 2009, §134.</w:t>
      </w:r>
      <w:proofErr w:type="gramEnd"/>
      <w:r w:rsidRPr="00CF6110">
        <w:t xml:space="preserve"> </w:t>
      </w:r>
    </w:p>
  </w:footnote>
  <w:footnote w:id="65">
    <w:p w14:paraId="6C6B4162"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r>
      <w:proofErr w:type="gramStart"/>
      <w:r w:rsidRPr="00CF6110">
        <w:t xml:space="preserve">ECtHR, </w:t>
      </w:r>
      <w:r w:rsidRPr="00CF6110">
        <w:rPr>
          <w:i/>
        </w:rPr>
        <w:t>Pomilyayko</w:t>
      </w:r>
      <w:r w:rsidRPr="00CF6110">
        <w:t xml:space="preserve"> v. </w:t>
      </w:r>
      <w:r w:rsidRPr="00CF6110">
        <w:rPr>
          <w:i/>
        </w:rPr>
        <w:t>Ukraine</w:t>
      </w:r>
      <w:r w:rsidRPr="00CF6110">
        <w:t>, Judgment (Fifth Section), 11 February 2016, §53.</w:t>
      </w:r>
      <w:proofErr w:type="gramEnd"/>
    </w:p>
  </w:footnote>
  <w:footnote w:id="66">
    <w:p w14:paraId="69B84575"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 xml:space="preserve">Human Rights Committee, </w:t>
      </w:r>
      <w:r w:rsidRPr="00CF6110">
        <w:rPr>
          <w:i/>
          <w:iCs/>
        </w:rPr>
        <w:t>José</w:t>
      </w:r>
      <w:r w:rsidRPr="00CF6110">
        <w:t xml:space="preserve"> </w:t>
      </w:r>
      <w:r w:rsidRPr="00CF6110">
        <w:rPr>
          <w:i/>
          <w:iCs/>
        </w:rPr>
        <w:t>Antonio</w:t>
      </w:r>
      <w:r w:rsidRPr="00CF6110">
        <w:t xml:space="preserve"> </w:t>
      </w:r>
      <w:r w:rsidRPr="00CF6110">
        <w:rPr>
          <w:i/>
          <w:iCs/>
        </w:rPr>
        <w:t>Coronel</w:t>
      </w:r>
      <w:r w:rsidRPr="00CF6110">
        <w:t xml:space="preserve"> </w:t>
      </w:r>
      <w:r w:rsidRPr="00CF6110">
        <w:rPr>
          <w:iCs/>
        </w:rPr>
        <w:t>et al.</w:t>
      </w:r>
      <w:r w:rsidRPr="00CF6110">
        <w:t xml:space="preserve"> v. </w:t>
      </w:r>
      <w:r w:rsidRPr="00CF6110">
        <w:rPr>
          <w:i/>
          <w:iCs/>
        </w:rPr>
        <w:t>Colombia</w:t>
      </w:r>
      <w:r w:rsidRPr="00CF6110">
        <w:t>, Views (Comm. No. 778/1997), 24 October 2002</w:t>
      </w:r>
      <w:r w:rsidRPr="00CF6110">
        <w:rPr>
          <w:i/>
          <w:iCs/>
        </w:rPr>
        <w:t>,</w:t>
      </w:r>
      <w:r w:rsidRPr="00CF6110">
        <w:t xml:space="preserve"> </w:t>
      </w:r>
      <w:r w:rsidRPr="00CF6110">
        <w:rPr>
          <w:i/>
          <w:iCs/>
        </w:rPr>
        <w:t>Sathasivam</w:t>
      </w:r>
      <w:r w:rsidRPr="00CF6110">
        <w:t xml:space="preserve"> v. </w:t>
      </w:r>
      <w:r w:rsidRPr="00CF6110">
        <w:rPr>
          <w:i/>
          <w:iCs/>
        </w:rPr>
        <w:t>Sri</w:t>
      </w:r>
      <w:r w:rsidRPr="00CF6110">
        <w:t xml:space="preserve"> </w:t>
      </w:r>
      <w:r w:rsidRPr="00CF6110">
        <w:rPr>
          <w:i/>
          <w:iCs/>
        </w:rPr>
        <w:t>Lanka</w:t>
      </w:r>
      <w:r w:rsidRPr="00CF6110">
        <w:t xml:space="preserve">, Views (Comm. No. 1436/2005), 8 July 2008, and </w:t>
      </w:r>
      <w:r w:rsidRPr="00CF6110">
        <w:rPr>
          <w:i/>
          <w:iCs/>
        </w:rPr>
        <w:t>Abubakar</w:t>
      </w:r>
      <w:r w:rsidRPr="00CF6110">
        <w:t xml:space="preserve"> </w:t>
      </w:r>
      <w:r w:rsidRPr="00CF6110">
        <w:rPr>
          <w:i/>
          <w:iCs/>
        </w:rPr>
        <w:t>Amirov</w:t>
      </w:r>
      <w:r w:rsidRPr="00CF6110">
        <w:t xml:space="preserve"> </w:t>
      </w:r>
      <w:r w:rsidRPr="00CF6110">
        <w:rPr>
          <w:iCs/>
        </w:rPr>
        <w:t>et al.</w:t>
      </w:r>
      <w:r w:rsidRPr="00CF6110">
        <w:rPr>
          <w:i/>
          <w:iCs/>
        </w:rPr>
        <w:t xml:space="preserve"> </w:t>
      </w:r>
      <w:r w:rsidRPr="00CF6110">
        <w:t xml:space="preserve">v. </w:t>
      </w:r>
      <w:r w:rsidRPr="00CF6110">
        <w:rPr>
          <w:i/>
          <w:iCs/>
        </w:rPr>
        <w:t>Russian Federation</w:t>
      </w:r>
      <w:r w:rsidRPr="00CF6110">
        <w:t>, Views (Comm. No. 1447/2006), 2 April 2009. Working Group on Enforced or Involuntary Disappearances, General Comment on the Right to the Truth in Relation to Enforced Disappearances, §5.</w:t>
      </w:r>
    </w:p>
  </w:footnote>
  <w:footnote w:id="67">
    <w:p w14:paraId="5D4D9941" w14:textId="77777777" w:rsidR="008B7021" w:rsidRPr="00CF6110" w:rsidRDefault="008B7021" w:rsidP="007502FD">
      <w:pPr>
        <w:pStyle w:val="Notedebasdepage"/>
      </w:pPr>
      <w:r w:rsidRPr="00CF6110">
        <w:tab/>
      </w:r>
      <w:r w:rsidRPr="00CF6110">
        <w:rPr>
          <w:rStyle w:val="Appelnotedebasdep"/>
          <w:szCs w:val="18"/>
        </w:rPr>
        <w:footnoteRef/>
      </w:r>
      <w:r w:rsidRPr="00CF6110">
        <w:t xml:space="preserve"> </w:t>
      </w:r>
      <w:r w:rsidRPr="00CF6110">
        <w:tab/>
        <w:t>This should include telephone logs or reports, as well as digital evidence contained on mobile telephones, computers, cameras, and other electronic devices.</w:t>
      </w:r>
    </w:p>
  </w:footnote>
  <w:footnote w:id="68">
    <w:p w14:paraId="04FD4735" w14:textId="77777777" w:rsidR="008B7021" w:rsidRPr="00CF6110" w:rsidRDefault="008B7021" w:rsidP="007502FD">
      <w:pPr>
        <w:pStyle w:val="Notedebasdepage"/>
        <w:rPr>
          <w:rFonts w:eastAsia="Times New Roman"/>
        </w:rPr>
      </w:pPr>
      <w:r w:rsidRPr="00CF6110">
        <w:tab/>
      </w:r>
      <w:r w:rsidRPr="00CF6110">
        <w:rPr>
          <w:rStyle w:val="Appelnotedebasdep"/>
          <w:szCs w:val="18"/>
        </w:rPr>
        <w:footnoteRef/>
      </w:r>
      <w:r w:rsidRPr="00CF6110">
        <w:t xml:space="preserve"> </w:t>
      </w:r>
      <w:r w:rsidRPr="00CF6110">
        <w:tab/>
      </w:r>
      <w:proofErr w:type="gramStart"/>
      <w:r w:rsidRPr="00CF6110">
        <w:rPr>
          <w:rFonts w:eastAsia="Times New Roman"/>
        </w:rPr>
        <w:t xml:space="preserve">IACtHR, </w:t>
      </w:r>
      <w:r w:rsidRPr="00CF6110">
        <w:rPr>
          <w:i/>
        </w:rPr>
        <w:t xml:space="preserve">Véliz Franco </w:t>
      </w:r>
      <w:r w:rsidRPr="00CF6110">
        <w:t>et al. v.</w:t>
      </w:r>
      <w:r w:rsidRPr="00CF6110">
        <w:rPr>
          <w:i/>
        </w:rPr>
        <w:t xml:space="preserve"> Guatemala,</w:t>
      </w:r>
      <w:r w:rsidRPr="00CF6110">
        <w:t xml:space="preserve"> 2011,</w:t>
      </w:r>
      <w:r w:rsidRPr="00CF6110">
        <w:rPr>
          <w:i/>
        </w:rPr>
        <w:t xml:space="preserve"> </w:t>
      </w:r>
      <w:r w:rsidRPr="00CF6110">
        <w:t>§104.</w:t>
      </w:r>
      <w:proofErr w:type="gramEnd"/>
      <w:r w:rsidRPr="00CF6110">
        <w:t xml:space="preserve"> </w:t>
      </w:r>
    </w:p>
  </w:footnote>
  <w:footnote w:id="69">
    <w:p w14:paraId="03A161A6" w14:textId="35FDF4BC"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See International Convention on Enforced Disappearance, Art. </w:t>
      </w:r>
      <w:proofErr w:type="gramStart"/>
      <w:r w:rsidRPr="00CF6110">
        <w:t>24(2) and (3).</w:t>
      </w:r>
      <w:proofErr w:type="gramEnd"/>
      <w:r w:rsidRPr="00CF6110">
        <w:t xml:space="preserve"> </w:t>
      </w:r>
      <w:proofErr w:type="gramStart"/>
      <w:r w:rsidRPr="00CF6110">
        <w:t xml:space="preserve">ECtHR, </w:t>
      </w:r>
      <w:r w:rsidRPr="00CF6110">
        <w:rPr>
          <w:i/>
        </w:rPr>
        <w:t xml:space="preserve">Giuliani and Gaggio </w:t>
      </w:r>
      <w:r w:rsidRPr="00CF6110">
        <w:t>v.</w:t>
      </w:r>
      <w:r w:rsidRPr="00CF6110">
        <w:rPr>
          <w:i/>
        </w:rPr>
        <w:t xml:space="preserve"> Italy,</w:t>
      </w:r>
      <w:r w:rsidRPr="00CF6110">
        <w:t xml:space="preserve"> Judgment, §301</w:t>
      </w:r>
      <w:r w:rsidRPr="00CF6110">
        <w:rPr>
          <w:i/>
        </w:rPr>
        <w:t>.</w:t>
      </w:r>
      <w:proofErr w:type="gramEnd"/>
    </w:p>
  </w:footnote>
  <w:footnote w:id="70">
    <w:p w14:paraId="612BC2EB"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For example, in order to establish the element of “widespread and systematic”, evidence of the same chronology of events in different towns could be valuable (e.g. arming of certain groups within the area, the arrival of paramilitaries into an area shortly before mass killings, communication and interaction between military and paramilitary groups, action by the military in support of paramilitary groups (e.g. shelling in advance of ground movement by paramilitaries), establishment of detention facilities as part of a take-over plan, transfer of prisoners in an organised way between detention facilities in different towns, advanced preparation of mass graves, or templated paperwork used for the arrest, detention, and transfer of prisoners).</w:t>
      </w:r>
    </w:p>
  </w:footnote>
  <w:footnote w:id="71">
    <w:p w14:paraId="66E19240" w14:textId="77777777" w:rsidR="008B7021" w:rsidRPr="00CF6110" w:rsidRDefault="008B7021" w:rsidP="007502FD">
      <w:pPr>
        <w:pStyle w:val="Notedebasdepage"/>
      </w:pPr>
      <w:r w:rsidRPr="00CF6110">
        <w:tab/>
      </w:r>
      <w:r w:rsidRPr="00CF6110">
        <w:rPr>
          <w:rStyle w:val="Appelnotedebasdep"/>
        </w:rPr>
        <w:footnoteRef/>
      </w:r>
      <w:r w:rsidRPr="00CF6110">
        <w:rPr>
          <w:rStyle w:val="Appelnotedebasdep"/>
        </w:rPr>
        <w:t xml:space="preserve"> </w:t>
      </w:r>
      <w:r w:rsidRPr="00CF6110">
        <w:rPr>
          <w:rStyle w:val="Appelnotedebasdep"/>
        </w:rPr>
        <w:tab/>
      </w:r>
      <w:r w:rsidRPr="00CF6110">
        <w:t>See, e.g., Human Rights Committee, Abubakar Amirov et al. v. Russia, §§11.4ff; IACtHR, Rodríguez Vera et al. (The Disappeared from the Palace of Justice) v. Colombia, Judgment, 14 November 2014, §489.</w:t>
      </w:r>
    </w:p>
  </w:footnote>
  <w:footnote w:id="72">
    <w:p w14:paraId="76B49C21"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ECtHR, </w:t>
      </w:r>
      <w:r w:rsidRPr="00CF6110">
        <w:rPr>
          <w:i/>
        </w:rPr>
        <w:t>Paul and Audrey Edwards v. UK</w:t>
      </w:r>
      <w:r w:rsidRPr="00CF6110">
        <w:t>, Judgment, 14 March 2002.</w:t>
      </w:r>
    </w:p>
  </w:footnote>
  <w:footnote w:id="73">
    <w:p w14:paraId="09D69A00"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 xml:space="preserve">IACtHR, </w:t>
      </w:r>
      <w:r w:rsidRPr="00CF6110">
        <w:rPr>
          <w:i/>
        </w:rPr>
        <w:t>“</w:t>
      </w:r>
      <w:proofErr w:type="spellStart"/>
      <w:r w:rsidRPr="00CF6110">
        <w:rPr>
          <w:i/>
        </w:rPr>
        <w:t>Mapiripán</w:t>
      </w:r>
      <w:proofErr w:type="spellEnd"/>
      <w:r w:rsidRPr="00CF6110">
        <w:rPr>
          <w:i/>
        </w:rPr>
        <w:t xml:space="preserve"> Massacre” v. Colombia</w:t>
      </w:r>
      <w:r w:rsidRPr="00CF6110">
        <w:t>, Judgment, 15 September 2005, §224.</w:t>
      </w:r>
      <w:proofErr w:type="gramEnd"/>
    </w:p>
  </w:footnote>
  <w:footnote w:id="74">
    <w:p w14:paraId="08DE96CB"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UN Basic Principles on the Role of Lawyers, Principles 16, 17.</w:t>
      </w:r>
      <w:proofErr w:type="gramEnd"/>
    </w:p>
  </w:footnote>
  <w:footnote w:id="75">
    <w:p w14:paraId="5E4BA457"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A victim’s immediate family “must be involved in the procedure to the extent necessary to safeguard his or her legitimate interests.” UN Special Rapporteur on extrajudicial, summary or arbitrary executions, Interim Report, UN doc. </w:t>
      </w:r>
      <w:proofErr w:type="gramStart"/>
      <w:r w:rsidRPr="00CF6110">
        <w:t xml:space="preserve">A/65/321, 23 August 2010; ECtHR, </w:t>
      </w:r>
      <w:r w:rsidRPr="00CF6110">
        <w:rPr>
          <w:i/>
        </w:rPr>
        <w:t>Hugh Jordan v. UK</w:t>
      </w:r>
      <w:r w:rsidRPr="00CF6110">
        <w:t>, §109.</w:t>
      </w:r>
      <w:proofErr w:type="gramEnd"/>
      <w:r w:rsidRPr="00CF6110">
        <w:t xml:space="preserve"> See also ACmnHPR, General Comment No. 3 on the Right to Life, §7.</w:t>
      </w:r>
    </w:p>
  </w:footnote>
  <w:footnote w:id="76">
    <w:p w14:paraId="1918DA89" w14:textId="3CD584E4" w:rsidR="008B7021" w:rsidRPr="00CF6110" w:rsidRDefault="008B7021" w:rsidP="0089636A">
      <w:pPr>
        <w:pStyle w:val="Notedebasdepage"/>
      </w:pPr>
      <w:r w:rsidRPr="00CF6110">
        <w:tab/>
      </w:r>
      <w:r w:rsidRPr="00CF6110">
        <w:rPr>
          <w:rStyle w:val="Appelnotedebasdep"/>
        </w:rPr>
        <w:footnoteRef/>
      </w:r>
      <w:r w:rsidRPr="00CF6110">
        <w:t xml:space="preserve"> </w:t>
      </w:r>
      <w:r w:rsidRPr="00CF6110">
        <w:tab/>
        <w:t xml:space="preserve">See ICCPED, Arts. </w:t>
      </w:r>
      <w:proofErr w:type="gramStart"/>
      <w:r w:rsidRPr="00CF6110">
        <w:t>12 and 24.</w:t>
      </w:r>
      <w:proofErr w:type="gramEnd"/>
    </w:p>
  </w:footnote>
  <w:footnote w:id="77">
    <w:p w14:paraId="16EC7919"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Special Rapporteur on extrajudicial, summary or arbitrary executions, Study on Targeted Killings, 28 May 2010, UN doc. </w:t>
      </w:r>
      <w:proofErr w:type="gramStart"/>
      <w:r w:rsidRPr="00CF6110">
        <w:t>A/HRC/14/24/Add.6, §92.</w:t>
      </w:r>
      <w:proofErr w:type="gramEnd"/>
      <w:r w:rsidRPr="00CF6110">
        <w:t xml:space="preserve"> See also Report of the detailed findings of the independent commission of inquiry established pursuant to Human Rights Council resolution S-21/1, 24 June 2015, UN doc. A/HRC/29/CRP.4, §§628–29; Turkel II, Recommendation 6, §41, p. 386. </w:t>
      </w:r>
    </w:p>
  </w:footnote>
  <w:footnote w:id="78">
    <w:p w14:paraId="1113AC5B" w14:textId="456F11D0" w:rsidR="008B7021" w:rsidRPr="00CF6110" w:rsidRDefault="008B7021" w:rsidP="00D809D9">
      <w:pPr>
        <w:pStyle w:val="Notedebasdepage"/>
      </w:pPr>
      <w:r w:rsidRPr="00CF6110">
        <w:tab/>
      </w:r>
      <w:r w:rsidRPr="00CF6110">
        <w:rPr>
          <w:rStyle w:val="Appelnotedebasdep"/>
        </w:rPr>
        <w:footnoteRef/>
      </w:r>
      <w:r w:rsidRPr="00CF6110">
        <w:t xml:space="preserve"> </w:t>
      </w:r>
      <w:r w:rsidRPr="00CF6110">
        <w:tab/>
      </w:r>
      <w:proofErr w:type="gramStart"/>
      <w:r w:rsidRPr="00CF6110">
        <w:t>Under Art.</w:t>
      </w:r>
      <w:proofErr w:type="gramEnd"/>
      <w:r w:rsidRPr="00CF6110">
        <w:t xml:space="preserve"> 137 of 1949 Geneva Convention IV, information concerning a protected person, including about his/her death, may be withheld by the Information Bureau if transmission is “detrimental” to the relatives. </w:t>
      </w:r>
    </w:p>
  </w:footnote>
  <w:footnote w:id="79">
    <w:p w14:paraId="08EE5F3F" w14:textId="3433865C"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The term “family” in the Protocol should be understood broadly as applying to the relatives of the deceased.</w:t>
      </w:r>
    </w:p>
  </w:footnote>
  <w:footnote w:id="80">
    <w:p w14:paraId="3BC898FA"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“Report of the Special Rapporteur on the promotion of the truth, justice, reparation and guarantee of non-recurrence”, Mr. Pablo de Greiff, UN doc.</w:t>
      </w:r>
      <w:proofErr w:type="gramEnd"/>
      <w:r w:rsidRPr="00CF6110">
        <w:t xml:space="preserve"> </w:t>
      </w:r>
      <w:proofErr w:type="gramStart"/>
      <w:r w:rsidRPr="00CF6110">
        <w:t>A/HRC/21/46, 9 August 2012, §54.</w:t>
      </w:r>
      <w:proofErr w:type="gramEnd"/>
    </w:p>
  </w:footnote>
  <w:footnote w:id="81">
    <w:p w14:paraId="45B96DFF" w14:textId="3A602C16" w:rsidR="008B7021" w:rsidRPr="00CF6110" w:rsidRDefault="008B7021" w:rsidP="005B61E9">
      <w:pPr>
        <w:pStyle w:val="Notedebasdepage"/>
      </w:pPr>
      <w:r w:rsidRPr="00CF6110">
        <w:tab/>
      </w:r>
      <w:r w:rsidRPr="00CF6110">
        <w:rPr>
          <w:rStyle w:val="Appelnotedebasdep"/>
        </w:rPr>
        <w:footnoteRef/>
      </w:r>
      <w:r w:rsidRPr="00CF6110">
        <w:t xml:space="preserve"> </w:t>
      </w:r>
      <w:r w:rsidRPr="00CF6110">
        <w:tab/>
      </w:r>
      <w:proofErr w:type="gramStart"/>
      <w:r w:rsidRPr="00CF6110">
        <w:t>See, e.g., IACtHR, Villagrán-Morales v. Guatemala, Judgment (Merits), 19 November 1999, §§225, 227, 229.</w:t>
      </w:r>
      <w:proofErr w:type="gramEnd"/>
    </w:p>
  </w:footnote>
  <w:footnote w:id="82">
    <w:p w14:paraId="19A1854A"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 xml:space="preserve">Art. 16, Minnesota Principles; IACtHR, Manuel Stalin </w:t>
      </w:r>
      <w:proofErr w:type="spellStart"/>
      <w:r w:rsidRPr="00CF6110">
        <w:t>Bolaños</w:t>
      </w:r>
      <w:proofErr w:type="spellEnd"/>
      <w:r w:rsidRPr="00CF6110">
        <w:t xml:space="preserve"> v. Ecuador, Report No. 10/95, Case 10.580, 12 September 1995, §45. </w:t>
      </w:r>
    </w:p>
  </w:footnote>
  <w:footnote w:id="83">
    <w:p w14:paraId="648332E2" w14:textId="3D94269D"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r>
      <w:proofErr w:type="gramStart"/>
      <w:r w:rsidRPr="00CF6110">
        <w:t>1977 Additional Protocol to the 1949 Geneva Conventions, Relating to the Protection of Victims of International Armed Conflicts, Art.</w:t>
      </w:r>
      <w:proofErr w:type="gramEnd"/>
      <w:r w:rsidRPr="00CF6110">
        <w:t xml:space="preserve"> 34; and ICRC Customary IHL Study, Rule 114.</w:t>
      </w:r>
    </w:p>
  </w:footnote>
  <w:footnote w:id="84">
    <w:p w14:paraId="1844017D" w14:textId="77777777" w:rsidR="008B7021" w:rsidRPr="00CF6110" w:rsidRDefault="008B7021" w:rsidP="007502FD">
      <w:pPr>
        <w:pStyle w:val="Notedebasdepage"/>
      </w:pPr>
      <w:r w:rsidRPr="00CF6110">
        <w:tab/>
      </w:r>
      <w:r w:rsidRPr="00CF6110">
        <w:rPr>
          <w:rStyle w:val="Appelnotedebasdep"/>
        </w:rPr>
        <w:footnoteRef/>
      </w:r>
      <w:r w:rsidRPr="00CF6110">
        <w:t xml:space="preserve"> </w:t>
      </w:r>
      <w:r w:rsidRPr="00CF6110">
        <w:tab/>
        <w:t>In designing such mechanisms, States should have regard to the principles relating to commissions of inquiry contained in the Set of Principles to Combat Impunity, the OHCHR’s Commissions of Inquiry and Fact-Finding Missions Guidance and Practice, and the Siracusa Guidelines for International, Regional and National Fact-Finding Bodies.</w:t>
      </w:r>
    </w:p>
  </w:footnote>
  <w:footnote w:id="85">
    <w:p w14:paraId="03F9D5C8"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International Consensus on Principles and Minimum Standards in Search Processes and Forensic Investigations in cases of Enforced Disappearances, Arbitrary or Extrajudicial Executions, Annex 6 in International Commission of Jurists, </w:t>
      </w:r>
      <w:r w:rsidRPr="00CF6110">
        <w:rPr>
          <w:i/>
          <w:szCs w:val="18"/>
        </w:rPr>
        <w:t>Enforced Disappearance and Extrajudicial Execution: Investigation and Sanction, A Practitioners Guide</w:t>
      </w:r>
      <w:r w:rsidRPr="00CF6110">
        <w:rPr>
          <w:szCs w:val="18"/>
        </w:rPr>
        <w:t>, 2015.</w:t>
      </w:r>
    </w:p>
  </w:footnote>
  <w:footnote w:id="86">
    <w:p w14:paraId="228B0411"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WMA, </w:t>
      </w:r>
      <w:r w:rsidRPr="00CF6110">
        <w:rPr>
          <w:i/>
          <w:szCs w:val="18"/>
        </w:rPr>
        <w:t>International Code of Medical Ethics</w:t>
      </w:r>
      <w:r w:rsidRPr="00CF6110">
        <w:rPr>
          <w:szCs w:val="18"/>
        </w:rPr>
        <w:t>, at: http://www.wma.net/en/30publications/10policies/c8/.</w:t>
      </w:r>
    </w:p>
  </w:footnote>
  <w:footnote w:id="87">
    <w:p w14:paraId="4A27D2AC"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For more detail on these areas, see e.g. documentation by the UN Office on Drugs and Crime (http://www.unodc.org/documents/scientific/Crime_scene_awareness__Ebook.pdf); and Interpol (http://www.interpol.int/News-and-media/Publications).</w:t>
      </w:r>
    </w:p>
  </w:footnote>
  <w:footnote w:id="88">
    <w:p w14:paraId="74C9E9CC"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See, e.g., ICRC, </w:t>
      </w:r>
      <w:r w:rsidRPr="00CF6110">
        <w:rPr>
          <w:i/>
          <w:szCs w:val="18"/>
        </w:rPr>
        <w:t>Missing People, DNA Analysis and Identification of Human Remains: A Guide to Best Practice in Armed Conflicts and Other Situations of Armed Violence</w:t>
      </w:r>
      <w:r w:rsidRPr="00CF6110">
        <w:rPr>
          <w:szCs w:val="18"/>
        </w:rPr>
        <w:t>, 2</w:t>
      </w:r>
      <w:r w:rsidRPr="00CF6110">
        <w:rPr>
          <w:szCs w:val="18"/>
          <w:vertAlign w:val="superscript"/>
        </w:rPr>
        <w:t>nd</w:t>
      </w:r>
      <w:r w:rsidRPr="00CF6110">
        <w:rPr>
          <w:szCs w:val="18"/>
        </w:rPr>
        <w:t xml:space="preserve"> Edn, 2009.</w:t>
      </w:r>
    </w:p>
  </w:footnote>
  <w:footnote w:id="89">
    <w:p w14:paraId="011B24BC" w14:textId="74D59F7C"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See, e.g., L. S. Parker, A. J. London, J. D. Aronson, “Incidental findings in the use of DNA to identify human</w:t>
      </w:r>
      <w:r w:rsidR="00990D60">
        <w:rPr>
          <w:szCs w:val="18"/>
        </w:rPr>
        <w:t xml:space="preserve"> remains: An ethical assessment</w:t>
      </w:r>
      <w:r w:rsidRPr="00CF6110">
        <w:rPr>
          <w:szCs w:val="18"/>
        </w:rPr>
        <w:t>”</w:t>
      </w:r>
      <w:r w:rsidR="00990D60">
        <w:rPr>
          <w:szCs w:val="18"/>
        </w:rPr>
        <w:t>,</w:t>
      </w:r>
      <w:r w:rsidRPr="00CF6110">
        <w:rPr>
          <w:szCs w:val="18"/>
        </w:rPr>
        <w:t xml:space="preserve"> </w:t>
      </w:r>
      <w:r w:rsidRPr="00CF6110">
        <w:rPr>
          <w:i/>
          <w:szCs w:val="18"/>
        </w:rPr>
        <w:t>Forensic Science International: Genetics</w:t>
      </w:r>
      <w:r w:rsidRPr="00CF6110">
        <w:rPr>
          <w:szCs w:val="18"/>
        </w:rPr>
        <w:t>, Vol. 7 (2013), pp. 221–29.</w:t>
      </w:r>
    </w:p>
  </w:footnote>
  <w:footnote w:id="90">
    <w:p w14:paraId="095CE9E3"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Even if a crime has not occurred, the death scene should be processed as though it is a crime scene.</w:t>
      </w:r>
    </w:p>
  </w:footnote>
  <w:footnote w:id="91">
    <w:p w14:paraId="4C8555AC"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See, e.g., Association of Chief Police Officers, “Good Practice Guide for Digital Evidence”, United Kingdom, http://www.digital-detective.net/digital-forensics-documents/ACPO_Good_Practice_Guide_for_Digital_Evidence_v5.pdf </w:t>
      </w:r>
    </w:p>
  </w:footnote>
  <w:footnote w:id="92">
    <w:p w14:paraId="32349345" w14:textId="5E752EC1"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00DE52C5" w:rsidRPr="00CF6110">
        <w:rPr>
          <w:szCs w:val="18"/>
        </w:rPr>
        <w:t xml:space="preserve"> </w:t>
      </w:r>
      <w:r w:rsidR="00DE52C5" w:rsidRPr="00CF6110">
        <w:rPr>
          <w:szCs w:val="18"/>
        </w:rPr>
        <w:tab/>
        <w:t>See also Paragraphs 41</w:t>
      </w:r>
      <w:r w:rsidRPr="00CF6110">
        <w:rPr>
          <w:szCs w:val="18"/>
        </w:rPr>
        <w:t>–</w:t>
      </w:r>
      <w:r w:rsidR="00DE52C5" w:rsidRPr="00CF6110">
        <w:rPr>
          <w:szCs w:val="18"/>
        </w:rPr>
        <w:t>44</w:t>
      </w:r>
      <w:r w:rsidRPr="00CF6110">
        <w:rPr>
          <w:szCs w:val="18"/>
        </w:rPr>
        <w:t xml:space="preserve"> above.</w:t>
      </w:r>
    </w:p>
  </w:footnote>
  <w:footnote w:id="93">
    <w:p w14:paraId="26028FE4" w14:textId="77777777" w:rsidR="008B7021" w:rsidRPr="00CF6110" w:rsidRDefault="008B7021" w:rsidP="007502FD">
      <w:pPr>
        <w:pStyle w:val="Notedebasdepage"/>
      </w:pPr>
      <w:r w:rsidRPr="00CF6110">
        <w:rPr>
          <w:szCs w:val="18"/>
        </w:rPr>
        <w:tab/>
      </w:r>
      <w:r w:rsidRPr="00CF6110">
        <w:rPr>
          <w:rStyle w:val="Appelnotedebasdep"/>
          <w:szCs w:val="18"/>
        </w:rPr>
        <w:footnoteRef/>
      </w:r>
      <w:r w:rsidRPr="00CF6110">
        <w:rPr>
          <w:szCs w:val="18"/>
        </w:rPr>
        <w:t xml:space="preserve"> </w:t>
      </w:r>
      <w:r w:rsidRPr="00CF6110">
        <w:rPr>
          <w:szCs w:val="18"/>
        </w:rPr>
        <w:tab/>
        <w:t>This may include, for example: the identity of political officials, military and paramilitary leaders; the identity and description of perpetrators; chains of command; communication codes and methods; details of official documentation linked to the killings; public announcements relevant to the crimes; interaction between military and political structures; financing of military operations; and the chronology of events leading up to the killings.</w:t>
      </w:r>
    </w:p>
  </w:footnote>
  <w:footnote w:id="94">
    <w:p w14:paraId="4B56DECA"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See, e.g., Office of the UN High Commissioner for Human Rights, </w:t>
      </w:r>
      <w:r w:rsidRPr="00CF6110">
        <w:rPr>
          <w:i/>
          <w:szCs w:val="18"/>
        </w:rPr>
        <w:t>Training Manual on Human Rights Monitoring</w:t>
      </w:r>
      <w:r w:rsidRPr="00CF6110">
        <w:rPr>
          <w:szCs w:val="18"/>
        </w:rPr>
        <w:t xml:space="preserve">, UN, New York, 2001, at: http://www.ohchr.org/Documents/Publications/training7Introen.pdf; ICRC Guidelines for Investigating Deaths in Custody, at: https://www.icrc.org/eng/assets/files/publications/icrc-002-4126.pdf; WHO, </w:t>
      </w:r>
      <w:r w:rsidRPr="00CF6110">
        <w:rPr>
          <w:i/>
          <w:szCs w:val="18"/>
        </w:rPr>
        <w:t>WHO Ethical and Safety Recommendations for Researching, Documenting and Monitoring Sexual Violence in Emergencies</w:t>
      </w:r>
      <w:r w:rsidRPr="00CF6110">
        <w:rPr>
          <w:szCs w:val="18"/>
        </w:rPr>
        <w:t xml:space="preserve">, at: http://www.who.int/gender/documents/OMS_Ethics&amp;Safety10Aug07.pdf; WHO, </w:t>
      </w:r>
      <w:r w:rsidRPr="00CF6110">
        <w:rPr>
          <w:i/>
          <w:szCs w:val="18"/>
        </w:rPr>
        <w:t>Researching Violence Against Women: A Practical Guide For Researchers and Activists</w:t>
      </w:r>
      <w:r w:rsidRPr="00CF6110">
        <w:rPr>
          <w:szCs w:val="18"/>
        </w:rPr>
        <w:t>, at: http://www.who.int/reproductivehealth/publications/violence/9241546476/en/. See also the Istanbul Protocol, which offers guidance on the conduct of interviews where torture is suspected.</w:t>
      </w:r>
    </w:p>
  </w:footnote>
  <w:footnote w:id="95">
    <w:p w14:paraId="5EADD7BA"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E.g. PL-I-1 (PL=Place name; I=Roman numeral for the site/grave at the place; 1=body number 1).</w:t>
      </w:r>
    </w:p>
  </w:footnote>
  <w:footnote w:id="96">
    <w:p w14:paraId="4E39ED6F"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At: http://www.interpol.int/INTERPOL-expertise/Forensics/DVI-Pages/DVI-guide.</w:t>
      </w:r>
    </w:p>
    <w:p w14:paraId="1F56A6A0" w14:textId="77777777" w:rsidR="008B7021" w:rsidRPr="00CF6110" w:rsidRDefault="008B7021" w:rsidP="007502FD">
      <w:pPr>
        <w:pStyle w:val="Notedebasdepage"/>
        <w:rPr>
          <w:szCs w:val="18"/>
        </w:rPr>
      </w:pPr>
    </w:p>
  </w:footnote>
  <w:footnote w:id="97">
    <w:p w14:paraId="5A42FFCC" w14:textId="4C7872AA" w:rsidR="008B7021" w:rsidRPr="00CF6110" w:rsidRDefault="008B7021" w:rsidP="005F2CD1">
      <w:pPr>
        <w:pStyle w:val="Notedebasdepage"/>
        <w:tabs>
          <w:tab w:val="clear" w:pos="1021"/>
          <w:tab w:val="right" w:pos="1276"/>
        </w:tabs>
        <w:ind w:left="1276" w:hanging="425"/>
        <w:rPr>
          <w:szCs w:val="18"/>
        </w:rPr>
      </w:pPr>
      <w:r w:rsidRPr="00CF6110">
        <w:rPr>
          <w:rStyle w:val="Appelnotedebasdep"/>
          <w:szCs w:val="18"/>
        </w:rPr>
        <w:footnoteRef/>
      </w:r>
      <w:r w:rsidRPr="00CF6110">
        <w:rPr>
          <w:szCs w:val="18"/>
        </w:rPr>
        <w:t xml:space="preserve"> </w:t>
      </w:r>
      <w:r w:rsidR="005F2CD1">
        <w:rPr>
          <w:szCs w:val="18"/>
        </w:rPr>
        <w:t xml:space="preserve">   </w:t>
      </w:r>
      <w:r w:rsidRPr="00CF6110">
        <w:rPr>
          <w:szCs w:val="18"/>
        </w:rPr>
        <w:t>See Detailed Guidelines on Analysis of Skeletal Remains.</w:t>
      </w:r>
    </w:p>
  </w:footnote>
  <w:footnote w:id="98">
    <w:p w14:paraId="575C0D60" w14:textId="02A9F068" w:rsidR="008B7021" w:rsidRPr="00CF6110" w:rsidRDefault="008B7021" w:rsidP="005F2CD1">
      <w:pPr>
        <w:pStyle w:val="Notedebasdepage"/>
        <w:tabs>
          <w:tab w:val="clear" w:pos="1021"/>
          <w:tab w:val="right" w:pos="1276"/>
        </w:tabs>
        <w:ind w:hanging="283"/>
        <w:rPr>
          <w:szCs w:val="18"/>
        </w:rPr>
      </w:pPr>
      <w:r w:rsidRPr="00CF6110">
        <w:rPr>
          <w:rStyle w:val="Appelnotedebasdep"/>
          <w:szCs w:val="18"/>
        </w:rPr>
        <w:footnoteRef/>
      </w:r>
      <w:r w:rsidRPr="00CF6110">
        <w:rPr>
          <w:szCs w:val="18"/>
        </w:rPr>
        <w:t xml:space="preserve"> </w:t>
      </w:r>
      <w:r w:rsidR="005F2CD1">
        <w:rPr>
          <w:szCs w:val="18"/>
        </w:rPr>
        <w:tab/>
      </w:r>
      <w:r w:rsidRPr="00CF6110">
        <w:rPr>
          <w:szCs w:val="18"/>
        </w:rPr>
        <w:t>Interpol DVI procedures require loose personal effects to be collected separately at the scene. They must not be allocated to a particular body.</w:t>
      </w:r>
    </w:p>
  </w:footnote>
  <w:footnote w:id="99">
    <w:p w14:paraId="0179F4AB"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See </w:t>
      </w:r>
      <w:r w:rsidRPr="00CF6110">
        <w:rPr>
          <w:color w:val="000000"/>
          <w:szCs w:val="18"/>
        </w:rPr>
        <w:t xml:space="preserve">Interpol, </w:t>
      </w:r>
      <w:r w:rsidRPr="00CF6110">
        <w:rPr>
          <w:i/>
          <w:color w:val="000000"/>
          <w:szCs w:val="18"/>
        </w:rPr>
        <w:t>Disaster Victim Identification Guide</w:t>
      </w:r>
      <w:r w:rsidRPr="00CF6110">
        <w:rPr>
          <w:color w:val="000000"/>
          <w:szCs w:val="18"/>
        </w:rPr>
        <w:t xml:space="preserve">, 2014, at: </w:t>
      </w:r>
      <w:r w:rsidRPr="00CF6110">
        <w:rPr>
          <w:szCs w:val="18"/>
        </w:rPr>
        <w:t>http://www.interpol.int/INTERPOL-expertise/Forensics/DVI-Pages/DVI-guide.</w:t>
      </w:r>
    </w:p>
  </w:footnote>
  <w:footnote w:id="100">
    <w:p w14:paraId="3EAC00F7"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M. Tidball-Binz, and D. Van Alphen (eds.),</w:t>
      </w:r>
      <w:r w:rsidRPr="00CF6110">
        <w:rPr>
          <w:i/>
          <w:szCs w:val="18"/>
        </w:rPr>
        <w:t xml:space="preserve"> Management of Dead Bodies after Disasters: A Field Manual for First Responders</w:t>
      </w:r>
      <w:r w:rsidRPr="00CF6110">
        <w:rPr>
          <w:szCs w:val="18"/>
        </w:rPr>
        <w:t>, 2016, available at: www.paho.org/disasters.</w:t>
      </w:r>
    </w:p>
  </w:footnote>
  <w:footnote w:id="101">
    <w:p w14:paraId="67ADCA16"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See, e.g., Committee on Identifying the Needs of the Forensic Sciences Community, National Research Council,</w:t>
      </w:r>
      <w:r w:rsidRPr="00CF6110">
        <w:rPr>
          <w:i/>
          <w:szCs w:val="18"/>
        </w:rPr>
        <w:t xml:space="preserve"> Strengthening Forensic Science in the United States: A Path Forward</w:t>
      </w:r>
      <w:r w:rsidRPr="00CF6110">
        <w:rPr>
          <w:szCs w:val="18"/>
        </w:rPr>
        <w:t>, US Department of Justice, Washington, DC, 2009, pp. 150–55, at: http://www.nap.edu/catalog/12589.html.</w:t>
      </w:r>
    </w:p>
  </w:footnote>
  <w:footnote w:id="102">
    <w:p w14:paraId="112EA8CE"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In this document, forensic pathologist, forensic doctor, and prosector are used interchangeably. The last refers to the person undertaking the autopsy.</w:t>
      </w:r>
    </w:p>
  </w:footnote>
  <w:footnote w:id="103">
    <w:p w14:paraId="460E8F26"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See, e.g., M. El-</w:t>
      </w:r>
      <w:proofErr w:type="spellStart"/>
      <w:r w:rsidRPr="00CF6110">
        <w:rPr>
          <w:szCs w:val="18"/>
        </w:rPr>
        <w:t>Nageh</w:t>
      </w:r>
      <w:proofErr w:type="spellEnd"/>
      <w:r w:rsidRPr="00CF6110">
        <w:rPr>
          <w:szCs w:val="18"/>
        </w:rPr>
        <w:t xml:space="preserve">, B. </w:t>
      </w:r>
      <w:proofErr w:type="spellStart"/>
      <w:r w:rsidRPr="00CF6110">
        <w:rPr>
          <w:szCs w:val="18"/>
        </w:rPr>
        <w:t>Linehan</w:t>
      </w:r>
      <w:proofErr w:type="spellEnd"/>
      <w:r w:rsidRPr="00CF6110">
        <w:rPr>
          <w:szCs w:val="18"/>
        </w:rPr>
        <w:t xml:space="preserve">, S. Cordner, D. Wells, and H. </w:t>
      </w:r>
      <w:proofErr w:type="spellStart"/>
      <w:r w:rsidRPr="00CF6110">
        <w:rPr>
          <w:szCs w:val="18"/>
        </w:rPr>
        <w:t>McKelvie</w:t>
      </w:r>
      <w:proofErr w:type="spellEnd"/>
      <w:r w:rsidRPr="00CF6110">
        <w:rPr>
          <w:szCs w:val="18"/>
        </w:rPr>
        <w:t xml:space="preserve">, </w:t>
      </w:r>
      <w:r w:rsidRPr="00CF6110">
        <w:rPr>
          <w:i/>
          <w:szCs w:val="18"/>
        </w:rPr>
        <w:t>Ethical Practice in Laboratory Medicine and Forensic Pathology</w:t>
      </w:r>
      <w:r w:rsidRPr="00CF6110">
        <w:rPr>
          <w:szCs w:val="18"/>
        </w:rPr>
        <w:t>, WHO Regional Office for the Eastern Mediterranean, Alexandria, Egypt, 1999, pp. 38–39, at: www.emro.who.int/dsaf/dsa38.pdf.</w:t>
      </w:r>
    </w:p>
  </w:footnote>
  <w:footnote w:id="104">
    <w:p w14:paraId="37967401"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This excerpt relates to the duties of the prosector in a forensic autopsy generally, not specifically one involving a potentially unlawful death. In the latter case, the expectation would be that, if possible, the forensic doctor will attend the scene of the death, usually at the request of police.</w:t>
      </w:r>
    </w:p>
  </w:footnote>
  <w:footnote w:id="105">
    <w:p w14:paraId="21ED23FB"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For further specific advice on approaches to and technical aspects of forensic autopsy, including operation of the mortuary, see: </w:t>
      </w:r>
      <w:r w:rsidRPr="00CF6110">
        <w:rPr>
          <w:i/>
          <w:szCs w:val="18"/>
        </w:rPr>
        <w:t>Forensic Autopsy: Manual for Forensic Pathologists</w:t>
      </w:r>
      <w:r w:rsidRPr="00CF6110">
        <w:rPr>
          <w:szCs w:val="18"/>
        </w:rPr>
        <w:t>, UN Office on Drugs and Crime, October 2015.</w:t>
      </w:r>
    </w:p>
  </w:footnote>
  <w:footnote w:id="106">
    <w:p w14:paraId="218A10F4"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For further advice: see </w:t>
      </w:r>
      <w:proofErr w:type="gramStart"/>
      <w:r w:rsidRPr="00CF6110">
        <w:rPr>
          <w:szCs w:val="18"/>
        </w:rPr>
        <w:t>ibid.,</w:t>
      </w:r>
      <w:proofErr w:type="gramEnd"/>
      <w:r w:rsidRPr="00CF6110">
        <w:rPr>
          <w:szCs w:val="18"/>
        </w:rPr>
        <w:t xml:space="preserve"> Ch. 8: “Some principles of photography in relation to autopsy”.</w:t>
      </w:r>
    </w:p>
  </w:footnote>
  <w:footnote w:id="107">
    <w:p w14:paraId="48B92008"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This section has been written on the basis that cross-sectional imaging or scanning such as CT scanning or </w:t>
      </w:r>
      <w:proofErr w:type="gramStart"/>
      <w:r w:rsidRPr="00CF6110">
        <w:rPr>
          <w:szCs w:val="18"/>
        </w:rPr>
        <w:t>MRI scanning</w:t>
      </w:r>
      <w:proofErr w:type="gramEnd"/>
      <w:r w:rsidRPr="00CF6110">
        <w:rPr>
          <w:szCs w:val="18"/>
        </w:rPr>
        <w:t xml:space="preserve"> is not available. If it is available, then it should be used bearing in mind the discussion above. Some plain X-rays may still be required.</w:t>
      </w:r>
    </w:p>
  </w:footnote>
  <w:footnote w:id="108">
    <w:p w14:paraId="010EA003"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Special packaging is needed to ensure that there has been no unauthorized interference with a specimen as tampering will be evident. This level of security, provided the initial securing of the sample has been adequately documented, ensures that at least the sample has not been interfered with. In addition, there must be complete records of every time the sample changes hands.</w:t>
      </w:r>
    </w:p>
  </w:footnote>
  <w:footnote w:id="109">
    <w:p w14:paraId="291D430C"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Prior to the internal examination, preparations should be made for the sampling required for “Further Testing”.</w:t>
      </w:r>
    </w:p>
  </w:footnote>
  <w:footnote w:id="110">
    <w:p w14:paraId="62A1E06D"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This section relates to the collection of samples, tissues and fluid. It draws heavily on Section 5.6 “Special Investigations” of </w:t>
      </w:r>
      <w:r w:rsidRPr="00CF6110">
        <w:rPr>
          <w:i/>
          <w:szCs w:val="18"/>
        </w:rPr>
        <w:t>Forensic Autopsy: Manual for Forensic Pathologists</w:t>
      </w:r>
      <w:r w:rsidRPr="00CF6110">
        <w:rPr>
          <w:szCs w:val="18"/>
        </w:rPr>
        <w:t xml:space="preserve">, </w:t>
      </w:r>
      <w:r w:rsidRPr="00CF6110">
        <w:rPr>
          <w:i/>
          <w:szCs w:val="18"/>
        </w:rPr>
        <w:t>op. cit</w:t>
      </w:r>
      <w:r w:rsidRPr="00CF6110">
        <w:rPr>
          <w:szCs w:val="18"/>
        </w:rPr>
        <w:t>. This manual should be consulted for further assistance required.</w:t>
      </w:r>
    </w:p>
  </w:footnote>
  <w:footnote w:id="111">
    <w:p w14:paraId="772B9C5C"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These samples can be used for biochemistry testing. Assessments of hyperglycaemia, ketosis, renal failure and/or dehydration (among other things) can sometimes be made from analysis of these specimens.</w:t>
      </w:r>
    </w:p>
  </w:footnote>
  <w:footnote w:id="112">
    <w:p w14:paraId="5F1A6703"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Ibid.</w:t>
      </w:r>
    </w:p>
  </w:footnote>
  <w:footnote w:id="113">
    <w:p w14:paraId="12EEC605"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WHO, </w:t>
      </w:r>
      <w:r w:rsidRPr="00CF6110">
        <w:rPr>
          <w:i/>
          <w:szCs w:val="18"/>
        </w:rPr>
        <w:t>Strengthening civil registration and vital statistics for births, deaths and causes of death: Resource Kit</w:t>
      </w:r>
      <w:r w:rsidRPr="00CF6110">
        <w:rPr>
          <w:szCs w:val="18"/>
        </w:rPr>
        <w:t>, Geneva, 2012, available at: http://apps.who.int/iris/handle/10665/78917.</w:t>
      </w:r>
    </w:p>
  </w:footnote>
  <w:footnote w:id="114">
    <w:p w14:paraId="6D2F5ED1" w14:textId="77777777" w:rsidR="008B7021" w:rsidRPr="00CF6110" w:rsidRDefault="008B7021" w:rsidP="007502FD">
      <w:pPr>
        <w:pStyle w:val="Notedebasdepage"/>
        <w:rPr>
          <w:szCs w:val="18"/>
        </w:rPr>
      </w:pPr>
      <w:r w:rsidRPr="00CF6110">
        <w:rPr>
          <w:rStyle w:val="Appelnotedebasdep"/>
          <w:szCs w:val="18"/>
        </w:rPr>
        <w:footnoteRef/>
      </w:r>
      <w:r w:rsidRPr="00CF6110">
        <w:rPr>
          <w:szCs w:val="18"/>
        </w:rPr>
        <w:t xml:space="preserve"> At: http://www.ohchr.org/EN/ProfessionalInterest/Pages/CAT.aspx.</w:t>
      </w:r>
    </w:p>
  </w:footnote>
  <w:footnote w:id="115">
    <w:p w14:paraId="4D55702F" w14:textId="77777777" w:rsidR="008B7021" w:rsidRPr="00CF6110" w:rsidRDefault="008B7021" w:rsidP="007502FD">
      <w:pPr>
        <w:pStyle w:val="Notedebasdepage"/>
        <w:rPr>
          <w:szCs w:val="18"/>
        </w:rPr>
      </w:pPr>
      <w:r w:rsidRPr="00CF6110">
        <w:rPr>
          <w:rStyle w:val="Appelnotedebasdep"/>
          <w:szCs w:val="18"/>
        </w:rPr>
        <w:footnoteRef/>
      </w:r>
      <w:r w:rsidRPr="00CF6110">
        <w:rPr>
          <w:szCs w:val="18"/>
        </w:rPr>
        <w:t xml:space="preserve"> At: http://www.ohchr.org/Documents/Publications/training8Rev1en.pdf.</w:t>
      </w:r>
    </w:p>
  </w:footnote>
  <w:footnote w:id="116">
    <w:p w14:paraId="61BDA971" w14:textId="77777777" w:rsidR="008B7021" w:rsidRPr="00CF6110" w:rsidRDefault="008B7021" w:rsidP="007502FD">
      <w:pPr>
        <w:pStyle w:val="Notedebasdepage"/>
      </w:pPr>
      <w:r w:rsidRPr="00CF6110">
        <w:rPr>
          <w:szCs w:val="18"/>
        </w:rPr>
        <w:tab/>
      </w:r>
      <w:r w:rsidRPr="00CF6110">
        <w:rPr>
          <w:rStyle w:val="Appelnotedebasdep"/>
          <w:szCs w:val="18"/>
        </w:rPr>
        <w:footnoteRef/>
      </w:r>
      <w:r w:rsidRPr="00CF6110">
        <w:rPr>
          <w:szCs w:val="18"/>
        </w:rPr>
        <w:t xml:space="preserve"> </w:t>
      </w:r>
      <w:r w:rsidRPr="00CF6110">
        <w:rPr>
          <w:szCs w:val="18"/>
        </w:rPr>
        <w:tab/>
        <w:t xml:space="preserve">Note that these various forms of suspension, which may last from 15 to 20 minutes, to hours or days, are often accompanied by various forms of beatings, and can result in serious systemic consequences. </w:t>
      </w:r>
    </w:p>
  </w:footnote>
  <w:footnote w:id="117">
    <w:p w14:paraId="441A433F" w14:textId="77777777" w:rsidR="008B7021" w:rsidRPr="00CF6110" w:rsidRDefault="008B7021" w:rsidP="007502FD">
      <w:pPr>
        <w:pStyle w:val="Notedebasdepage"/>
        <w:rPr>
          <w:szCs w:val="18"/>
        </w:rPr>
      </w:pPr>
      <w:r w:rsidRPr="00CF6110">
        <w:rPr>
          <w:szCs w:val="18"/>
        </w:rPr>
        <w:tab/>
      </w:r>
      <w:r w:rsidRPr="00CF6110">
        <w:rPr>
          <w:rStyle w:val="Appelnotedebasdep"/>
          <w:szCs w:val="18"/>
        </w:rPr>
        <w:footnoteRef/>
      </w:r>
      <w:r w:rsidRPr="00CF6110">
        <w:rPr>
          <w:szCs w:val="18"/>
        </w:rPr>
        <w:t xml:space="preserve"> </w:t>
      </w:r>
      <w:r w:rsidRPr="00CF6110">
        <w:rPr>
          <w:szCs w:val="18"/>
        </w:rPr>
        <w:tab/>
        <w:t>The copyright for the sketches and other annexes is held by the Victorian Institute of Forensic Medicine in Australia, which has kindly agreed to their reproduction in the Protocol. The contribution of the Institute’s Deputy Director, David Ranson, is also gratefully acknowledged.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0182B" w14:textId="77777777" w:rsidR="008B7021" w:rsidRPr="00AF4876" w:rsidRDefault="008B7021" w:rsidP="00AF4876">
    <w:pPr>
      <w:pStyle w:val="En-tte"/>
    </w:pPr>
    <w:r w:rsidRPr="00AF4876">
      <w:t>A/HRC/</w:t>
    </w:r>
    <w:r>
      <w:t>32</w:t>
    </w:r>
    <w:r w:rsidRPr="00AF4876">
      <w:t>/</w:t>
    </w:r>
    <w:r>
      <w:t>39</w:t>
    </w:r>
    <w:r w:rsidRPr="00AF4876">
      <w:t>/Add.</w:t>
    </w:r>
    <w:r>
      <w:t>4</w:t>
    </w:r>
  </w:p>
  <w:p w14:paraId="161C2F85" w14:textId="77777777" w:rsidR="008B7021" w:rsidRDefault="008B70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97A1B" w14:textId="77777777" w:rsidR="008B7021" w:rsidRPr="00AF4876" w:rsidRDefault="008B7021" w:rsidP="00AF4876">
    <w:pPr>
      <w:pStyle w:val="En-tte"/>
      <w:jc w:val="right"/>
    </w:pPr>
    <w:r w:rsidRPr="00AF4876">
      <w:t>A/HRC/</w:t>
    </w:r>
    <w:r>
      <w:t>32</w:t>
    </w:r>
    <w:r w:rsidRPr="00AF4876">
      <w:t>/</w:t>
    </w:r>
    <w:r>
      <w:t>39</w:t>
    </w:r>
    <w:r w:rsidRPr="00AF4876">
      <w:t>/Add.</w:t>
    </w:r>
    <w:r>
      <w:t>4</w:t>
    </w:r>
  </w:p>
  <w:p w14:paraId="0B3E1E07" w14:textId="77777777" w:rsidR="008B7021" w:rsidRDefault="008B70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332EC4"/>
    <w:multiLevelType w:val="hybridMultilevel"/>
    <w:tmpl w:val="A96E7B4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1FC484B"/>
    <w:multiLevelType w:val="hybridMultilevel"/>
    <w:tmpl w:val="D570C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3A64E8"/>
    <w:multiLevelType w:val="hybridMultilevel"/>
    <w:tmpl w:val="6DC46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F53567E"/>
    <w:multiLevelType w:val="hybridMultilevel"/>
    <w:tmpl w:val="BA4225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nsid w:val="56472B1A"/>
    <w:multiLevelType w:val="hybridMultilevel"/>
    <w:tmpl w:val="EF6CBDBC"/>
    <w:lvl w:ilvl="0" w:tplc="8AFC71CC">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0B60A8"/>
    <w:multiLevelType w:val="hybridMultilevel"/>
    <w:tmpl w:val="0D20E912"/>
    <w:lvl w:ilvl="0" w:tplc="2F2C0878">
      <w:start w:val="1"/>
      <w:numFmt w:val="decimal"/>
      <w:lvlText w:val="%1."/>
      <w:lvlJc w:val="left"/>
      <w:pPr>
        <w:ind w:left="720" w:hanging="360"/>
      </w:pPr>
      <w:rPr>
        <w:rFonts w:hint="default"/>
        <w:b w:val="0"/>
      </w:rPr>
    </w:lvl>
    <w:lvl w:ilvl="1" w:tplc="7160DB94">
      <w:start w:val="1"/>
      <w:numFmt w:val="lowerLetter"/>
      <w:lvlText w:val="%2."/>
      <w:lvlJc w:val="left"/>
      <w:pPr>
        <w:ind w:left="1440" w:hanging="360"/>
      </w:pPr>
      <w:rPr>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655C3731"/>
    <w:multiLevelType w:val="hybridMultilevel"/>
    <w:tmpl w:val="FF18E6D0"/>
    <w:lvl w:ilvl="0" w:tplc="0809000F">
      <w:start w:val="1"/>
      <w:numFmt w:val="decimal"/>
      <w:lvlText w:val="%1."/>
      <w:lvlJc w:val="left"/>
      <w:pPr>
        <w:ind w:left="1637"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DF2287F"/>
    <w:multiLevelType w:val="hybridMultilevel"/>
    <w:tmpl w:val="AFB2B250"/>
    <w:lvl w:ilvl="0" w:tplc="11D6A3C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74305F7"/>
    <w:multiLevelType w:val="hybridMultilevel"/>
    <w:tmpl w:val="FF18E6D0"/>
    <w:lvl w:ilvl="0" w:tplc="0809000F">
      <w:start w:val="1"/>
      <w:numFmt w:val="decimal"/>
      <w:lvlText w:val="%1."/>
      <w:lvlJc w:val="left"/>
      <w:pPr>
        <w:ind w:left="1637"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nsid w:val="778B50FF"/>
    <w:multiLevelType w:val="hybridMultilevel"/>
    <w:tmpl w:val="4D2E60E2"/>
    <w:lvl w:ilvl="0" w:tplc="E5987F76">
      <w:start w:val="1"/>
      <w:numFmt w:val="decimal"/>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3"/>
  </w:num>
  <w:num w:numId="3">
    <w:abstractNumId w:val="0"/>
  </w:num>
  <w:num w:numId="4">
    <w:abstractNumId w:val="11"/>
  </w:num>
  <w:num w:numId="5">
    <w:abstractNumId w:val="12"/>
  </w:num>
  <w:num w:numId="6">
    <w:abstractNumId w:val="18"/>
  </w:num>
  <w:num w:numId="7">
    <w:abstractNumId w:val="2"/>
  </w:num>
  <w:num w:numId="8">
    <w:abstractNumId w:val="1"/>
  </w:num>
  <w:num w:numId="9">
    <w:abstractNumId w:val="14"/>
  </w:num>
  <w:num w:numId="10">
    <w:abstractNumId w:val="1"/>
  </w:num>
  <w:num w:numId="11">
    <w:abstractNumId w:val="14"/>
  </w:num>
  <w:num w:numId="12">
    <w:abstractNumId w:val="17"/>
  </w:num>
  <w:num w:numId="13">
    <w:abstractNumId w:val="6"/>
  </w:num>
  <w:num w:numId="14">
    <w:abstractNumId w:val="13"/>
  </w:num>
  <w:num w:numId="15">
    <w:abstractNumId w:val="15"/>
  </w:num>
  <w:num w:numId="16">
    <w:abstractNumId w:val="16"/>
  </w:num>
  <w:num w:numId="17">
    <w:abstractNumId w:val="9"/>
  </w:num>
  <w:num w:numId="18">
    <w:abstractNumId w:val="10"/>
  </w:num>
  <w:num w:numId="19">
    <w:abstractNumId w:val="4"/>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567"/>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80D"/>
    <w:rsid w:val="00001C5B"/>
    <w:rsid w:val="00002DB3"/>
    <w:rsid w:val="000046B2"/>
    <w:rsid w:val="000079BD"/>
    <w:rsid w:val="000130CF"/>
    <w:rsid w:val="00016E9C"/>
    <w:rsid w:val="00020694"/>
    <w:rsid w:val="00020732"/>
    <w:rsid w:val="00023EC7"/>
    <w:rsid w:val="00030AF4"/>
    <w:rsid w:val="00031460"/>
    <w:rsid w:val="000413A2"/>
    <w:rsid w:val="000458F1"/>
    <w:rsid w:val="00046E92"/>
    <w:rsid w:val="00052580"/>
    <w:rsid w:val="00052F92"/>
    <w:rsid w:val="0005337E"/>
    <w:rsid w:val="00060CE1"/>
    <w:rsid w:val="000626DD"/>
    <w:rsid w:val="000627C0"/>
    <w:rsid w:val="000635E1"/>
    <w:rsid w:val="00063C90"/>
    <w:rsid w:val="00064C0D"/>
    <w:rsid w:val="00072BA5"/>
    <w:rsid w:val="000733BE"/>
    <w:rsid w:val="00075260"/>
    <w:rsid w:val="0008020B"/>
    <w:rsid w:val="000815BC"/>
    <w:rsid w:val="00081824"/>
    <w:rsid w:val="00081FF1"/>
    <w:rsid w:val="000826A7"/>
    <w:rsid w:val="00082FE5"/>
    <w:rsid w:val="000871E0"/>
    <w:rsid w:val="0009530D"/>
    <w:rsid w:val="000A6E33"/>
    <w:rsid w:val="000C1EEB"/>
    <w:rsid w:val="000C39E7"/>
    <w:rsid w:val="000C3ACF"/>
    <w:rsid w:val="000C401C"/>
    <w:rsid w:val="000D331F"/>
    <w:rsid w:val="000D4C41"/>
    <w:rsid w:val="000E645C"/>
    <w:rsid w:val="000E6707"/>
    <w:rsid w:val="00101B98"/>
    <w:rsid w:val="00101D2C"/>
    <w:rsid w:val="001412F2"/>
    <w:rsid w:val="001438CD"/>
    <w:rsid w:val="00146733"/>
    <w:rsid w:val="001471AE"/>
    <w:rsid w:val="00150FCC"/>
    <w:rsid w:val="00151A05"/>
    <w:rsid w:val="00157830"/>
    <w:rsid w:val="001647B9"/>
    <w:rsid w:val="00166A21"/>
    <w:rsid w:val="00171453"/>
    <w:rsid w:val="001779A4"/>
    <w:rsid w:val="00180D97"/>
    <w:rsid w:val="0018198A"/>
    <w:rsid w:val="00185699"/>
    <w:rsid w:val="001870E6"/>
    <w:rsid w:val="00192BD7"/>
    <w:rsid w:val="001C1FCF"/>
    <w:rsid w:val="001C4D22"/>
    <w:rsid w:val="001D2671"/>
    <w:rsid w:val="001D7314"/>
    <w:rsid w:val="001E078E"/>
    <w:rsid w:val="001E3250"/>
    <w:rsid w:val="001F2338"/>
    <w:rsid w:val="001F5B5A"/>
    <w:rsid w:val="002013A9"/>
    <w:rsid w:val="00210A73"/>
    <w:rsid w:val="00216AA6"/>
    <w:rsid w:val="00221DD4"/>
    <w:rsid w:val="00227AB8"/>
    <w:rsid w:val="00227E26"/>
    <w:rsid w:val="0023069A"/>
    <w:rsid w:val="00231CF5"/>
    <w:rsid w:val="0023283B"/>
    <w:rsid w:val="00232C61"/>
    <w:rsid w:val="00245C79"/>
    <w:rsid w:val="00247E2C"/>
    <w:rsid w:val="00252B34"/>
    <w:rsid w:val="00254398"/>
    <w:rsid w:val="00274A0B"/>
    <w:rsid w:val="002810DE"/>
    <w:rsid w:val="002811A9"/>
    <w:rsid w:val="00281E61"/>
    <w:rsid w:val="0028680F"/>
    <w:rsid w:val="002A32CB"/>
    <w:rsid w:val="002A57B8"/>
    <w:rsid w:val="002A6DC1"/>
    <w:rsid w:val="002B0CE8"/>
    <w:rsid w:val="002C447D"/>
    <w:rsid w:val="002D1883"/>
    <w:rsid w:val="002D208A"/>
    <w:rsid w:val="002D6C53"/>
    <w:rsid w:val="002E0536"/>
    <w:rsid w:val="002E24D2"/>
    <w:rsid w:val="002E2F6E"/>
    <w:rsid w:val="002E5CCC"/>
    <w:rsid w:val="002E6AA4"/>
    <w:rsid w:val="002F19AA"/>
    <w:rsid w:val="002F5595"/>
    <w:rsid w:val="0030226A"/>
    <w:rsid w:val="00304227"/>
    <w:rsid w:val="0030628D"/>
    <w:rsid w:val="00333A91"/>
    <w:rsid w:val="00334F6A"/>
    <w:rsid w:val="0033580D"/>
    <w:rsid w:val="00342AC8"/>
    <w:rsid w:val="00346947"/>
    <w:rsid w:val="00351C31"/>
    <w:rsid w:val="003605B8"/>
    <w:rsid w:val="003616F5"/>
    <w:rsid w:val="00361E2B"/>
    <w:rsid w:val="003636A5"/>
    <w:rsid w:val="00364455"/>
    <w:rsid w:val="00375B09"/>
    <w:rsid w:val="00384B98"/>
    <w:rsid w:val="0039173D"/>
    <w:rsid w:val="00397248"/>
    <w:rsid w:val="003B1919"/>
    <w:rsid w:val="003B4550"/>
    <w:rsid w:val="003B4C14"/>
    <w:rsid w:val="003B63D2"/>
    <w:rsid w:val="003B6D80"/>
    <w:rsid w:val="003C0E98"/>
    <w:rsid w:val="003C6982"/>
    <w:rsid w:val="003D34DB"/>
    <w:rsid w:val="003D45CC"/>
    <w:rsid w:val="003E6467"/>
    <w:rsid w:val="003E74DC"/>
    <w:rsid w:val="003F0AED"/>
    <w:rsid w:val="00403274"/>
    <w:rsid w:val="004068C2"/>
    <w:rsid w:val="00410FBE"/>
    <w:rsid w:val="0041541A"/>
    <w:rsid w:val="00433CB5"/>
    <w:rsid w:val="00441895"/>
    <w:rsid w:val="00445DE8"/>
    <w:rsid w:val="00447109"/>
    <w:rsid w:val="00453D2F"/>
    <w:rsid w:val="00461253"/>
    <w:rsid w:val="004655DF"/>
    <w:rsid w:val="00467EA4"/>
    <w:rsid w:val="0047753C"/>
    <w:rsid w:val="00485A9F"/>
    <w:rsid w:val="00486AB0"/>
    <w:rsid w:val="004947C5"/>
    <w:rsid w:val="00495D8A"/>
    <w:rsid w:val="004A2814"/>
    <w:rsid w:val="004B3195"/>
    <w:rsid w:val="004C0622"/>
    <w:rsid w:val="004C1285"/>
    <w:rsid w:val="004E5BB6"/>
    <w:rsid w:val="004F6BA9"/>
    <w:rsid w:val="004F7D66"/>
    <w:rsid w:val="005042C2"/>
    <w:rsid w:val="00516F4A"/>
    <w:rsid w:val="00521360"/>
    <w:rsid w:val="00523793"/>
    <w:rsid w:val="00525AEA"/>
    <w:rsid w:val="00533F2A"/>
    <w:rsid w:val="00534458"/>
    <w:rsid w:val="00534F5F"/>
    <w:rsid w:val="00550383"/>
    <w:rsid w:val="00553FD6"/>
    <w:rsid w:val="0055611D"/>
    <w:rsid w:val="00560F1B"/>
    <w:rsid w:val="00566B53"/>
    <w:rsid w:val="00591BA7"/>
    <w:rsid w:val="005A4153"/>
    <w:rsid w:val="005B5AB4"/>
    <w:rsid w:val="005B61E9"/>
    <w:rsid w:val="005C4B66"/>
    <w:rsid w:val="005C7EE8"/>
    <w:rsid w:val="005D5438"/>
    <w:rsid w:val="005D6DBF"/>
    <w:rsid w:val="005D7595"/>
    <w:rsid w:val="005E42BB"/>
    <w:rsid w:val="005E716E"/>
    <w:rsid w:val="005E71A4"/>
    <w:rsid w:val="005F2CD1"/>
    <w:rsid w:val="005F6C3C"/>
    <w:rsid w:val="00602A85"/>
    <w:rsid w:val="00614B34"/>
    <w:rsid w:val="00624BAC"/>
    <w:rsid w:val="006308E6"/>
    <w:rsid w:val="00642C90"/>
    <w:rsid w:val="00646E71"/>
    <w:rsid w:val="0065242F"/>
    <w:rsid w:val="006622D2"/>
    <w:rsid w:val="00671529"/>
    <w:rsid w:val="00681468"/>
    <w:rsid w:val="0068689A"/>
    <w:rsid w:val="006873FB"/>
    <w:rsid w:val="00697917"/>
    <w:rsid w:val="006A1195"/>
    <w:rsid w:val="006A1D67"/>
    <w:rsid w:val="006A2CE8"/>
    <w:rsid w:val="006A4C49"/>
    <w:rsid w:val="006B7367"/>
    <w:rsid w:val="006C0CC5"/>
    <w:rsid w:val="006D2212"/>
    <w:rsid w:val="006E224A"/>
    <w:rsid w:val="006E3333"/>
    <w:rsid w:val="006F5F10"/>
    <w:rsid w:val="0070489D"/>
    <w:rsid w:val="00712216"/>
    <w:rsid w:val="007150FC"/>
    <w:rsid w:val="007213FD"/>
    <w:rsid w:val="007268F9"/>
    <w:rsid w:val="007428AC"/>
    <w:rsid w:val="00744082"/>
    <w:rsid w:val="00745C90"/>
    <w:rsid w:val="00747135"/>
    <w:rsid w:val="00747A80"/>
    <w:rsid w:val="007502FD"/>
    <w:rsid w:val="00753004"/>
    <w:rsid w:val="00754B93"/>
    <w:rsid w:val="00761525"/>
    <w:rsid w:val="00767218"/>
    <w:rsid w:val="00771291"/>
    <w:rsid w:val="007757E2"/>
    <w:rsid w:val="0077740F"/>
    <w:rsid w:val="007916CE"/>
    <w:rsid w:val="007A4285"/>
    <w:rsid w:val="007A5B17"/>
    <w:rsid w:val="007A62DD"/>
    <w:rsid w:val="007B59B4"/>
    <w:rsid w:val="007B727E"/>
    <w:rsid w:val="007C52B0"/>
    <w:rsid w:val="007D1839"/>
    <w:rsid w:val="007E4186"/>
    <w:rsid w:val="007F3B17"/>
    <w:rsid w:val="007F761F"/>
    <w:rsid w:val="00803053"/>
    <w:rsid w:val="008213B5"/>
    <w:rsid w:val="00825CC0"/>
    <w:rsid w:val="00827A61"/>
    <w:rsid w:val="00832C1F"/>
    <w:rsid w:val="00834028"/>
    <w:rsid w:val="00834DC2"/>
    <w:rsid w:val="00835859"/>
    <w:rsid w:val="00842B4B"/>
    <w:rsid w:val="00843864"/>
    <w:rsid w:val="008461C1"/>
    <w:rsid w:val="008605AC"/>
    <w:rsid w:val="0086210D"/>
    <w:rsid w:val="00867387"/>
    <w:rsid w:val="0087626C"/>
    <w:rsid w:val="00880021"/>
    <w:rsid w:val="0088080F"/>
    <w:rsid w:val="00883D3B"/>
    <w:rsid w:val="00885E50"/>
    <w:rsid w:val="0088676B"/>
    <w:rsid w:val="008949C2"/>
    <w:rsid w:val="00895063"/>
    <w:rsid w:val="0089636A"/>
    <w:rsid w:val="00897159"/>
    <w:rsid w:val="008A00A5"/>
    <w:rsid w:val="008A37B2"/>
    <w:rsid w:val="008B6C4D"/>
    <w:rsid w:val="008B7021"/>
    <w:rsid w:val="008C0073"/>
    <w:rsid w:val="008D3B3A"/>
    <w:rsid w:val="008D48D7"/>
    <w:rsid w:val="008D5DBF"/>
    <w:rsid w:val="008E1926"/>
    <w:rsid w:val="008E43DA"/>
    <w:rsid w:val="008E65CF"/>
    <w:rsid w:val="008E6F6D"/>
    <w:rsid w:val="008F4ABA"/>
    <w:rsid w:val="00900335"/>
    <w:rsid w:val="00901442"/>
    <w:rsid w:val="00912164"/>
    <w:rsid w:val="00933EB6"/>
    <w:rsid w:val="009411B4"/>
    <w:rsid w:val="009439C2"/>
    <w:rsid w:val="00944893"/>
    <w:rsid w:val="009562CA"/>
    <w:rsid w:val="00956A68"/>
    <w:rsid w:val="009613FF"/>
    <w:rsid w:val="00967149"/>
    <w:rsid w:val="00967653"/>
    <w:rsid w:val="00990877"/>
    <w:rsid w:val="00990D60"/>
    <w:rsid w:val="009931B5"/>
    <w:rsid w:val="009A3703"/>
    <w:rsid w:val="009C1967"/>
    <w:rsid w:val="009C582B"/>
    <w:rsid w:val="009C596E"/>
    <w:rsid w:val="009D0139"/>
    <w:rsid w:val="009D4DDC"/>
    <w:rsid w:val="009D717D"/>
    <w:rsid w:val="009E22A1"/>
    <w:rsid w:val="009E3530"/>
    <w:rsid w:val="009E4E06"/>
    <w:rsid w:val="009F1E4D"/>
    <w:rsid w:val="009F44F7"/>
    <w:rsid w:val="009F5CDC"/>
    <w:rsid w:val="00A0342B"/>
    <w:rsid w:val="00A03C2F"/>
    <w:rsid w:val="00A066C2"/>
    <w:rsid w:val="00A067F4"/>
    <w:rsid w:val="00A135F8"/>
    <w:rsid w:val="00A206D0"/>
    <w:rsid w:val="00A3113C"/>
    <w:rsid w:val="00A36547"/>
    <w:rsid w:val="00A41A07"/>
    <w:rsid w:val="00A509FE"/>
    <w:rsid w:val="00A552B1"/>
    <w:rsid w:val="00A64E74"/>
    <w:rsid w:val="00A775CF"/>
    <w:rsid w:val="00A81D19"/>
    <w:rsid w:val="00A90D89"/>
    <w:rsid w:val="00A95CCA"/>
    <w:rsid w:val="00AA5C9A"/>
    <w:rsid w:val="00AA6688"/>
    <w:rsid w:val="00AA7C7E"/>
    <w:rsid w:val="00AB0378"/>
    <w:rsid w:val="00AC0EDB"/>
    <w:rsid w:val="00AC2526"/>
    <w:rsid w:val="00AC4926"/>
    <w:rsid w:val="00AE1416"/>
    <w:rsid w:val="00AF14EA"/>
    <w:rsid w:val="00AF3217"/>
    <w:rsid w:val="00AF43E4"/>
    <w:rsid w:val="00AF4876"/>
    <w:rsid w:val="00AF686D"/>
    <w:rsid w:val="00AF7B75"/>
    <w:rsid w:val="00B01C26"/>
    <w:rsid w:val="00B01C72"/>
    <w:rsid w:val="00B06045"/>
    <w:rsid w:val="00B06856"/>
    <w:rsid w:val="00B06AC6"/>
    <w:rsid w:val="00B245D5"/>
    <w:rsid w:val="00B3656D"/>
    <w:rsid w:val="00B40D2D"/>
    <w:rsid w:val="00B52EF4"/>
    <w:rsid w:val="00B5417A"/>
    <w:rsid w:val="00B57373"/>
    <w:rsid w:val="00B65E6E"/>
    <w:rsid w:val="00B702BB"/>
    <w:rsid w:val="00B7746A"/>
    <w:rsid w:val="00B83071"/>
    <w:rsid w:val="00B84175"/>
    <w:rsid w:val="00B96FA7"/>
    <w:rsid w:val="00B971CB"/>
    <w:rsid w:val="00BA05C4"/>
    <w:rsid w:val="00BB0C9F"/>
    <w:rsid w:val="00BB23AA"/>
    <w:rsid w:val="00BB5335"/>
    <w:rsid w:val="00BC0032"/>
    <w:rsid w:val="00BC2C24"/>
    <w:rsid w:val="00BC3574"/>
    <w:rsid w:val="00BF75C9"/>
    <w:rsid w:val="00C03015"/>
    <w:rsid w:val="00C0358D"/>
    <w:rsid w:val="00C1481E"/>
    <w:rsid w:val="00C23027"/>
    <w:rsid w:val="00C230FE"/>
    <w:rsid w:val="00C23C7F"/>
    <w:rsid w:val="00C35A27"/>
    <w:rsid w:val="00C372A1"/>
    <w:rsid w:val="00C435E6"/>
    <w:rsid w:val="00C47B2E"/>
    <w:rsid w:val="00C512ED"/>
    <w:rsid w:val="00C54CC5"/>
    <w:rsid w:val="00C6517C"/>
    <w:rsid w:val="00C73FFE"/>
    <w:rsid w:val="00C76BD0"/>
    <w:rsid w:val="00C8111A"/>
    <w:rsid w:val="00C92886"/>
    <w:rsid w:val="00CA4C03"/>
    <w:rsid w:val="00CA7D5C"/>
    <w:rsid w:val="00CB5A56"/>
    <w:rsid w:val="00CC53AA"/>
    <w:rsid w:val="00CE2980"/>
    <w:rsid w:val="00CE6E6B"/>
    <w:rsid w:val="00CF6110"/>
    <w:rsid w:val="00CF66C0"/>
    <w:rsid w:val="00D12650"/>
    <w:rsid w:val="00D12BB2"/>
    <w:rsid w:val="00D1577A"/>
    <w:rsid w:val="00D25C25"/>
    <w:rsid w:val="00D2661D"/>
    <w:rsid w:val="00D27B8C"/>
    <w:rsid w:val="00D368AA"/>
    <w:rsid w:val="00D42EAB"/>
    <w:rsid w:val="00D46592"/>
    <w:rsid w:val="00D66ADA"/>
    <w:rsid w:val="00D71AB4"/>
    <w:rsid w:val="00D809D9"/>
    <w:rsid w:val="00D8399D"/>
    <w:rsid w:val="00D921B4"/>
    <w:rsid w:val="00D9427B"/>
    <w:rsid w:val="00DA3642"/>
    <w:rsid w:val="00DA44A8"/>
    <w:rsid w:val="00DC472F"/>
    <w:rsid w:val="00DD1477"/>
    <w:rsid w:val="00DD6E86"/>
    <w:rsid w:val="00DE023E"/>
    <w:rsid w:val="00DE52C5"/>
    <w:rsid w:val="00DF22A9"/>
    <w:rsid w:val="00DF517D"/>
    <w:rsid w:val="00E0238E"/>
    <w:rsid w:val="00E02C2B"/>
    <w:rsid w:val="00E06D22"/>
    <w:rsid w:val="00E30D99"/>
    <w:rsid w:val="00E36A96"/>
    <w:rsid w:val="00E40462"/>
    <w:rsid w:val="00E52109"/>
    <w:rsid w:val="00E53AD7"/>
    <w:rsid w:val="00E6192A"/>
    <w:rsid w:val="00E64C64"/>
    <w:rsid w:val="00E67A6B"/>
    <w:rsid w:val="00E74BCE"/>
    <w:rsid w:val="00E75317"/>
    <w:rsid w:val="00E81A7E"/>
    <w:rsid w:val="00E85D19"/>
    <w:rsid w:val="00E86E8B"/>
    <w:rsid w:val="00E9043D"/>
    <w:rsid w:val="00E90DA4"/>
    <w:rsid w:val="00E941FB"/>
    <w:rsid w:val="00EB0EC1"/>
    <w:rsid w:val="00EB637F"/>
    <w:rsid w:val="00EC05EB"/>
    <w:rsid w:val="00EC3E31"/>
    <w:rsid w:val="00EC57A7"/>
    <w:rsid w:val="00ED26A4"/>
    <w:rsid w:val="00ED4C5A"/>
    <w:rsid w:val="00ED6C48"/>
    <w:rsid w:val="00EF0AF2"/>
    <w:rsid w:val="00EF20C5"/>
    <w:rsid w:val="00F0102F"/>
    <w:rsid w:val="00F04FC7"/>
    <w:rsid w:val="00F073CF"/>
    <w:rsid w:val="00F21BE4"/>
    <w:rsid w:val="00F24F0D"/>
    <w:rsid w:val="00F429F5"/>
    <w:rsid w:val="00F474AB"/>
    <w:rsid w:val="00F5103E"/>
    <w:rsid w:val="00F53001"/>
    <w:rsid w:val="00F5598E"/>
    <w:rsid w:val="00F65F5D"/>
    <w:rsid w:val="00F71D8C"/>
    <w:rsid w:val="00F7597B"/>
    <w:rsid w:val="00F7600F"/>
    <w:rsid w:val="00F82BC3"/>
    <w:rsid w:val="00F8427A"/>
    <w:rsid w:val="00F86A3A"/>
    <w:rsid w:val="00F923BC"/>
    <w:rsid w:val="00F96F40"/>
    <w:rsid w:val="00FA0858"/>
    <w:rsid w:val="00FA4C3B"/>
    <w:rsid w:val="00FB0890"/>
    <w:rsid w:val="00FB3053"/>
    <w:rsid w:val="00FC053F"/>
    <w:rsid w:val="00FC45B1"/>
    <w:rsid w:val="00FC4D7F"/>
    <w:rsid w:val="00FE2734"/>
    <w:rsid w:val="00FE378D"/>
    <w:rsid w:val="00FE5636"/>
    <w:rsid w:val="00FF2EB1"/>
    <w:rsid w:val="00FF5A5F"/>
    <w:rsid w:val="00FF7340"/>
    <w:rsid w:val="00FF7E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page number" w:uiPriority="0"/>
    <w:lsdException w:name="endnote reference" w:uiPriority="0" w:qFormat="1"/>
    <w:lsdException w:name="endnote text" w:uiPriority="0" w:qFormat="1"/>
    <w:lsdException w:name="Title" w:uiPriority="10" w:unhideWhenUsed="0"/>
    <w:lsdException w:name="Default Paragraph Font" w:uiPriority="1"/>
    <w:lsdException w:name="Subtitle" w:semiHidden="0"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line="240" w:lineRule="atLeast"/>
    </w:pPr>
    <w:rPr>
      <w:rFonts w:ascii="Times New Roman" w:eastAsia="Calibri" w:hAnsi="Times New Roman" w:cs="Times New Roman"/>
      <w:lang w:eastAsia="en-US"/>
    </w:rPr>
  </w:style>
  <w:style w:type="paragraph" w:styleId="Titre1">
    <w:name w:val="heading 1"/>
    <w:aliases w:val="Table_G"/>
    <w:basedOn w:val="SingleTxtG"/>
    <w:next w:val="SingleTxtG"/>
    <w:link w:val="Titre1Car"/>
    <w:qFormat/>
    <w:rsid w:val="004A2814"/>
    <w:pPr>
      <w:spacing w:after="0" w:line="240" w:lineRule="auto"/>
      <w:ind w:right="0"/>
      <w:jc w:val="left"/>
      <w:outlineLvl w:val="0"/>
    </w:pPr>
  </w:style>
  <w:style w:type="paragraph" w:styleId="Titre2">
    <w:name w:val="heading 2"/>
    <w:basedOn w:val="Normal"/>
    <w:next w:val="Normal"/>
    <w:link w:val="Titre2Car"/>
    <w:semiHidden/>
    <w:rsid w:val="004A2814"/>
    <w:pPr>
      <w:spacing w:line="240" w:lineRule="auto"/>
      <w:outlineLvl w:val="1"/>
    </w:pPr>
  </w:style>
  <w:style w:type="paragraph" w:styleId="Titre3">
    <w:name w:val="heading 3"/>
    <w:basedOn w:val="Normal"/>
    <w:next w:val="Normal"/>
    <w:link w:val="Titre3Car"/>
    <w:semiHidden/>
    <w:rsid w:val="004A2814"/>
    <w:pPr>
      <w:spacing w:line="240" w:lineRule="auto"/>
      <w:outlineLvl w:val="2"/>
    </w:pPr>
  </w:style>
  <w:style w:type="paragraph" w:styleId="Titre4">
    <w:name w:val="heading 4"/>
    <w:basedOn w:val="Normal"/>
    <w:next w:val="Normal"/>
    <w:link w:val="Titre4Car"/>
    <w:semiHidden/>
    <w:rsid w:val="004A2814"/>
    <w:pPr>
      <w:spacing w:line="240" w:lineRule="auto"/>
      <w:outlineLvl w:val="3"/>
    </w:pPr>
  </w:style>
  <w:style w:type="paragraph" w:styleId="Titre5">
    <w:name w:val="heading 5"/>
    <w:basedOn w:val="Normal"/>
    <w:next w:val="Normal"/>
    <w:link w:val="Titre5Car"/>
    <w:semiHidden/>
    <w:rsid w:val="004A2814"/>
    <w:pPr>
      <w:spacing w:line="240" w:lineRule="auto"/>
      <w:outlineLvl w:val="4"/>
    </w:pPr>
  </w:style>
  <w:style w:type="paragraph" w:styleId="Titre6">
    <w:name w:val="heading 6"/>
    <w:basedOn w:val="Normal"/>
    <w:next w:val="Normal"/>
    <w:link w:val="Titre6Car"/>
    <w:semiHidden/>
    <w:rsid w:val="004A2814"/>
    <w:pPr>
      <w:spacing w:line="240" w:lineRule="auto"/>
      <w:outlineLvl w:val="5"/>
    </w:pPr>
  </w:style>
  <w:style w:type="paragraph" w:styleId="Titre7">
    <w:name w:val="heading 7"/>
    <w:basedOn w:val="Normal"/>
    <w:next w:val="Normal"/>
    <w:link w:val="Titre7Car"/>
    <w:semiHidden/>
    <w:rsid w:val="004A2814"/>
    <w:pPr>
      <w:spacing w:line="240" w:lineRule="auto"/>
      <w:outlineLvl w:val="6"/>
    </w:pPr>
  </w:style>
  <w:style w:type="paragraph" w:styleId="Titre8">
    <w:name w:val="heading 8"/>
    <w:basedOn w:val="Normal"/>
    <w:next w:val="Normal"/>
    <w:link w:val="Titre8Car"/>
    <w:semiHidden/>
    <w:rsid w:val="004A2814"/>
    <w:pPr>
      <w:spacing w:line="240" w:lineRule="auto"/>
      <w:outlineLvl w:val="7"/>
    </w:pPr>
  </w:style>
  <w:style w:type="paragraph" w:styleId="Titre9">
    <w:name w:val="heading 9"/>
    <w:basedOn w:val="Normal"/>
    <w:next w:val="Normal"/>
    <w:link w:val="Titre9Car"/>
    <w:semiHidden/>
    <w:rsid w:val="004A281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link w:val="En-tteCar"/>
    <w:qFormat/>
    <w:rsid w:val="004A2814"/>
    <w:pPr>
      <w:pBdr>
        <w:bottom w:val="single" w:sz="4" w:space="4" w:color="auto"/>
      </w:pBdr>
      <w:spacing w:line="240" w:lineRule="auto"/>
    </w:pPr>
    <w:rPr>
      <w:b/>
      <w:sz w:val="18"/>
    </w:rPr>
  </w:style>
  <w:style w:type="character" w:customStyle="1" w:styleId="En-tteCar">
    <w:name w:val="En-tête Car"/>
    <w:aliases w:val="6_G Car"/>
    <w:link w:val="En-tte"/>
    <w:rsid w:val="003B4550"/>
    <w:rPr>
      <w:rFonts w:ascii="Times New Roman" w:eastAsia="Calibri" w:hAnsi="Times New Roman" w:cs="Times New Roman"/>
      <w:b/>
      <w:sz w:val="18"/>
      <w:szCs w:val="20"/>
      <w:lang w:eastAsia="en-US"/>
    </w:rPr>
  </w:style>
  <w:style w:type="paragraph" w:styleId="Pieddepage">
    <w:name w:val="footer"/>
    <w:aliases w:val="3_G"/>
    <w:basedOn w:val="Normal"/>
    <w:link w:val="PieddepageCar"/>
    <w:qFormat/>
    <w:rsid w:val="004A2814"/>
    <w:pPr>
      <w:spacing w:line="240" w:lineRule="auto"/>
    </w:pPr>
    <w:rPr>
      <w:sz w:val="16"/>
    </w:rPr>
  </w:style>
  <w:style w:type="character" w:customStyle="1" w:styleId="PieddepageCar">
    <w:name w:val="Pied de page Car"/>
    <w:aliases w:val="3_G Car"/>
    <w:link w:val="Pieddepage"/>
    <w:rsid w:val="00247E2C"/>
    <w:rPr>
      <w:rFonts w:ascii="Times New Roman" w:eastAsia="Calibr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Aucuneliste"/>
    <w:semiHidden/>
    <w:rsid w:val="007268F9"/>
    <w:pPr>
      <w:numPr>
        <w:numId w:val="5"/>
      </w:numPr>
    </w:pPr>
  </w:style>
  <w:style w:type="numbering" w:styleId="1ai">
    <w:name w:val="Outline List 1"/>
    <w:basedOn w:val="Aucuneliste"/>
    <w:semiHidden/>
    <w:rsid w:val="007268F9"/>
    <w:pPr>
      <w:numPr>
        <w:numId w:val="6"/>
      </w:numPr>
    </w:pPr>
  </w:style>
  <w:style w:type="character" w:styleId="Appeldenotedefin">
    <w:name w:val="endnote reference"/>
    <w:aliases w:val="1_G"/>
    <w:qFormat/>
    <w:rsid w:val="004A2814"/>
    <w:rPr>
      <w:rFonts w:ascii="Times New Roman" w:hAnsi="Times New Roman"/>
      <w:sz w:val="18"/>
      <w:vertAlign w:val="superscript"/>
    </w:rPr>
  </w:style>
  <w:style w:type="character" w:styleId="Appelnotedebasdep">
    <w:name w:val="footnote reference"/>
    <w:aliases w:val="4_G,Texto de nota al pie,Appel note de bas de page,Footnotes refss,Footnote number,referencia nota al pie,BVI fnr,f,16 Point,Superscript 6 Point,Texto nota al pie,Footnote Reference Char3,Footnote Reference Char1 Char,E FNZ"/>
    <w:uiPriority w:val="99"/>
    <w:qFormat/>
    <w:rsid w:val="00AF4876"/>
    <w:rPr>
      <w:rFonts w:ascii="Times New Roman" w:hAnsi="Times New Roman"/>
      <w:sz w:val="18"/>
      <w:vertAlign w:val="superscript"/>
    </w:rPr>
  </w:style>
  <w:style w:type="paragraph" w:styleId="Notedebasdepage">
    <w:name w:val="footnote text"/>
    <w:aliases w:val="5_G,Footnote Text Char Char,Footnote Text Char1 Char Char,Footnote Text Char Char Char Char,Footnote Text Char1 Char Char Char Char,Footnote Text Char Char Char Char Char Char,Footnote Text Char Char1 Char Char,Footnote reference,Ca"/>
    <w:basedOn w:val="Normal"/>
    <w:link w:val="NotedebasdepageCar"/>
    <w:uiPriority w:val="99"/>
    <w:qFormat/>
    <w:rsid w:val="00AF4876"/>
    <w:pPr>
      <w:tabs>
        <w:tab w:val="right" w:pos="1021"/>
      </w:tabs>
      <w:kinsoku/>
      <w:overflowPunct/>
      <w:autoSpaceDE/>
      <w:autoSpaceDN/>
      <w:adjustRightInd/>
      <w:snapToGrid/>
      <w:spacing w:line="220" w:lineRule="exact"/>
      <w:ind w:left="1134" w:right="1134" w:hanging="1134"/>
    </w:pPr>
    <w:rPr>
      <w:rFonts w:eastAsia="SimSun"/>
      <w:sz w:val="18"/>
      <w:lang w:eastAsia="zh-CN"/>
    </w:rPr>
  </w:style>
  <w:style w:type="paragraph" w:styleId="Notedefin">
    <w:name w:val="endnote text"/>
    <w:aliases w:val="2_G"/>
    <w:basedOn w:val="Normal"/>
    <w:link w:val="NotedefinCar"/>
    <w:qFormat/>
    <w:rsid w:val="00AF4876"/>
    <w:pPr>
      <w:tabs>
        <w:tab w:val="right" w:pos="1021"/>
      </w:tabs>
      <w:spacing w:line="220" w:lineRule="exact"/>
      <w:ind w:left="1134" w:right="1134" w:hanging="1134"/>
    </w:pPr>
    <w:rPr>
      <w:sz w:val="18"/>
    </w:rPr>
  </w:style>
  <w:style w:type="character" w:customStyle="1" w:styleId="NotedefinCar">
    <w:name w:val="Note de fin Car"/>
    <w:aliases w:val="2_G Car"/>
    <w:link w:val="Notedefin"/>
    <w:rsid w:val="007268F9"/>
    <w:rPr>
      <w:rFonts w:ascii="Times New Roman" w:eastAsia="Calibri" w:hAnsi="Times New Roman" w:cs="Times New Roman"/>
      <w:sz w:val="18"/>
      <w:szCs w:val="20"/>
      <w:lang w:eastAsia="en-US"/>
    </w:rPr>
  </w:style>
  <w:style w:type="character" w:customStyle="1" w:styleId="NotedebasdepageCar">
    <w:name w:val="Note de bas de page Car"/>
    <w:aliases w:val="5_G Car,Footnote Text Char Char Car,Footnote Text Char1 Char Char Car,Footnote Text Char Char Char Char Car,Footnote Text Char1 Char Char Char Char Car,Footnote Text Char Char Char Char Char Char Car,Footnote reference Car,Ca Car"/>
    <w:link w:val="Notedebasdepage"/>
    <w:uiPriority w:val="99"/>
    <w:rsid w:val="00AF4876"/>
    <w:rPr>
      <w:rFonts w:ascii="Times New Roman" w:hAnsi="Times New Roman" w:cs="Times New Roman"/>
      <w:sz w:val="18"/>
      <w:szCs w:val="20"/>
    </w:rPr>
  </w:style>
  <w:style w:type="character" w:customStyle="1" w:styleId="Titre1Car">
    <w:name w:val="Titre 1 Car"/>
    <w:aliases w:val="Table_G Car"/>
    <w:link w:val="Titre1"/>
    <w:uiPriority w:val="9"/>
    <w:rsid w:val="003B4550"/>
    <w:rPr>
      <w:rFonts w:ascii="Times New Roman" w:eastAsia="Calibri" w:hAnsi="Times New Roman" w:cs="Times New Roman"/>
      <w:sz w:val="20"/>
      <w:szCs w:val="20"/>
      <w:lang w:eastAsia="en-US"/>
    </w:rPr>
  </w:style>
  <w:style w:type="character" w:customStyle="1" w:styleId="Titre2Car">
    <w:name w:val="Titre 2 Car"/>
    <w:link w:val="Titre2"/>
    <w:semiHidden/>
    <w:rsid w:val="003B4550"/>
    <w:rPr>
      <w:rFonts w:ascii="Times New Roman" w:eastAsia="Calibri" w:hAnsi="Times New Roman" w:cs="Times New Roman"/>
      <w:sz w:val="20"/>
      <w:szCs w:val="20"/>
      <w:lang w:eastAsia="en-US"/>
    </w:rPr>
  </w:style>
  <w:style w:type="character" w:customStyle="1" w:styleId="Titre3Car">
    <w:name w:val="Titre 3 Car"/>
    <w:link w:val="Titre3"/>
    <w:semiHidden/>
    <w:rsid w:val="003B4550"/>
    <w:rPr>
      <w:rFonts w:ascii="Times New Roman" w:eastAsia="Calibri" w:hAnsi="Times New Roman" w:cs="Times New Roman"/>
      <w:sz w:val="20"/>
      <w:szCs w:val="20"/>
      <w:lang w:eastAsia="en-US"/>
    </w:rPr>
  </w:style>
  <w:style w:type="character" w:customStyle="1" w:styleId="Titre4Car">
    <w:name w:val="Titre 4 Car"/>
    <w:link w:val="Titre4"/>
    <w:semiHidden/>
    <w:rsid w:val="003B4550"/>
    <w:rPr>
      <w:rFonts w:ascii="Times New Roman" w:eastAsia="Calibri" w:hAnsi="Times New Roman" w:cs="Times New Roman"/>
      <w:sz w:val="20"/>
      <w:szCs w:val="20"/>
      <w:lang w:eastAsia="en-US"/>
    </w:rPr>
  </w:style>
  <w:style w:type="character" w:customStyle="1" w:styleId="Titre5Car">
    <w:name w:val="Titre 5 Car"/>
    <w:link w:val="Titre5"/>
    <w:semiHidden/>
    <w:rsid w:val="003B4550"/>
    <w:rPr>
      <w:rFonts w:ascii="Times New Roman" w:eastAsia="Calibri" w:hAnsi="Times New Roman" w:cs="Times New Roman"/>
      <w:sz w:val="20"/>
      <w:szCs w:val="20"/>
      <w:lang w:eastAsia="en-US"/>
    </w:rPr>
  </w:style>
  <w:style w:type="character" w:customStyle="1" w:styleId="Titre6Car">
    <w:name w:val="Titre 6 Car"/>
    <w:link w:val="Titre6"/>
    <w:semiHidden/>
    <w:rsid w:val="003B4550"/>
    <w:rPr>
      <w:rFonts w:ascii="Times New Roman" w:eastAsia="Calibri" w:hAnsi="Times New Roman" w:cs="Times New Roman"/>
      <w:sz w:val="20"/>
      <w:szCs w:val="20"/>
      <w:lang w:eastAsia="en-US"/>
    </w:rPr>
  </w:style>
  <w:style w:type="character" w:customStyle="1" w:styleId="Titre7Car">
    <w:name w:val="Titre 7 Car"/>
    <w:link w:val="Titre7"/>
    <w:semiHidden/>
    <w:rsid w:val="003B4550"/>
    <w:rPr>
      <w:rFonts w:ascii="Times New Roman" w:eastAsia="Calibri" w:hAnsi="Times New Roman" w:cs="Times New Roman"/>
      <w:sz w:val="20"/>
      <w:szCs w:val="20"/>
      <w:lang w:eastAsia="en-US"/>
    </w:rPr>
  </w:style>
  <w:style w:type="character" w:customStyle="1" w:styleId="Titre8Car">
    <w:name w:val="Titre 8 Car"/>
    <w:link w:val="Titre8"/>
    <w:semiHidden/>
    <w:rsid w:val="003B4550"/>
    <w:rPr>
      <w:rFonts w:ascii="Times New Roman" w:eastAsia="Calibri" w:hAnsi="Times New Roman" w:cs="Times New Roman"/>
      <w:sz w:val="20"/>
      <w:szCs w:val="20"/>
      <w:lang w:eastAsia="en-US"/>
    </w:rPr>
  </w:style>
  <w:style w:type="character" w:customStyle="1" w:styleId="Titre9Car">
    <w:name w:val="Titre 9 Car"/>
    <w:link w:val="Titre9"/>
    <w:semiHidden/>
    <w:rsid w:val="003B4550"/>
    <w:rPr>
      <w:rFonts w:ascii="Times New Roman" w:eastAsia="Calibri" w:hAnsi="Times New Roman" w:cs="Times New Roman"/>
      <w:sz w:val="20"/>
      <w:szCs w:val="20"/>
      <w:lang w:eastAsia="en-US"/>
    </w:rPr>
  </w:style>
  <w:style w:type="character" w:styleId="Numrodepage">
    <w:name w:val="page number"/>
    <w:aliases w:val="7_G"/>
    <w:rsid w:val="004A2814"/>
    <w:rPr>
      <w:rFonts w:ascii="Times New Roman" w:hAnsi="Times New Roman"/>
      <w:b/>
      <w:sz w:val="18"/>
    </w:rPr>
  </w:style>
  <w:style w:type="paragraph" w:styleId="Textedebulles">
    <w:name w:val="Balloon Text"/>
    <w:basedOn w:val="Normal"/>
    <w:link w:val="TextedebullesCar"/>
    <w:uiPriority w:val="99"/>
    <w:semiHidden/>
    <w:unhideWhenUsed/>
    <w:rsid w:val="00AF4876"/>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F4876"/>
    <w:rPr>
      <w:rFonts w:ascii="Tahoma" w:eastAsia="Calibri" w:hAnsi="Tahoma" w:cs="Tahoma"/>
      <w:sz w:val="16"/>
      <w:szCs w:val="16"/>
      <w:lang w:eastAsia="en-US"/>
    </w:rPr>
  </w:style>
  <w:style w:type="table" w:styleId="Grilledutableau">
    <w:name w:val="Table Grid"/>
    <w:basedOn w:val="TableauNormal"/>
    <w:uiPriority w:val="59"/>
    <w:rsid w:val="004A2814"/>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4068C2"/>
    <w:pPr>
      <w:suppressAutoHyphens w:val="0"/>
      <w:kinsoku/>
      <w:overflowPunct/>
      <w:autoSpaceDE/>
      <w:autoSpaceDN/>
      <w:adjustRightInd/>
      <w:snapToGrid/>
      <w:spacing w:line="240" w:lineRule="auto"/>
      <w:ind w:left="720"/>
      <w:contextualSpacing/>
    </w:pPr>
    <w:rPr>
      <w:rFonts w:asciiTheme="minorHAnsi" w:eastAsiaTheme="minorEastAsia" w:hAnsiTheme="minorHAnsi" w:cstheme="minorBidi"/>
      <w:noProof/>
      <w:sz w:val="24"/>
      <w:szCs w:val="24"/>
      <w:lang w:val="fr-FR" w:eastAsia="da-DK"/>
    </w:rPr>
  </w:style>
  <w:style w:type="character" w:styleId="Marquedecommentaire">
    <w:name w:val="annotation reference"/>
    <w:basedOn w:val="Policepardfaut"/>
    <w:uiPriority w:val="99"/>
    <w:semiHidden/>
    <w:unhideWhenUsed/>
    <w:rsid w:val="004068C2"/>
    <w:rPr>
      <w:sz w:val="16"/>
      <w:szCs w:val="16"/>
    </w:rPr>
  </w:style>
  <w:style w:type="paragraph" w:styleId="Commentaire">
    <w:name w:val="annotation text"/>
    <w:basedOn w:val="Normal"/>
    <w:link w:val="CommentaireCar"/>
    <w:uiPriority w:val="99"/>
    <w:semiHidden/>
    <w:unhideWhenUsed/>
    <w:rsid w:val="00FC4D7F"/>
    <w:pPr>
      <w:spacing w:line="240" w:lineRule="auto"/>
    </w:pPr>
  </w:style>
  <w:style w:type="character" w:customStyle="1" w:styleId="CommentaireCar">
    <w:name w:val="Commentaire Car"/>
    <w:basedOn w:val="Policepardfaut"/>
    <w:link w:val="Commentaire"/>
    <w:uiPriority w:val="99"/>
    <w:semiHidden/>
    <w:rsid w:val="00FC4D7F"/>
    <w:rPr>
      <w:rFonts w:ascii="Times New Roman" w:eastAsia="Calibri" w:hAnsi="Times New Roman" w:cs="Times New Roman"/>
      <w:lang w:eastAsia="en-US"/>
    </w:rPr>
  </w:style>
  <w:style w:type="paragraph" w:styleId="Objetducommentaire">
    <w:name w:val="annotation subject"/>
    <w:basedOn w:val="Commentaire"/>
    <w:next w:val="Commentaire"/>
    <w:link w:val="ObjetducommentaireCar"/>
    <w:uiPriority w:val="99"/>
    <w:semiHidden/>
    <w:unhideWhenUsed/>
    <w:rsid w:val="00FC4D7F"/>
    <w:rPr>
      <w:b/>
      <w:bCs/>
    </w:rPr>
  </w:style>
  <w:style w:type="character" w:customStyle="1" w:styleId="ObjetducommentaireCar">
    <w:name w:val="Objet du commentaire Car"/>
    <w:basedOn w:val="CommentaireCar"/>
    <w:link w:val="Objetducommentaire"/>
    <w:uiPriority w:val="99"/>
    <w:semiHidden/>
    <w:rsid w:val="00FC4D7F"/>
    <w:rPr>
      <w:rFonts w:ascii="Times New Roman" w:eastAsia="Calibri" w:hAnsi="Times New Roman" w:cs="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page number" w:uiPriority="0"/>
    <w:lsdException w:name="endnote reference" w:uiPriority="0" w:qFormat="1"/>
    <w:lsdException w:name="endnote text" w:uiPriority="0" w:qFormat="1"/>
    <w:lsdException w:name="Title" w:uiPriority="10" w:unhideWhenUsed="0"/>
    <w:lsdException w:name="Default Paragraph Font" w:uiPriority="1"/>
    <w:lsdException w:name="Subtitle" w:semiHidden="0" w:uiPriority="11" w:unhideWhenUsed="0"/>
    <w:lsdException w:name="Hyperlink" w:uiPriority="0" w:qFormat="1"/>
    <w:lsdException w:name="FollowedHyperlink" w:uiPriority="0"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814"/>
    <w:pPr>
      <w:suppressAutoHyphens/>
      <w:kinsoku w:val="0"/>
      <w:overflowPunct w:val="0"/>
      <w:autoSpaceDE w:val="0"/>
      <w:autoSpaceDN w:val="0"/>
      <w:adjustRightInd w:val="0"/>
      <w:snapToGrid w:val="0"/>
      <w:spacing w:line="240" w:lineRule="atLeast"/>
    </w:pPr>
    <w:rPr>
      <w:rFonts w:ascii="Times New Roman" w:eastAsia="Calibri" w:hAnsi="Times New Roman" w:cs="Times New Roman"/>
      <w:lang w:eastAsia="en-US"/>
    </w:rPr>
  </w:style>
  <w:style w:type="paragraph" w:styleId="Titre1">
    <w:name w:val="heading 1"/>
    <w:aliases w:val="Table_G"/>
    <w:basedOn w:val="SingleTxtG"/>
    <w:next w:val="SingleTxtG"/>
    <w:link w:val="Titre1Car"/>
    <w:qFormat/>
    <w:rsid w:val="004A2814"/>
    <w:pPr>
      <w:spacing w:after="0" w:line="240" w:lineRule="auto"/>
      <w:ind w:right="0"/>
      <w:jc w:val="left"/>
      <w:outlineLvl w:val="0"/>
    </w:pPr>
  </w:style>
  <w:style w:type="paragraph" w:styleId="Titre2">
    <w:name w:val="heading 2"/>
    <w:basedOn w:val="Normal"/>
    <w:next w:val="Normal"/>
    <w:link w:val="Titre2Car"/>
    <w:semiHidden/>
    <w:rsid w:val="004A2814"/>
    <w:pPr>
      <w:spacing w:line="240" w:lineRule="auto"/>
      <w:outlineLvl w:val="1"/>
    </w:pPr>
  </w:style>
  <w:style w:type="paragraph" w:styleId="Titre3">
    <w:name w:val="heading 3"/>
    <w:basedOn w:val="Normal"/>
    <w:next w:val="Normal"/>
    <w:link w:val="Titre3Car"/>
    <w:semiHidden/>
    <w:rsid w:val="004A2814"/>
    <w:pPr>
      <w:spacing w:line="240" w:lineRule="auto"/>
      <w:outlineLvl w:val="2"/>
    </w:pPr>
  </w:style>
  <w:style w:type="paragraph" w:styleId="Titre4">
    <w:name w:val="heading 4"/>
    <w:basedOn w:val="Normal"/>
    <w:next w:val="Normal"/>
    <w:link w:val="Titre4Car"/>
    <w:semiHidden/>
    <w:rsid w:val="004A2814"/>
    <w:pPr>
      <w:spacing w:line="240" w:lineRule="auto"/>
      <w:outlineLvl w:val="3"/>
    </w:pPr>
  </w:style>
  <w:style w:type="paragraph" w:styleId="Titre5">
    <w:name w:val="heading 5"/>
    <w:basedOn w:val="Normal"/>
    <w:next w:val="Normal"/>
    <w:link w:val="Titre5Car"/>
    <w:semiHidden/>
    <w:rsid w:val="004A2814"/>
    <w:pPr>
      <w:spacing w:line="240" w:lineRule="auto"/>
      <w:outlineLvl w:val="4"/>
    </w:pPr>
  </w:style>
  <w:style w:type="paragraph" w:styleId="Titre6">
    <w:name w:val="heading 6"/>
    <w:basedOn w:val="Normal"/>
    <w:next w:val="Normal"/>
    <w:link w:val="Titre6Car"/>
    <w:semiHidden/>
    <w:rsid w:val="004A2814"/>
    <w:pPr>
      <w:spacing w:line="240" w:lineRule="auto"/>
      <w:outlineLvl w:val="5"/>
    </w:pPr>
  </w:style>
  <w:style w:type="paragraph" w:styleId="Titre7">
    <w:name w:val="heading 7"/>
    <w:basedOn w:val="Normal"/>
    <w:next w:val="Normal"/>
    <w:link w:val="Titre7Car"/>
    <w:semiHidden/>
    <w:rsid w:val="004A2814"/>
    <w:pPr>
      <w:spacing w:line="240" w:lineRule="auto"/>
      <w:outlineLvl w:val="6"/>
    </w:pPr>
  </w:style>
  <w:style w:type="paragraph" w:styleId="Titre8">
    <w:name w:val="heading 8"/>
    <w:basedOn w:val="Normal"/>
    <w:next w:val="Normal"/>
    <w:link w:val="Titre8Car"/>
    <w:semiHidden/>
    <w:rsid w:val="004A2814"/>
    <w:pPr>
      <w:spacing w:line="240" w:lineRule="auto"/>
      <w:outlineLvl w:val="7"/>
    </w:pPr>
  </w:style>
  <w:style w:type="paragraph" w:styleId="Titre9">
    <w:name w:val="heading 9"/>
    <w:basedOn w:val="Normal"/>
    <w:next w:val="Normal"/>
    <w:link w:val="Titre9Car"/>
    <w:semiHidden/>
    <w:rsid w:val="004A281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link w:val="En-tteCar"/>
    <w:qFormat/>
    <w:rsid w:val="004A2814"/>
    <w:pPr>
      <w:pBdr>
        <w:bottom w:val="single" w:sz="4" w:space="4" w:color="auto"/>
      </w:pBdr>
      <w:spacing w:line="240" w:lineRule="auto"/>
    </w:pPr>
    <w:rPr>
      <w:b/>
      <w:sz w:val="18"/>
    </w:rPr>
  </w:style>
  <w:style w:type="character" w:customStyle="1" w:styleId="En-tteCar">
    <w:name w:val="En-tête Car"/>
    <w:aliases w:val="6_G Car"/>
    <w:link w:val="En-tte"/>
    <w:rsid w:val="003B4550"/>
    <w:rPr>
      <w:rFonts w:ascii="Times New Roman" w:eastAsia="Calibri" w:hAnsi="Times New Roman" w:cs="Times New Roman"/>
      <w:b/>
      <w:sz w:val="18"/>
      <w:szCs w:val="20"/>
      <w:lang w:eastAsia="en-US"/>
    </w:rPr>
  </w:style>
  <w:style w:type="paragraph" w:styleId="Pieddepage">
    <w:name w:val="footer"/>
    <w:aliases w:val="3_G"/>
    <w:basedOn w:val="Normal"/>
    <w:link w:val="PieddepageCar"/>
    <w:qFormat/>
    <w:rsid w:val="004A2814"/>
    <w:pPr>
      <w:spacing w:line="240" w:lineRule="auto"/>
    </w:pPr>
    <w:rPr>
      <w:sz w:val="16"/>
    </w:rPr>
  </w:style>
  <w:style w:type="character" w:customStyle="1" w:styleId="PieddepageCar">
    <w:name w:val="Pied de page Car"/>
    <w:aliases w:val="3_G Car"/>
    <w:link w:val="Pieddepage"/>
    <w:rsid w:val="00247E2C"/>
    <w:rPr>
      <w:rFonts w:ascii="Times New Roman" w:eastAsia="Calibr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Aucuneliste"/>
    <w:semiHidden/>
    <w:rsid w:val="007268F9"/>
    <w:pPr>
      <w:numPr>
        <w:numId w:val="5"/>
      </w:numPr>
    </w:pPr>
  </w:style>
  <w:style w:type="numbering" w:styleId="1ai">
    <w:name w:val="Outline List 1"/>
    <w:basedOn w:val="Aucuneliste"/>
    <w:semiHidden/>
    <w:rsid w:val="007268F9"/>
    <w:pPr>
      <w:numPr>
        <w:numId w:val="6"/>
      </w:numPr>
    </w:pPr>
  </w:style>
  <w:style w:type="character" w:styleId="Appeldenotedefin">
    <w:name w:val="endnote reference"/>
    <w:aliases w:val="1_G"/>
    <w:qFormat/>
    <w:rsid w:val="004A2814"/>
    <w:rPr>
      <w:rFonts w:ascii="Times New Roman" w:hAnsi="Times New Roman"/>
      <w:sz w:val="18"/>
      <w:vertAlign w:val="superscript"/>
    </w:rPr>
  </w:style>
  <w:style w:type="character" w:styleId="Appelnotedebasdep">
    <w:name w:val="footnote reference"/>
    <w:aliases w:val="4_G,Texto de nota al pie,Appel note de bas de page,Footnotes refss,Footnote number,referencia nota al pie,BVI fnr,f,16 Point,Superscript 6 Point,Texto nota al pie,Footnote Reference Char3,Footnote Reference Char1 Char,E FNZ"/>
    <w:uiPriority w:val="99"/>
    <w:qFormat/>
    <w:rsid w:val="00AF4876"/>
    <w:rPr>
      <w:rFonts w:ascii="Times New Roman" w:hAnsi="Times New Roman"/>
      <w:sz w:val="18"/>
      <w:vertAlign w:val="superscript"/>
    </w:rPr>
  </w:style>
  <w:style w:type="paragraph" w:styleId="Notedebasdepage">
    <w:name w:val="footnote text"/>
    <w:aliases w:val="5_G,Footnote Text Char Char,Footnote Text Char1 Char Char,Footnote Text Char Char Char Char,Footnote Text Char1 Char Char Char Char,Footnote Text Char Char Char Char Char Char,Footnote Text Char Char1 Char Char,Footnote reference,Ca"/>
    <w:basedOn w:val="Normal"/>
    <w:link w:val="NotedebasdepageCar"/>
    <w:uiPriority w:val="99"/>
    <w:qFormat/>
    <w:rsid w:val="00AF4876"/>
    <w:pPr>
      <w:tabs>
        <w:tab w:val="right" w:pos="1021"/>
      </w:tabs>
      <w:kinsoku/>
      <w:overflowPunct/>
      <w:autoSpaceDE/>
      <w:autoSpaceDN/>
      <w:adjustRightInd/>
      <w:snapToGrid/>
      <w:spacing w:line="220" w:lineRule="exact"/>
      <w:ind w:left="1134" w:right="1134" w:hanging="1134"/>
    </w:pPr>
    <w:rPr>
      <w:rFonts w:eastAsia="SimSun"/>
      <w:sz w:val="18"/>
      <w:lang w:eastAsia="zh-CN"/>
    </w:rPr>
  </w:style>
  <w:style w:type="paragraph" w:styleId="Notedefin">
    <w:name w:val="endnote text"/>
    <w:aliases w:val="2_G"/>
    <w:basedOn w:val="Normal"/>
    <w:link w:val="NotedefinCar"/>
    <w:qFormat/>
    <w:rsid w:val="00AF4876"/>
    <w:pPr>
      <w:tabs>
        <w:tab w:val="right" w:pos="1021"/>
      </w:tabs>
      <w:spacing w:line="220" w:lineRule="exact"/>
      <w:ind w:left="1134" w:right="1134" w:hanging="1134"/>
    </w:pPr>
    <w:rPr>
      <w:sz w:val="18"/>
    </w:rPr>
  </w:style>
  <w:style w:type="character" w:customStyle="1" w:styleId="NotedefinCar">
    <w:name w:val="Note de fin Car"/>
    <w:aliases w:val="2_G Car"/>
    <w:link w:val="Notedefin"/>
    <w:rsid w:val="007268F9"/>
    <w:rPr>
      <w:rFonts w:ascii="Times New Roman" w:eastAsia="Calibri" w:hAnsi="Times New Roman" w:cs="Times New Roman"/>
      <w:sz w:val="18"/>
      <w:szCs w:val="20"/>
      <w:lang w:eastAsia="en-US"/>
    </w:rPr>
  </w:style>
  <w:style w:type="character" w:customStyle="1" w:styleId="NotedebasdepageCar">
    <w:name w:val="Note de bas de page Car"/>
    <w:aliases w:val="5_G Car,Footnote Text Char Char Car,Footnote Text Char1 Char Char Car,Footnote Text Char Char Char Char Car,Footnote Text Char1 Char Char Char Char Car,Footnote Text Char Char Char Char Char Char Car,Footnote reference Car,Ca Car"/>
    <w:link w:val="Notedebasdepage"/>
    <w:uiPriority w:val="99"/>
    <w:rsid w:val="00AF4876"/>
    <w:rPr>
      <w:rFonts w:ascii="Times New Roman" w:hAnsi="Times New Roman" w:cs="Times New Roman"/>
      <w:sz w:val="18"/>
      <w:szCs w:val="20"/>
    </w:rPr>
  </w:style>
  <w:style w:type="character" w:customStyle="1" w:styleId="Titre1Car">
    <w:name w:val="Titre 1 Car"/>
    <w:aliases w:val="Table_G Car"/>
    <w:link w:val="Titre1"/>
    <w:uiPriority w:val="9"/>
    <w:rsid w:val="003B4550"/>
    <w:rPr>
      <w:rFonts w:ascii="Times New Roman" w:eastAsia="Calibri" w:hAnsi="Times New Roman" w:cs="Times New Roman"/>
      <w:sz w:val="20"/>
      <w:szCs w:val="20"/>
      <w:lang w:eastAsia="en-US"/>
    </w:rPr>
  </w:style>
  <w:style w:type="character" w:customStyle="1" w:styleId="Titre2Car">
    <w:name w:val="Titre 2 Car"/>
    <w:link w:val="Titre2"/>
    <w:semiHidden/>
    <w:rsid w:val="003B4550"/>
    <w:rPr>
      <w:rFonts w:ascii="Times New Roman" w:eastAsia="Calibri" w:hAnsi="Times New Roman" w:cs="Times New Roman"/>
      <w:sz w:val="20"/>
      <w:szCs w:val="20"/>
      <w:lang w:eastAsia="en-US"/>
    </w:rPr>
  </w:style>
  <w:style w:type="character" w:customStyle="1" w:styleId="Titre3Car">
    <w:name w:val="Titre 3 Car"/>
    <w:link w:val="Titre3"/>
    <w:semiHidden/>
    <w:rsid w:val="003B4550"/>
    <w:rPr>
      <w:rFonts w:ascii="Times New Roman" w:eastAsia="Calibri" w:hAnsi="Times New Roman" w:cs="Times New Roman"/>
      <w:sz w:val="20"/>
      <w:szCs w:val="20"/>
      <w:lang w:eastAsia="en-US"/>
    </w:rPr>
  </w:style>
  <w:style w:type="character" w:customStyle="1" w:styleId="Titre4Car">
    <w:name w:val="Titre 4 Car"/>
    <w:link w:val="Titre4"/>
    <w:semiHidden/>
    <w:rsid w:val="003B4550"/>
    <w:rPr>
      <w:rFonts w:ascii="Times New Roman" w:eastAsia="Calibri" w:hAnsi="Times New Roman" w:cs="Times New Roman"/>
      <w:sz w:val="20"/>
      <w:szCs w:val="20"/>
      <w:lang w:eastAsia="en-US"/>
    </w:rPr>
  </w:style>
  <w:style w:type="character" w:customStyle="1" w:styleId="Titre5Car">
    <w:name w:val="Titre 5 Car"/>
    <w:link w:val="Titre5"/>
    <w:semiHidden/>
    <w:rsid w:val="003B4550"/>
    <w:rPr>
      <w:rFonts w:ascii="Times New Roman" w:eastAsia="Calibri" w:hAnsi="Times New Roman" w:cs="Times New Roman"/>
      <w:sz w:val="20"/>
      <w:szCs w:val="20"/>
      <w:lang w:eastAsia="en-US"/>
    </w:rPr>
  </w:style>
  <w:style w:type="character" w:customStyle="1" w:styleId="Titre6Car">
    <w:name w:val="Titre 6 Car"/>
    <w:link w:val="Titre6"/>
    <w:semiHidden/>
    <w:rsid w:val="003B4550"/>
    <w:rPr>
      <w:rFonts w:ascii="Times New Roman" w:eastAsia="Calibri" w:hAnsi="Times New Roman" w:cs="Times New Roman"/>
      <w:sz w:val="20"/>
      <w:szCs w:val="20"/>
      <w:lang w:eastAsia="en-US"/>
    </w:rPr>
  </w:style>
  <w:style w:type="character" w:customStyle="1" w:styleId="Titre7Car">
    <w:name w:val="Titre 7 Car"/>
    <w:link w:val="Titre7"/>
    <w:semiHidden/>
    <w:rsid w:val="003B4550"/>
    <w:rPr>
      <w:rFonts w:ascii="Times New Roman" w:eastAsia="Calibri" w:hAnsi="Times New Roman" w:cs="Times New Roman"/>
      <w:sz w:val="20"/>
      <w:szCs w:val="20"/>
      <w:lang w:eastAsia="en-US"/>
    </w:rPr>
  </w:style>
  <w:style w:type="character" w:customStyle="1" w:styleId="Titre8Car">
    <w:name w:val="Titre 8 Car"/>
    <w:link w:val="Titre8"/>
    <w:semiHidden/>
    <w:rsid w:val="003B4550"/>
    <w:rPr>
      <w:rFonts w:ascii="Times New Roman" w:eastAsia="Calibri" w:hAnsi="Times New Roman" w:cs="Times New Roman"/>
      <w:sz w:val="20"/>
      <w:szCs w:val="20"/>
      <w:lang w:eastAsia="en-US"/>
    </w:rPr>
  </w:style>
  <w:style w:type="character" w:customStyle="1" w:styleId="Titre9Car">
    <w:name w:val="Titre 9 Car"/>
    <w:link w:val="Titre9"/>
    <w:semiHidden/>
    <w:rsid w:val="003B4550"/>
    <w:rPr>
      <w:rFonts w:ascii="Times New Roman" w:eastAsia="Calibri" w:hAnsi="Times New Roman" w:cs="Times New Roman"/>
      <w:sz w:val="20"/>
      <w:szCs w:val="20"/>
      <w:lang w:eastAsia="en-US"/>
    </w:rPr>
  </w:style>
  <w:style w:type="character" w:styleId="Numrodepage">
    <w:name w:val="page number"/>
    <w:aliases w:val="7_G"/>
    <w:rsid w:val="004A2814"/>
    <w:rPr>
      <w:rFonts w:ascii="Times New Roman" w:hAnsi="Times New Roman"/>
      <w:b/>
      <w:sz w:val="18"/>
    </w:rPr>
  </w:style>
  <w:style w:type="paragraph" w:styleId="Textedebulles">
    <w:name w:val="Balloon Text"/>
    <w:basedOn w:val="Normal"/>
    <w:link w:val="TextedebullesCar"/>
    <w:uiPriority w:val="99"/>
    <w:semiHidden/>
    <w:unhideWhenUsed/>
    <w:rsid w:val="00AF4876"/>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AF4876"/>
    <w:rPr>
      <w:rFonts w:ascii="Tahoma" w:eastAsia="Calibri" w:hAnsi="Tahoma" w:cs="Tahoma"/>
      <w:sz w:val="16"/>
      <w:szCs w:val="16"/>
      <w:lang w:eastAsia="en-US"/>
    </w:rPr>
  </w:style>
  <w:style w:type="table" w:styleId="Grilledutableau">
    <w:name w:val="Table Grid"/>
    <w:basedOn w:val="TableauNormal"/>
    <w:uiPriority w:val="59"/>
    <w:rsid w:val="004A2814"/>
    <w:pPr>
      <w:suppressAutoHyphens/>
      <w:spacing w:line="240" w:lineRule="atLeast"/>
    </w:pPr>
    <w:rPr>
      <w:rFonts w:ascii="Times New Roman" w:eastAsia="Calibr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4068C2"/>
    <w:pPr>
      <w:suppressAutoHyphens w:val="0"/>
      <w:kinsoku/>
      <w:overflowPunct/>
      <w:autoSpaceDE/>
      <w:autoSpaceDN/>
      <w:adjustRightInd/>
      <w:snapToGrid/>
      <w:spacing w:line="240" w:lineRule="auto"/>
      <w:ind w:left="720"/>
      <w:contextualSpacing/>
    </w:pPr>
    <w:rPr>
      <w:rFonts w:asciiTheme="minorHAnsi" w:eastAsiaTheme="minorEastAsia" w:hAnsiTheme="minorHAnsi" w:cstheme="minorBidi"/>
      <w:noProof/>
      <w:sz w:val="24"/>
      <w:szCs w:val="24"/>
      <w:lang w:val="fr-FR" w:eastAsia="da-DK"/>
    </w:rPr>
  </w:style>
  <w:style w:type="character" w:styleId="Marquedecommentaire">
    <w:name w:val="annotation reference"/>
    <w:basedOn w:val="Policepardfaut"/>
    <w:uiPriority w:val="99"/>
    <w:semiHidden/>
    <w:unhideWhenUsed/>
    <w:rsid w:val="004068C2"/>
    <w:rPr>
      <w:sz w:val="16"/>
      <w:szCs w:val="16"/>
    </w:rPr>
  </w:style>
  <w:style w:type="paragraph" w:styleId="Commentaire">
    <w:name w:val="annotation text"/>
    <w:basedOn w:val="Normal"/>
    <w:link w:val="CommentaireCar"/>
    <w:uiPriority w:val="99"/>
    <w:semiHidden/>
    <w:unhideWhenUsed/>
    <w:rsid w:val="00FC4D7F"/>
    <w:pPr>
      <w:spacing w:line="240" w:lineRule="auto"/>
    </w:pPr>
  </w:style>
  <w:style w:type="character" w:customStyle="1" w:styleId="CommentaireCar">
    <w:name w:val="Commentaire Car"/>
    <w:basedOn w:val="Policepardfaut"/>
    <w:link w:val="Commentaire"/>
    <w:uiPriority w:val="99"/>
    <w:semiHidden/>
    <w:rsid w:val="00FC4D7F"/>
    <w:rPr>
      <w:rFonts w:ascii="Times New Roman" w:eastAsia="Calibri" w:hAnsi="Times New Roman" w:cs="Times New Roman"/>
      <w:lang w:eastAsia="en-US"/>
    </w:rPr>
  </w:style>
  <w:style w:type="paragraph" w:styleId="Objetducommentaire">
    <w:name w:val="annotation subject"/>
    <w:basedOn w:val="Commentaire"/>
    <w:next w:val="Commentaire"/>
    <w:link w:val="ObjetducommentaireCar"/>
    <w:uiPriority w:val="99"/>
    <w:semiHidden/>
    <w:unhideWhenUsed/>
    <w:rsid w:val="00FC4D7F"/>
    <w:rPr>
      <w:b/>
      <w:bCs/>
    </w:rPr>
  </w:style>
  <w:style w:type="character" w:customStyle="1" w:styleId="ObjetducommentaireCar">
    <w:name w:val="Objet du commentaire Car"/>
    <w:basedOn w:val="CommentaireCar"/>
    <w:link w:val="Objetducommentaire"/>
    <w:uiPriority w:val="99"/>
    <w:semiHidden/>
    <w:rsid w:val="00FC4D7F"/>
    <w:rPr>
      <w:rFonts w:ascii="Times New Roman" w:eastAsia="Calibri" w:hAnsi="Times New Roman" w:cs="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B461487-A991-435F-B8E3-E70C7FCB23E6}"/>
</file>

<file path=customXml/itemProps2.xml><?xml version="1.0" encoding="utf-8"?>
<ds:datastoreItem xmlns:ds="http://schemas.openxmlformats.org/officeDocument/2006/customXml" ds:itemID="{EE2585BF-4EC5-4549-9EF9-994F27A1B0B8}"/>
</file>

<file path=customXml/itemProps3.xml><?xml version="1.0" encoding="utf-8"?>
<ds:datastoreItem xmlns:ds="http://schemas.openxmlformats.org/officeDocument/2006/customXml" ds:itemID="{5995C27B-20BA-4741-803F-0B2D99B48461}"/>
</file>

<file path=customXml/itemProps4.xml><?xml version="1.0" encoding="utf-8"?>
<ds:datastoreItem xmlns:ds="http://schemas.openxmlformats.org/officeDocument/2006/customXml" ds:itemID="{804F76F6-BC93-4C21-975C-C74603D45DDC}"/>
</file>

<file path=customXml/itemProps5.xml><?xml version="1.0" encoding="utf-8"?>
<ds:datastoreItem xmlns:ds="http://schemas.openxmlformats.org/officeDocument/2006/customXml" ds:itemID="{DE1C3707-E46C-424F-9081-3219F732D156}"/>
</file>

<file path=docProps/app.xml><?xml version="1.0" encoding="utf-8"?>
<Properties xmlns="http://schemas.openxmlformats.org/officeDocument/2006/extended-properties" xmlns:vt="http://schemas.openxmlformats.org/officeDocument/2006/docPropsVTypes">
  <Template>Normal</Template>
  <TotalTime>4294967279</TotalTime>
  <Pages>96</Pages>
  <Words>28244</Words>
  <Characters>160991</Characters>
  <Application>Microsoft Office Word</Application>
  <DocSecurity>0</DocSecurity>
  <Lines>1341</Lines>
  <Paragraphs>377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Report of the Special Rapporteur on torture and other cruel, inhuman or degrading treatment of punishment, Juan Ernesto Mendez, Addendum - Mission to Mexico in English</vt:lpstr>
      <vt:lpstr>Report of the Special Rapporteur on torture and other cruel, inhuman or degrading treatment of punishment, Juan Ernesto Mendez, Addendum - Mission to Mexico in English</vt:lpstr>
    </vt:vector>
  </TitlesOfParts>
  <Company>DCM</Company>
  <LinksUpToDate>false</LinksUpToDate>
  <CharactersWithSpaces>188858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Special Rapporteur on torture and other cruel, inhuman or degrading treatment of punishment, Juan Ernesto Mendez, Addendum - Mission to Mexico in English</dc:title>
  <dc:creator>Brigoli</dc:creator>
  <cp:keywords>A/HRC/28/68/Add.3</cp:keywords>
  <dc:description>Final</dc:description>
  <cp:lastModifiedBy>Stuart Casey Maslen</cp:lastModifiedBy>
  <cp:revision>11</cp:revision>
  <cp:lastPrinted>2015-09-21T15:36:00Z</cp:lastPrinted>
  <dcterms:created xsi:type="dcterms:W3CDTF">2016-04-11T07:05:00Z</dcterms:created>
  <dcterms:modified xsi:type="dcterms:W3CDTF">2016-04-11T06:55:00Z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
  </property>
  <property fmtid="{D5CDD505-2E9C-101B-9397-08002B2CF9AE}" pid="5" name="display_urn:schemas-microsoft-com:office:office#Author">
    <vt:lpwstr>System Account</vt:lpwstr>
  </property>
  <property fmtid="{D5CDD505-2E9C-101B-9397-08002B2CF9AE}" pid="6" name="TemplateUrl">
    <vt:lpwstr/>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0x0101008822B9E06671B54FA89F14538B9B0FEA</vt:lpwstr>
  </property>
  <property fmtid="{D5CDD505-2E9C-101B-9397-08002B2CF9AE}" pid="11" name="Order">
    <vt:r8>3468700</vt:r8>
  </property>
</Properties>
</file>