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DA" w:rsidRDefault="00CD0DD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CD0DDA" w:rsidRDefault="007C2DC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INFORME RELATORIA ONU </w:t>
      </w:r>
    </w:p>
    <w:p w:rsidR="00CD0DDA" w:rsidRDefault="007C2DC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Diseño y aplicación efectiva de estrategias de vivienda basadas en un </w:t>
      </w:r>
    </w:p>
    <w:p w:rsidR="00CD0DDA" w:rsidRDefault="007C2DC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enfoque de derechos humanos</w:t>
      </w:r>
    </w:p>
    <w:p w:rsidR="00CD0DDA" w:rsidRDefault="00CD0DDA">
      <w:pPr>
        <w:spacing w:after="0" w:line="240" w:lineRule="auto"/>
        <w:jc w:val="center"/>
        <w:rPr>
          <w:rFonts w:ascii="Arial" w:hAnsi="Arial" w:cs="Arial"/>
          <w:b/>
        </w:rPr>
      </w:pPr>
    </w:p>
    <w:p w:rsidR="00CD0DDA" w:rsidRDefault="00CD0DDA">
      <w:pPr>
        <w:spacing w:after="0" w:line="240" w:lineRule="auto"/>
        <w:jc w:val="center"/>
        <w:rPr>
          <w:rFonts w:ascii="Arial" w:hAnsi="Arial" w:cs="Arial"/>
          <w:b/>
        </w:rPr>
      </w:pPr>
    </w:p>
    <w:p w:rsidR="00CD0DDA" w:rsidRDefault="007C2DC7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forma en que las personas sin hogar/sin techo u otras partes interesadas son incluidas en el diseño y aplicación de </w:t>
      </w:r>
      <w:r>
        <w:rPr>
          <w:rFonts w:ascii="Arial" w:hAnsi="Arial" w:cs="Arial"/>
          <w:b/>
        </w:rPr>
        <w:t>estrategias de vivienda.</w:t>
      </w:r>
    </w:p>
    <w:p w:rsidR="00CD0DDA" w:rsidRDefault="00CD0DDA">
      <w:pPr>
        <w:pStyle w:val="ListParagraph"/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</w:rPr>
      </w:pPr>
    </w:p>
    <w:p w:rsidR="00CD0DDA" w:rsidRDefault="007C2DC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Perú existe un déficit habitacional total de 1 millón 860 mil 192 viviendas, del cual el 79% (1’470,947 viviendas) corresponde a un déficit cualitativo</w:t>
      </w:r>
      <w:r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y el 21% (389,745) a un déficit cuantitativo.</w:t>
      </w:r>
      <w:r>
        <w:rPr>
          <w:rStyle w:val="FootnoteReference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Asimismo, el déficit en </w:t>
      </w:r>
      <w:r>
        <w:rPr>
          <w:rFonts w:ascii="Arial" w:hAnsi="Arial" w:cs="Arial"/>
          <w:sz w:val="22"/>
          <w:szCs w:val="22"/>
        </w:rPr>
        <w:t>el área urbana representa el 65% del total, mientras que en el área rural el déficit es menor, 35% del total. No obstante, es importante precisar que el déficit de viviendas en el área rural presenta una especial característica que lo diferencia del défici</w:t>
      </w:r>
      <w:r>
        <w:rPr>
          <w:rFonts w:ascii="Arial" w:hAnsi="Arial" w:cs="Arial"/>
          <w:sz w:val="22"/>
          <w:szCs w:val="22"/>
        </w:rPr>
        <w:t>t urbano, y es que el 98% del déficit rural es de carácter cualitativo frente al 68,9% a nivel urbano. Ello debido a la gran dispersión de las zonas rurales que dificulta la dotación de los servicios básicos.</w:t>
      </w:r>
      <w:r>
        <w:rPr>
          <w:rStyle w:val="FootnoteReference"/>
          <w:rFonts w:ascii="Arial" w:hAnsi="Arial" w:cs="Arial"/>
          <w:sz w:val="22"/>
          <w:szCs w:val="22"/>
        </w:rPr>
        <w:footnoteReference w:id="3"/>
      </w:r>
    </w:p>
    <w:p w:rsidR="00CD0DDA" w:rsidRDefault="00CD0DDA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D0DDA" w:rsidRDefault="007C2DC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Estado peruano, a través del Ministerio de</w:t>
      </w:r>
      <w:r>
        <w:rPr>
          <w:rFonts w:ascii="Arial" w:hAnsi="Arial" w:cs="Arial"/>
          <w:sz w:val="22"/>
          <w:szCs w:val="22"/>
        </w:rPr>
        <w:t xml:space="preserve"> Vivienda, Construcción y Saneamiento, ente rector en la materia, ha diseñado diversos programas de acceso a la vivienda, como los siguientes: </w:t>
      </w:r>
    </w:p>
    <w:p w:rsidR="00CD0DDA" w:rsidRDefault="00CD0DDA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D0DDA" w:rsidRDefault="007C2DC7">
      <w:pPr>
        <w:pStyle w:val="NormalWeb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Programa de Generación de Suelo Urbano</w:t>
      </w:r>
      <w:r>
        <w:rPr>
          <w:rFonts w:ascii="Arial" w:hAnsi="Arial" w:cs="Arial"/>
          <w:sz w:val="22"/>
          <w:szCs w:val="22"/>
        </w:rPr>
        <w:t>,</w:t>
      </w:r>
      <w:r>
        <w:rPr>
          <w:rStyle w:val="FootnoteReference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tiene como propósito atender la demanda de suelo urbano con fines de v</w:t>
      </w:r>
      <w:r>
        <w:rPr>
          <w:rFonts w:ascii="Arial" w:hAnsi="Arial" w:cs="Arial"/>
          <w:sz w:val="22"/>
          <w:szCs w:val="22"/>
        </w:rPr>
        <w:t xml:space="preserve">ivienda social y servicios complementarios de infraestructura y de equipamiento, mediante la promoción de acciones de recuperación y/o transformación urbana. La intervención del programa se da a través de dos modalidades de actuación: </w:t>
      </w:r>
    </w:p>
    <w:p w:rsidR="00CD0DDA" w:rsidRDefault="00CD0DDA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D0DDA" w:rsidRDefault="007C2DC7">
      <w:pPr>
        <w:pStyle w:val="NormalWeb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567" w:hanging="14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Producción de nuevo suelo urbano, mediante el cual se habilitan áreas de propiedad del Estado con aptitud urbana para el desarrollo de proyectos de vivienda con fin social. </w:t>
      </w:r>
    </w:p>
    <w:p w:rsidR="00CD0DDA" w:rsidRDefault="00CD0DDA">
      <w:pPr>
        <w:pStyle w:val="NormalWeb"/>
        <w:tabs>
          <w:tab w:val="left" w:pos="567"/>
        </w:tabs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D0DDA" w:rsidRDefault="007C2DC7">
      <w:pPr>
        <w:pStyle w:val="NormalWeb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567" w:hanging="14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Recuperación del suelo urbano, mediante el cual se recuperan o transforman áreas </w:t>
      </w:r>
      <w:r>
        <w:rPr>
          <w:rFonts w:ascii="Arial" w:hAnsi="Arial" w:cs="Arial"/>
          <w:sz w:val="22"/>
          <w:szCs w:val="22"/>
        </w:rPr>
        <w:t xml:space="preserve">urbanas deterioradas o subutilizadas que sean aptas para el desarrollo de proyectos de vivienda con fin social. </w:t>
      </w:r>
    </w:p>
    <w:p w:rsidR="00CD0DDA" w:rsidRDefault="00CD0DDA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D0DDA" w:rsidRDefault="007C2DC7">
      <w:pPr>
        <w:pStyle w:val="NormalWeb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Programa de Mejoramiento Integral de Barrios</w:t>
      </w:r>
      <w:r>
        <w:rPr>
          <w:rFonts w:ascii="Arial" w:hAnsi="Arial" w:cs="Arial"/>
          <w:sz w:val="22"/>
          <w:szCs w:val="22"/>
        </w:rPr>
        <w:t>,</w:t>
      </w:r>
      <w:r>
        <w:rPr>
          <w:rStyle w:val="FootnoteReference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 tiene como propósito contribuir a mejorar la calidad de vida de la población urbana residente </w:t>
      </w:r>
      <w:r>
        <w:rPr>
          <w:rFonts w:ascii="Arial" w:hAnsi="Arial" w:cs="Arial"/>
          <w:sz w:val="22"/>
          <w:szCs w:val="22"/>
        </w:rPr>
        <w:t xml:space="preserve">en barrios urbano marginales, mediante la actuación coordinada y concurrente del Ministerio de Vivienda, las municipalidades y la comunidad barrial. </w:t>
      </w:r>
    </w:p>
    <w:p w:rsidR="00CD0DDA" w:rsidRDefault="007C2DC7">
      <w:pPr>
        <w:pStyle w:val="NormalWeb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Programa Nuestras Ciudades</w:t>
      </w:r>
      <w:r>
        <w:rPr>
          <w:rFonts w:ascii="Arial" w:hAnsi="Arial" w:cs="Arial"/>
          <w:sz w:val="22"/>
          <w:szCs w:val="22"/>
        </w:rPr>
        <w:t>,</w:t>
      </w:r>
      <w:r>
        <w:rPr>
          <w:rStyle w:val="FootnoteReference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tiene como objetivo promover el crecimiento, conservación, mejoramiento, prot</w:t>
      </w:r>
      <w:r>
        <w:rPr>
          <w:rFonts w:ascii="Arial" w:hAnsi="Arial" w:cs="Arial"/>
          <w:sz w:val="22"/>
          <w:szCs w:val="22"/>
        </w:rPr>
        <w:t xml:space="preserve">ección e integración de las ciudades, de manera que contribuyan  a mejorar la calidad de vida de la población. </w:t>
      </w:r>
    </w:p>
    <w:p w:rsidR="00CD0DDA" w:rsidRDefault="00CD0DDA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D0DDA" w:rsidRDefault="007C2DC7">
      <w:pPr>
        <w:pStyle w:val="NormalWeb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 programa interviene en ciudades que cuenten con una población mayor a 5 mil habitantes y preferentemente a población de zonas de frontera,</w:t>
      </w:r>
      <w:r>
        <w:rPr>
          <w:rFonts w:ascii="Arial" w:hAnsi="Arial" w:cs="Arial"/>
          <w:sz w:val="22"/>
          <w:szCs w:val="22"/>
        </w:rPr>
        <w:t xml:space="preserve"> a las afectadas por fenómenos naturales y, las que por razones de ubicación y/o función real o potencial resulten siendo estratégicas para el desarrollo nacional. Este programa incluye el reasentamiento de ciudades existentes y/o fundación de nuevas ciuda</w:t>
      </w:r>
      <w:r>
        <w:rPr>
          <w:rFonts w:ascii="Arial" w:hAnsi="Arial" w:cs="Arial"/>
          <w:sz w:val="22"/>
          <w:szCs w:val="22"/>
        </w:rPr>
        <w:t xml:space="preserve">des. </w:t>
      </w:r>
    </w:p>
    <w:p w:rsidR="00CD0DDA" w:rsidRDefault="00CD0DDA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D0DDA" w:rsidRDefault="007C2DC7">
      <w:pPr>
        <w:pStyle w:val="NormalWeb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 Programa Nacional de Vivienda Rural</w:t>
      </w:r>
      <w:r>
        <w:rPr>
          <w:rFonts w:ascii="Arial" w:hAnsi="Arial" w:cs="Arial"/>
          <w:sz w:val="22"/>
          <w:szCs w:val="22"/>
        </w:rPr>
        <w:t>,</w:t>
      </w:r>
      <w:r>
        <w:rPr>
          <w:rStyle w:val="FootnoteReference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 tiene como objetivo mejorar, reconstruir y reforzar las condiciones de la vivienda rural de las poblaciones que se encuentren en situación de pobreza y pobreza extrema. A través de este programa se construyen</w:t>
      </w:r>
      <w:r>
        <w:rPr>
          <w:rFonts w:ascii="Arial" w:hAnsi="Arial" w:cs="Arial"/>
          <w:sz w:val="22"/>
          <w:szCs w:val="22"/>
        </w:rPr>
        <w:t xml:space="preserve"> unidades habitacionales confortables y seguras, que brinden un confort térmico, especialmente en zonas con temporadas de heladas, contribuyendo a su inclusión social.  También se orienta a fortalecer las capacidades de los pobladores para generar mayores </w:t>
      </w:r>
      <w:r>
        <w:rPr>
          <w:rFonts w:ascii="Arial" w:hAnsi="Arial" w:cs="Arial"/>
          <w:sz w:val="22"/>
          <w:szCs w:val="22"/>
        </w:rPr>
        <w:t xml:space="preserve">oportunidades de desarrollo en su entorno. </w:t>
      </w:r>
    </w:p>
    <w:p w:rsidR="00CD0DDA" w:rsidRDefault="00CD0DDA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D0DDA" w:rsidRDefault="007C2DC7">
      <w:pPr>
        <w:pStyle w:val="NormalWeb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 Fondo Mi Vivienda</w:t>
      </w:r>
      <w:r>
        <w:rPr>
          <w:rFonts w:ascii="Arial" w:hAnsi="Arial" w:cs="Arial"/>
          <w:sz w:val="22"/>
          <w:szCs w:val="22"/>
        </w:rPr>
        <w:t>,</w:t>
      </w:r>
      <w:r>
        <w:rPr>
          <w:rStyle w:val="FootnoteReference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es un fondo hipotecario de promoción de la vivienda, que tiene como objetivo el financiamiento para la adquisición, mejoramiento y construcción de viviendas, especialmente las de interés s</w:t>
      </w:r>
      <w:r>
        <w:rPr>
          <w:rFonts w:ascii="Arial" w:hAnsi="Arial" w:cs="Arial"/>
          <w:sz w:val="22"/>
          <w:szCs w:val="22"/>
        </w:rPr>
        <w:t>ocial. Este fondo se ejecuta a través de las siguientes modalidades:</w:t>
      </w:r>
    </w:p>
    <w:p w:rsidR="00CD0DDA" w:rsidRDefault="00CD0DDA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D0DDA" w:rsidRDefault="007C2DC7">
      <w:pPr>
        <w:pStyle w:val="NormalWeb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567" w:hanging="14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Nuevo Crédito Mi Vivienda</w:t>
      </w:r>
      <w:r>
        <w:rPr>
          <w:rFonts w:ascii="Arial" w:hAnsi="Arial" w:cs="Arial"/>
          <w:sz w:val="22"/>
          <w:szCs w:val="22"/>
        </w:rPr>
        <w:t xml:space="preserve">, es un crédito hipotecario que permite comprar una vivienda (nueva o usada), construir en terreno propio o aires </w:t>
      </w:r>
      <w:proofErr w:type="spellStart"/>
      <w:r>
        <w:rPr>
          <w:rFonts w:ascii="Arial" w:hAnsi="Arial" w:cs="Arial"/>
          <w:sz w:val="22"/>
          <w:szCs w:val="22"/>
        </w:rPr>
        <w:t>independizables</w:t>
      </w:r>
      <w:proofErr w:type="spellEnd"/>
      <w:r>
        <w:rPr>
          <w:rFonts w:ascii="Arial" w:hAnsi="Arial" w:cs="Arial"/>
          <w:sz w:val="22"/>
          <w:szCs w:val="22"/>
        </w:rPr>
        <w:t xml:space="preserve"> o mejorar la vivienda. Financia</w:t>
      </w:r>
      <w:r>
        <w:rPr>
          <w:rFonts w:ascii="Arial" w:hAnsi="Arial" w:cs="Arial"/>
          <w:sz w:val="22"/>
          <w:szCs w:val="22"/>
        </w:rPr>
        <w:t xml:space="preserve"> viviendas cuyo valor este entre S/56,700 soles hasta S</w:t>
      </w:r>
      <w:r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405,000 </w:t>
      </w:r>
      <w:proofErr w:type="gramStart"/>
      <w:r>
        <w:rPr>
          <w:rFonts w:ascii="Arial" w:hAnsi="Arial" w:cs="Arial"/>
          <w:sz w:val="22"/>
          <w:szCs w:val="22"/>
        </w:rPr>
        <w:t>soles,  en</w:t>
      </w:r>
      <w:proofErr w:type="gramEnd"/>
      <w:r>
        <w:rPr>
          <w:rFonts w:ascii="Arial" w:hAnsi="Arial" w:cs="Arial"/>
          <w:sz w:val="22"/>
          <w:szCs w:val="22"/>
        </w:rPr>
        <w:t xml:space="preserve"> un plazo de pago de 5 a 20 años. </w:t>
      </w:r>
    </w:p>
    <w:p w:rsidR="00CD0DDA" w:rsidRDefault="00CD0DDA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D0DDA" w:rsidRDefault="007C2DC7">
      <w:pPr>
        <w:pStyle w:val="NormalWeb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567" w:hanging="14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 Bono de Buen Pagador</w:t>
      </w:r>
      <w:r>
        <w:rPr>
          <w:rFonts w:ascii="Arial" w:hAnsi="Arial" w:cs="Arial"/>
          <w:sz w:val="22"/>
          <w:szCs w:val="22"/>
        </w:rPr>
        <w:t>,</w:t>
      </w:r>
      <w:r>
        <w:rPr>
          <w:rStyle w:val="FootnoteReference"/>
          <w:rFonts w:ascii="Arial" w:hAnsi="Arial" w:cs="Arial"/>
          <w:sz w:val="22"/>
          <w:szCs w:val="22"/>
        </w:rPr>
        <w:footnoteReference w:id="9"/>
      </w:r>
      <w:r>
        <w:rPr>
          <w:rFonts w:ascii="Arial" w:hAnsi="Arial" w:cs="Arial"/>
          <w:sz w:val="22"/>
          <w:szCs w:val="22"/>
        </w:rPr>
        <w:t xml:space="preserve"> es un bono de ayuda económica directa no reembolsable, que se le otorga a personas que cumplen con pagar sus cuotas derivadas del Crédito Mi Vivienda de manera oportuna. </w:t>
      </w:r>
    </w:p>
    <w:p w:rsidR="00CD0DDA" w:rsidRDefault="00CD0DDA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D0DDA" w:rsidRDefault="007C2DC7">
      <w:pPr>
        <w:pStyle w:val="NormalWeb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567" w:hanging="14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Programa Techo Propio</w:t>
      </w:r>
      <w:r>
        <w:rPr>
          <w:rFonts w:ascii="Arial" w:hAnsi="Arial" w:cs="Arial"/>
          <w:sz w:val="22"/>
          <w:szCs w:val="22"/>
        </w:rPr>
        <w:t>,</w:t>
      </w:r>
      <w:r>
        <w:rPr>
          <w:rStyle w:val="FootnoteReference"/>
          <w:rFonts w:ascii="Arial" w:hAnsi="Arial" w:cs="Arial"/>
          <w:sz w:val="22"/>
          <w:szCs w:val="22"/>
        </w:rPr>
        <w:footnoteReference w:id="10"/>
      </w:r>
      <w:r>
        <w:rPr>
          <w:rFonts w:ascii="Arial" w:hAnsi="Arial" w:cs="Arial"/>
          <w:sz w:val="22"/>
          <w:szCs w:val="22"/>
        </w:rPr>
        <w:t xml:space="preserve"> tiene como objetivo promover mecanismos que permitan el acc</w:t>
      </w:r>
      <w:r>
        <w:rPr>
          <w:rFonts w:ascii="Arial" w:hAnsi="Arial" w:cs="Arial"/>
          <w:sz w:val="22"/>
          <w:szCs w:val="22"/>
        </w:rPr>
        <w:t>eso de los sectores populares a una vivienda digna, de acuerdo a sus posibilidades económicas. Asimismo, estimular la participación del sector privado en la construcción masiva de viviendas de interés social. Está dirigido a familias con ingresos familiare</w:t>
      </w:r>
      <w:r>
        <w:rPr>
          <w:rFonts w:ascii="Arial" w:hAnsi="Arial" w:cs="Arial"/>
          <w:sz w:val="22"/>
          <w:szCs w:val="22"/>
        </w:rPr>
        <w:t xml:space="preserve">s mensuales que no excedan los S/2,617 soles, para comprar y de S/2,038 soles, para construir o mejorar su vivienda, la misma que contará con servicios básicos de luz, agua y desagüe. </w:t>
      </w:r>
    </w:p>
    <w:p w:rsidR="00CD0DDA" w:rsidRDefault="00CD0DDA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D0DDA" w:rsidRDefault="007C2DC7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beneficio que se otorga a través de este programa, es un Bono Famil</w:t>
      </w:r>
      <w:r>
        <w:rPr>
          <w:rFonts w:ascii="Arial" w:hAnsi="Arial" w:cs="Arial"/>
          <w:sz w:val="22"/>
          <w:szCs w:val="22"/>
        </w:rPr>
        <w:t>iar Habitacional (BFH)</w:t>
      </w:r>
      <w:r>
        <w:rPr>
          <w:rStyle w:val="FootnoteReference"/>
          <w:rFonts w:ascii="Arial" w:hAnsi="Arial" w:cs="Arial"/>
          <w:sz w:val="22"/>
          <w:szCs w:val="22"/>
        </w:rPr>
        <w:footnoteReference w:id="11"/>
      </w:r>
      <w:r>
        <w:rPr>
          <w:rFonts w:ascii="Arial" w:hAnsi="Arial" w:cs="Arial"/>
          <w:sz w:val="22"/>
          <w:szCs w:val="22"/>
        </w:rPr>
        <w:t xml:space="preserve"> que constituye un subsidio directo que otorga el Estado a una familia de manera gratuita como premio a su esfuerzo ahorrador y no es retornable.</w:t>
      </w:r>
    </w:p>
    <w:p w:rsidR="00CD0DDA" w:rsidRDefault="00CD0DDA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D0DDA" w:rsidRDefault="007C2DC7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valor del bono depende de la opción de la familia: para la compra de viviendas el b</w:t>
      </w:r>
      <w:r>
        <w:rPr>
          <w:rFonts w:ascii="Arial" w:hAnsi="Arial" w:cs="Arial"/>
          <w:sz w:val="22"/>
          <w:szCs w:val="22"/>
        </w:rPr>
        <w:t xml:space="preserve">ono asciende a la suma de S/32,400 soles, para la construcción de viviendas, puede ser de S/19,035 soles o 14,175 soles, el monto dependerá del presupuesto de la obra, y para la mejora de las viviendas el bono asciende a la suma de S/9,315 soles. </w:t>
      </w:r>
    </w:p>
    <w:p w:rsidR="00CD0DDA" w:rsidRDefault="00CD0DDA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D0DDA" w:rsidRDefault="007C2DC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otr</w:t>
      </w:r>
      <w:r>
        <w:rPr>
          <w:rFonts w:ascii="Arial" w:hAnsi="Arial" w:cs="Arial"/>
          <w:sz w:val="22"/>
          <w:szCs w:val="22"/>
        </w:rPr>
        <w:t>o lado, es oportuno señalar que durante el verano 2017, el Perú enfrentó el fenómeno de El Niño Costero</w:t>
      </w:r>
      <w:r>
        <w:rPr>
          <w:rStyle w:val="FootnoteReference"/>
          <w:rFonts w:ascii="Arial" w:hAnsi="Arial" w:cs="Arial"/>
          <w:sz w:val="22"/>
          <w:szCs w:val="22"/>
        </w:rPr>
        <w:footnoteReference w:id="12"/>
      </w:r>
      <w:r>
        <w:rPr>
          <w:rFonts w:ascii="Arial" w:hAnsi="Arial" w:cs="Arial"/>
          <w:sz w:val="22"/>
          <w:szCs w:val="22"/>
        </w:rPr>
        <w:t xml:space="preserve"> que ocasionó daños a la vida e integridad de la población, así como cuantiosos daños materiales. Entre estos se afectó un total </w:t>
      </w:r>
      <w:proofErr w:type="gramStart"/>
      <w:r>
        <w:rPr>
          <w:rFonts w:ascii="Arial" w:hAnsi="Arial" w:cs="Arial"/>
          <w:sz w:val="22"/>
          <w:szCs w:val="22"/>
        </w:rPr>
        <w:t>de  48,731</w:t>
      </w:r>
      <w:proofErr w:type="gramEnd"/>
      <w:r>
        <w:rPr>
          <w:rFonts w:ascii="Arial" w:hAnsi="Arial" w:cs="Arial"/>
          <w:sz w:val="22"/>
          <w:szCs w:val="22"/>
        </w:rPr>
        <w:t xml:space="preserve"> viviendas ub</w:t>
      </w:r>
      <w:r>
        <w:rPr>
          <w:rFonts w:ascii="Arial" w:hAnsi="Arial" w:cs="Arial"/>
          <w:sz w:val="22"/>
          <w:szCs w:val="22"/>
        </w:rPr>
        <w:t>icadas en los departamentos de Lambayeque, Piura, La Libertad, Lima, Ancash, Arequipa, Huancavelica, Ica, Loreto, Cajamarca, Tumbes y Ayacucho. De estas viviendas, 33,939 quedaron inhabitables (con daños estructurales recuperables) y 14,792 colapsadas (con</w:t>
      </w:r>
      <w:r>
        <w:rPr>
          <w:rFonts w:ascii="Arial" w:hAnsi="Arial" w:cs="Arial"/>
          <w:sz w:val="22"/>
          <w:szCs w:val="22"/>
        </w:rPr>
        <w:t xml:space="preserve"> daños estructurales irreparables).</w:t>
      </w:r>
      <w:r>
        <w:rPr>
          <w:rStyle w:val="FootnoteReference"/>
          <w:rFonts w:ascii="Arial" w:hAnsi="Arial" w:cs="Arial"/>
          <w:sz w:val="22"/>
          <w:szCs w:val="22"/>
        </w:rPr>
        <w:footnoteReference w:id="13"/>
      </w:r>
    </w:p>
    <w:p w:rsidR="00CD0DDA" w:rsidRDefault="00CD0DDA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D0DDA" w:rsidRDefault="007C2DC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ese marco, el Estado peruano mediante la Ley Nº 30556</w:t>
      </w:r>
      <w:r>
        <w:rPr>
          <w:rStyle w:val="FootnoteReference"/>
          <w:rFonts w:ascii="Arial" w:hAnsi="Arial" w:cs="Arial"/>
          <w:sz w:val="22"/>
          <w:szCs w:val="22"/>
        </w:rPr>
        <w:footnoteReference w:id="14"/>
      </w:r>
      <w:r>
        <w:rPr>
          <w:rFonts w:ascii="Arial" w:hAnsi="Arial" w:cs="Arial"/>
          <w:sz w:val="22"/>
          <w:szCs w:val="22"/>
        </w:rPr>
        <w:t xml:space="preserve"> aprobó disposiciones de carácter extraordinario para las intervenciones del gobierno nacional frente a desastres y creó una Autoridad para la Reconstrucción con</w:t>
      </w:r>
      <w:r>
        <w:rPr>
          <w:rFonts w:ascii="Arial" w:hAnsi="Arial" w:cs="Arial"/>
          <w:sz w:val="22"/>
          <w:szCs w:val="22"/>
        </w:rPr>
        <w:t xml:space="preserve"> Cambios. En dicha norma, contempla la aprobación de un plan integral de reconstrucción, que deberá contener el conjunto de actividades para el restablecimiento de los principales bienes y servicios afectados, entre ellos, incluir programas de viviendas de</w:t>
      </w:r>
      <w:r>
        <w:rPr>
          <w:rFonts w:ascii="Arial" w:hAnsi="Arial" w:cs="Arial"/>
          <w:sz w:val="22"/>
          <w:szCs w:val="22"/>
        </w:rPr>
        <w:t xml:space="preserve"> interés social. </w:t>
      </w:r>
    </w:p>
    <w:p w:rsidR="00CD0DDA" w:rsidRDefault="00CD0DDA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D0DDA" w:rsidRDefault="007C2DC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esta manera, en materia de vivienda, el plan ha considerado tres tipos de intervención a través de subvenciones o bonos habitacionales familiares (BHF): i) BHF para reforzamiento de viviendas; ii) BHF para construcción en sitio propio</w:t>
      </w:r>
      <w:r>
        <w:rPr>
          <w:rFonts w:ascii="Arial" w:hAnsi="Arial" w:cs="Arial"/>
          <w:sz w:val="22"/>
          <w:szCs w:val="22"/>
        </w:rPr>
        <w:t>; y, iii) BHF para adquisición de vivienda nueva. Asimismo, se tiene previsto una inversión de S/1’113,568,860 soles.</w:t>
      </w:r>
      <w:r>
        <w:rPr>
          <w:rStyle w:val="FootnoteReference"/>
          <w:rFonts w:ascii="Arial" w:hAnsi="Arial" w:cs="Arial"/>
          <w:sz w:val="22"/>
          <w:szCs w:val="22"/>
        </w:rPr>
        <w:footnoteReference w:id="15"/>
      </w:r>
    </w:p>
    <w:p w:rsidR="00CD0DDA" w:rsidRDefault="00CD0DDA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D0DDA" w:rsidRDefault="007C2DC7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forma en que las diversas necesidades y situaciones de los diferentes grupos de población, especialmente de los más marginados y excl</w:t>
      </w:r>
      <w:r>
        <w:rPr>
          <w:rFonts w:ascii="Arial" w:hAnsi="Arial" w:cs="Arial"/>
          <w:b/>
        </w:rPr>
        <w:t xml:space="preserve">uidos, son consideradas, consultadas e incorporadas en las estrategias. </w:t>
      </w:r>
    </w:p>
    <w:p w:rsidR="00CD0DDA" w:rsidRDefault="00CD0D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:rsidR="00CD0DDA" w:rsidRDefault="007C2DC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la Ley Nº 30533,</w:t>
      </w:r>
      <w:r>
        <w:rPr>
          <w:rStyle w:val="FootnoteReference"/>
          <w:rFonts w:ascii="Arial" w:hAnsi="Arial" w:cs="Arial"/>
        </w:rPr>
        <w:footnoteReference w:id="16"/>
      </w:r>
      <w:r>
        <w:rPr>
          <w:rFonts w:ascii="Arial" w:hAnsi="Arial" w:cs="Arial"/>
        </w:rPr>
        <w:t xml:space="preserve"> se autorizó al Ministerio de Vivienda, Construcción y Saneamiento para realizar sus intervenciones a través de núcleos ejecutores, con la </w:t>
      </w:r>
      <w:r>
        <w:rPr>
          <w:rFonts w:ascii="Arial" w:hAnsi="Arial" w:cs="Arial"/>
        </w:rPr>
        <w:lastRenderedPageBreak/>
        <w:t>finalidad de mejorar las condiciones de vida de la población pobre y extremadamente pobre asentada en los centros pob</w:t>
      </w:r>
      <w:r>
        <w:rPr>
          <w:rFonts w:ascii="Arial" w:hAnsi="Arial" w:cs="Arial"/>
        </w:rPr>
        <w:t xml:space="preserve">lados rurales y rurales dispersos. </w:t>
      </w:r>
    </w:p>
    <w:p w:rsidR="00CD0DDA" w:rsidRDefault="00CD0D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CD0DDA" w:rsidRDefault="007C2DC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núcleos ejecutores están conformados por poblaciones organizadas que habitan en centros poblados de zonas rurales de pobreza y pobreza extrema. Están organizados por un presidente, un secretario, un tesorero y un fi</w:t>
      </w:r>
      <w:r>
        <w:rPr>
          <w:rFonts w:ascii="Arial" w:hAnsi="Arial" w:cs="Arial"/>
        </w:rPr>
        <w:t xml:space="preserve">scal, que son elegidos de manera democrática en asamblea del núcleo ejecutor. Asimismo, gozan de capacidad jurídica para contratar e intervenir en el desarrollo de los proyectos y están facultados para administrar los recursos financieros transferidos por </w:t>
      </w:r>
      <w:r>
        <w:rPr>
          <w:rFonts w:ascii="Arial" w:hAnsi="Arial" w:cs="Arial"/>
        </w:rPr>
        <w:t xml:space="preserve">el ministerio.  </w:t>
      </w:r>
    </w:p>
    <w:p w:rsidR="00CD0DDA" w:rsidRDefault="007C2DC7">
      <w:pPr>
        <w:tabs>
          <w:tab w:val="left" w:pos="284"/>
        </w:tabs>
        <w:spacing w:after="0" w:line="240" w:lineRule="auto"/>
        <w:jc w:val="both"/>
        <w:rPr>
          <w:rStyle w:val="no-style-override-2"/>
          <w:rFonts w:ascii="Arial" w:eastAsia="Times New Roman" w:hAnsi="Arial" w:cs="Arial"/>
          <w:color w:val="000000"/>
          <w:sz w:val="18"/>
          <w:szCs w:val="18"/>
          <w:lang w:eastAsia="es-PE"/>
        </w:rPr>
      </w:pPr>
      <w:r>
        <w:rPr>
          <w:rStyle w:val="no-style-override-2"/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 </w:t>
      </w:r>
    </w:p>
    <w:p w:rsidR="00CD0DDA" w:rsidRDefault="007C2DC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través de los núcleos ejecutores se pueden ejecutar proyectos de mejoramiento de vivienda rural, así como proyectos de construcción y mejoramiento de infraestructura e infraestructura productiva, en las zonas rurales y rurales dispersa</w:t>
      </w:r>
      <w:r>
        <w:rPr>
          <w:rFonts w:ascii="Arial" w:hAnsi="Arial" w:cs="Arial"/>
        </w:rPr>
        <w:t>s.</w:t>
      </w:r>
      <w:r>
        <w:rPr>
          <w:rStyle w:val="FootnoteReference"/>
          <w:rFonts w:ascii="Arial" w:hAnsi="Arial" w:cs="Arial"/>
        </w:rPr>
        <w:footnoteReference w:id="17"/>
      </w:r>
    </w:p>
    <w:p w:rsidR="00CD0DDA" w:rsidRDefault="00CD0D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CD0DDA" w:rsidRDefault="007C2DC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</w:t>
      </w:r>
      <w:proofErr w:type="gramStart"/>
      <w:r>
        <w:rPr>
          <w:rFonts w:ascii="Arial" w:hAnsi="Arial" w:cs="Arial"/>
        </w:rPr>
        <w:t>precisar  que</w:t>
      </w:r>
      <w:proofErr w:type="gramEnd"/>
      <w:r>
        <w:rPr>
          <w:rFonts w:ascii="Arial" w:hAnsi="Arial" w:cs="Arial"/>
        </w:rPr>
        <w:t>, en caso se implemente la ejecución de un programa o proyecto a través del núcleo ejecutor, el Ministerio de Vivienda, Construcción y Saneamiento tiene la obligación de hacer el seguimiento y monitoreo físico y financiero a la obra.</w:t>
      </w:r>
      <w:r>
        <w:rPr>
          <w:rFonts w:ascii="Arial" w:hAnsi="Arial" w:cs="Arial"/>
        </w:rPr>
        <w:t xml:space="preserve"> Además, la norma también contempla que los gobiernos locales del lugar donde se ejecute el proyecto, deberán designar a un veedor en la gestión del núcleo ejecutor. </w:t>
      </w:r>
    </w:p>
    <w:p w:rsidR="00CD0DDA" w:rsidRDefault="00CD0DDA">
      <w:pPr>
        <w:tabs>
          <w:tab w:val="left" w:pos="284"/>
        </w:tabs>
        <w:spacing w:after="0" w:line="240" w:lineRule="auto"/>
        <w:jc w:val="both"/>
        <w:rPr>
          <w:rStyle w:val="no-style-override-2"/>
          <w:rFonts w:ascii="Arial" w:eastAsia="Times New Roman" w:hAnsi="Arial" w:cs="Arial"/>
          <w:color w:val="000000"/>
          <w:sz w:val="18"/>
          <w:szCs w:val="18"/>
          <w:lang w:eastAsia="es-PE"/>
        </w:rPr>
      </w:pPr>
    </w:p>
    <w:p w:rsidR="00CD0DDA" w:rsidRDefault="007C2DC7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forma en que las funciones de los distintos niveles de gobierno y otras autoridades están coordinadas o incorporadas. </w:t>
      </w:r>
    </w:p>
    <w:p w:rsidR="00CD0DDA" w:rsidRDefault="00CD0DDA">
      <w:pPr>
        <w:pStyle w:val="ListParagraph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CD0DDA" w:rsidRDefault="007C2D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al diseño constitucional, el Estado peruano es unitario, representativo y descentralizado.</w:t>
      </w:r>
      <w:r>
        <w:rPr>
          <w:rStyle w:val="FootnoteReference"/>
          <w:rFonts w:ascii="Arial" w:hAnsi="Arial" w:cs="Arial"/>
        </w:rPr>
        <w:footnoteReference w:id="18"/>
      </w:r>
      <w:r>
        <w:rPr>
          <w:rFonts w:ascii="Arial" w:hAnsi="Arial" w:cs="Arial"/>
        </w:rPr>
        <w:t xml:space="preserve"> En ese sentido, </w:t>
      </w:r>
      <w:r>
        <w:rPr>
          <w:rFonts w:ascii="Arial" w:hAnsi="Arial" w:cs="Arial"/>
          <w:lang w:val="es-MX"/>
        </w:rPr>
        <w:t xml:space="preserve">Ley Nº 27680, </w:t>
      </w:r>
      <w:r>
        <w:rPr>
          <w:rFonts w:ascii="Arial" w:hAnsi="Arial" w:cs="Arial"/>
          <w:lang w:val="es-MX"/>
        </w:rPr>
        <w:t>Ley de Reforma Constitucional del Capítulo XIV del Título IV sobre Descentralización, propone un</w:t>
      </w:r>
      <w:r>
        <w:rPr>
          <w:rFonts w:ascii="Arial" w:hAnsi="Arial" w:cs="Arial"/>
        </w:rPr>
        <w:t xml:space="preserve"> Estado basado en tres niveles de gobierno (nacional, regional y local) con autonomía política, económica y administrativa para el ejercicio de sus competencias</w:t>
      </w:r>
      <w:r>
        <w:rPr>
          <w:rFonts w:ascii="Arial" w:hAnsi="Arial" w:cs="Arial"/>
        </w:rPr>
        <w:t>, en el marco de un Estado unitario y descentralizado.</w:t>
      </w:r>
    </w:p>
    <w:p w:rsidR="00CD0DDA" w:rsidRDefault="00CD0DDA">
      <w:pPr>
        <w:spacing w:after="0" w:line="240" w:lineRule="auto"/>
        <w:jc w:val="both"/>
        <w:rPr>
          <w:rFonts w:ascii="Arial" w:hAnsi="Arial" w:cs="Arial"/>
        </w:rPr>
      </w:pPr>
    </w:p>
    <w:p w:rsidR="00CD0DDA" w:rsidRDefault="007C2D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La Ley Nº 27783, Ley de Bases de la Descentralización, establece que el gobierno nacional, los gobiernos regionales y loca gobiernos locales, mantienen relaciones de coordinación, cooperació</w:t>
      </w:r>
      <w:r>
        <w:rPr>
          <w:rFonts w:ascii="Arial" w:hAnsi="Arial" w:cs="Arial"/>
        </w:rPr>
        <w:t>n y apoyo mutuo, en forma permanente y continua, dentro del ejercicio de su autonomía y sus competencias, articulando el interés nacional con el regional y local.</w:t>
      </w:r>
    </w:p>
    <w:p w:rsidR="00CD0DDA" w:rsidRDefault="00CD0DDA">
      <w:pPr>
        <w:spacing w:after="0" w:line="240" w:lineRule="auto"/>
        <w:jc w:val="both"/>
        <w:rPr>
          <w:rFonts w:ascii="Arial" w:hAnsi="Arial" w:cs="Arial"/>
        </w:rPr>
      </w:pPr>
    </w:p>
    <w:p w:rsidR="00CD0DDA" w:rsidRDefault="007C2D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Bajo ese contexto, el Ministerio de Vivienda, Construcción y Saneamiento, como ente rector d</w:t>
      </w:r>
      <w:r>
        <w:rPr>
          <w:rFonts w:ascii="Arial" w:hAnsi="Arial" w:cs="Arial"/>
        </w:rPr>
        <w:t>e la política nacional de vivienda, construcción y saneamiento, coordina con los gobiernos regionales y locales la formulación e implementación de las distintas intervenciones que realiza a través de las Comisiones Intergubernamentales, así como de la susc</w:t>
      </w:r>
      <w:r>
        <w:rPr>
          <w:rFonts w:ascii="Arial" w:hAnsi="Arial" w:cs="Arial"/>
        </w:rPr>
        <w:t>ripción de convenios interinstitucionales de cooperación y asistencia mutua.</w:t>
      </w:r>
      <w:r>
        <w:rPr>
          <w:rStyle w:val="FootnoteReference"/>
          <w:rFonts w:ascii="Arial" w:hAnsi="Arial" w:cs="Arial"/>
        </w:rPr>
        <w:footnoteReference w:id="19"/>
      </w:r>
    </w:p>
    <w:p w:rsidR="00CD0DDA" w:rsidRDefault="00CD0D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CD0DDA" w:rsidRDefault="007C2DC7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Metas y plazos que se han establecido en las estrategias existentes y su cumplimiento</w:t>
      </w:r>
    </w:p>
    <w:p w:rsidR="00CD0DDA" w:rsidRDefault="00CD0D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CD0DDA" w:rsidRDefault="007C2DC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 acuerdo a la evaluación realizada al Plan Estratégico Institucional 2016—2018 del Minis</w:t>
      </w:r>
      <w:r>
        <w:rPr>
          <w:rFonts w:ascii="Arial" w:hAnsi="Arial" w:cs="Arial"/>
        </w:rPr>
        <w:t>terio de Vivienda, Construcción y Saneamiento correspondiente al 2016,</w:t>
      </w:r>
      <w:r>
        <w:rPr>
          <w:rStyle w:val="FootnoteReference"/>
          <w:rFonts w:ascii="Arial" w:hAnsi="Arial" w:cs="Arial"/>
        </w:rPr>
        <w:footnoteReference w:id="20"/>
      </w:r>
      <w:r>
        <w:rPr>
          <w:rFonts w:ascii="Arial" w:hAnsi="Arial" w:cs="Arial"/>
        </w:rPr>
        <w:t xml:space="preserve"> se advierte que el déficit cuantitativo de vivienda se ha reducido en 0.48%, de un 0.92% que se tenía previsto para dicho año. Ello debido a la insuficiente oferta inmobiliaria de vivi</w:t>
      </w:r>
      <w:r>
        <w:rPr>
          <w:rFonts w:ascii="Arial" w:hAnsi="Arial" w:cs="Arial"/>
        </w:rPr>
        <w:t xml:space="preserve">enda de interés social y el difícil acceso al crédito por parte de los grupos familiares elegibles. </w:t>
      </w:r>
    </w:p>
    <w:p w:rsidR="00CD0DDA" w:rsidRDefault="00CD0D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CD0DDA" w:rsidRDefault="007C2DC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la reducción del déficit cualitativo de la vivienda urbana fue de 6.64%, de un 8.55% previsto, ello debido al insuficiente presupuesto para atender la demanda de viviendas mejoradas. A nivel rural, el informe de evaluación del PEI señala que la r</w:t>
      </w:r>
      <w:r>
        <w:rPr>
          <w:rFonts w:ascii="Arial" w:hAnsi="Arial" w:cs="Arial"/>
        </w:rPr>
        <w:t xml:space="preserve">educción del déficit cualitativo de la vivienda fue de 2.95%, lo que contribuye a la reducción total del déficit de viviendas en el ámbito rural. </w:t>
      </w:r>
    </w:p>
    <w:p w:rsidR="00CD0DDA" w:rsidRDefault="00CD0D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CD0DDA" w:rsidRDefault="007C2DC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Respecto al Programa de Generación de Suelo Urbano, el informe de evaluación señala que se remitió al Fondo </w:t>
      </w:r>
      <w:r>
        <w:rPr>
          <w:rFonts w:ascii="Arial" w:hAnsi="Arial" w:cs="Arial"/>
        </w:rPr>
        <w:t>Mi Vivienda dos expedientes técnicos,</w:t>
      </w:r>
      <w:r>
        <w:rPr>
          <w:rStyle w:val="FootnoteReference"/>
          <w:rFonts w:ascii="Arial" w:hAnsi="Arial" w:cs="Arial"/>
        </w:rPr>
        <w:footnoteReference w:id="21"/>
      </w:r>
      <w:r>
        <w:rPr>
          <w:rFonts w:ascii="Arial" w:hAnsi="Arial" w:cs="Arial"/>
        </w:rPr>
        <w:t xml:space="preserve"> a fin que se realicen los concursos de adjudicación respectivos para la ejecución de obras de habilitación urbana y edificación, lo que beneficiaría a 1,646 familias. Sin embargo, estos procesos se declararon desierto</w:t>
      </w:r>
      <w:r>
        <w:rPr>
          <w:rFonts w:ascii="Arial" w:hAnsi="Arial" w:cs="Arial"/>
        </w:rPr>
        <w:t xml:space="preserve">s, por lo que no fue posible cumplir la meta.  </w:t>
      </w:r>
    </w:p>
    <w:p w:rsidR="00CD0DDA" w:rsidRDefault="00CD0D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CD0DDA" w:rsidRDefault="007C2DC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la misma manera, con relación a las modalidades de asistencia financiera para promover el acceso a una vivienda nueva y mejorada, a la población del ámbito urbano, se entregaron 1,577 Bonos Familiares Hab</w:t>
      </w:r>
      <w:r>
        <w:rPr>
          <w:rFonts w:ascii="Arial" w:hAnsi="Arial" w:cs="Arial"/>
        </w:rPr>
        <w:t xml:space="preserve">itacionales (BFH), de los 3,007 BFH que se tenían previstos entregar. No se alcanzó la meta por la insuficiente oferta inmobiliaria de vivienda de interés social y el difícil acceso al crédito por </w:t>
      </w:r>
      <w:proofErr w:type="gramStart"/>
      <w:r>
        <w:rPr>
          <w:rFonts w:ascii="Arial" w:hAnsi="Arial" w:cs="Arial"/>
        </w:rPr>
        <w:t>parte  de</w:t>
      </w:r>
      <w:proofErr w:type="gramEnd"/>
      <w:r>
        <w:rPr>
          <w:rFonts w:ascii="Arial" w:hAnsi="Arial" w:cs="Arial"/>
        </w:rPr>
        <w:t xml:space="preserve"> los grupos familiares elegibles. </w:t>
      </w:r>
    </w:p>
    <w:p w:rsidR="00CD0DDA" w:rsidRDefault="00CD0DDA">
      <w:pPr>
        <w:tabs>
          <w:tab w:val="left" w:pos="284"/>
        </w:tabs>
        <w:spacing w:after="0" w:line="240" w:lineRule="auto"/>
        <w:jc w:val="both"/>
      </w:pPr>
    </w:p>
    <w:p w:rsidR="00CD0DDA" w:rsidRDefault="007C2DC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Respecto al Pr</w:t>
      </w:r>
      <w:r>
        <w:rPr>
          <w:rFonts w:ascii="Arial" w:hAnsi="Arial" w:cs="Arial"/>
        </w:rPr>
        <w:t xml:space="preserve">ograma Nacional de Vivienda Rural, en el año 2016, 8,187 (62%) familias del ámbito rural fueron beneficiadas con el mejoramiento de sus viviendas, de las 13,186 familias previstas. Cabe precisar que el mejoramiento de las viviendas rurales se realizó bajo </w:t>
      </w:r>
      <w:r>
        <w:rPr>
          <w:rFonts w:ascii="Arial" w:hAnsi="Arial" w:cs="Arial"/>
        </w:rPr>
        <w:t>la modalidad de los núcleos ejecutores. Asimismo, 2,981 familias fueron beneficiadas con la participación en el módulo completo de capacitación para la elaboración de materiales (adobe en viviendas de la sierra y madera en la selva) y en procesos de constr</w:t>
      </w:r>
      <w:r>
        <w:rPr>
          <w:rFonts w:ascii="Arial" w:hAnsi="Arial" w:cs="Arial"/>
        </w:rPr>
        <w:t xml:space="preserve">ucción, de las 2,152 familias previstas en el PEI. </w:t>
      </w:r>
    </w:p>
    <w:p w:rsidR="00CD0DDA" w:rsidRDefault="00CD0D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CD0DDA" w:rsidRDefault="007C2DC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cabe mencionar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si bien se están realizando esfuerzos para mejorar las condiciones de acceso a la vivienda de la población, esto no es suficiente para lograr la cobertura del déficit habit</w:t>
      </w:r>
      <w:r>
        <w:rPr>
          <w:rFonts w:ascii="Arial" w:hAnsi="Arial" w:cs="Arial"/>
        </w:rPr>
        <w:t xml:space="preserve">acional existente. </w:t>
      </w:r>
    </w:p>
    <w:p w:rsidR="00CD0DDA" w:rsidRDefault="00CD0D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CD0DDA" w:rsidRDefault="007C2DC7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Mecanismos independientes de rendición de cuentas que se han puesto en marcha</w:t>
      </w:r>
    </w:p>
    <w:p w:rsidR="00CD0DDA" w:rsidRDefault="00CD0DDA">
      <w:pPr>
        <w:pStyle w:val="ListParagraph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CD0DDA" w:rsidRDefault="007C2DC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Contraloría General de la República, como ente rector en materia de control del presupuesto público, ha implementado el mecanismo de rendición de cuentas</w:t>
      </w:r>
      <w:r>
        <w:rPr>
          <w:rFonts w:ascii="Arial" w:hAnsi="Arial" w:cs="Arial"/>
        </w:rPr>
        <w:t xml:space="preserve"> de los titulares de las entidades del Estado, respecto a los bienes y fondos del Estado a su cargo, así como de los resultados de su gestión.</w:t>
      </w:r>
      <w:r>
        <w:rPr>
          <w:rStyle w:val="FootnoteReference"/>
          <w:rFonts w:ascii="Arial" w:hAnsi="Arial" w:cs="Arial"/>
        </w:rPr>
        <w:footnoteReference w:id="22"/>
      </w:r>
    </w:p>
    <w:p w:rsidR="00CD0DDA" w:rsidRDefault="00CD0D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CD0DDA" w:rsidRDefault="007C2DC7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Roles asignados a las autoridades independientes, como las instituciones nacionales de derechos humanos o defen</w:t>
      </w:r>
      <w:r>
        <w:rPr>
          <w:rFonts w:ascii="Arial" w:hAnsi="Arial" w:cs="Arial"/>
          <w:b/>
        </w:rPr>
        <w:t>sores del pueblo</w:t>
      </w:r>
    </w:p>
    <w:p w:rsidR="00CD0DDA" w:rsidRDefault="00CD0DDA">
      <w:pPr>
        <w:pStyle w:val="ListParagraph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CD0DDA" w:rsidRDefault="007C2DC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Defensoría del Pueblo, por mandato constitucional, tiene como labor la defensa de los derechos constitucionales y fundamentales de la persona y la comunidad.</w:t>
      </w:r>
      <w:r>
        <w:rPr>
          <w:rStyle w:val="FootnoteReference"/>
          <w:rFonts w:ascii="Arial" w:hAnsi="Arial" w:cs="Arial"/>
        </w:rPr>
        <w:footnoteReference w:id="23"/>
      </w:r>
      <w:r>
        <w:rPr>
          <w:rFonts w:ascii="Arial" w:hAnsi="Arial" w:cs="Arial"/>
        </w:rPr>
        <w:t xml:space="preserve"> En ese marco interviene ante situaciones que afecten o restrinjan en el acce</w:t>
      </w:r>
      <w:r>
        <w:rPr>
          <w:rFonts w:ascii="Arial" w:hAnsi="Arial" w:cs="Arial"/>
        </w:rPr>
        <w:t xml:space="preserve">so de las personas a las distintas modalidades de vivienda. </w:t>
      </w:r>
    </w:p>
    <w:p w:rsidR="00CD0DDA" w:rsidRDefault="00CD0D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CD0DDA" w:rsidRDefault="007C2DC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ejemplo, la Defensoría del Pueblo recomendó a la Municipalidad Metropolitana de Lima, implementar un plan de reubicación</w:t>
      </w:r>
      <w:r>
        <w:rPr>
          <w:rStyle w:val="FootnoteReference"/>
          <w:rFonts w:ascii="Arial" w:hAnsi="Arial" w:cs="Arial"/>
        </w:rPr>
        <w:footnoteReference w:id="24"/>
      </w:r>
      <w:r>
        <w:rPr>
          <w:rFonts w:ascii="Arial" w:hAnsi="Arial" w:cs="Arial"/>
        </w:rPr>
        <w:t xml:space="preserve"> a favor de la Comunidad Indígena urbana Shipibo—</w:t>
      </w:r>
      <w:proofErr w:type="spellStart"/>
      <w:r>
        <w:rPr>
          <w:rFonts w:ascii="Arial" w:hAnsi="Arial" w:cs="Arial"/>
        </w:rPr>
        <w:t>Konibo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Cantagallo</w:t>
      </w:r>
      <w:proofErr w:type="spellEnd"/>
      <w:r>
        <w:rPr>
          <w:rFonts w:ascii="Arial" w:hAnsi="Arial" w:cs="Arial"/>
        </w:rPr>
        <w:t>,</w:t>
      </w:r>
      <w:r>
        <w:rPr>
          <w:rStyle w:val="FootnoteReference"/>
          <w:rFonts w:ascii="Arial" w:hAnsi="Arial" w:cs="Arial"/>
        </w:rPr>
        <w:footnoteReference w:id="25"/>
      </w:r>
      <w:r>
        <w:rPr>
          <w:rFonts w:ascii="Arial" w:hAnsi="Arial" w:cs="Arial"/>
        </w:rPr>
        <w:t xml:space="preserve"> compuesta por 265 familias y asentada, aproximadamente desde el año 2000, en un botadero de la ciudad de Lima, bajo ínfimas condiciones de habitabilidad y carente de los principales servicios públicos. De esta manera, se contribuyó a que el Ministerio d</w:t>
      </w:r>
      <w:r>
        <w:rPr>
          <w:rFonts w:ascii="Arial" w:hAnsi="Arial" w:cs="Arial"/>
        </w:rPr>
        <w:t>e Vivienda, Construcción y Saneamiento anuncie la construcción de viviendas para las familias shipibas, con una inversión de 23 millones de soles.</w:t>
      </w:r>
    </w:p>
    <w:p w:rsidR="00CD0DDA" w:rsidRDefault="00CD0D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CD0DDA" w:rsidRDefault="007C2DC7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forma en que el acceso a la justicia para reclamar el derecho a la vivienda ha sido </w:t>
      </w:r>
      <w:proofErr w:type="gramStart"/>
      <w:r>
        <w:rPr>
          <w:rFonts w:ascii="Arial" w:hAnsi="Arial" w:cs="Arial"/>
          <w:b/>
        </w:rPr>
        <w:t>garantizada</w:t>
      </w:r>
      <w:proofErr w:type="gramEnd"/>
      <w:r>
        <w:rPr>
          <w:rFonts w:ascii="Arial" w:hAnsi="Arial" w:cs="Arial"/>
          <w:b/>
        </w:rPr>
        <w:t xml:space="preserve"> en la leg</w:t>
      </w:r>
      <w:r>
        <w:rPr>
          <w:rFonts w:ascii="Arial" w:hAnsi="Arial" w:cs="Arial"/>
          <w:b/>
        </w:rPr>
        <w:t xml:space="preserve">islación o estrategias.  </w:t>
      </w:r>
    </w:p>
    <w:p w:rsidR="00CD0DDA" w:rsidRDefault="00CD0D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CD0DDA" w:rsidRDefault="007C2DC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legislación peruana no ha contemplado mecanismos específicos para reclamar el derecho a la vivienda. No obstante, el artículo 200º de la Constitución Política y el Código Procesal Constitucional contempla los procesos de ampar</w:t>
      </w:r>
      <w:r>
        <w:rPr>
          <w:rFonts w:ascii="Arial" w:hAnsi="Arial" w:cs="Arial"/>
        </w:rPr>
        <w:t xml:space="preserve">o, de cumplimiento y la acción popular, como instituciones jurídicas para garantizar la primacía de la Constitución y la vigencia efectiva de los derechos constitucionales. </w:t>
      </w:r>
    </w:p>
    <w:p w:rsidR="00CD0DDA" w:rsidRDefault="00CD0D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:rsidR="00CD0DDA" w:rsidRDefault="007C2DC7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Nuevas iniciativas o enfoques que están siendo considerados en los planes y estrategias para la ejecución del Objetivo 11.1 de los ODS y la Nueva Agenda Urbana </w:t>
      </w:r>
    </w:p>
    <w:p w:rsidR="00CD0DDA" w:rsidRDefault="00CD0DD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D0DDA" w:rsidRDefault="007C2DC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Actualmente, no se cuenta con una política nacional de vivienda aprobada, no obstante, el </w:t>
      </w:r>
      <w:r>
        <w:rPr>
          <w:rFonts w:ascii="Arial" w:hAnsi="Arial" w:cs="Arial"/>
        </w:rPr>
        <w:t>Ministerio de Vivienda, Construcción y Saneamiento, como ente rector en la materia, ha venido anunciando</w:t>
      </w:r>
      <w:r>
        <w:rPr>
          <w:rStyle w:val="FootnoteReference"/>
          <w:rFonts w:ascii="Arial" w:hAnsi="Arial" w:cs="Arial"/>
        </w:rPr>
        <w:footnoteReference w:id="26"/>
      </w:r>
      <w:r>
        <w:rPr>
          <w:rFonts w:ascii="Arial" w:hAnsi="Arial" w:cs="Arial"/>
        </w:rPr>
        <w:t xml:space="preserve"> que se está trabajando un nuevo plan nacional de vivienda que considerará la construcción de viviendas dirigidas para sectores en situación de pobreza</w:t>
      </w:r>
      <w:r>
        <w:rPr>
          <w:rFonts w:ascii="Arial" w:hAnsi="Arial" w:cs="Arial"/>
        </w:rPr>
        <w:t xml:space="preserve">, pobreza extrema y de mayor demanda.   </w:t>
      </w:r>
    </w:p>
    <w:p w:rsidR="00CD0DDA" w:rsidRDefault="00CD0D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CD0DDA" w:rsidRDefault="007C2DC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proofErr w:type="gramStart"/>
      <w:r>
        <w:rPr>
          <w:rFonts w:ascii="Arial" w:hAnsi="Arial" w:cs="Arial"/>
        </w:rPr>
        <w:t>obstante</w:t>
      </w:r>
      <w:proofErr w:type="gramEnd"/>
      <w:r>
        <w:rPr>
          <w:rFonts w:ascii="Arial" w:hAnsi="Arial" w:cs="Arial"/>
        </w:rPr>
        <w:t xml:space="preserve"> a ello, el marco legal del proceso de reconstrucción de las zonas afectadas por el fenómeno de El Niño Costero 2017, establece que el Ministerio de Vivienda, Construcción y Saneamiento determinará el en</w:t>
      </w:r>
      <w:r>
        <w:rPr>
          <w:rFonts w:ascii="Arial" w:hAnsi="Arial" w:cs="Arial"/>
        </w:rPr>
        <w:t xml:space="preserve">foque de desarrollo urbano sostenible y saludable en las acciones destinadas a la atención de la rehabilitación y reconstrucción. </w:t>
      </w:r>
    </w:p>
    <w:p w:rsidR="00CD0DDA" w:rsidRDefault="00CD0D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CD0DDA" w:rsidRDefault="007C2DC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ese sentido, dicho enfoque considera incorporar—entre otros aspectos—la gestión de riesgos frente al cambio climático, la</w:t>
      </w:r>
      <w:r>
        <w:rPr>
          <w:rFonts w:ascii="Arial" w:hAnsi="Arial" w:cs="Arial"/>
        </w:rPr>
        <w:t xml:space="preserve"> coexistencia del espacio urbano con actividades productivas, los espacios de áreas verdes, la prevención y la reducción del riesgo de </w:t>
      </w:r>
      <w:r>
        <w:rPr>
          <w:rFonts w:ascii="Arial" w:hAnsi="Arial" w:cs="Arial"/>
        </w:rPr>
        <w:lastRenderedPageBreak/>
        <w:t xml:space="preserve">desastres. Para ello, el ministerio coordinará con los tres niveles de gobierno, a fin que dicho enfoque sea incluido en </w:t>
      </w:r>
      <w:r>
        <w:rPr>
          <w:rFonts w:ascii="Arial" w:hAnsi="Arial" w:cs="Arial"/>
        </w:rPr>
        <w:t xml:space="preserve">el diseño, gestión y evaluación de las políticas públicas nacionales, regionales y locales. </w:t>
      </w:r>
    </w:p>
    <w:p w:rsidR="00CD0DDA" w:rsidRDefault="00CD0DDA">
      <w:pPr>
        <w:spacing w:after="0" w:line="240" w:lineRule="auto"/>
        <w:jc w:val="center"/>
        <w:rPr>
          <w:rFonts w:ascii="Arial" w:hAnsi="Arial" w:cs="Arial"/>
          <w:b/>
        </w:rPr>
      </w:pPr>
    </w:p>
    <w:p w:rsidR="00CD0DDA" w:rsidRDefault="00CD0DDA">
      <w:pPr>
        <w:spacing w:after="0" w:line="240" w:lineRule="auto"/>
        <w:jc w:val="center"/>
        <w:rPr>
          <w:rFonts w:ascii="Arial" w:hAnsi="Arial" w:cs="Arial"/>
          <w:b/>
        </w:rPr>
      </w:pPr>
    </w:p>
    <w:p w:rsidR="00CD0DDA" w:rsidRDefault="00CD0DDA">
      <w:pPr>
        <w:spacing w:after="0" w:line="240" w:lineRule="auto"/>
        <w:jc w:val="center"/>
        <w:rPr>
          <w:rFonts w:ascii="Arial" w:hAnsi="Arial" w:cs="Arial"/>
          <w:b/>
        </w:rPr>
      </w:pPr>
    </w:p>
    <w:p w:rsidR="00CD0DDA" w:rsidRDefault="00CD0DDA">
      <w:pPr>
        <w:spacing w:after="0" w:line="240" w:lineRule="auto"/>
        <w:jc w:val="center"/>
        <w:rPr>
          <w:rFonts w:ascii="Arial" w:hAnsi="Arial" w:cs="Arial"/>
          <w:b/>
        </w:rPr>
      </w:pPr>
    </w:p>
    <w:p w:rsidR="00CD0DDA" w:rsidRDefault="00CD0DDA">
      <w:pPr>
        <w:spacing w:after="0" w:line="240" w:lineRule="auto"/>
        <w:jc w:val="center"/>
        <w:rPr>
          <w:rFonts w:ascii="Arial" w:hAnsi="Arial" w:cs="Arial"/>
          <w:b/>
        </w:rPr>
      </w:pPr>
    </w:p>
    <w:p w:rsidR="00CD0DDA" w:rsidRDefault="00CD0DDA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CD0D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DA" w:rsidRDefault="007C2DC7">
      <w:pPr>
        <w:spacing w:after="0" w:line="240" w:lineRule="auto"/>
      </w:pPr>
      <w:r>
        <w:separator/>
      </w:r>
    </w:p>
  </w:endnote>
  <w:endnote w:type="continuationSeparator" w:id="0">
    <w:p w:rsidR="00CD0DDA" w:rsidRDefault="007C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DA" w:rsidRDefault="007C2DC7">
      <w:pPr>
        <w:spacing w:after="0" w:line="240" w:lineRule="auto"/>
      </w:pPr>
      <w:r>
        <w:separator/>
      </w:r>
    </w:p>
  </w:footnote>
  <w:footnote w:type="continuationSeparator" w:id="0">
    <w:p w:rsidR="00CD0DDA" w:rsidRDefault="007C2DC7">
      <w:pPr>
        <w:spacing w:after="0" w:line="240" w:lineRule="auto"/>
      </w:pPr>
      <w:r>
        <w:continuationSeparator/>
      </w:r>
    </w:p>
  </w:footnote>
  <w:footnote w:id="1">
    <w:p w:rsidR="00CD0DDA" w:rsidRDefault="007C2DC7">
      <w:pPr>
        <w:pStyle w:val="FootnoteText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FootnoteReference"/>
          <w:rFonts w:ascii="Arial" w:hAnsi="Arial" w:cs="Arial"/>
          <w:color w:val="000000" w:themeColor="text1"/>
          <w:sz w:val="18"/>
          <w:szCs w:val="18"/>
        </w:rPr>
        <w:footnoteRef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El déficit cualitativo se refiere al número de viviendas de deficiente calidad en cuanto a su materialidad, al espacio habitable y servicios básicos (agua potable, desagüe y electricidad).</w:t>
      </w:r>
    </w:p>
  </w:footnote>
  <w:footnote w:id="2">
    <w:p w:rsidR="00CD0DDA" w:rsidRDefault="007C2DC7">
      <w:pPr>
        <w:pStyle w:val="FootnoteText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FootnoteReference"/>
          <w:rFonts w:ascii="Arial" w:hAnsi="Arial" w:cs="Arial"/>
          <w:color w:val="000000" w:themeColor="text1"/>
          <w:sz w:val="18"/>
          <w:szCs w:val="18"/>
        </w:rPr>
        <w:footnoteRef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El déficit cuantitativo se refiere a la carencia de viviendas ap</w:t>
      </w:r>
      <w:r>
        <w:rPr>
          <w:rFonts w:ascii="Arial" w:hAnsi="Arial" w:cs="Arial"/>
          <w:color w:val="000000" w:themeColor="text1"/>
          <w:sz w:val="18"/>
          <w:szCs w:val="18"/>
        </w:rPr>
        <w:t>tas para cubrir las necesidades habitaciones de los hogares que no poseen viviendas. A través de este déficit se estima el número de viviendas que se necesitan para que cada hogar cuente con una vivienda, considerando a su vez el número de viviendas que so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n necesarias reponer debido a condiciones de inhabitabilidad. </w:t>
      </w:r>
    </w:p>
  </w:footnote>
  <w:footnote w:id="3">
    <w:p w:rsidR="00CD0DDA" w:rsidRDefault="007C2DC7">
      <w:pPr>
        <w:pStyle w:val="FootnoteText"/>
        <w:ind w:left="142" w:hanging="142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FootnoteReference"/>
          <w:rFonts w:ascii="Arial" w:hAnsi="Arial" w:cs="Arial"/>
          <w:color w:val="000000" w:themeColor="text1"/>
          <w:sz w:val="18"/>
          <w:szCs w:val="18"/>
        </w:rPr>
        <w:footnoteRef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Instituto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de  Estadística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e Informática (INEI), “Perú: Mapa de Déficit habitacional a nivel distrital, 2007”, Lima, diciembre 2009, p.p. 25.</w:t>
      </w:r>
    </w:p>
  </w:footnote>
  <w:footnote w:id="4">
    <w:p w:rsidR="00CD0DDA" w:rsidRDefault="007C2DC7">
      <w:pPr>
        <w:pStyle w:val="FootnoteText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Creado mediante el Decreto Supremo Nº 003-2012-V</w:t>
      </w:r>
      <w:r>
        <w:rPr>
          <w:rFonts w:ascii="Arial" w:hAnsi="Arial" w:cs="Arial"/>
          <w:sz w:val="18"/>
          <w:szCs w:val="18"/>
        </w:rPr>
        <w:t xml:space="preserve">IVIENDA, publicado en el diario oficial “El Peruano” el 7 de enero del 2012. </w:t>
      </w:r>
    </w:p>
  </w:footnote>
  <w:footnote w:id="5">
    <w:p w:rsidR="00CD0DDA" w:rsidRDefault="007C2DC7">
      <w:pPr>
        <w:pStyle w:val="FootnoteText"/>
        <w:ind w:left="142" w:hanging="142"/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Creado mediante el Decreto Supremo Nº 004-2012-VIVIENDA, publicado en el diario oficial “El Peruano” el 7 de enero del 2012.</w:t>
      </w:r>
    </w:p>
  </w:footnote>
  <w:footnote w:id="6">
    <w:p w:rsidR="00CD0DDA" w:rsidRDefault="007C2DC7">
      <w:pPr>
        <w:pStyle w:val="FootnoteTex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Creado mediante el Decreto Supremo Nº005-2012-VIV</w:t>
      </w:r>
      <w:r>
        <w:rPr>
          <w:rFonts w:ascii="Arial" w:hAnsi="Arial" w:cs="Arial"/>
          <w:sz w:val="18"/>
          <w:szCs w:val="18"/>
        </w:rPr>
        <w:t>IENDA, publicado en el diario oficial El Peruano el 7 de enero del 2012.</w:t>
      </w:r>
    </w:p>
  </w:footnote>
  <w:footnote w:id="7">
    <w:p w:rsidR="00CD0DDA" w:rsidRDefault="007C2DC7">
      <w:pPr>
        <w:pStyle w:val="FootnoteTex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  <w:shd w:val="clear" w:color="auto" w:fill="FFFFFF"/>
        </w:rPr>
        <w:t>a Primera Disposición Complementaria Modificatoria del Decreto Supremo N° 016-2013-VIVIENDA que modifica los artículos 1º y 2º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del Decreto Supremo N° 001-2012-VIVIENDA, crea el Programa Nacional de Vivienda Rural – PNVR.</w:t>
      </w:r>
      <w:r>
        <w:rPr>
          <w:rFonts w:ascii="Arial" w:hAnsi="Arial" w:cs="Arial"/>
          <w:color w:val="585858"/>
          <w:sz w:val="18"/>
          <w:szCs w:val="18"/>
          <w:shd w:val="clear" w:color="auto" w:fill="FFFFFF"/>
        </w:rPr>
        <w:t xml:space="preserve"> </w:t>
      </w:r>
    </w:p>
  </w:footnote>
  <w:footnote w:id="8">
    <w:p w:rsidR="00CD0DDA" w:rsidRDefault="007C2DC7">
      <w:pPr>
        <w:pStyle w:val="FootnoteText"/>
        <w:ind w:left="142" w:hanging="142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Creado mediante la Ley N° 26912, Ley de promoción del acceso a la población a la propiedad privada de vivienda y fomento del ahorro, mediante mecanismos de fi</w:t>
      </w:r>
      <w:r>
        <w:rPr>
          <w:rFonts w:ascii="Arial" w:hAnsi="Arial" w:cs="Arial"/>
          <w:color w:val="000000" w:themeColor="text1"/>
          <w:sz w:val="18"/>
          <w:szCs w:val="18"/>
        </w:rPr>
        <w:t>nanciamiento con participación del sector privado; y la Ley N° 28579, Ley de la conversión del fondo hipotecario de la vivienda al Fondo Mi Vivienda.</w:t>
      </w:r>
    </w:p>
  </w:footnote>
  <w:footnote w:id="9">
    <w:p w:rsidR="00CD0DDA" w:rsidRDefault="007C2DC7">
      <w:pPr>
        <w:pStyle w:val="FootnoteTex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color w:val="000000" w:themeColor="text1"/>
          <w:sz w:val="18"/>
          <w:szCs w:val="18"/>
        </w:rPr>
        <w:footnoteRef/>
      </w:r>
      <w:r>
        <w:rPr>
          <w:rFonts w:ascii="Arial" w:hAnsi="Arial" w:cs="Arial"/>
          <w:color w:val="000000" w:themeColor="text1"/>
          <w:sz w:val="18"/>
          <w:szCs w:val="18"/>
        </w:rPr>
        <w:t>Creado mediante la Ley N° 29033, publicada el 7 de junio del 2007</w:t>
      </w:r>
      <w:r>
        <w:rPr>
          <w:rFonts w:ascii="Arial" w:hAnsi="Arial" w:cs="Arial"/>
          <w:sz w:val="18"/>
          <w:szCs w:val="18"/>
        </w:rPr>
        <w:t xml:space="preserve">, se creó el Bono del Buen Pagador como </w:t>
      </w:r>
      <w:r>
        <w:rPr>
          <w:rFonts w:ascii="Arial" w:hAnsi="Arial" w:cs="Arial"/>
          <w:sz w:val="18"/>
          <w:szCs w:val="18"/>
        </w:rPr>
        <w:t>una de las acciones de política de acceso de la población a la vivienda, cuyo Reglamento fuera aprobado por el Decreto Supremo N° 003-2008-VIVIENDA.</w:t>
      </w:r>
    </w:p>
  </w:footnote>
  <w:footnote w:id="10">
    <w:p w:rsidR="00CD0DDA" w:rsidRDefault="007C2DC7">
      <w:pPr>
        <w:pStyle w:val="FootnoteTex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Creado mediante la Resolución Ministerial Nº 054-2002-VIVIENDA publicada en el diario oficial El Peruano e</w:t>
      </w:r>
      <w:r>
        <w:rPr>
          <w:rFonts w:ascii="Arial" w:hAnsi="Arial" w:cs="Arial"/>
          <w:sz w:val="18"/>
          <w:szCs w:val="18"/>
        </w:rPr>
        <w:t>l 15 de setiembre del 2002.</w:t>
      </w:r>
    </w:p>
  </w:footnote>
  <w:footnote w:id="11">
    <w:p w:rsidR="00CD0DDA" w:rsidRDefault="007C2DC7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Creado mediante la Ley 27829, Ley que crea el Bono Familiar Habitacional (BFH).</w:t>
      </w:r>
    </w:p>
  </w:footnote>
  <w:footnote w:id="12">
    <w:p w:rsidR="00CD0DDA" w:rsidRDefault="007C2DC7">
      <w:pPr>
        <w:pStyle w:val="FootnoteText"/>
        <w:ind w:left="142" w:hanging="142"/>
        <w:jc w:val="both"/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Fenómeno natural producido por el calentamiento anómalo del mar debido al debilitamiento de las corrientes de aire frías, que recorren de sur a no</w:t>
      </w:r>
      <w:r>
        <w:rPr>
          <w:rFonts w:ascii="Arial" w:hAnsi="Arial" w:cs="Arial"/>
          <w:sz w:val="18"/>
          <w:szCs w:val="18"/>
        </w:rPr>
        <w:t xml:space="preserve">rte las costas del Pacífico Sur. Este suceso hizo que ingresen con mayor intensidad </w:t>
      </w:r>
      <w:proofErr w:type="gramStart"/>
      <w:r>
        <w:rPr>
          <w:rFonts w:ascii="Arial" w:hAnsi="Arial" w:cs="Arial"/>
          <w:sz w:val="18"/>
          <w:szCs w:val="18"/>
        </w:rPr>
        <w:t>los  vientos</w:t>
      </w:r>
      <w:proofErr w:type="gramEnd"/>
      <w:r>
        <w:rPr>
          <w:rFonts w:ascii="Arial" w:hAnsi="Arial" w:cs="Arial"/>
          <w:sz w:val="18"/>
          <w:szCs w:val="18"/>
        </w:rPr>
        <w:t xml:space="preserve"> cálidos provenientes del Ecuador, lo que originó el calentamiento global de la franca costera del mar. A su vez, los altos niveles de humedad generados desenca</w:t>
      </w:r>
      <w:r>
        <w:rPr>
          <w:rFonts w:ascii="Arial" w:hAnsi="Arial" w:cs="Arial"/>
          <w:sz w:val="18"/>
          <w:szCs w:val="18"/>
        </w:rPr>
        <w:t xml:space="preserve">denaron lluvias intensas y la crecida de los principales ríos de la vertiente del Pacífico, produciendo desbordes e inundaciones, principalmente en el norte del país.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</w:footnote>
  <w:footnote w:id="13">
    <w:p w:rsidR="00CD0DDA" w:rsidRDefault="007C2DC7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Plan Integral para la Reconstrucción con Cambios, aprobado mediante Decreto Supremo Nº 091-</w:t>
      </w:r>
      <w:r>
        <w:rPr>
          <w:rFonts w:ascii="Arial" w:hAnsi="Arial" w:cs="Arial"/>
          <w:sz w:val="18"/>
          <w:szCs w:val="18"/>
        </w:rPr>
        <w:t>2017-PCM.</w:t>
      </w:r>
    </w:p>
  </w:footnote>
  <w:footnote w:id="14">
    <w:p w:rsidR="00CD0DDA" w:rsidRDefault="007C2DC7">
      <w:pPr>
        <w:pStyle w:val="FootnoteTex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proofErr w:type="gramStart"/>
      <w:r>
        <w:rPr>
          <w:rFonts w:ascii="Arial" w:eastAsia="Calibri" w:hAnsi="Arial" w:cs="Arial"/>
          <w:iCs/>
          <w:sz w:val="18"/>
          <w:szCs w:val="18"/>
        </w:rPr>
        <w:t>Ley Nº</w:t>
      </w:r>
      <w:proofErr w:type="gramEnd"/>
      <w:r>
        <w:rPr>
          <w:rFonts w:ascii="Arial" w:eastAsia="Calibri" w:hAnsi="Arial" w:cs="Arial"/>
          <w:iCs/>
          <w:sz w:val="18"/>
          <w:szCs w:val="18"/>
        </w:rPr>
        <w:t xml:space="preserve"> 30556, Ley que aprueba disposiciones de carácter extraordinario para las intervenciones del gobierno nacional frente a desastres y que dispone la creación de la Autoridad para la Reconstrucción con Cambios, publicada en el Diario oficial </w:t>
      </w:r>
      <w:r>
        <w:rPr>
          <w:rFonts w:ascii="Arial" w:eastAsia="Calibri" w:hAnsi="Arial" w:cs="Arial"/>
          <w:iCs/>
          <w:sz w:val="18"/>
          <w:szCs w:val="18"/>
        </w:rPr>
        <w:t>El Peruano el 29 de abril 2017.</w:t>
      </w:r>
    </w:p>
  </w:footnote>
  <w:footnote w:id="15">
    <w:p w:rsidR="00CD0DDA" w:rsidRDefault="007C2DC7">
      <w:pPr>
        <w:pStyle w:val="FootnoteText"/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Conforme el numeral 4.1.8 del Plan Integral de Reconstrucción con Cambios. </w:t>
      </w:r>
    </w:p>
  </w:footnote>
  <w:footnote w:id="16">
    <w:p w:rsidR="00CD0DDA" w:rsidRDefault="007C2DC7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proofErr w:type="gramStart"/>
      <w:r>
        <w:rPr>
          <w:rFonts w:ascii="Arial" w:hAnsi="Arial" w:cs="Arial"/>
          <w:sz w:val="18"/>
          <w:szCs w:val="18"/>
        </w:rPr>
        <w:t>Ley Nº</w:t>
      </w:r>
      <w:proofErr w:type="gramEnd"/>
      <w:r>
        <w:rPr>
          <w:rFonts w:ascii="Arial" w:hAnsi="Arial" w:cs="Arial"/>
          <w:sz w:val="18"/>
          <w:szCs w:val="18"/>
        </w:rPr>
        <w:t xml:space="preserve"> 30533, Ley que autoriza al ministerio de vivienda, construcción y saneamiento a realizar intervenciones a través de núcleos ejecutores, pu</w:t>
      </w:r>
      <w:r>
        <w:rPr>
          <w:rFonts w:ascii="Arial" w:hAnsi="Arial" w:cs="Arial"/>
          <w:sz w:val="18"/>
          <w:szCs w:val="18"/>
        </w:rPr>
        <w:t xml:space="preserve">blicada en el diario oficial El Peruano el 8 de enero del 2017. </w:t>
      </w:r>
    </w:p>
  </w:footnote>
  <w:footnote w:id="17">
    <w:p w:rsidR="00CD0DDA" w:rsidRDefault="007C2DC7">
      <w:pPr>
        <w:pStyle w:val="FootnoteTex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Decreto Supremo N° 004-2017-VIVIENDA, que aprueba el reglamento de la Ley N° 30533, Ley que autoriza al Ministerio de Vivienda, Construcción y Saneamiento a realizar intervenciones a través </w:t>
      </w:r>
      <w:r>
        <w:rPr>
          <w:rFonts w:ascii="Arial" w:hAnsi="Arial" w:cs="Arial"/>
          <w:sz w:val="18"/>
          <w:szCs w:val="18"/>
        </w:rPr>
        <w:t>de los núcleos ejecutores.</w:t>
      </w:r>
    </w:p>
  </w:footnote>
  <w:footnote w:id="18">
    <w:p w:rsidR="00CD0DDA" w:rsidRDefault="007C2DC7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Artículo 43º de la Constitución Política del Perú.</w:t>
      </w:r>
    </w:p>
  </w:footnote>
  <w:footnote w:id="19">
    <w:p w:rsidR="00CD0DDA" w:rsidRDefault="007C2DC7">
      <w:pPr>
        <w:pStyle w:val="FootnoteTex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Artículo 16° de la Ley 30156, Ley de Organización y Funciones del Ministerio de Vivienda, Construcción y Saneamiento.</w:t>
      </w:r>
    </w:p>
  </w:footnote>
  <w:footnote w:id="20">
    <w:p w:rsidR="00CD0DDA" w:rsidRDefault="007C2DC7">
      <w:pPr>
        <w:pStyle w:val="FootnoteTex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Ministerio de Vivienda, Construcción y Saneamiento, “Evaluación del Plan Estratégico Institucional 2016—2018 del Ministerio de Vivienda Construcción y Saneamiento correspondiente al 2016”, publicado en el Portal de Transparencia Estándar: </w:t>
      </w:r>
      <w:hyperlink r:id="rId1" w:history="1">
        <w:r>
          <w:rPr>
            <w:rStyle w:val="Hyperlink"/>
            <w:rFonts w:ascii="Arial" w:hAnsi="Arial" w:cs="Arial"/>
            <w:sz w:val="18"/>
            <w:szCs w:val="18"/>
          </w:rPr>
          <w:t>http://www3.vivienda.gob.pe/transparencia/documentos/pei2016.pdf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</w:footnote>
  <w:footnote w:id="21">
    <w:p w:rsidR="00CD0DDA" w:rsidRDefault="007C2DC7">
      <w:pPr>
        <w:pStyle w:val="FootnoteTex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Proyectos Urbanos Integrales-PUI “Residencial </w:t>
      </w:r>
      <w:proofErr w:type="spellStart"/>
      <w:r>
        <w:rPr>
          <w:rFonts w:ascii="Arial" w:hAnsi="Arial" w:cs="Arial"/>
          <w:sz w:val="18"/>
          <w:szCs w:val="18"/>
        </w:rPr>
        <w:t>Pacocha</w:t>
      </w:r>
      <w:proofErr w:type="spellEnd"/>
      <w:r>
        <w:rPr>
          <w:rFonts w:ascii="Arial" w:hAnsi="Arial" w:cs="Arial"/>
          <w:sz w:val="18"/>
          <w:szCs w:val="18"/>
        </w:rPr>
        <w:t xml:space="preserve">” y “Ciudadela </w:t>
      </w:r>
      <w:proofErr w:type="spellStart"/>
      <w:r>
        <w:rPr>
          <w:rFonts w:ascii="Arial" w:hAnsi="Arial" w:cs="Arial"/>
          <w:sz w:val="18"/>
          <w:szCs w:val="18"/>
        </w:rPr>
        <w:t>Pachacutec</w:t>
      </w:r>
      <w:proofErr w:type="spellEnd"/>
      <w:r>
        <w:rPr>
          <w:rFonts w:ascii="Arial" w:hAnsi="Arial" w:cs="Arial"/>
          <w:sz w:val="18"/>
          <w:szCs w:val="18"/>
        </w:rPr>
        <w:t>”, terrenos que representan un área de 30.60 h</w:t>
      </w:r>
      <w:r>
        <w:rPr>
          <w:rFonts w:ascii="Arial" w:hAnsi="Arial" w:cs="Arial"/>
          <w:sz w:val="18"/>
          <w:szCs w:val="18"/>
        </w:rPr>
        <w:t>ectáreas.</w:t>
      </w:r>
    </w:p>
  </w:footnote>
  <w:footnote w:id="22">
    <w:p w:rsidR="00CD0DDA" w:rsidRDefault="007C2DC7">
      <w:pPr>
        <w:pStyle w:val="FootnoteTex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Resolución de Contraloría N° 332-2007-CG, que aprueba la Directiva Nº 04-2007-CG/GDES “Rendición de Cuentas de los Titulares”</w:t>
      </w:r>
    </w:p>
  </w:footnote>
  <w:footnote w:id="23">
    <w:p w:rsidR="00CD0DDA" w:rsidRDefault="007C2DC7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Artículo 161º de la Constitución Política del Perú. </w:t>
      </w:r>
    </w:p>
  </w:footnote>
  <w:footnote w:id="24">
    <w:p w:rsidR="00CD0DDA" w:rsidRDefault="007C2DC7">
      <w:pPr>
        <w:pStyle w:val="FootnoteTex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hyperlink r:id="rId2" w:history="1">
        <w:r>
          <w:rPr>
            <w:rStyle w:val="Hyperlink"/>
            <w:rFonts w:ascii="Arial" w:hAnsi="Arial" w:cs="Arial"/>
            <w:sz w:val="18"/>
            <w:szCs w:val="18"/>
          </w:rPr>
          <w:t>http://www.defensoria.gob.pe/modules/Downloads/documentos/Of-217-2015-a-Alcalde-Lima---Comunidad-Shipibo-Conibo-</w:t>
        </w:r>
        <w:r>
          <w:rPr>
            <w:rStyle w:val="Hyperlink"/>
            <w:rFonts w:ascii="Arial" w:hAnsi="Arial" w:cs="Arial"/>
            <w:sz w:val="18"/>
            <w:szCs w:val="18"/>
          </w:rPr>
          <w:t>de-Cantagallo.pdf</w:t>
        </w:r>
      </w:hyperlink>
      <w:r>
        <w:rPr>
          <w:rFonts w:ascii="Arial" w:hAnsi="Arial" w:cs="Arial"/>
          <w:sz w:val="18"/>
          <w:szCs w:val="18"/>
        </w:rPr>
        <w:t xml:space="preserve">  (Consultada el 28 de octubre del 2017)</w:t>
      </w:r>
    </w:p>
  </w:footnote>
  <w:footnote w:id="25">
    <w:p w:rsidR="00CD0DDA" w:rsidRDefault="007C2DC7">
      <w:pPr>
        <w:pStyle w:val="FootnoteTex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hyperlink r:id="rId3" w:history="1">
        <w:r>
          <w:rPr>
            <w:rStyle w:val="Hyperlink"/>
            <w:rFonts w:ascii="Arial" w:hAnsi="Arial" w:cs="Arial"/>
            <w:sz w:val="18"/>
            <w:szCs w:val="18"/>
          </w:rPr>
          <w:t>http://www.defensoria.gob.pe/blog/cronologia-caso-comunidad-indigena-urbana</w:t>
        </w:r>
        <w:r>
          <w:rPr>
            <w:rStyle w:val="Hyperlink"/>
            <w:rFonts w:ascii="Arial" w:hAnsi="Arial" w:cs="Arial"/>
            <w:sz w:val="18"/>
            <w:szCs w:val="18"/>
          </w:rPr>
          <w:t>-shipibo-konibo-de-cantagallo/</w:t>
        </w:r>
      </w:hyperlink>
      <w:r>
        <w:rPr>
          <w:rFonts w:ascii="Arial" w:hAnsi="Arial" w:cs="Arial"/>
          <w:sz w:val="18"/>
          <w:szCs w:val="18"/>
        </w:rPr>
        <w:t xml:space="preserve"> (Consulta realizada el 27 de octubre del 2017)</w:t>
      </w:r>
    </w:p>
  </w:footnote>
  <w:footnote w:id="26">
    <w:p w:rsidR="00CD0DDA" w:rsidRDefault="007C2DC7">
      <w:pPr>
        <w:pStyle w:val="FootnoteTex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Nota de Prensa del Ministerio de Vivienda, Construcción y Saneamiento: </w:t>
      </w:r>
      <w:hyperlink r:id="rId4" w:history="1">
        <w:r>
          <w:rPr>
            <w:rFonts w:ascii="Arial" w:hAnsi="Arial" w:cs="Arial"/>
            <w:sz w:val="18"/>
            <w:szCs w:val="18"/>
          </w:rPr>
          <w:t>http://www.vivienda.gob.pe/sala-de-prensa/notas-de-prensa/ministerio-de-vivienda-presentara-en-agosto-plan-nacional-para-reducir-deficit-de-casas</w:t>
        </w:r>
      </w:hyperlink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EA3"/>
    <w:multiLevelType w:val="multilevel"/>
    <w:tmpl w:val="8A84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819A6"/>
    <w:multiLevelType w:val="hybridMultilevel"/>
    <w:tmpl w:val="AF060898"/>
    <w:lvl w:ilvl="0" w:tplc="EB34C7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98B"/>
    <w:multiLevelType w:val="hybridMultilevel"/>
    <w:tmpl w:val="507627BC"/>
    <w:lvl w:ilvl="0" w:tplc="97844696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3F23E54"/>
    <w:multiLevelType w:val="multilevel"/>
    <w:tmpl w:val="CCE8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339DE"/>
    <w:multiLevelType w:val="multilevel"/>
    <w:tmpl w:val="8F22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B5251"/>
    <w:multiLevelType w:val="multilevel"/>
    <w:tmpl w:val="7A6C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C14FC"/>
    <w:multiLevelType w:val="hybridMultilevel"/>
    <w:tmpl w:val="5B9E0FC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479F9"/>
    <w:multiLevelType w:val="hybridMultilevel"/>
    <w:tmpl w:val="7C96ED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6C0B"/>
    <w:multiLevelType w:val="hybridMultilevel"/>
    <w:tmpl w:val="E0B63EB8"/>
    <w:lvl w:ilvl="0" w:tplc="9D764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70F0C"/>
    <w:multiLevelType w:val="hybridMultilevel"/>
    <w:tmpl w:val="3DCE7C46"/>
    <w:lvl w:ilvl="0" w:tplc="16E264A4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512004"/>
    <w:multiLevelType w:val="hybridMultilevel"/>
    <w:tmpl w:val="E05CAB0A"/>
    <w:lvl w:ilvl="0" w:tplc="280A0019">
      <w:start w:val="1"/>
      <w:numFmt w:val="lowerLetter"/>
      <w:lvlText w:val="%1."/>
      <w:lvlJc w:val="left"/>
      <w:pPr>
        <w:ind w:left="774" w:hanging="360"/>
      </w:pPr>
    </w:lvl>
    <w:lvl w:ilvl="1" w:tplc="280A0019" w:tentative="1">
      <w:start w:val="1"/>
      <w:numFmt w:val="lowerLetter"/>
      <w:lvlText w:val="%2."/>
      <w:lvlJc w:val="left"/>
      <w:pPr>
        <w:ind w:left="1494" w:hanging="360"/>
      </w:pPr>
    </w:lvl>
    <w:lvl w:ilvl="2" w:tplc="280A001B" w:tentative="1">
      <w:start w:val="1"/>
      <w:numFmt w:val="lowerRoman"/>
      <w:lvlText w:val="%3."/>
      <w:lvlJc w:val="right"/>
      <w:pPr>
        <w:ind w:left="2214" w:hanging="180"/>
      </w:pPr>
    </w:lvl>
    <w:lvl w:ilvl="3" w:tplc="280A000F" w:tentative="1">
      <w:start w:val="1"/>
      <w:numFmt w:val="decimal"/>
      <w:lvlText w:val="%4."/>
      <w:lvlJc w:val="left"/>
      <w:pPr>
        <w:ind w:left="2934" w:hanging="360"/>
      </w:pPr>
    </w:lvl>
    <w:lvl w:ilvl="4" w:tplc="280A0019" w:tentative="1">
      <w:start w:val="1"/>
      <w:numFmt w:val="lowerLetter"/>
      <w:lvlText w:val="%5."/>
      <w:lvlJc w:val="left"/>
      <w:pPr>
        <w:ind w:left="3654" w:hanging="360"/>
      </w:pPr>
    </w:lvl>
    <w:lvl w:ilvl="5" w:tplc="280A001B" w:tentative="1">
      <w:start w:val="1"/>
      <w:numFmt w:val="lowerRoman"/>
      <w:lvlText w:val="%6."/>
      <w:lvlJc w:val="right"/>
      <w:pPr>
        <w:ind w:left="4374" w:hanging="180"/>
      </w:pPr>
    </w:lvl>
    <w:lvl w:ilvl="6" w:tplc="280A000F" w:tentative="1">
      <w:start w:val="1"/>
      <w:numFmt w:val="decimal"/>
      <w:lvlText w:val="%7."/>
      <w:lvlJc w:val="left"/>
      <w:pPr>
        <w:ind w:left="5094" w:hanging="360"/>
      </w:pPr>
    </w:lvl>
    <w:lvl w:ilvl="7" w:tplc="280A0019" w:tentative="1">
      <w:start w:val="1"/>
      <w:numFmt w:val="lowerLetter"/>
      <w:lvlText w:val="%8."/>
      <w:lvlJc w:val="left"/>
      <w:pPr>
        <w:ind w:left="5814" w:hanging="360"/>
      </w:pPr>
    </w:lvl>
    <w:lvl w:ilvl="8" w:tplc="2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F61706D"/>
    <w:multiLevelType w:val="hybridMultilevel"/>
    <w:tmpl w:val="592C75A8"/>
    <w:lvl w:ilvl="0" w:tplc="19F05A4A">
      <w:numFmt w:val="bullet"/>
      <w:lvlText w:val="-"/>
      <w:lvlJc w:val="left"/>
      <w:pPr>
        <w:ind w:left="1064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2" w15:restartNumberingAfterBreak="0">
    <w:nsid w:val="584649CE"/>
    <w:multiLevelType w:val="hybridMultilevel"/>
    <w:tmpl w:val="49304774"/>
    <w:lvl w:ilvl="0" w:tplc="D422C47E">
      <w:start w:val="1"/>
      <w:numFmt w:val="bullet"/>
      <w:lvlText w:val="―"/>
      <w:lvlJc w:val="left"/>
      <w:pPr>
        <w:ind w:left="81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66FF7"/>
    <w:multiLevelType w:val="hybridMultilevel"/>
    <w:tmpl w:val="4B8A62D6"/>
    <w:lvl w:ilvl="0" w:tplc="E918047C">
      <w:numFmt w:val="bullet"/>
      <w:lvlText w:val="-"/>
      <w:lvlJc w:val="left"/>
      <w:pPr>
        <w:ind w:left="106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4" w15:restartNumberingAfterBreak="0">
    <w:nsid w:val="69675D97"/>
    <w:multiLevelType w:val="hybridMultilevel"/>
    <w:tmpl w:val="10E2FE2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66C1D"/>
    <w:multiLevelType w:val="hybridMultilevel"/>
    <w:tmpl w:val="D6A4FC90"/>
    <w:lvl w:ilvl="0" w:tplc="A91C3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72971"/>
    <w:multiLevelType w:val="multilevel"/>
    <w:tmpl w:val="00A8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421D38"/>
    <w:multiLevelType w:val="hybridMultilevel"/>
    <w:tmpl w:val="17D0F846"/>
    <w:lvl w:ilvl="0" w:tplc="3FB201A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5B13B6"/>
    <w:multiLevelType w:val="hybridMultilevel"/>
    <w:tmpl w:val="D8048B62"/>
    <w:lvl w:ilvl="0" w:tplc="AF04AD6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0"/>
  </w:num>
  <w:num w:numId="8">
    <w:abstractNumId w:val="18"/>
  </w:num>
  <w:num w:numId="9">
    <w:abstractNumId w:val="17"/>
  </w:num>
  <w:num w:numId="10">
    <w:abstractNumId w:val="3"/>
  </w:num>
  <w:num w:numId="11">
    <w:abstractNumId w:val="2"/>
  </w:num>
  <w:num w:numId="12">
    <w:abstractNumId w:val="9"/>
  </w:num>
  <w:num w:numId="13">
    <w:abstractNumId w:val="14"/>
  </w:num>
  <w:num w:numId="14">
    <w:abstractNumId w:val="7"/>
  </w:num>
  <w:num w:numId="15">
    <w:abstractNumId w:val="5"/>
  </w:num>
  <w:num w:numId="16">
    <w:abstractNumId w:val="8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DA"/>
    <w:rsid w:val="007C2DC7"/>
    <w:rsid w:val="00CD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04BB9-450A-4462-BB61-EBDD17DD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customStyle="1" w:styleId="parrafoacordion">
    <w:name w:val="parrafoacordion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s-rtefontface-1">
    <w:name w:val="ms-rtefontface-1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uerpo">
    <w:name w:val="cuerp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">
    <w:name w:val="no-style-override"/>
    <w:basedOn w:val="DefaultParagraphFont"/>
  </w:style>
  <w:style w:type="character" w:customStyle="1" w:styleId="no-style-override-1">
    <w:name w:val="no-style-override-1"/>
    <w:basedOn w:val="DefaultParagraphFont"/>
  </w:style>
  <w:style w:type="character" w:customStyle="1" w:styleId="no-style-override-2">
    <w:name w:val="no-style-override-2"/>
    <w:basedOn w:val="DefaultParagraphFont"/>
  </w:style>
  <w:style w:type="character" w:customStyle="1" w:styleId="spelle">
    <w:name w:val="spelle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19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4" w:color="AAAAAA"/>
            <w:bottom w:val="single" w:sz="6" w:space="12" w:color="AAAAAA"/>
            <w:right w:val="single" w:sz="6" w:space="14" w:color="AAAAAA"/>
          </w:divBdr>
        </w:div>
      </w:divsChild>
    </w:div>
    <w:div w:id="1244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0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837">
          <w:marLeft w:val="0"/>
          <w:marRight w:val="0"/>
          <w:marTop w:val="0"/>
          <w:marBottom w:val="0"/>
          <w:divBdr>
            <w:top w:val="none" w:sz="0" w:space="12" w:color="auto"/>
            <w:left w:val="single" w:sz="4" w:space="14" w:color="AAAAAA"/>
            <w:bottom w:val="single" w:sz="4" w:space="12" w:color="AAAAAA"/>
            <w:right w:val="single" w:sz="4" w:space="14" w:color="AAAAAA"/>
          </w:divBdr>
        </w:div>
      </w:divsChild>
    </w:div>
    <w:div w:id="208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5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4" w:color="AAAAAA"/>
            <w:bottom w:val="single" w:sz="6" w:space="12" w:color="AAAAAA"/>
            <w:right w:val="single" w:sz="6" w:space="14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fensoria.gob.pe/blog/cronologia-caso-comunidad-indigena-urbana-shipibo-konibo-de-cantagallo/" TargetMode="External"/><Relationship Id="rId2" Type="http://schemas.openxmlformats.org/officeDocument/2006/relationships/hyperlink" Target="http://www.defensoria.gob.pe/modules/Downloads/documentos/Of-217-2015-a-Alcalde-Lima---Comunidad-Shipibo-Conibo-de-Cantagallo.pdf" TargetMode="External"/><Relationship Id="rId1" Type="http://schemas.openxmlformats.org/officeDocument/2006/relationships/hyperlink" Target="http://www3.vivienda.gob.pe/transparencia/documentos/pei2016.pdf" TargetMode="External"/><Relationship Id="rId4" Type="http://schemas.openxmlformats.org/officeDocument/2006/relationships/hyperlink" Target="http://www.vivienda.gob.pe/sala-de-prensa/notas-de-prensa/ministerio-de-vivienda-presentara-en-agosto-plan-nacional-para-reducir-deficit-de-cas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C1771B-013B-4591-B9F2-821DDF2C55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0A0A8A-72A9-4263-86A5-599A17084A60}"/>
</file>

<file path=customXml/itemProps3.xml><?xml version="1.0" encoding="utf-8"?>
<ds:datastoreItem xmlns:ds="http://schemas.openxmlformats.org/officeDocument/2006/customXml" ds:itemID="{B1117000-AC2E-4E03-B2E4-5C4AD257C4D9}"/>
</file>

<file path=customXml/itemProps4.xml><?xml version="1.0" encoding="utf-8"?>
<ds:datastoreItem xmlns:ds="http://schemas.openxmlformats.org/officeDocument/2006/customXml" ds:itemID="{82AB3513-51C1-47A2-8527-217F4EEF8F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Defensoria_del_Pueblo_de_Perú</dc:title>
  <dc:creator>marostegui</dc:creator>
  <cp:lastModifiedBy>Varela Patricia</cp:lastModifiedBy>
  <cp:revision>2</cp:revision>
  <dcterms:created xsi:type="dcterms:W3CDTF">2017-12-04T22:36:00Z</dcterms:created>
  <dcterms:modified xsi:type="dcterms:W3CDTF">2017-12-04T22:36:00Z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