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2D1" w:rsidRDefault="00930487">
      <w:pPr>
        <w:rPr>
          <w:rFonts w:ascii="Arial" w:hAnsi="Arial" w:cs="Arial"/>
          <w:b/>
          <w:sz w:val="20"/>
          <w:szCs w:val="20"/>
        </w:rPr>
      </w:pPr>
      <w:r w:rsidRPr="0040027A">
        <w:rPr>
          <w:rFonts w:ascii="Arial" w:hAnsi="Arial" w:cs="Arial"/>
          <w:b/>
          <w:sz w:val="20"/>
          <w:szCs w:val="20"/>
        </w:rPr>
        <w:t>III CUESTIONARIO:</w:t>
      </w:r>
    </w:p>
    <w:p w:rsidR="00F261B4" w:rsidRPr="0040027A" w:rsidRDefault="00F261B4">
      <w:pPr>
        <w:rPr>
          <w:rFonts w:ascii="Arial" w:hAnsi="Arial" w:cs="Arial"/>
          <w:b/>
          <w:sz w:val="20"/>
          <w:szCs w:val="20"/>
        </w:rPr>
      </w:pPr>
      <w:bookmarkStart w:id="0" w:name="_GoBack"/>
      <w:bookmarkEnd w:id="0"/>
      <w:r w:rsidRPr="0040027A">
        <w:rPr>
          <w:rFonts w:ascii="Arial" w:hAnsi="Arial" w:cs="Arial"/>
          <w:b/>
          <w:sz w:val="20"/>
          <w:szCs w:val="20"/>
        </w:rPr>
        <w:t>A: Distribución de responsabilidades en relación con el derecho a una vivienda adecuada.</w:t>
      </w:r>
    </w:p>
    <w:p w:rsidR="00F261B4" w:rsidRPr="0040027A" w:rsidRDefault="00F261B4">
      <w:pPr>
        <w:rPr>
          <w:rFonts w:ascii="Arial" w:hAnsi="Arial" w:cs="Arial"/>
          <w:sz w:val="20"/>
          <w:szCs w:val="20"/>
        </w:rPr>
      </w:pPr>
      <w:r w:rsidRPr="0040027A">
        <w:rPr>
          <w:rFonts w:ascii="Arial" w:hAnsi="Arial" w:cs="Arial"/>
          <w:sz w:val="20"/>
          <w:szCs w:val="20"/>
        </w:rPr>
        <w:t>1. Por favor indique el nivel de gobierno que tiene la responsabilidad primordial en los siguientes temas:</w:t>
      </w:r>
    </w:p>
    <w:tbl>
      <w:tblPr>
        <w:tblW w:w="8961" w:type="dxa"/>
        <w:tblInd w:w="40" w:type="dxa"/>
        <w:tblLayout w:type="fixed"/>
        <w:tblCellMar>
          <w:left w:w="70" w:type="dxa"/>
          <w:right w:w="70" w:type="dxa"/>
        </w:tblCellMar>
        <w:tblLook w:val="0000" w:firstRow="0" w:lastRow="0" w:firstColumn="0" w:lastColumn="0" w:noHBand="0" w:noVBand="0"/>
      </w:tblPr>
      <w:tblGrid>
        <w:gridCol w:w="499"/>
        <w:gridCol w:w="842"/>
        <w:gridCol w:w="1099"/>
        <w:gridCol w:w="992"/>
        <w:gridCol w:w="993"/>
        <w:gridCol w:w="4536"/>
      </w:tblGrid>
      <w:tr w:rsidR="00F261B4" w:rsidRPr="00F261B4" w:rsidTr="00F261B4">
        <w:trPr>
          <w:trHeight w:val="581"/>
        </w:trPr>
        <w:tc>
          <w:tcPr>
            <w:tcW w:w="499" w:type="dxa"/>
            <w:tcBorders>
              <w:top w:val="nil"/>
              <w:left w:val="nil"/>
              <w:bottom w:val="nil"/>
              <w:right w:val="nil"/>
            </w:tcBorders>
            <w:vAlign w:val="center"/>
          </w:tcPr>
          <w:p w:rsidR="00F261B4" w:rsidRPr="00F261B4" w:rsidRDefault="00F261B4" w:rsidP="00F261B4">
            <w:pPr>
              <w:autoSpaceDE w:val="0"/>
              <w:autoSpaceDN w:val="0"/>
              <w:adjustRightInd w:val="0"/>
              <w:spacing w:after="0" w:line="240" w:lineRule="auto"/>
              <w:jc w:val="center"/>
              <w:rPr>
                <w:rFonts w:ascii="Calibri" w:hAnsi="Calibri" w:cs="Calibri"/>
                <w:color w:val="000000"/>
                <w:sz w:val="18"/>
                <w:szCs w:val="18"/>
              </w:rPr>
            </w:pPr>
          </w:p>
        </w:tc>
        <w:tc>
          <w:tcPr>
            <w:tcW w:w="842" w:type="dxa"/>
            <w:tcBorders>
              <w:top w:val="nil"/>
              <w:left w:val="nil"/>
              <w:bottom w:val="nil"/>
              <w:right w:val="single" w:sz="6" w:space="0" w:color="auto"/>
            </w:tcBorders>
            <w:vAlign w:val="center"/>
          </w:tcPr>
          <w:p w:rsidR="00F261B4" w:rsidRPr="00F261B4" w:rsidRDefault="00F261B4" w:rsidP="00F261B4">
            <w:pPr>
              <w:autoSpaceDE w:val="0"/>
              <w:autoSpaceDN w:val="0"/>
              <w:adjustRightInd w:val="0"/>
              <w:spacing w:after="0" w:line="240" w:lineRule="auto"/>
              <w:jc w:val="center"/>
              <w:rPr>
                <w:rFonts w:ascii="Calibri" w:hAnsi="Calibri" w:cs="Calibri"/>
                <w:color w:val="000000"/>
                <w:sz w:val="18"/>
                <w:szCs w:val="18"/>
              </w:rPr>
            </w:pPr>
          </w:p>
        </w:tc>
        <w:tc>
          <w:tcPr>
            <w:tcW w:w="1099" w:type="dxa"/>
            <w:tcBorders>
              <w:top w:val="single" w:sz="6" w:space="0" w:color="auto"/>
              <w:left w:val="single" w:sz="6" w:space="0" w:color="auto"/>
              <w:bottom w:val="single" w:sz="6" w:space="0" w:color="auto"/>
              <w:right w:val="single" w:sz="6" w:space="0" w:color="auto"/>
            </w:tcBorders>
            <w:shd w:val="clear" w:color="auto" w:fill="EEECE1" w:themeFill="background2"/>
            <w:vAlign w:val="center"/>
          </w:tcPr>
          <w:p w:rsidR="00F261B4" w:rsidRPr="00F261B4" w:rsidRDefault="00F261B4" w:rsidP="00F261B4">
            <w:pPr>
              <w:autoSpaceDE w:val="0"/>
              <w:autoSpaceDN w:val="0"/>
              <w:adjustRightInd w:val="0"/>
              <w:spacing w:after="0" w:line="240" w:lineRule="auto"/>
              <w:jc w:val="center"/>
              <w:rPr>
                <w:rFonts w:ascii="Calibri" w:hAnsi="Calibri" w:cs="Calibri"/>
                <w:color w:val="000000"/>
                <w:sz w:val="18"/>
                <w:szCs w:val="18"/>
              </w:rPr>
            </w:pPr>
            <w:r w:rsidRPr="00F261B4">
              <w:rPr>
                <w:rFonts w:ascii="Calibri" w:hAnsi="Calibri" w:cs="Calibri"/>
                <w:color w:val="000000"/>
                <w:sz w:val="18"/>
                <w:szCs w:val="18"/>
              </w:rPr>
              <w:t>Nacional/ Federal</w:t>
            </w:r>
          </w:p>
        </w:tc>
        <w:tc>
          <w:tcPr>
            <w:tcW w:w="992" w:type="dxa"/>
            <w:tcBorders>
              <w:top w:val="single" w:sz="6" w:space="0" w:color="auto"/>
              <w:left w:val="single" w:sz="6" w:space="0" w:color="auto"/>
              <w:bottom w:val="single" w:sz="6" w:space="0" w:color="auto"/>
              <w:right w:val="single" w:sz="6" w:space="0" w:color="auto"/>
            </w:tcBorders>
            <w:shd w:val="clear" w:color="auto" w:fill="EEECE1" w:themeFill="background2"/>
            <w:vAlign w:val="center"/>
          </w:tcPr>
          <w:p w:rsidR="00F261B4" w:rsidRPr="00F261B4" w:rsidRDefault="00F261B4" w:rsidP="00F261B4">
            <w:pPr>
              <w:autoSpaceDE w:val="0"/>
              <w:autoSpaceDN w:val="0"/>
              <w:adjustRightInd w:val="0"/>
              <w:spacing w:after="0" w:line="240" w:lineRule="auto"/>
              <w:jc w:val="center"/>
              <w:rPr>
                <w:rFonts w:ascii="Calibri" w:hAnsi="Calibri" w:cs="Calibri"/>
                <w:color w:val="000000"/>
                <w:sz w:val="18"/>
                <w:szCs w:val="18"/>
              </w:rPr>
            </w:pPr>
            <w:r w:rsidRPr="00F261B4">
              <w:rPr>
                <w:rFonts w:ascii="Calibri" w:hAnsi="Calibri" w:cs="Calibri"/>
                <w:color w:val="000000"/>
                <w:sz w:val="18"/>
                <w:szCs w:val="18"/>
              </w:rPr>
              <w:t>Provincial/ Estatal</w:t>
            </w:r>
          </w:p>
        </w:tc>
        <w:tc>
          <w:tcPr>
            <w:tcW w:w="993" w:type="dxa"/>
            <w:tcBorders>
              <w:top w:val="single" w:sz="6" w:space="0" w:color="auto"/>
              <w:left w:val="single" w:sz="6" w:space="0" w:color="auto"/>
              <w:bottom w:val="single" w:sz="6" w:space="0" w:color="auto"/>
              <w:right w:val="single" w:sz="6" w:space="0" w:color="auto"/>
            </w:tcBorders>
            <w:shd w:val="clear" w:color="auto" w:fill="EEECE1" w:themeFill="background2"/>
            <w:vAlign w:val="center"/>
          </w:tcPr>
          <w:p w:rsidR="00F261B4" w:rsidRPr="00F261B4" w:rsidRDefault="00F261B4" w:rsidP="00F261B4">
            <w:pPr>
              <w:autoSpaceDE w:val="0"/>
              <w:autoSpaceDN w:val="0"/>
              <w:adjustRightInd w:val="0"/>
              <w:spacing w:after="0" w:line="240" w:lineRule="auto"/>
              <w:jc w:val="center"/>
              <w:rPr>
                <w:rFonts w:ascii="Calibri" w:hAnsi="Calibri" w:cs="Calibri"/>
                <w:color w:val="000000"/>
                <w:sz w:val="18"/>
                <w:szCs w:val="18"/>
              </w:rPr>
            </w:pPr>
            <w:r w:rsidRPr="00F261B4">
              <w:rPr>
                <w:rFonts w:ascii="Calibri" w:hAnsi="Calibri" w:cs="Calibri"/>
                <w:color w:val="000000"/>
                <w:sz w:val="18"/>
                <w:szCs w:val="18"/>
              </w:rPr>
              <w:t>Municipal</w:t>
            </w:r>
          </w:p>
        </w:tc>
        <w:tc>
          <w:tcPr>
            <w:tcW w:w="4536" w:type="dxa"/>
            <w:tcBorders>
              <w:top w:val="single" w:sz="6" w:space="0" w:color="auto"/>
              <w:left w:val="single" w:sz="6" w:space="0" w:color="auto"/>
              <w:bottom w:val="single" w:sz="6" w:space="0" w:color="auto"/>
              <w:right w:val="single" w:sz="6" w:space="0" w:color="auto"/>
            </w:tcBorders>
            <w:shd w:val="clear" w:color="auto" w:fill="EEECE1" w:themeFill="background2"/>
            <w:vAlign w:val="center"/>
          </w:tcPr>
          <w:p w:rsidR="00F261B4" w:rsidRPr="00F261B4" w:rsidRDefault="00F261B4" w:rsidP="00F261B4">
            <w:pPr>
              <w:autoSpaceDE w:val="0"/>
              <w:autoSpaceDN w:val="0"/>
              <w:adjustRightInd w:val="0"/>
              <w:spacing w:after="0" w:line="240" w:lineRule="auto"/>
              <w:jc w:val="center"/>
              <w:rPr>
                <w:rFonts w:ascii="Calibri" w:hAnsi="Calibri" w:cs="Calibri"/>
                <w:color w:val="000000"/>
                <w:sz w:val="18"/>
                <w:szCs w:val="18"/>
              </w:rPr>
            </w:pPr>
            <w:r w:rsidRPr="00F261B4">
              <w:rPr>
                <w:rFonts w:ascii="Calibri" w:hAnsi="Calibri" w:cs="Calibri"/>
                <w:color w:val="000000"/>
                <w:sz w:val="18"/>
                <w:szCs w:val="18"/>
              </w:rPr>
              <w:t>Nota explicativa</w:t>
            </w:r>
          </w:p>
        </w:tc>
      </w:tr>
      <w:tr w:rsidR="00F261B4" w:rsidRPr="00F261B4" w:rsidTr="00F261B4">
        <w:trPr>
          <w:trHeight w:val="2844"/>
        </w:trPr>
        <w:tc>
          <w:tcPr>
            <w:tcW w:w="1341" w:type="dxa"/>
            <w:gridSpan w:val="2"/>
            <w:tcBorders>
              <w:top w:val="single" w:sz="6" w:space="0" w:color="auto"/>
              <w:left w:val="single" w:sz="6" w:space="0" w:color="auto"/>
              <w:bottom w:val="single" w:sz="6" w:space="0" w:color="auto"/>
              <w:right w:val="single" w:sz="6" w:space="0" w:color="auto"/>
            </w:tcBorders>
            <w:vAlign w:val="center"/>
          </w:tcPr>
          <w:p w:rsidR="00F261B4" w:rsidRPr="00F261B4" w:rsidRDefault="00F261B4" w:rsidP="00F261B4">
            <w:pPr>
              <w:autoSpaceDE w:val="0"/>
              <w:autoSpaceDN w:val="0"/>
              <w:adjustRightInd w:val="0"/>
              <w:spacing w:after="0" w:line="240" w:lineRule="auto"/>
              <w:rPr>
                <w:rFonts w:ascii="Calibri" w:hAnsi="Calibri" w:cs="Calibri"/>
                <w:color w:val="000000"/>
                <w:sz w:val="20"/>
                <w:szCs w:val="20"/>
              </w:rPr>
            </w:pPr>
            <w:r w:rsidRPr="00F261B4">
              <w:rPr>
                <w:rFonts w:ascii="Calibri" w:hAnsi="Calibri" w:cs="Calibri"/>
                <w:color w:val="000000"/>
                <w:sz w:val="20"/>
                <w:szCs w:val="20"/>
              </w:rPr>
              <w:t>Programa de vivienda</w:t>
            </w:r>
          </w:p>
        </w:tc>
        <w:tc>
          <w:tcPr>
            <w:tcW w:w="1099"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F261B4" w:rsidRPr="00F261B4" w:rsidRDefault="00F261B4" w:rsidP="00F261B4">
            <w:pPr>
              <w:autoSpaceDE w:val="0"/>
              <w:autoSpaceDN w:val="0"/>
              <w:adjustRightInd w:val="0"/>
              <w:spacing w:after="0" w:line="240" w:lineRule="auto"/>
              <w:jc w:val="center"/>
              <w:rPr>
                <w:rFonts w:ascii="Calibri" w:hAnsi="Calibri" w:cs="Calibri"/>
                <w:color w:val="000000"/>
              </w:rPr>
            </w:pPr>
            <w:r w:rsidRPr="00F261B4">
              <w:rPr>
                <w:rFonts w:ascii="Calibri" w:hAnsi="Calibri" w:cs="Calibri"/>
                <w:color w:val="000000"/>
              </w:rPr>
              <w:t>X</w:t>
            </w:r>
          </w:p>
        </w:tc>
        <w:tc>
          <w:tcPr>
            <w:tcW w:w="992"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F261B4" w:rsidRPr="00F261B4" w:rsidRDefault="00F261B4" w:rsidP="00F261B4">
            <w:pPr>
              <w:autoSpaceDE w:val="0"/>
              <w:autoSpaceDN w:val="0"/>
              <w:adjustRightInd w:val="0"/>
              <w:spacing w:after="0" w:line="240" w:lineRule="auto"/>
              <w:jc w:val="center"/>
              <w:rPr>
                <w:rFonts w:ascii="Calibri" w:hAnsi="Calibri" w:cs="Calibri"/>
                <w:color w:val="000000"/>
              </w:rPr>
            </w:pPr>
            <w:r w:rsidRPr="00F261B4">
              <w:rPr>
                <w:rFonts w:ascii="Calibri" w:hAnsi="Calibri" w:cs="Calibri"/>
                <w:color w:val="000000"/>
              </w:rPr>
              <w:t>X</w:t>
            </w:r>
          </w:p>
        </w:tc>
        <w:tc>
          <w:tcPr>
            <w:tcW w:w="993" w:type="dxa"/>
            <w:tcBorders>
              <w:top w:val="single" w:sz="6" w:space="0" w:color="auto"/>
              <w:left w:val="single" w:sz="6" w:space="0" w:color="auto"/>
              <w:bottom w:val="single" w:sz="6" w:space="0" w:color="auto"/>
              <w:right w:val="single" w:sz="6" w:space="0" w:color="auto"/>
            </w:tcBorders>
            <w:vAlign w:val="center"/>
          </w:tcPr>
          <w:p w:rsidR="00F261B4" w:rsidRPr="00F261B4" w:rsidRDefault="00F261B4" w:rsidP="00F261B4">
            <w:pPr>
              <w:autoSpaceDE w:val="0"/>
              <w:autoSpaceDN w:val="0"/>
              <w:adjustRightInd w:val="0"/>
              <w:spacing w:after="0" w:line="240" w:lineRule="auto"/>
              <w:jc w:val="center"/>
              <w:rPr>
                <w:rFonts w:ascii="Calibri" w:hAnsi="Calibri" w:cs="Calibri"/>
                <w:color w:val="000000"/>
              </w:rPr>
            </w:pPr>
          </w:p>
        </w:tc>
        <w:tc>
          <w:tcPr>
            <w:tcW w:w="4536" w:type="dxa"/>
            <w:tcBorders>
              <w:top w:val="single" w:sz="6" w:space="0" w:color="auto"/>
              <w:left w:val="single" w:sz="6" w:space="0" w:color="auto"/>
              <w:bottom w:val="single" w:sz="6" w:space="0" w:color="auto"/>
              <w:right w:val="single" w:sz="6" w:space="0" w:color="auto"/>
            </w:tcBorders>
          </w:tcPr>
          <w:p w:rsidR="00F261B4" w:rsidRPr="00F261B4" w:rsidRDefault="00F261B4" w:rsidP="00F261B4">
            <w:pPr>
              <w:autoSpaceDE w:val="0"/>
              <w:autoSpaceDN w:val="0"/>
              <w:adjustRightInd w:val="0"/>
              <w:spacing w:after="0" w:line="240" w:lineRule="auto"/>
              <w:rPr>
                <w:rFonts w:ascii="Calibri" w:hAnsi="Calibri" w:cs="Calibri"/>
                <w:color w:val="000000"/>
                <w:sz w:val="18"/>
                <w:szCs w:val="18"/>
              </w:rPr>
            </w:pPr>
            <w:r w:rsidRPr="00F261B4">
              <w:rPr>
                <w:rFonts w:ascii="Calibri" w:hAnsi="Calibri" w:cs="Calibri"/>
                <w:color w:val="000000"/>
                <w:sz w:val="18"/>
                <w:szCs w:val="18"/>
              </w:rPr>
              <w:t>Ley de Vivienda, establece en su Artículo 9.- El Programa Nacional de Vivienda será formulado por la Comisión, (Comisión Nacional de Vivienda CONAVI), aprobado por el Presidente de la República mediante decreto y estará sometido a un proceso permanente de control y evaluación, observando lo dispuesto en este ordenamiento y, en lo conducente, en la Ley de Planeación y la Ley General de Desarrollo Social.</w:t>
            </w:r>
          </w:p>
          <w:p w:rsidR="00F261B4" w:rsidRPr="00F261B4" w:rsidRDefault="00F261B4" w:rsidP="00F261B4">
            <w:pPr>
              <w:autoSpaceDE w:val="0"/>
              <w:autoSpaceDN w:val="0"/>
              <w:adjustRightInd w:val="0"/>
              <w:spacing w:after="0" w:line="240" w:lineRule="auto"/>
              <w:rPr>
                <w:rFonts w:ascii="Calibri" w:hAnsi="Calibri" w:cs="Calibri"/>
                <w:color w:val="000000"/>
                <w:sz w:val="18"/>
                <w:szCs w:val="18"/>
              </w:rPr>
            </w:pPr>
            <w:r w:rsidRPr="00F261B4">
              <w:rPr>
                <w:rFonts w:ascii="Calibri" w:hAnsi="Calibri" w:cs="Calibri"/>
                <w:color w:val="000000"/>
                <w:sz w:val="18"/>
                <w:szCs w:val="18"/>
              </w:rPr>
              <w:t>Las entidades federativas han constituido mediante decreto, a los Institutos Estatales de Vivienda, como organismos públicos; y también cuentan con los Organismos Estatales de Vivienda (OREVIS), que se ocupa de coordinar las acciones de vivienda.</w:t>
            </w:r>
          </w:p>
        </w:tc>
      </w:tr>
      <w:tr w:rsidR="00F261B4" w:rsidRPr="00F261B4" w:rsidTr="00F261B4">
        <w:trPr>
          <w:trHeight w:val="1843"/>
        </w:trPr>
        <w:tc>
          <w:tcPr>
            <w:tcW w:w="1341" w:type="dxa"/>
            <w:gridSpan w:val="2"/>
            <w:tcBorders>
              <w:top w:val="single" w:sz="6" w:space="0" w:color="auto"/>
              <w:left w:val="single" w:sz="6" w:space="0" w:color="auto"/>
              <w:bottom w:val="single" w:sz="6" w:space="0" w:color="auto"/>
              <w:right w:val="single" w:sz="6" w:space="0" w:color="auto"/>
            </w:tcBorders>
            <w:vAlign w:val="center"/>
          </w:tcPr>
          <w:p w:rsidR="00F261B4" w:rsidRPr="00F261B4" w:rsidRDefault="00F261B4" w:rsidP="00F261B4">
            <w:pPr>
              <w:autoSpaceDE w:val="0"/>
              <w:autoSpaceDN w:val="0"/>
              <w:adjustRightInd w:val="0"/>
              <w:spacing w:after="0" w:line="240" w:lineRule="auto"/>
              <w:rPr>
                <w:rFonts w:ascii="Calibri" w:hAnsi="Calibri" w:cs="Calibri"/>
                <w:color w:val="000000"/>
                <w:sz w:val="20"/>
                <w:szCs w:val="20"/>
              </w:rPr>
            </w:pPr>
            <w:r w:rsidRPr="00F261B4">
              <w:rPr>
                <w:rFonts w:ascii="Calibri" w:hAnsi="Calibri" w:cs="Calibri"/>
                <w:color w:val="000000"/>
                <w:sz w:val="20"/>
                <w:szCs w:val="20"/>
              </w:rPr>
              <w:t>Programa de asistencia social (ej. Bonos individuales, susidios para alquiler o vivienda)</w:t>
            </w:r>
          </w:p>
        </w:tc>
        <w:tc>
          <w:tcPr>
            <w:tcW w:w="1099"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F261B4" w:rsidRPr="00F261B4" w:rsidRDefault="00F261B4" w:rsidP="00F261B4">
            <w:pPr>
              <w:autoSpaceDE w:val="0"/>
              <w:autoSpaceDN w:val="0"/>
              <w:adjustRightInd w:val="0"/>
              <w:spacing w:after="0" w:line="240" w:lineRule="auto"/>
              <w:jc w:val="center"/>
              <w:rPr>
                <w:rFonts w:ascii="Calibri" w:hAnsi="Calibri" w:cs="Calibri"/>
                <w:color w:val="000000"/>
              </w:rPr>
            </w:pPr>
            <w:r w:rsidRPr="00F261B4">
              <w:rPr>
                <w:rFonts w:ascii="Calibri" w:hAnsi="Calibri" w:cs="Calibri"/>
                <w:color w:val="000000"/>
              </w:rPr>
              <w:t>X</w:t>
            </w:r>
          </w:p>
        </w:tc>
        <w:tc>
          <w:tcPr>
            <w:tcW w:w="992" w:type="dxa"/>
            <w:tcBorders>
              <w:top w:val="single" w:sz="6" w:space="0" w:color="auto"/>
              <w:left w:val="single" w:sz="6" w:space="0" w:color="auto"/>
              <w:bottom w:val="single" w:sz="6" w:space="0" w:color="auto"/>
              <w:right w:val="single" w:sz="6" w:space="0" w:color="auto"/>
            </w:tcBorders>
            <w:vAlign w:val="center"/>
          </w:tcPr>
          <w:p w:rsidR="00F261B4" w:rsidRPr="00F261B4" w:rsidRDefault="00F261B4" w:rsidP="00F261B4">
            <w:pPr>
              <w:autoSpaceDE w:val="0"/>
              <w:autoSpaceDN w:val="0"/>
              <w:adjustRightInd w:val="0"/>
              <w:spacing w:after="0" w:line="240" w:lineRule="auto"/>
              <w:jc w:val="center"/>
              <w:rPr>
                <w:rFonts w:ascii="Calibri" w:hAnsi="Calibri" w:cs="Calibri"/>
                <w:color w:val="000000"/>
              </w:rPr>
            </w:pPr>
          </w:p>
        </w:tc>
        <w:tc>
          <w:tcPr>
            <w:tcW w:w="993" w:type="dxa"/>
            <w:tcBorders>
              <w:top w:val="single" w:sz="6" w:space="0" w:color="auto"/>
              <w:left w:val="single" w:sz="6" w:space="0" w:color="auto"/>
              <w:bottom w:val="single" w:sz="6" w:space="0" w:color="auto"/>
              <w:right w:val="single" w:sz="6" w:space="0" w:color="auto"/>
            </w:tcBorders>
            <w:vAlign w:val="center"/>
          </w:tcPr>
          <w:p w:rsidR="00F261B4" w:rsidRPr="00F261B4" w:rsidRDefault="00F261B4" w:rsidP="00F261B4">
            <w:pPr>
              <w:autoSpaceDE w:val="0"/>
              <w:autoSpaceDN w:val="0"/>
              <w:adjustRightInd w:val="0"/>
              <w:spacing w:after="0" w:line="240" w:lineRule="auto"/>
              <w:jc w:val="center"/>
              <w:rPr>
                <w:rFonts w:ascii="Calibri" w:hAnsi="Calibri" w:cs="Calibri"/>
                <w:color w:val="000000"/>
              </w:rPr>
            </w:pPr>
          </w:p>
        </w:tc>
        <w:tc>
          <w:tcPr>
            <w:tcW w:w="4536" w:type="dxa"/>
            <w:tcBorders>
              <w:top w:val="single" w:sz="6" w:space="0" w:color="auto"/>
              <w:left w:val="single" w:sz="6" w:space="0" w:color="auto"/>
              <w:bottom w:val="single" w:sz="6" w:space="0" w:color="auto"/>
              <w:right w:val="single" w:sz="6" w:space="0" w:color="auto"/>
            </w:tcBorders>
          </w:tcPr>
          <w:p w:rsidR="00F261B4" w:rsidRPr="00F261B4" w:rsidRDefault="00F261B4" w:rsidP="00F261B4">
            <w:pPr>
              <w:autoSpaceDE w:val="0"/>
              <w:autoSpaceDN w:val="0"/>
              <w:adjustRightInd w:val="0"/>
              <w:spacing w:after="0" w:line="240" w:lineRule="auto"/>
              <w:rPr>
                <w:rFonts w:ascii="Calibri" w:hAnsi="Calibri" w:cs="Calibri"/>
                <w:color w:val="000000"/>
                <w:sz w:val="18"/>
                <w:szCs w:val="18"/>
              </w:rPr>
            </w:pPr>
            <w:r w:rsidRPr="00F261B4">
              <w:rPr>
                <w:rFonts w:ascii="Calibri" w:hAnsi="Calibri" w:cs="Calibri"/>
                <w:color w:val="000000"/>
                <w:sz w:val="18"/>
                <w:szCs w:val="18"/>
              </w:rPr>
              <w:t>La federación apoya con subsidio federal la producción de vivienda, a través de la Comisión Nacional de Vivienda (CONAVI), Sociedad Hipotecaria Federal SHF), Instituto del Fondo Nacional para la Vivienda (INFONAVIT), Fondo de la Vivienda del Instituto de Seguridad y Servicios Sociales de los Trabajadores del Estado (FOVISSSTE) e Instituto de Seguridad Social para las Fuerzas Armadas Mexicanas (ISFAM).</w:t>
            </w:r>
          </w:p>
        </w:tc>
      </w:tr>
      <w:tr w:rsidR="00F261B4" w:rsidRPr="00F261B4" w:rsidTr="00F261B4">
        <w:trPr>
          <w:trHeight w:val="1423"/>
        </w:trPr>
        <w:tc>
          <w:tcPr>
            <w:tcW w:w="1341" w:type="dxa"/>
            <w:gridSpan w:val="2"/>
            <w:tcBorders>
              <w:top w:val="single" w:sz="6" w:space="0" w:color="auto"/>
              <w:left w:val="single" w:sz="6" w:space="0" w:color="auto"/>
              <w:bottom w:val="single" w:sz="6" w:space="0" w:color="auto"/>
              <w:right w:val="single" w:sz="6" w:space="0" w:color="auto"/>
            </w:tcBorders>
            <w:vAlign w:val="center"/>
          </w:tcPr>
          <w:p w:rsidR="00F261B4" w:rsidRPr="00F261B4" w:rsidRDefault="00F261B4" w:rsidP="00F261B4">
            <w:pPr>
              <w:autoSpaceDE w:val="0"/>
              <w:autoSpaceDN w:val="0"/>
              <w:adjustRightInd w:val="0"/>
              <w:spacing w:after="0" w:line="240" w:lineRule="auto"/>
              <w:rPr>
                <w:rFonts w:ascii="Calibri" w:hAnsi="Calibri" w:cs="Calibri"/>
                <w:color w:val="000000"/>
                <w:sz w:val="20"/>
                <w:szCs w:val="20"/>
              </w:rPr>
            </w:pPr>
            <w:r w:rsidRPr="00F261B4">
              <w:rPr>
                <w:rFonts w:ascii="Calibri" w:hAnsi="Calibri" w:cs="Calibri"/>
                <w:color w:val="000000"/>
                <w:sz w:val="20"/>
                <w:szCs w:val="20"/>
              </w:rPr>
              <w:t>Alquiler y protección de seguridad de la tenencia</w:t>
            </w:r>
          </w:p>
        </w:tc>
        <w:tc>
          <w:tcPr>
            <w:tcW w:w="1099" w:type="dxa"/>
            <w:tcBorders>
              <w:top w:val="single" w:sz="6" w:space="0" w:color="auto"/>
              <w:left w:val="single" w:sz="6" w:space="0" w:color="auto"/>
              <w:bottom w:val="single" w:sz="6" w:space="0" w:color="auto"/>
              <w:right w:val="single" w:sz="6" w:space="0" w:color="auto"/>
            </w:tcBorders>
            <w:vAlign w:val="center"/>
          </w:tcPr>
          <w:p w:rsidR="00F261B4" w:rsidRPr="00F261B4" w:rsidRDefault="00F261B4" w:rsidP="00F261B4">
            <w:pPr>
              <w:autoSpaceDE w:val="0"/>
              <w:autoSpaceDN w:val="0"/>
              <w:adjustRightInd w:val="0"/>
              <w:spacing w:after="0" w:line="240" w:lineRule="auto"/>
              <w:jc w:val="center"/>
              <w:rPr>
                <w:rFonts w:ascii="Calibri" w:hAnsi="Calibri" w:cs="Calibri"/>
                <w:color w:val="000000"/>
              </w:rPr>
            </w:pPr>
          </w:p>
        </w:tc>
        <w:tc>
          <w:tcPr>
            <w:tcW w:w="992"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F261B4" w:rsidRPr="00F261B4" w:rsidRDefault="00F261B4" w:rsidP="00F261B4">
            <w:pPr>
              <w:autoSpaceDE w:val="0"/>
              <w:autoSpaceDN w:val="0"/>
              <w:adjustRightInd w:val="0"/>
              <w:spacing w:after="0" w:line="240" w:lineRule="auto"/>
              <w:jc w:val="center"/>
              <w:rPr>
                <w:rFonts w:ascii="Calibri" w:hAnsi="Calibri" w:cs="Calibri"/>
                <w:color w:val="000000"/>
              </w:rPr>
            </w:pPr>
            <w:r w:rsidRPr="00F261B4">
              <w:rPr>
                <w:rFonts w:ascii="Calibri" w:hAnsi="Calibri" w:cs="Calibri"/>
                <w:color w:val="000000"/>
              </w:rPr>
              <w:t>X</w:t>
            </w:r>
          </w:p>
        </w:tc>
        <w:tc>
          <w:tcPr>
            <w:tcW w:w="993" w:type="dxa"/>
            <w:tcBorders>
              <w:top w:val="single" w:sz="6" w:space="0" w:color="auto"/>
              <w:left w:val="single" w:sz="6" w:space="0" w:color="auto"/>
              <w:bottom w:val="single" w:sz="6" w:space="0" w:color="auto"/>
              <w:right w:val="single" w:sz="6" w:space="0" w:color="auto"/>
            </w:tcBorders>
            <w:vAlign w:val="center"/>
          </w:tcPr>
          <w:p w:rsidR="00F261B4" w:rsidRPr="00F261B4" w:rsidRDefault="00F261B4" w:rsidP="00F261B4">
            <w:pPr>
              <w:autoSpaceDE w:val="0"/>
              <w:autoSpaceDN w:val="0"/>
              <w:adjustRightInd w:val="0"/>
              <w:spacing w:after="0" w:line="240" w:lineRule="auto"/>
              <w:jc w:val="center"/>
              <w:rPr>
                <w:rFonts w:ascii="Calibri" w:hAnsi="Calibri" w:cs="Calibri"/>
                <w:color w:val="000000"/>
              </w:rPr>
            </w:pPr>
          </w:p>
        </w:tc>
        <w:tc>
          <w:tcPr>
            <w:tcW w:w="4536" w:type="dxa"/>
            <w:tcBorders>
              <w:top w:val="single" w:sz="6" w:space="0" w:color="auto"/>
              <w:left w:val="single" w:sz="6" w:space="0" w:color="auto"/>
              <w:bottom w:val="single" w:sz="6" w:space="0" w:color="auto"/>
              <w:right w:val="single" w:sz="6" w:space="0" w:color="auto"/>
            </w:tcBorders>
            <w:vAlign w:val="center"/>
          </w:tcPr>
          <w:p w:rsidR="00F261B4" w:rsidRPr="00F261B4" w:rsidRDefault="00F261B4" w:rsidP="00F261B4">
            <w:pPr>
              <w:autoSpaceDE w:val="0"/>
              <w:autoSpaceDN w:val="0"/>
              <w:adjustRightInd w:val="0"/>
              <w:spacing w:after="0" w:line="240" w:lineRule="auto"/>
              <w:rPr>
                <w:rFonts w:ascii="Calibri" w:hAnsi="Calibri" w:cs="Calibri"/>
                <w:color w:val="000000"/>
                <w:sz w:val="18"/>
                <w:szCs w:val="18"/>
              </w:rPr>
            </w:pPr>
            <w:r w:rsidRPr="00F261B4">
              <w:rPr>
                <w:rFonts w:ascii="Calibri" w:hAnsi="Calibri" w:cs="Calibri"/>
                <w:color w:val="000000"/>
                <w:sz w:val="18"/>
                <w:szCs w:val="18"/>
              </w:rPr>
              <w:t>Las condiciones generales del arrendamiento inmobiliario se establecen en los Códigos Civiles de los Estados.</w:t>
            </w:r>
          </w:p>
          <w:p w:rsidR="00F261B4" w:rsidRPr="00F261B4" w:rsidRDefault="00F261B4" w:rsidP="00F261B4">
            <w:pPr>
              <w:autoSpaceDE w:val="0"/>
              <w:autoSpaceDN w:val="0"/>
              <w:adjustRightInd w:val="0"/>
              <w:spacing w:after="0" w:line="240" w:lineRule="auto"/>
              <w:rPr>
                <w:rFonts w:ascii="Calibri" w:hAnsi="Calibri" w:cs="Calibri"/>
                <w:color w:val="000000"/>
                <w:sz w:val="18"/>
                <w:szCs w:val="18"/>
              </w:rPr>
            </w:pPr>
            <w:r w:rsidRPr="00F261B4">
              <w:rPr>
                <w:rFonts w:ascii="Calibri" w:hAnsi="Calibri" w:cs="Calibri"/>
                <w:color w:val="000000"/>
                <w:sz w:val="18"/>
                <w:szCs w:val="18"/>
              </w:rPr>
              <w:t>La seguridad en la tenencia es en los Estados a través de los Registros Públicos de la Propiedad, de orden estatal que tienen el registro cronológico de las transmisiones de dominio inmobiliarias.</w:t>
            </w:r>
          </w:p>
        </w:tc>
      </w:tr>
      <w:tr w:rsidR="00F261B4" w:rsidRPr="00F261B4" w:rsidTr="00F261B4">
        <w:trPr>
          <w:trHeight w:val="703"/>
        </w:trPr>
        <w:tc>
          <w:tcPr>
            <w:tcW w:w="1341" w:type="dxa"/>
            <w:gridSpan w:val="2"/>
            <w:tcBorders>
              <w:top w:val="single" w:sz="6" w:space="0" w:color="auto"/>
              <w:left w:val="single" w:sz="6" w:space="0" w:color="auto"/>
              <w:bottom w:val="single" w:sz="6" w:space="0" w:color="auto"/>
              <w:right w:val="single" w:sz="6" w:space="0" w:color="auto"/>
            </w:tcBorders>
            <w:vAlign w:val="center"/>
          </w:tcPr>
          <w:p w:rsidR="00F261B4" w:rsidRPr="00F261B4" w:rsidRDefault="00F261B4" w:rsidP="00F261B4">
            <w:pPr>
              <w:autoSpaceDE w:val="0"/>
              <w:autoSpaceDN w:val="0"/>
              <w:adjustRightInd w:val="0"/>
              <w:spacing w:after="0" w:line="240" w:lineRule="auto"/>
              <w:rPr>
                <w:rFonts w:ascii="Calibri" w:hAnsi="Calibri" w:cs="Calibri"/>
                <w:color w:val="000000"/>
                <w:sz w:val="20"/>
                <w:szCs w:val="20"/>
              </w:rPr>
            </w:pPr>
            <w:r w:rsidRPr="00F261B4">
              <w:rPr>
                <w:rFonts w:ascii="Calibri" w:hAnsi="Calibri" w:cs="Calibri"/>
                <w:color w:val="000000"/>
                <w:sz w:val="20"/>
                <w:szCs w:val="20"/>
              </w:rPr>
              <w:t>Infraestructura y servicios (ej. Agua, saneamiento, electricidad)</w:t>
            </w:r>
          </w:p>
        </w:tc>
        <w:tc>
          <w:tcPr>
            <w:tcW w:w="1099"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F261B4" w:rsidRPr="00F261B4" w:rsidRDefault="00F261B4" w:rsidP="00F261B4">
            <w:pPr>
              <w:autoSpaceDE w:val="0"/>
              <w:autoSpaceDN w:val="0"/>
              <w:adjustRightInd w:val="0"/>
              <w:spacing w:after="0" w:line="240" w:lineRule="auto"/>
              <w:jc w:val="center"/>
              <w:rPr>
                <w:rFonts w:ascii="Calibri" w:hAnsi="Calibri" w:cs="Calibri"/>
                <w:color w:val="000000"/>
              </w:rPr>
            </w:pPr>
            <w:r w:rsidRPr="00F261B4">
              <w:rPr>
                <w:rFonts w:ascii="Calibri" w:hAnsi="Calibri" w:cs="Calibri"/>
                <w:color w:val="000000"/>
              </w:rPr>
              <w:t>X</w:t>
            </w:r>
          </w:p>
        </w:tc>
        <w:tc>
          <w:tcPr>
            <w:tcW w:w="992" w:type="dxa"/>
            <w:tcBorders>
              <w:top w:val="single" w:sz="6" w:space="0" w:color="auto"/>
              <w:left w:val="single" w:sz="6" w:space="0" w:color="auto"/>
              <w:bottom w:val="single" w:sz="6" w:space="0" w:color="auto"/>
              <w:right w:val="single" w:sz="6" w:space="0" w:color="auto"/>
            </w:tcBorders>
            <w:vAlign w:val="center"/>
          </w:tcPr>
          <w:p w:rsidR="00F261B4" w:rsidRPr="00F261B4" w:rsidRDefault="00F261B4" w:rsidP="00F261B4">
            <w:pPr>
              <w:autoSpaceDE w:val="0"/>
              <w:autoSpaceDN w:val="0"/>
              <w:adjustRightInd w:val="0"/>
              <w:spacing w:after="0" w:line="240" w:lineRule="auto"/>
              <w:jc w:val="center"/>
              <w:rPr>
                <w:rFonts w:ascii="Calibri" w:hAnsi="Calibri" w:cs="Calibri"/>
                <w:color w:val="000000"/>
              </w:rPr>
            </w:pPr>
          </w:p>
        </w:tc>
        <w:tc>
          <w:tcPr>
            <w:tcW w:w="993"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F261B4" w:rsidRPr="00F261B4" w:rsidRDefault="00F261B4" w:rsidP="00F261B4">
            <w:pPr>
              <w:autoSpaceDE w:val="0"/>
              <w:autoSpaceDN w:val="0"/>
              <w:adjustRightInd w:val="0"/>
              <w:spacing w:after="0" w:line="240" w:lineRule="auto"/>
              <w:jc w:val="center"/>
              <w:rPr>
                <w:rFonts w:ascii="Calibri" w:hAnsi="Calibri" w:cs="Calibri"/>
                <w:color w:val="000000"/>
              </w:rPr>
            </w:pPr>
            <w:r w:rsidRPr="00F261B4">
              <w:rPr>
                <w:rFonts w:ascii="Calibri" w:hAnsi="Calibri" w:cs="Calibri"/>
                <w:color w:val="000000"/>
              </w:rPr>
              <w:t>X</w:t>
            </w:r>
          </w:p>
        </w:tc>
        <w:tc>
          <w:tcPr>
            <w:tcW w:w="4536" w:type="dxa"/>
            <w:tcBorders>
              <w:top w:val="single" w:sz="6" w:space="0" w:color="auto"/>
              <w:left w:val="single" w:sz="6" w:space="0" w:color="auto"/>
              <w:bottom w:val="single" w:sz="6" w:space="0" w:color="auto"/>
              <w:right w:val="single" w:sz="6" w:space="0" w:color="auto"/>
            </w:tcBorders>
            <w:vAlign w:val="center"/>
          </w:tcPr>
          <w:p w:rsidR="00F261B4" w:rsidRPr="00F261B4" w:rsidRDefault="00F261B4" w:rsidP="00F261B4">
            <w:pPr>
              <w:autoSpaceDE w:val="0"/>
              <w:autoSpaceDN w:val="0"/>
              <w:adjustRightInd w:val="0"/>
              <w:spacing w:after="0" w:line="240" w:lineRule="auto"/>
              <w:rPr>
                <w:rFonts w:ascii="Calibri" w:hAnsi="Calibri" w:cs="Calibri"/>
                <w:color w:val="000000"/>
                <w:sz w:val="18"/>
                <w:szCs w:val="18"/>
              </w:rPr>
            </w:pPr>
            <w:r w:rsidRPr="00F261B4">
              <w:rPr>
                <w:rFonts w:ascii="Calibri" w:hAnsi="Calibri" w:cs="Calibri"/>
                <w:color w:val="000000"/>
                <w:sz w:val="18"/>
                <w:szCs w:val="18"/>
              </w:rPr>
              <w:t>Conforme al Artículo 115 Constitucional, son los municipios los encargados de prestar los servicios urbanos de agua potable, drenaje, alcantarillado, tratamiento de agua potable, drenaje, alcantarillado, tratamiento y disposición de sus aguas residuales, alumbrado público, limpia, recolección, traslado, tratamiento y disposición final de residuos, calles, parques y jardines, y seguridad pública. El suministro de energía eléctrica lo proporciona la Comisión Federal de Electricidad, en todo el país.</w:t>
            </w:r>
          </w:p>
        </w:tc>
      </w:tr>
      <w:tr w:rsidR="00F261B4" w:rsidRPr="00F261B4" w:rsidTr="00F261B4">
        <w:trPr>
          <w:trHeight w:val="2105"/>
        </w:trPr>
        <w:tc>
          <w:tcPr>
            <w:tcW w:w="1341" w:type="dxa"/>
            <w:gridSpan w:val="2"/>
            <w:tcBorders>
              <w:top w:val="single" w:sz="6" w:space="0" w:color="auto"/>
              <w:left w:val="single" w:sz="6" w:space="0" w:color="auto"/>
              <w:bottom w:val="single" w:sz="6" w:space="0" w:color="auto"/>
              <w:right w:val="single" w:sz="6" w:space="0" w:color="auto"/>
            </w:tcBorders>
            <w:vAlign w:val="center"/>
          </w:tcPr>
          <w:p w:rsidR="00F261B4" w:rsidRPr="00F261B4" w:rsidRDefault="00F261B4" w:rsidP="00F261B4">
            <w:pPr>
              <w:autoSpaceDE w:val="0"/>
              <w:autoSpaceDN w:val="0"/>
              <w:adjustRightInd w:val="0"/>
              <w:spacing w:after="0" w:line="240" w:lineRule="auto"/>
              <w:rPr>
                <w:rFonts w:ascii="Calibri" w:hAnsi="Calibri" w:cs="Calibri"/>
                <w:color w:val="000000"/>
                <w:sz w:val="20"/>
                <w:szCs w:val="20"/>
              </w:rPr>
            </w:pPr>
            <w:r w:rsidRPr="00F261B4">
              <w:rPr>
                <w:rFonts w:ascii="Calibri" w:hAnsi="Calibri" w:cs="Calibri"/>
                <w:color w:val="000000"/>
                <w:sz w:val="20"/>
                <w:szCs w:val="20"/>
              </w:rPr>
              <w:t>Discriminación en vivienda</w:t>
            </w:r>
          </w:p>
        </w:tc>
        <w:tc>
          <w:tcPr>
            <w:tcW w:w="1099"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F261B4" w:rsidRPr="00F261B4" w:rsidRDefault="00F261B4" w:rsidP="00F261B4">
            <w:pPr>
              <w:autoSpaceDE w:val="0"/>
              <w:autoSpaceDN w:val="0"/>
              <w:adjustRightInd w:val="0"/>
              <w:spacing w:after="0" w:line="240" w:lineRule="auto"/>
              <w:jc w:val="center"/>
              <w:rPr>
                <w:rFonts w:ascii="Calibri" w:hAnsi="Calibri" w:cs="Calibri"/>
                <w:color w:val="000000"/>
              </w:rPr>
            </w:pPr>
            <w:r w:rsidRPr="00F261B4">
              <w:rPr>
                <w:rFonts w:ascii="Calibri" w:hAnsi="Calibri" w:cs="Calibri"/>
                <w:color w:val="000000"/>
              </w:rPr>
              <w:t>X</w:t>
            </w:r>
          </w:p>
        </w:tc>
        <w:tc>
          <w:tcPr>
            <w:tcW w:w="992" w:type="dxa"/>
            <w:tcBorders>
              <w:top w:val="single" w:sz="6" w:space="0" w:color="auto"/>
              <w:left w:val="single" w:sz="6" w:space="0" w:color="auto"/>
              <w:bottom w:val="single" w:sz="6" w:space="0" w:color="auto"/>
              <w:right w:val="single" w:sz="6" w:space="0" w:color="auto"/>
            </w:tcBorders>
            <w:vAlign w:val="center"/>
          </w:tcPr>
          <w:p w:rsidR="00F261B4" w:rsidRPr="00F261B4" w:rsidRDefault="00F261B4" w:rsidP="00F261B4">
            <w:pPr>
              <w:autoSpaceDE w:val="0"/>
              <w:autoSpaceDN w:val="0"/>
              <w:adjustRightInd w:val="0"/>
              <w:spacing w:after="0" w:line="240" w:lineRule="auto"/>
              <w:jc w:val="center"/>
              <w:rPr>
                <w:rFonts w:ascii="Calibri" w:hAnsi="Calibri" w:cs="Calibri"/>
                <w:color w:val="000000"/>
              </w:rPr>
            </w:pPr>
          </w:p>
        </w:tc>
        <w:tc>
          <w:tcPr>
            <w:tcW w:w="993" w:type="dxa"/>
            <w:tcBorders>
              <w:top w:val="single" w:sz="6" w:space="0" w:color="auto"/>
              <w:left w:val="single" w:sz="6" w:space="0" w:color="auto"/>
              <w:bottom w:val="single" w:sz="6" w:space="0" w:color="auto"/>
              <w:right w:val="single" w:sz="6" w:space="0" w:color="auto"/>
            </w:tcBorders>
            <w:vAlign w:val="center"/>
          </w:tcPr>
          <w:p w:rsidR="00F261B4" w:rsidRPr="00F261B4" w:rsidRDefault="00F261B4" w:rsidP="00F261B4">
            <w:pPr>
              <w:autoSpaceDE w:val="0"/>
              <w:autoSpaceDN w:val="0"/>
              <w:adjustRightInd w:val="0"/>
              <w:spacing w:after="0" w:line="240" w:lineRule="auto"/>
              <w:jc w:val="center"/>
              <w:rPr>
                <w:rFonts w:ascii="Calibri" w:hAnsi="Calibri" w:cs="Calibri"/>
                <w:color w:val="000000"/>
              </w:rPr>
            </w:pPr>
          </w:p>
        </w:tc>
        <w:tc>
          <w:tcPr>
            <w:tcW w:w="4536" w:type="dxa"/>
            <w:tcBorders>
              <w:top w:val="single" w:sz="6" w:space="0" w:color="auto"/>
              <w:left w:val="single" w:sz="6" w:space="0" w:color="auto"/>
              <w:bottom w:val="single" w:sz="6" w:space="0" w:color="auto"/>
              <w:right w:val="single" w:sz="6" w:space="0" w:color="auto"/>
            </w:tcBorders>
            <w:vAlign w:val="center"/>
          </w:tcPr>
          <w:p w:rsidR="00F261B4" w:rsidRPr="00F261B4" w:rsidRDefault="00F261B4" w:rsidP="00F261B4">
            <w:pPr>
              <w:autoSpaceDE w:val="0"/>
              <w:autoSpaceDN w:val="0"/>
              <w:adjustRightInd w:val="0"/>
              <w:spacing w:after="0" w:line="240" w:lineRule="auto"/>
              <w:rPr>
                <w:rFonts w:ascii="Calibri" w:hAnsi="Calibri" w:cs="Calibri"/>
                <w:color w:val="000000"/>
                <w:sz w:val="18"/>
                <w:szCs w:val="18"/>
              </w:rPr>
            </w:pPr>
            <w:r w:rsidRPr="00F261B4">
              <w:rPr>
                <w:rFonts w:ascii="Calibri" w:hAnsi="Calibri" w:cs="Calibri"/>
                <w:color w:val="000000"/>
                <w:sz w:val="18"/>
                <w:szCs w:val="18"/>
              </w:rPr>
              <w:t>En la Ley de Vivienda, Artículo 3.- Las disposiciones de esta Ley deberán aplicarse bajo principios de equidad e inclusión social de manera que toda persona, sin importar su origen étnico o nacional, el género, la edad, las capacidades diferentes, la condición social o económica, las condiciones de salud, la religión, las opiniones, las preferencias o el estado civil pueda ejercer su derecho constitucional a la vivienda.</w:t>
            </w:r>
          </w:p>
        </w:tc>
      </w:tr>
    </w:tbl>
    <w:p w:rsidR="00F261B4" w:rsidRPr="0040027A" w:rsidRDefault="00F261B4">
      <w:pPr>
        <w:rPr>
          <w:rFonts w:ascii="Arial" w:hAnsi="Arial" w:cs="Arial"/>
          <w:sz w:val="20"/>
          <w:szCs w:val="20"/>
        </w:rPr>
      </w:pPr>
    </w:p>
    <w:p w:rsidR="00F261B4" w:rsidRPr="0040027A" w:rsidRDefault="000357FB">
      <w:pPr>
        <w:rPr>
          <w:rFonts w:ascii="Arial" w:hAnsi="Arial" w:cs="Arial"/>
          <w:sz w:val="20"/>
          <w:szCs w:val="20"/>
        </w:rPr>
      </w:pPr>
      <w:r w:rsidRPr="0040027A">
        <w:rPr>
          <w:rFonts w:ascii="Arial" w:hAnsi="Arial" w:cs="Arial"/>
          <w:sz w:val="20"/>
          <w:szCs w:val="20"/>
        </w:rPr>
        <w:lastRenderedPageBreak/>
        <w:t>2. ¿Cuál es la base formal para la distribución de responsabilidades?, señale los artículos específicos, copia o enlace.</w:t>
      </w:r>
    </w:p>
    <w:tbl>
      <w:tblPr>
        <w:tblW w:w="9371" w:type="dxa"/>
        <w:tblInd w:w="55" w:type="dxa"/>
        <w:tblCellMar>
          <w:left w:w="70" w:type="dxa"/>
          <w:right w:w="70" w:type="dxa"/>
        </w:tblCellMar>
        <w:tblLook w:val="04A0" w:firstRow="1" w:lastRow="0" w:firstColumn="1" w:lastColumn="0" w:noHBand="0" w:noVBand="1"/>
      </w:tblPr>
      <w:tblGrid>
        <w:gridCol w:w="460"/>
        <w:gridCol w:w="1540"/>
        <w:gridCol w:w="6946"/>
        <w:gridCol w:w="162"/>
        <w:gridCol w:w="162"/>
        <w:gridCol w:w="101"/>
      </w:tblGrid>
      <w:tr w:rsidR="00840A9B" w:rsidRPr="00840A9B" w:rsidTr="007B1A2A">
        <w:trPr>
          <w:trHeight w:val="30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0A9B" w:rsidRPr="00840A9B" w:rsidRDefault="00840A9B" w:rsidP="00840A9B">
            <w:pPr>
              <w:spacing w:after="0" w:line="240" w:lineRule="auto"/>
              <w:jc w:val="center"/>
              <w:rPr>
                <w:rFonts w:ascii="Calibri" w:eastAsia="Times New Roman" w:hAnsi="Calibri" w:cs="Times New Roman"/>
                <w:color w:val="000000"/>
                <w:lang w:eastAsia="es-MX"/>
              </w:rPr>
            </w:pPr>
            <w:r w:rsidRPr="00840A9B">
              <w:rPr>
                <w:rFonts w:ascii="Calibri" w:eastAsia="Times New Roman" w:hAnsi="Calibri" w:cs="Times New Roman"/>
                <w:color w:val="000000"/>
                <w:lang w:eastAsia="es-MX"/>
              </w:rPr>
              <w:t>X</w:t>
            </w:r>
          </w:p>
        </w:tc>
        <w:tc>
          <w:tcPr>
            <w:tcW w:w="1540" w:type="dxa"/>
            <w:tcBorders>
              <w:top w:val="nil"/>
              <w:left w:val="nil"/>
              <w:bottom w:val="nil"/>
              <w:right w:val="nil"/>
            </w:tcBorders>
            <w:shd w:val="clear" w:color="auto" w:fill="auto"/>
            <w:noWrap/>
            <w:vAlign w:val="center"/>
            <w:hideMark/>
          </w:tcPr>
          <w:p w:rsidR="00840A9B" w:rsidRPr="00840A9B" w:rsidRDefault="00840A9B" w:rsidP="004B21A5">
            <w:pPr>
              <w:spacing w:after="0" w:line="240" w:lineRule="auto"/>
              <w:rPr>
                <w:rFonts w:ascii="Calibri" w:eastAsia="Times New Roman" w:hAnsi="Calibri" w:cs="Times New Roman"/>
                <w:color w:val="000000"/>
                <w:sz w:val="20"/>
                <w:szCs w:val="20"/>
                <w:lang w:eastAsia="es-MX"/>
              </w:rPr>
            </w:pPr>
            <w:r w:rsidRPr="00840A9B">
              <w:rPr>
                <w:rFonts w:ascii="Calibri" w:eastAsia="Times New Roman" w:hAnsi="Calibri" w:cs="Times New Roman"/>
                <w:color w:val="000000"/>
                <w:sz w:val="20"/>
                <w:szCs w:val="20"/>
                <w:lang w:eastAsia="es-MX"/>
              </w:rPr>
              <w:t>Constitucional</w:t>
            </w:r>
          </w:p>
        </w:tc>
        <w:tc>
          <w:tcPr>
            <w:tcW w:w="7371" w:type="dxa"/>
            <w:gridSpan w:val="4"/>
            <w:tcBorders>
              <w:top w:val="nil"/>
              <w:left w:val="nil"/>
              <w:bottom w:val="nil"/>
              <w:right w:val="nil"/>
            </w:tcBorders>
            <w:shd w:val="clear" w:color="auto" w:fill="auto"/>
            <w:noWrap/>
            <w:vAlign w:val="bottom"/>
            <w:hideMark/>
          </w:tcPr>
          <w:p w:rsidR="00840A9B" w:rsidRPr="00840A9B" w:rsidRDefault="00840A9B" w:rsidP="00840A9B">
            <w:pPr>
              <w:spacing w:after="0" w:line="240" w:lineRule="auto"/>
              <w:rPr>
                <w:rFonts w:ascii="Calibri" w:eastAsia="Times New Roman" w:hAnsi="Calibri" w:cs="Times New Roman"/>
                <w:b/>
                <w:bCs/>
                <w:color w:val="000000"/>
                <w:sz w:val="18"/>
                <w:szCs w:val="18"/>
                <w:lang w:eastAsia="es-MX"/>
              </w:rPr>
            </w:pPr>
            <w:r w:rsidRPr="00840A9B">
              <w:rPr>
                <w:rFonts w:ascii="Calibri" w:eastAsia="Times New Roman" w:hAnsi="Calibri" w:cs="Times New Roman"/>
                <w:b/>
                <w:bCs/>
                <w:color w:val="000000"/>
                <w:sz w:val="18"/>
                <w:szCs w:val="18"/>
                <w:lang w:eastAsia="es-MX"/>
              </w:rPr>
              <w:t>Constitución Política de los Estados Unidos Mexicanos.</w:t>
            </w:r>
          </w:p>
        </w:tc>
      </w:tr>
      <w:tr w:rsidR="00840A9B" w:rsidRPr="00840A9B" w:rsidTr="007B1A2A">
        <w:trPr>
          <w:trHeight w:val="630"/>
        </w:trPr>
        <w:tc>
          <w:tcPr>
            <w:tcW w:w="460" w:type="dxa"/>
            <w:tcBorders>
              <w:top w:val="nil"/>
              <w:left w:val="nil"/>
              <w:right w:val="nil"/>
            </w:tcBorders>
            <w:shd w:val="clear" w:color="auto" w:fill="auto"/>
            <w:noWrap/>
            <w:vAlign w:val="bottom"/>
            <w:hideMark/>
          </w:tcPr>
          <w:p w:rsidR="00840A9B" w:rsidRPr="00840A9B" w:rsidRDefault="00840A9B" w:rsidP="00840A9B">
            <w:pPr>
              <w:spacing w:after="0" w:line="240" w:lineRule="auto"/>
              <w:rPr>
                <w:rFonts w:ascii="Calibri" w:eastAsia="Times New Roman" w:hAnsi="Calibri" w:cs="Times New Roman"/>
                <w:color w:val="000000"/>
                <w:lang w:eastAsia="es-MX"/>
              </w:rPr>
            </w:pPr>
          </w:p>
        </w:tc>
        <w:tc>
          <w:tcPr>
            <w:tcW w:w="1540" w:type="dxa"/>
            <w:tcBorders>
              <w:top w:val="nil"/>
              <w:left w:val="nil"/>
              <w:right w:val="nil"/>
            </w:tcBorders>
            <w:shd w:val="clear" w:color="auto" w:fill="auto"/>
            <w:noWrap/>
            <w:vAlign w:val="bottom"/>
            <w:hideMark/>
          </w:tcPr>
          <w:p w:rsidR="00840A9B" w:rsidRPr="00840A9B" w:rsidRDefault="00840A9B" w:rsidP="00840A9B">
            <w:pPr>
              <w:spacing w:after="0" w:line="240" w:lineRule="auto"/>
              <w:rPr>
                <w:rFonts w:ascii="Calibri" w:eastAsia="Times New Roman" w:hAnsi="Calibri" w:cs="Times New Roman"/>
                <w:color w:val="000000"/>
                <w:lang w:eastAsia="es-MX"/>
              </w:rPr>
            </w:pPr>
          </w:p>
        </w:tc>
        <w:tc>
          <w:tcPr>
            <w:tcW w:w="7371" w:type="dxa"/>
            <w:gridSpan w:val="4"/>
            <w:tcBorders>
              <w:top w:val="nil"/>
              <w:left w:val="nil"/>
              <w:right w:val="nil"/>
            </w:tcBorders>
            <w:shd w:val="clear" w:color="auto" w:fill="auto"/>
            <w:vAlign w:val="center"/>
            <w:hideMark/>
          </w:tcPr>
          <w:p w:rsidR="00840A9B" w:rsidRPr="00840A9B" w:rsidRDefault="00840A9B" w:rsidP="00840A9B">
            <w:pPr>
              <w:spacing w:after="0" w:line="240" w:lineRule="auto"/>
              <w:rPr>
                <w:rFonts w:ascii="Calibri" w:eastAsia="Times New Roman" w:hAnsi="Calibri" w:cs="Times New Roman"/>
                <w:color w:val="000000"/>
                <w:sz w:val="18"/>
                <w:szCs w:val="18"/>
                <w:lang w:eastAsia="es-MX"/>
              </w:rPr>
            </w:pPr>
            <w:r w:rsidRPr="00840A9B">
              <w:rPr>
                <w:rFonts w:ascii="Calibri" w:eastAsia="Times New Roman" w:hAnsi="Calibri" w:cs="Times New Roman"/>
                <w:b/>
                <w:bCs/>
                <w:color w:val="000000"/>
                <w:sz w:val="18"/>
                <w:szCs w:val="18"/>
                <w:lang w:eastAsia="es-MX"/>
              </w:rPr>
              <w:t>Artículo 4.</w:t>
            </w:r>
            <w:proofErr w:type="gramStart"/>
            <w:r w:rsidRPr="00840A9B">
              <w:rPr>
                <w:rFonts w:ascii="Calibri" w:eastAsia="Times New Roman" w:hAnsi="Calibri" w:cs="Times New Roman"/>
                <w:b/>
                <w:bCs/>
                <w:color w:val="000000"/>
                <w:sz w:val="18"/>
                <w:szCs w:val="18"/>
                <w:lang w:eastAsia="es-MX"/>
              </w:rPr>
              <w:t>-</w:t>
            </w:r>
            <w:r w:rsidRPr="00840A9B">
              <w:rPr>
                <w:rFonts w:ascii="Calibri" w:eastAsia="Times New Roman" w:hAnsi="Calibri" w:cs="Times New Roman"/>
                <w:color w:val="000000"/>
                <w:sz w:val="18"/>
                <w:szCs w:val="18"/>
                <w:lang w:eastAsia="es-MX"/>
              </w:rPr>
              <w:t xml:space="preserve"> ...</w:t>
            </w:r>
            <w:proofErr w:type="gramEnd"/>
            <w:r w:rsidRPr="00840A9B">
              <w:rPr>
                <w:rFonts w:ascii="Calibri" w:eastAsia="Times New Roman" w:hAnsi="Calibri" w:cs="Times New Roman"/>
                <w:color w:val="000000"/>
                <w:sz w:val="18"/>
                <w:szCs w:val="18"/>
                <w:lang w:eastAsia="es-MX"/>
              </w:rPr>
              <w:t>Toda familia tiene derecho a disfrutar de vivienda digna y decorosa. La Ley establecerá los instrumentos y apoyos necesarios a fin de alcanzar tal objetivo...</w:t>
            </w:r>
          </w:p>
        </w:tc>
      </w:tr>
      <w:tr w:rsidR="004B21A5" w:rsidRPr="00840A9B" w:rsidTr="007B1A2A">
        <w:trPr>
          <w:trHeight w:val="36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21A5" w:rsidRPr="00840A9B" w:rsidRDefault="004B21A5" w:rsidP="004B21A5">
            <w:pPr>
              <w:spacing w:after="0" w:line="240" w:lineRule="auto"/>
              <w:jc w:val="center"/>
              <w:rPr>
                <w:rFonts w:ascii="Calibri" w:eastAsia="Times New Roman" w:hAnsi="Calibri" w:cs="Times New Roman"/>
                <w:color w:val="000000"/>
                <w:lang w:eastAsia="es-MX"/>
              </w:rPr>
            </w:pPr>
            <w:r>
              <w:rPr>
                <w:rFonts w:ascii="Calibri" w:eastAsia="Times New Roman" w:hAnsi="Calibri" w:cs="Times New Roman"/>
                <w:color w:val="000000"/>
                <w:lang w:eastAsia="es-MX"/>
              </w:rPr>
              <w:t>X</w:t>
            </w:r>
          </w:p>
        </w:tc>
        <w:tc>
          <w:tcPr>
            <w:tcW w:w="1540" w:type="dxa"/>
            <w:tcBorders>
              <w:left w:val="single" w:sz="4" w:space="0" w:color="auto"/>
              <w:bottom w:val="nil"/>
              <w:right w:val="nil"/>
            </w:tcBorders>
            <w:shd w:val="clear" w:color="auto" w:fill="auto"/>
            <w:noWrap/>
            <w:vAlign w:val="bottom"/>
          </w:tcPr>
          <w:p w:rsidR="004B21A5" w:rsidRPr="004B21A5" w:rsidRDefault="004B21A5" w:rsidP="00840A9B">
            <w:pPr>
              <w:spacing w:after="0" w:line="240" w:lineRule="auto"/>
              <w:rPr>
                <w:rFonts w:ascii="Calibri" w:eastAsia="Times New Roman" w:hAnsi="Calibri" w:cs="Times New Roman"/>
                <w:color w:val="000000"/>
                <w:sz w:val="20"/>
                <w:szCs w:val="20"/>
                <w:lang w:eastAsia="es-MX"/>
              </w:rPr>
            </w:pPr>
            <w:r w:rsidRPr="00840A9B">
              <w:rPr>
                <w:rFonts w:ascii="Calibri" w:eastAsia="Times New Roman" w:hAnsi="Calibri" w:cs="Times New Roman"/>
                <w:color w:val="000000"/>
                <w:sz w:val="20"/>
                <w:szCs w:val="20"/>
                <w:lang w:eastAsia="es-MX"/>
              </w:rPr>
              <w:t>Legislación nacional -orgánica-, o estrategia nacional de vivienda</w:t>
            </w:r>
          </w:p>
        </w:tc>
        <w:tc>
          <w:tcPr>
            <w:tcW w:w="7371" w:type="dxa"/>
            <w:gridSpan w:val="4"/>
            <w:tcBorders>
              <w:left w:val="nil"/>
              <w:bottom w:val="nil"/>
              <w:right w:val="nil"/>
            </w:tcBorders>
            <w:shd w:val="clear" w:color="auto" w:fill="auto"/>
            <w:vAlign w:val="center"/>
          </w:tcPr>
          <w:p w:rsidR="004B21A5" w:rsidRPr="00840A9B" w:rsidRDefault="004B21A5" w:rsidP="00840A9B">
            <w:pPr>
              <w:spacing w:after="0" w:line="240" w:lineRule="auto"/>
              <w:rPr>
                <w:rFonts w:ascii="Calibri" w:eastAsia="Times New Roman" w:hAnsi="Calibri" w:cs="Times New Roman"/>
                <w:b/>
                <w:bCs/>
                <w:color w:val="000000"/>
                <w:sz w:val="18"/>
                <w:szCs w:val="18"/>
                <w:lang w:eastAsia="es-MX"/>
              </w:rPr>
            </w:pPr>
            <w:r>
              <w:rPr>
                <w:rFonts w:ascii="Calibri" w:eastAsia="Times New Roman" w:hAnsi="Calibri" w:cs="Times New Roman"/>
                <w:b/>
                <w:bCs/>
                <w:color w:val="000000"/>
                <w:sz w:val="18"/>
                <w:szCs w:val="18"/>
                <w:lang w:eastAsia="es-MX"/>
              </w:rPr>
              <w:t>Ley de Vivienda</w:t>
            </w:r>
          </w:p>
        </w:tc>
      </w:tr>
      <w:tr w:rsidR="00840A9B" w:rsidRPr="00840A9B" w:rsidTr="007B1A2A">
        <w:trPr>
          <w:trHeight w:val="360"/>
        </w:trPr>
        <w:tc>
          <w:tcPr>
            <w:tcW w:w="460" w:type="dxa"/>
            <w:tcBorders>
              <w:top w:val="single" w:sz="4" w:space="0" w:color="auto"/>
              <w:left w:val="nil"/>
              <w:bottom w:val="nil"/>
              <w:right w:val="nil"/>
            </w:tcBorders>
            <w:shd w:val="clear" w:color="auto" w:fill="auto"/>
            <w:noWrap/>
            <w:vAlign w:val="bottom"/>
            <w:hideMark/>
          </w:tcPr>
          <w:p w:rsidR="00840A9B" w:rsidRPr="00840A9B" w:rsidRDefault="00840A9B" w:rsidP="00840A9B">
            <w:pPr>
              <w:spacing w:after="0" w:line="240" w:lineRule="auto"/>
              <w:rPr>
                <w:rFonts w:ascii="Calibri" w:eastAsia="Times New Roman" w:hAnsi="Calibri" w:cs="Times New Roman"/>
                <w:color w:val="000000"/>
                <w:lang w:eastAsia="es-MX"/>
              </w:rPr>
            </w:pPr>
          </w:p>
        </w:tc>
        <w:tc>
          <w:tcPr>
            <w:tcW w:w="1540" w:type="dxa"/>
            <w:tcBorders>
              <w:top w:val="nil"/>
              <w:left w:val="nil"/>
              <w:bottom w:val="nil"/>
              <w:right w:val="nil"/>
            </w:tcBorders>
            <w:shd w:val="clear" w:color="auto" w:fill="auto"/>
            <w:noWrap/>
            <w:vAlign w:val="bottom"/>
            <w:hideMark/>
          </w:tcPr>
          <w:p w:rsidR="00840A9B" w:rsidRPr="00840A9B" w:rsidRDefault="00840A9B" w:rsidP="00840A9B">
            <w:pPr>
              <w:spacing w:after="0" w:line="240" w:lineRule="auto"/>
              <w:rPr>
                <w:rFonts w:ascii="Calibri" w:eastAsia="Times New Roman" w:hAnsi="Calibri" w:cs="Times New Roman"/>
                <w:color w:val="000000"/>
                <w:lang w:eastAsia="es-MX"/>
              </w:rPr>
            </w:pPr>
          </w:p>
        </w:tc>
        <w:tc>
          <w:tcPr>
            <w:tcW w:w="7371" w:type="dxa"/>
            <w:gridSpan w:val="4"/>
            <w:tcBorders>
              <w:top w:val="nil"/>
              <w:left w:val="nil"/>
              <w:bottom w:val="nil"/>
              <w:right w:val="nil"/>
            </w:tcBorders>
            <w:shd w:val="clear" w:color="auto" w:fill="auto"/>
            <w:vAlign w:val="center"/>
            <w:hideMark/>
          </w:tcPr>
          <w:p w:rsidR="00840A9B" w:rsidRPr="00840A9B" w:rsidRDefault="00840A9B" w:rsidP="00840A9B">
            <w:pPr>
              <w:spacing w:after="0" w:line="240" w:lineRule="auto"/>
              <w:rPr>
                <w:rFonts w:ascii="Calibri" w:eastAsia="Times New Roman" w:hAnsi="Calibri" w:cs="Times New Roman"/>
                <w:color w:val="000000"/>
                <w:sz w:val="18"/>
                <w:szCs w:val="18"/>
                <w:lang w:eastAsia="es-MX"/>
              </w:rPr>
            </w:pPr>
            <w:r w:rsidRPr="00840A9B">
              <w:rPr>
                <w:rFonts w:ascii="Calibri" w:eastAsia="Times New Roman" w:hAnsi="Calibri" w:cs="Times New Roman"/>
                <w:b/>
                <w:bCs/>
                <w:color w:val="000000"/>
                <w:sz w:val="18"/>
                <w:szCs w:val="18"/>
                <w:lang w:eastAsia="es-MX"/>
              </w:rPr>
              <w:t>Ley de Vivienda</w:t>
            </w:r>
            <w:r w:rsidRPr="00840A9B">
              <w:rPr>
                <w:rFonts w:ascii="Calibri" w:eastAsia="Times New Roman" w:hAnsi="Calibri" w:cs="Times New Roman"/>
                <w:color w:val="000000"/>
                <w:sz w:val="18"/>
                <w:szCs w:val="18"/>
                <w:lang w:eastAsia="es-MX"/>
              </w:rPr>
              <w:t>, reglamentaria del artículo 4o. de la Constitución Política de los Estados Unidos Mexicanos.</w:t>
            </w:r>
          </w:p>
        </w:tc>
      </w:tr>
      <w:tr w:rsidR="00840A9B" w:rsidRPr="00840A9B" w:rsidTr="007B1A2A">
        <w:trPr>
          <w:trHeight w:val="675"/>
        </w:trPr>
        <w:tc>
          <w:tcPr>
            <w:tcW w:w="460" w:type="dxa"/>
            <w:tcBorders>
              <w:top w:val="nil"/>
              <w:left w:val="nil"/>
              <w:bottom w:val="nil"/>
              <w:right w:val="nil"/>
            </w:tcBorders>
            <w:shd w:val="clear" w:color="auto" w:fill="auto"/>
            <w:noWrap/>
            <w:vAlign w:val="bottom"/>
            <w:hideMark/>
          </w:tcPr>
          <w:p w:rsidR="00840A9B" w:rsidRPr="00840A9B" w:rsidRDefault="00840A9B" w:rsidP="00840A9B">
            <w:pPr>
              <w:spacing w:after="0" w:line="240" w:lineRule="auto"/>
              <w:rPr>
                <w:rFonts w:ascii="Calibri" w:eastAsia="Times New Roman" w:hAnsi="Calibri" w:cs="Times New Roman"/>
                <w:color w:val="000000"/>
                <w:lang w:eastAsia="es-MX"/>
              </w:rPr>
            </w:pPr>
          </w:p>
        </w:tc>
        <w:tc>
          <w:tcPr>
            <w:tcW w:w="1540" w:type="dxa"/>
            <w:tcBorders>
              <w:top w:val="nil"/>
              <w:left w:val="nil"/>
              <w:bottom w:val="nil"/>
              <w:right w:val="nil"/>
            </w:tcBorders>
            <w:shd w:val="clear" w:color="auto" w:fill="auto"/>
            <w:noWrap/>
            <w:vAlign w:val="bottom"/>
            <w:hideMark/>
          </w:tcPr>
          <w:p w:rsidR="00840A9B" w:rsidRPr="00840A9B" w:rsidRDefault="00840A9B" w:rsidP="00840A9B">
            <w:pPr>
              <w:spacing w:after="0" w:line="240" w:lineRule="auto"/>
              <w:rPr>
                <w:rFonts w:ascii="Calibri" w:eastAsia="Times New Roman" w:hAnsi="Calibri" w:cs="Times New Roman"/>
                <w:color w:val="000000"/>
                <w:lang w:eastAsia="es-MX"/>
              </w:rPr>
            </w:pPr>
          </w:p>
        </w:tc>
        <w:tc>
          <w:tcPr>
            <w:tcW w:w="7371" w:type="dxa"/>
            <w:gridSpan w:val="4"/>
            <w:tcBorders>
              <w:top w:val="nil"/>
              <w:left w:val="nil"/>
              <w:bottom w:val="nil"/>
              <w:right w:val="nil"/>
            </w:tcBorders>
            <w:shd w:val="clear" w:color="auto" w:fill="auto"/>
            <w:vAlign w:val="center"/>
            <w:hideMark/>
          </w:tcPr>
          <w:p w:rsidR="00840A9B" w:rsidRPr="00840A9B" w:rsidRDefault="00840A9B" w:rsidP="00840A9B">
            <w:pPr>
              <w:spacing w:after="0" w:line="240" w:lineRule="auto"/>
              <w:rPr>
                <w:rFonts w:ascii="Calibri" w:eastAsia="Times New Roman" w:hAnsi="Calibri" w:cs="Times New Roman"/>
                <w:color w:val="000000"/>
                <w:sz w:val="18"/>
                <w:szCs w:val="18"/>
                <w:lang w:eastAsia="es-MX"/>
              </w:rPr>
            </w:pPr>
            <w:r w:rsidRPr="00840A9B">
              <w:rPr>
                <w:rFonts w:ascii="Calibri" w:eastAsia="Times New Roman" w:hAnsi="Calibri" w:cs="Times New Roman"/>
                <w:b/>
                <w:bCs/>
                <w:color w:val="000000"/>
                <w:sz w:val="18"/>
                <w:szCs w:val="18"/>
                <w:lang w:eastAsia="es-MX"/>
              </w:rPr>
              <w:t>Artículo 15.-</w:t>
            </w:r>
            <w:r w:rsidRPr="00840A9B">
              <w:rPr>
                <w:rFonts w:ascii="Calibri" w:eastAsia="Times New Roman" w:hAnsi="Calibri" w:cs="Times New Roman"/>
                <w:color w:val="000000"/>
                <w:sz w:val="18"/>
                <w:szCs w:val="18"/>
                <w:lang w:eastAsia="es-MX"/>
              </w:rPr>
              <w:t xml:space="preserve"> Las atribuciones en materia de vivienda serán ejercidas por el Gobierno Federal, las entidades federativas y los municipios en sus respectivos ámbitos de competencia.</w:t>
            </w:r>
          </w:p>
        </w:tc>
      </w:tr>
      <w:tr w:rsidR="00840A9B" w:rsidRPr="00840A9B" w:rsidTr="007B1A2A">
        <w:trPr>
          <w:trHeight w:val="1230"/>
        </w:trPr>
        <w:tc>
          <w:tcPr>
            <w:tcW w:w="460" w:type="dxa"/>
            <w:tcBorders>
              <w:top w:val="nil"/>
              <w:left w:val="nil"/>
              <w:bottom w:val="nil"/>
              <w:right w:val="nil"/>
            </w:tcBorders>
            <w:shd w:val="clear" w:color="auto" w:fill="auto"/>
            <w:noWrap/>
            <w:vAlign w:val="bottom"/>
            <w:hideMark/>
          </w:tcPr>
          <w:p w:rsidR="00840A9B" w:rsidRPr="00840A9B" w:rsidRDefault="00840A9B" w:rsidP="00840A9B">
            <w:pPr>
              <w:spacing w:after="0" w:line="240" w:lineRule="auto"/>
              <w:rPr>
                <w:rFonts w:ascii="Calibri" w:eastAsia="Times New Roman" w:hAnsi="Calibri" w:cs="Times New Roman"/>
                <w:color w:val="000000"/>
                <w:lang w:eastAsia="es-MX"/>
              </w:rPr>
            </w:pPr>
          </w:p>
        </w:tc>
        <w:tc>
          <w:tcPr>
            <w:tcW w:w="1540" w:type="dxa"/>
            <w:tcBorders>
              <w:top w:val="nil"/>
              <w:left w:val="nil"/>
              <w:bottom w:val="nil"/>
              <w:right w:val="nil"/>
            </w:tcBorders>
            <w:shd w:val="clear" w:color="auto" w:fill="auto"/>
            <w:noWrap/>
            <w:vAlign w:val="bottom"/>
            <w:hideMark/>
          </w:tcPr>
          <w:p w:rsidR="00840A9B" w:rsidRPr="00840A9B" w:rsidRDefault="00840A9B" w:rsidP="00840A9B">
            <w:pPr>
              <w:spacing w:after="0" w:line="240" w:lineRule="auto"/>
              <w:rPr>
                <w:rFonts w:ascii="Calibri" w:eastAsia="Times New Roman" w:hAnsi="Calibri" w:cs="Times New Roman"/>
                <w:color w:val="000000"/>
                <w:lang w:eastAsia="es-MX"/>
              </w:rPr>
            </w:pPr>
          </w:p>
        </w:tc>
        <w:tc>
          <w:tcPr>
            <w:tcW w:w="7371" w:type="dxa"/>
            <w:gridSpan w:val="4"/>
            <w:tcBorders>
              <w:top w:val="nil"/>
              <w:left w:val="nil"/>
              <w:bottom w:val="nil"/>
              <w:right w:val="nil"/>
            </w:tcBorders>
            <w:shd w:val="clear" w:color="auto" w:fill="auto"/>
            <w:vAlign w:val="center"/>
            <w:hideMark/>
          </w:tcPr>
          <w:p w:rsidR="00840A9B" w:rsidRPr="00840A9B" w:rsidRDefault="00840A9B" w:rsidP="0040027A">
            <w:pPr>
              <w:spacing w:after="0" w:line="240" w:lineRule="auto"/>
              <w:rPr>
                <w:rFonts w:ascii="Calibri" w:eastAsia="Times New Roman" w:hAnsi="Calibri" w:cs="Times New Roman"/>
                <w:color w:val="000000"/>
                <w:sz w:val="18"/>
                <w:szCs w:val="18"/>
                <w:lang w:eastAsia="es-MX"/>
              </w:rPr>
            </w:pPr>
            <w:r w:rsidRPr="00840A9B">
              <w:rPr>
                <w:rFonts w:ascii="Calibri" w:eastAsia="Times New Roman" w:hAnsi="Calibri" w:cs="Times New Roman"/>
                <w:b/>
                <w:bCs/>
                <w:color w:val="000000"/>
                <w:sz w:val="18"/>
                <w:szCs w:val="18"/>
                <w:lang w:eastAsia="es-MX"/>
              </w:rPr>
              <w:t xml:space="preserve">Artículo 16.- </w:t>
            </w:r>
            <w:r w:rsidRPr="00840A9B">
              <w:rPr>
                <w:rFonts w:ascii="Calibri" w:eastAsia="Times New Roman" w:hAnsi="Calibri" w:cs="Times New Roman"/>
                <w:color w:val="000000"/>
                <w:sz w:val="18"/>
                <w:szCs w:val="18"/>
                <w:lang w:eastAsia="es-MX"/>
              </w:rPr>
              <w:t>Corresponde a la Comisión el fomento, la coordinación, la promoción y la instrumentación de la política y el programa nacional de vivienda del Gobierno Federal, en los términos de la presente Ley, la Ley General de Asentamientos Humanos y demás ordenamientos aplicables.</w:t>
            </w:r>
            <w:r w:rsidR="0040027A">
              <w:rPr>
                <w:rFonts w:ascii="Calibri" w:eastAsia="Times New Roman" w:hAnsi="Calibri" w:cs="Times New Roman"/>
                <w:color w:val="000000"/>
                <w:sz w:val="18"/>
                <w:szCs w:val="18"/>
                <w:lang w:eastAsia="es-MX"/>
              </w:rPr>
              <w:t xml:space="preserve"> </w:t>
            </w:r>
            <w:r w:rsidRPr="00840A9B">
              <w:rPr>
                <w:rFonts w:ascii="Calibri" w:eastAsia="Times New Roman" w:hAnsi="Calibri" w:cs="Times New Roman"/>
                <w:color w:val="000000"/>
                <w:sz w:val="18"/>
                <w:szCs w:val="18"/>
                <w:lang w:eastAsia="es-MX"/>
              </w:rPr>
              <w:t>(Comisión Nacional de Vivienda, CONAVI).</w:t>
            </w:r>
          </w:p>
        </w:tc>
      </w:tr>
      <w:tr w:rsidR="00840A9B" w:rsidRPr="00840A9B" w:rsidTr="007B1A2A">
        <w:trPr>
          <w:trHeight w:val="5115"/>
        </w:trPr>
        <w:tc>
          <w:tcPr>
            <w:tcW w:w="460" w:type="dxa"/>
            <w:tcBorders>
              <w:top w:val="nil"/>
              <w:left w:val="nil"/>
              <w:bottom w:val="nil"/>
              <w:right w:val="nil"/>
            </w:tcBorders>
            <w:shd w:val="clear" w:color="auto" w:fill="auto"/>
            <w:noWrap/>
            <w:vAlign w:val="bottom"/>
            <w:hideMark/>
          </w:tcPr>
          <w:p w:rsidR="00840A9B" w:rsidRPr="00840A9B" w:rsidRDefault="00840A9B" w:rsidP="00840A9B">
            <w:pPr>
              <w:spacing w:after="0" w:line="240" w:lineRule="auto"/>
              <w:rPr>
                <w:rFonts w:ascii="Calibri" w:eastAsia="Times New Roman" w:hAnsi="Calibri" w:cs="Times New Roman"/>
                <w:color w:val="000000"/>
                <w:lang w:eastAsia="es-MX"/>
              </w:rPr>
            </w:pPr>
          </w:p>
        </w:tc>
        <w:tc>
          <w:tcPr>
            <w:tcW w:w="1540" w:type="dxa"/>
            <w:tcBorders>
              <w:top w:val="nil"/>
              <w:left w:val="nil"/>
              <w:bottom w:val="nil"/>
              <w:right w:val="nil"/>
            </w:tcBorders>
            <w:shd w:val="clear" w:color="auto" w:fill="auto"/>
            <w:noWrap/>
            <w:vAlign w:val="bottom"/>
            <w:hideMark/>
          </w:tcPr>
          <w:p w:rsidR="00840A9B" w:rsidRPr="00840A9B" w:rsidRDefault="00840A9B" w:rsidP="00840A9B">
            <w:pPr>
              <w:spacing w:after="0" w:line="240" w:lineRule="auto"/>
              <w:rPr>
                <w:rFonts w:ascii="Calibri" w:eastAsia="Times New Roman" w:hAnsi="Calibri" w:cs="Times New Roman"/>
                <w:color w:val="000000"/>
                <w:lang w:eastAsia="es-MX"/>
              </w:rPr>
            </w:pPr>
          </w:p>
        </w:tc>
        <w:tc>
          <w:tcPr>
            <w:tcW w:w="7371" w:type="dxa"/>
            <w:gridSpan w:val="4"/>
            <w:tcBorders>
              <w:top w:val="nil"/>
              <w:left w:val="nil"/>
              <w:bottom w:val="nil"/>
              <w:right w:val="nil"/>
            </w:tcBorders>
            <w:shd w:val="clear" w:color="auto" w:fill="auto"/>
            <w:vAlign w:val="center"/>
            <w:hideMark/>
          </w:tcPr>
          <w:p w:rsidR="002D0952" w:rsidRDefault="00840A9B" w:rsidP="002D0952">
            <w:pPr>
              <w:spacing w:after="0" w:line="240" w:lineRule="auto"/>
              <w:jc w:val="both"/>
              <w:rPr>
                <w:rFonts w:ascii="Calibri" w:eastAsia="Times New Roman" w:hAnsi="Calibri" w:cs="Times New Roman"/>
                <w:color w:val="000000"/>
                <w:sz w:val="18"/>
                <w:szCs w:val="18"/>
                <w:lang w:eastAsia="es-MX"/>
              </w:rPr>
            </w:pPr>
            <w:r w:rsidRPr="00840A9B">
              <w:rPr>
                <w:rFonts w:ascii="Calibri" w:eastAsia="Times New Roman" w:hAnsi="Calibri" w:cs="Times New Roman"/>
                <w:b/>
                <w:bCs/>
                <w:color w:val="000000"/>
                <w:sz w:val="18"/>
                <w:szCs w:val="18"/>
                <w:lang w:eastAsia="es-MX"/>
              </w:rPr>
              <w:t>Artículo 17.-</w:t>
            </w:r>
            <w:r w:rsidRPr="00840A9B">
              <w:rPr>
                <w:rFonts w:ascii="Calibri" w:eastAsia="Times New Roman" w:hAnsi="Calibri" w:cs="Times New Roman"/>
                <w:color w:val="000000"/>
                <w:sz w:val="18"/>
                <w:szCs w:val="18"/>
                <w:lang w:eastAsia="es-MX"/>
              </w:rPr>
              <w:t xml:space="preserve"> La Comisión promoverá que los gobiernos de las entidades federativas expidan sus respectivas leyes de vivienda, en donde establezcan la responsabilidad y compromiso de los gobiernos estatales y municipales en el ámbito de sus atribuciones para la solución de los problemas habitacionales</w:t>
            </w:r>
            <w:r w:rsidR="002D0952">
              <w:rPr>
                <w:rFonts w:ascii="Calibri" w:eastAsia="Times New Roman" w:hAnsi="Calibri" w:cs="Times New Roman"/>
                <w:color w:val="000000"/>
                <w:sz w:val="18"/>
                <w:szCs w:val="18"/>
                <w:lang w:eastAsia="es-MX"/>
              </w:rPr>
              <w:t xml:space="preserve"> </w:t>
            </w:r>
            <w:r w:rsidRPr="00840A9B">
              <w:rPr>
                <w:rFonts w:ascii="Calibri" w:eastAsia="Times New Roman" w:hAnsi="Calibri" w:cs="Times New Roman"/>
                <w:color w:val="000000"/>
                <w:sz w:val="18"/>
                <w:szCs w:val="18"/>
                <w:lang w:eastAsia="es-MX"/>
              </w:rPr>
              <w:t>de sus comunidades. Entre otras tareas y responsabilidades, deberá promoverse que:</w:t>
            </w:r>
          </w:p>
          <w:p w:rsidR="002D0952" w:rsidRDefault="00840A9B" w:rsidP="002D0952">
            <w:pPr>
              <w:spacing w:after="0" w:line="240" w:lineRule="auto"/>
              <w:jc w:val="both"/>
              <w:rPr>
                <w:rFonts w:ascii="Calibri" w:eastAsia="Times New Roman" w:hAnsi="Calibri" w:cs="Times New Roman"/>
                <w:color w:val="000000"/>
                <w:sz w:val="18"/>
                <w:szCs w:val="18"/>
                <w:lang w:eastAsia="es-MX"/>
              </w:rPr>
            </w:pPr>
            <w:r w:rsidRPr="00840A9B">
              <w:rPr>
                <w:rFonts w:ascii="Calibri" w:eastAsia="Times New Roman" w:hAnsi="Calibri" w:cs="Times New Roman"/>
                <w:color w:val="000000"/>
                <w:sz w:val="18"/>
                <w:szCs w:val="18"/>
                <w:lang w:eastAsia="es-MX"/>
              </w:rPr>
              <w:t>A.- Los gobiernos estatales asuman las siguientes atribuciones:</w:t>
            </w:r>
          </w:p>
          <w:p w:rsidR="002D0952" w:rsidRDefault="00840A9B" w:rsidP="002D0952">
            <w:pPr>
              <w:spacing w:after="0" w:line="240" w:lineRule="auto"/>
              <w:jc w:val="both"/>
              <w:rPr>
                <w:rFonts w:ascii="Calibri" w:eastAsia="Times New Roman" w:hAnsi="Calibri" w:cs="Times New Roman"/>
                <w:color w:val="000000"/>
                <w:sz w:val="18"/>
                <w:szCs w:val="18"/>
                <w:lang w:eastAsia="es-MX"/>
              </w:rPr>
            </w:pPr>
            <w:r w:rsidRPr="00840A9B">
              <w:rPr>
                <w:rFonts w:ascii="Calibri" w:eastAsia="Times New Roman" w:hAnsi="Calibri" w:cs="Times New Roman"/>
                <w:color w:val="000000"/>
                <w:sz w:val="18"/>
                <w:szCs w:val="18"/>
                <w:lang w:eastAsia="es-MX"/>
              </w:rPr>
              <w:t>I. Formular y aprobar los programas estatales de vivienda, en congruencia con los lineamientos de la Política Nacional señalados por esta Ley, así como evaluar y vigilar su cumplimiento;</w:t>
            </w:r>
          </w:p>
          <w:p w:rsidR="002D0952" w:rsidRDefault="00840A9B" w:rsidP="002D0952">
            <w:pPr>
              <w:spacing w:after="0" w:line="240" w:lineRule="auto"/>
              <w:jc w:val="both"/>
              <w:rPr>
                <w:rFonts w:ascii="Calibri" w:eastAsia="Times New Roman" w:hAnsi="Calibri" w:cs="Times New Roman"/>
                <w:color w:val="000000"/>
                <w:sz w:val="18"/>
                <w:szCs w:val="18"/>
                <w:lang w:eastAsia="es-MX"/>
              </w:rPr>
            </w:pPr>
            <w:r w:rsidRPr="00840A9B">
              <w:rPr>
                <w:rFonts w:ascii="Calibri" w:eastAsia="Times New Roman" w:hAnsi="Calibri" w:cs="Times New Roman"/>
                <w:color w:val="000000"/>
                <w:sz w:val="18"/>
                <w:szCs w:val="18"/>
                <w:lang w:eastAsia="es-MX"/>
              </w:rPr>
              <w:t xml:space="preserve">II. Instrumentar mecanismos indicativos de las tendencias del desarrollo urbano y el ordenamiento territorial a mediano y largo plazo, así como realizar la planeación, programación y </w:t>
            </w:r>
            <w:proofErr w:type="spellStart"/>
            <w:r w:rsidRPr="00840A9B">
              <w:rPr>
                <w:rFonts w:ascii="Calibri" w:eastAsia="Times New Roman" w:hAnsi="Calibri" w:cs="Times New Roman"/>
                <w:color w:val="000000"/>
                <w:sz w:val="18"/>
                <w:szCs w:val="18"/>
                <w:lang w:eastAsia="es-MX"/>
              </w:rPr>
              <w:t>presupuestación</w:t>
            </w:r>
            <w:proofErr w:type="spellEnd"/>
            <w:r w:rsidRPr="00840A9B">
              <w:rPr>
                <w:rFonts w:ascii="Calibri" w:eastAsia="Times New Roman" w:hAnsi="Calibri" w:cs="Times New Roman"/>
                <w:color w:val="000000"/>
                <w:sz w:val="18"/>
                <w:szCs w:val="18"/>
                <w:lang w:eastAsia="es-MX"/>
              </w:rPr>
              <w:t xml:space="preserve"> de las acciones de suelo y vivienda de la entidad federativa, otorgando atención preferente a la población en situación de pobreza;</w:t>
            </w:r>
          </w:p>
          <w:p w:rsidR="002D0952" w:rsidRDefault="00840A9B" w:rsidP="002D0952">
            <w:pPr>
              <w:spacing w:after="0" w:line="240" w:lineRule="auto"/>
              <w:jc w:val="both"/>
              <w:rPr>
                <w:rFonts w:ascii="Calibri" w:eastAsia="Times New Roman" w:hAnsi="Calibri" w:cs="Times New Roman"/>
                <w:color w:val="000000"/>
                <w:sz w:val="18"/>
                <w:szCs w:val="18"/>
                <w:lang w:eastAsia="es-MX"/>
              </w:rPr>
            </w:pPr>
            <w:r w:rsidRPr="00840A9B">
              <w:rPr>
                <w:rFonts w:ascii="Calibri" w:eastAsia="Times New Roman" w:hAnsi="Calibri" w:cs="Times New Roman"/>
                <w:color w:val="000000"/>
                <w:sz w:val="18"/>
                <w:szCs w:val="18"/>
                <w:lang w:eastAsia="es-MX"/>
              </w:rPr>
              <w:t>III. Convenir programas y acciones de suelo y vivienda con el Gobierno Federal, con los gobiernos de otras entidades federativas y con municipios;</w:t>
            </w:r>
          </w:p>
          <w:p w:rsidR="002D0952" w:rsidRDefault="00840A9B" w:rsidP="002D0952">
            <w:pPr>
              <w:spacing w:after="0" w:line="240" w:lineRule="auto"/>
              <w:jc w:val="both"/>
              <w:rPr>
                <w:rFonts w:ascii="Calibri" w:eastAsia="Times New Roman" w:hAnsi="Calibri" w:cs="Times New Roman"/>
                <w:color w:val="000000"/>
                <w:sz w:val="18"/>
                <w:szCs w:val="18"/>
                <w:lang w:eastAsia="es-MX"/>
              </w:rPr>
            </w:pPr>
            <w:r w:rsidRPr="00840A9B">
              <w:rPr>
                <w:rFonts w:ascii="Calibri" w:eastAsia="Times New Roman" w:hAnsi="Calibri" w:cs="Times New Roman"/>
                <w:color w:val="000000"/>
                <w:sz w:val="18"/>
                <w:szCs w:val="18"/>
                <w:lang w:eastAsia="es-MX"/>
              </w:rPr>
              <w:t>IV. Apoyar a las autoridades municipales que lo soliciten, en la planeación, gestión de recursos, operación de programas y en la ejecución de acciones en materia de suelo y vivienda;</w:t>
            </w:r>
          </w:p>
          <w:p w:rsidR="002D0952" w:rsidRDefault="00840A9B" w:rsidP="002D0952">
            <w:pPr>
              <w:spacing w:after="0" w:line="240" w:lineRule="auto"/>
              <w:jc w:val="both"/>
              <w:rPr>
                <w:rFonts w:ascii="Calibri" w:eastAsia="Times New Roman" w:hAnsi="Calibri" w:cs="Times New Roman"/>
                <w:color w:val="000000"/>
                <w:sz w:val="18"/>
                <w:szCs w:val="18"/>
                <w:lang w:eastAsia="es-MX"/>
              </w:rPr>
            </w:pPr>
            <w:r w:rsidRPr="00840A9B">
              <w:rPr>
                <w:rFonts w:ascii="Calibri" w:eastAsia="Times New Roman" w:hAnsi="Calibri" w:cs="Times New Roman"/>
                <w:color w:val="000000"/>
                <w:sz w:val="18"/>
                <w:szCs w:val="18"/>
                <w:lang w:eastAsia="es-MX"/>
              </w:rPr>
              <w:t>V. Promover la participación de los sectores social y privado en la instrumentación de los programas y acciones de suelo y vivienda, de conformidad con lo dispuesto en esta Ley y en los demás ordenamientos legales aplicables, y</w:t>
            </w:r>
          </w:p>
          <w:p w:rsidR="00840A9B" w:rsidRPr="00840A9B" w:rsidRDefault="00840A9B" w:rsidP="002D0952">
            <w:pPr>
              <w:spacing w:after="0" w:line="240" w:lineRule="auto"/>
              <w:jc w:val="both"/>
              <w:rPr>
                <w:rFonts w:ascii="Calibri" w:eastAsia="Times New Roman" w:hAnsi="Calibri" w:cs="Times New Roman"/>
                <w:color w:val="000000"/>
                <w:sz w:val="18"/>
                <w:szCs w:val="18"/>
                <w:lang w:eastAsia="es-MX"/>
              </w:rPr>
            </w:pPr>
            <w:r w:rsidRPr="00840A9B">
              <w:rPr>
                <w:rFonts w:ascii="Calibri" w:eastAsia="Times New Roman" w:hAnsi="Calibri" w:cs="Times New Roman"/>
                <w:color w:val="000000"/>
                <w:sz w:val="18"/>
                <w:szCs w:val="18"/>
                <w:lang w:eastAsia="es-MX"/>
              </w:rPr>
              <w:t>VI. Informar a la sociedad sobre las acciones que realicen en materia de suelo y vivienda.</w:t>
            </w:r>
          </w:p>
        </w:tc>
      </w:tr>
      <w:tr w:rsidR="00840A9B" w:rsidRPr="00840A9B" w:rsidTr="007B1A2A">
        <w:trPr>
          <w:trHeight w:val="4905"/>
        </w:trPr>
        <w:tc>
          <w:tcPr>
            <w:tcW w:w="460" w:type="dxa"/>
            <w:tcBorders>
              <w:top w:val="nil"/>
              <w:left w:val="nil"/>
              <w:bottom w:val="nil"/>
              <w:right w:val="nil"/>
            </w:tcBorders>
            <w:shd w:val="clear" w:color="auto" w:fill="auto"/>
            <w:noWrap/>
            <w:vAlign w:val="bottom"/>
            <w:hideMark/>
          </w:tcPr>
          <w:p w:rsidR="00840A9B" w:rsidRPr="00840A9B" w:rsidRDefault="00840A9B" w:rsidP="00840A9B">
            <w:pPr>
              <w:spacing w:after="0" w:line="240" w:lineRule="auto"/>
              <w:rPr>
                <w:rFonts w:ascii="Calibri" w:eastAsia="Times New Roman" w:hAnsi="Calibri" w:cs="Times New Roman"/>
                <w:color w:val="000000"/>
                <w:lang w:eastAsia="es-MX"/>
              </w:rPr>
            </w:pPr>
          </w:p>
        </w:tc>
        <w:tc>
          <w:tcPr>
            <w:tcW w:w="1540" w:type="dxa"/>
            <w:tcBorders>
              <w:top w:val="nil"/>
              <w:left w:val="nil"/>
              <w:bottom w:val="nil"/>
              <w:right w:val="nil"/>
            </w:tcBorders>
            <w:shd w:val="clear" w:color="auto" w:fill="auto"/>
            <w:noWrap/>
            <w:vAlign w:val="bottom"/>
            <w:hideMark/>
          </w:tcPr>
          <w:p w:rsidR="00840A9B" w:rsidRPr="00840A9B" w:rsidRDefault="00840A9B" w:rsidP="00840A9B">
            <w:pPr>
              <w:spacing w:after="0" w:line="240" w:lineRule="auto"/>
              <w:rPr>
                <w:rFonts w:ascii="Calibri" w:eastAsia="Times New Roman" w:hAnsi="Calibri" w:cs="Times New Roman"/>
                <w:color w:val="000000"/>
                <w:lang w:eastAsia="es-MX"/>
              </w:rPr>
            </w:pPr>
          </w:p>
        </w:tc>
        <w:tc>
          <w:tcPr>
            <w:tcW w:w="7371" w:type="dxa"/>
            <w:gridSpan w:val="4"/>
            <w:tcBorders>
              <w:top w:val="nil"/>
              <w:left w:val="nil"/>
              <w:bottom w:val="nil"/>
              <w:right w:val="nil"/>
            </w:tcBorders>
            <w:shd w:val="clear" w:color="auto" w:fill="auto"/>
            <w:vAlign w:val="center"/>
            <w:hideMark/>
          </w:tcPr>
          <w:p w:rsidR="002D0952" w:rsidRDefault="00840A9B" w:rsidP="002D0952">
            <w:pPr>
              <w:spacing w:after="0" w:line="240" w:lineRule="auto"/>
              <w:jc w:val="both"/>
              <w:rPr>
                <w:rFonts w:ascii="Calibri" w:eastAsia="Times New Roman" w:hAnsi="Calibri" w:cs="Times New Roman"/>
                <w:color w:val="000000"/>
                <w:sz w:val="18"/>
                <w:szCs w:val="18"/>
                <w:lang w:eastAsia="es-MX"/>
              </w:rPr>
            </w:pPr>
            <w:r w:rsidRPr="00840A9B">
              <w:rPr>
                <w:rFonts w:ascii="Calibri" w:eastAsia="Times New Roman" w:hAnsi="Calibri" w:cs="Times New Roman"/>
                <w:color w:val="000000"/>
                <w:sz w:val="18"/>
                <w:szCs w:val="18"/>
                <w:lang w:eastAsia="es-MX"/>
              </w:rPr>
              <w:t>B.- Los municipios asuman las siguientes atribuciones:</w:t>
            </w:r>
          </w:p>
          <w:p w:rsidR="002D0952" w:rsidRDefault="00840A9B" w:rsidP="002D0952">
            <w:pPr>
              <w:spacing w:after="0" w:line="240" w:lineRule="auto"/>
              <w:jc w:val="both"/>
              <w:rPr>
                <w:rFonts w:ascii="Calibri" w:eastAsia="Times New Roman" w:hAnsi="Calibri" w:cs="Times New Roman"/>
                <w:color w:val="000000"/>
                <w:sz w:val="18"/>
                <w:szCs w:val="18"/>
                <w:lang w:eastAsia="es-MX"/>
              </w:rPr>
            </w:pPr>
            <w:r w:rsidRPr="00840A9B">
              <w:rPr>
                <w:rFonts w:ascii="Calibri" w:eastAsia="Times New Roman" w:hAnsi="Calibri" w:cs="Times New Roman"/>
                <w:color w:val="000000"/>
                <w:sz w:val="18"/>
                <w:szCs w:val="18"/>
                <w:lang w:eastAsia="es-MX"/>
              </w:rPr>
              <w:t>I. Formular, aprobar y administrar los programas municipales de suelo y vivienda, de conformidad con los lineamientos de la Política Nacional señalados por esta Ley, en congruencia con el programa estatal correspondiente y demás ordenamientos locales aplicables, así como evaluar y vigilar su cumplimiento;</w:t>
            </w:r>
          </w:p>
          <w:p w:rsidR="002D0952" w:rsidRDefault="00840A9B" w:rsidP="002D0952">
            <w:pPr>
              <w:spacing w:after="0" w:line="240" w:lineRule="auto"/>
              <w:jc w:val="both"/>
              <w:rPr>
                <w:rFonts w:ascii="Calibri" w:eastAsia="Times New Roman" w:hAnsi="Calibri" w:cs="Times New Roman"/>
                <w:color w:val="000000"/>
                <w:sz w:val="18"/>
                <w:szCs w:val="18"/>
                <w:lang w:eastAsia="es-MX"/>
              </w:rPr>
            </w:pPr>
            <w:r w:rsidRPr="00840A9B">
              <w:rPr>
                <w:rFonts w:ascii="Calibri" w:eastAsia="Times New Roman" w:hAnsi="Calibri" w:cs="Times New Roman"/>
                <w:color w:val="000000"/>
                <w:sz w:val="18"/>
                <w:szCs w:val="18"/>
                <w:lang w:eastAsia="es-MX"/>
              </w:rPr>
              <w:t xml:space="preserve">II. Instrumentar mecanismos indicativos de las tendencias del desarrollo urbano y el ordenamiento territorial a mediano y largo plazo, así como realizar la planeación, programación y </w:t>
            </w:r>
            <w:proofErr w:type="spellStart"/>
            <w:r w:rsidRPr="00840A9B">
              <w:rPr>
                <w:rFonts w:ascii="Calibri" w:eastAsia="Times New Roman" w:hAnsi="Calibri" w:cs="Times New Roman"/>
                <w:color w:val="000000"/>
                <w:sz w:val="18"/>
                <w:szCs w:val="18"/>
                <w:lang w:eastAsia="es-MX"/>
              </w:rPr>
              <w:t>presupuestación</w:t>
            </w:r>
            <w:proofErr w:type="spellEnd"/>
            <w:r w:rsidRPr="00840A9B">
              <w:rPr>
                <w:rFonts w:ascii="Calibri" w:eastAsia="Times New Roman" w:hAnsi="Calibri" w:cs="Times New Roman"/>
                <w:color w:val="000000"/>
                <w:sz w:val="18"/>
                <w:szCs w:val="18"/>
                <w:lang w:eastAsia="es-MX"/>
              </w:rPr>
              <w:t xml:space="preserve"> de las acciones de suelo y vivienda en su ámbito territorial, otorgando atención preferente a la población en</w:t>
            </w:r>
            <w:r w:rsidR="0040027A">
              <w:rPr>
                <w:rFonts w:ascii="Calibri" w:eastAsia="Times New Roman" w:hAnsi="Calibri" w:cs="Times New Roman"/>
                <w:color w:val="000000"/>
                <w:sz w:val="18"/>
                <w:szCs w:val="18"/>
                <w:lang w:eastAsia="es-MX"/>
              </w:rPr>
              <w:t xml:space="preserve"> </w:t>
            </w:r>
            <w:r w:rsidRPr="00840A9B">
              <w:rPr>
                <w:rFonts w:ascii="Calibri" w:eastAsia="Times New Roman" w:hAnsi="Calibri" w:cs="Times New Roman"/>
                <w:color w:val="000000"/>
                <w:sz w:val="18"/>
                <w:szCs w:val="18"/>
                <w:lang w:eastAsia="es-MX"/>
              </w:rPr>
              <w:t>situación de pobreza;</w:t>
            </w:r>
          </w:p>
          <w:p w:rsidR="002D0952" w:rsidRDefault="00840A9B" w:rsidP="002D0952">
            <w:pPr>
              <w:spacing w:after="0" w:line="240" w:lineRule="auto"/>
              <w:jc w:val="both"/>
              <w:rPr>
                <w:rFonts w:ascii="Calibri" w:eastAsia="Times New Roman" w:hAnsi="Calibri" w:cs="Times New Roman"/>
                <w:color w:val="000000"/>
                <w:sz w:val="18"/>
                <w:szCs w:val="18"/>
                <w:lang w:eastAsia="es-MX"/>
              </w:rPr>
            </w:pPr>
            <w:r w:rsidRPr="00840A9B">
              <w:rPr>
                <w:rFonts w:ascii="Calibri" w:eastAsia="Times New Roman" w:hAnsi="Calibri" w:cs="Times New Roman"/>
                <w:color w:val="000000"/>
                <w:sz w:val="18"/>
                <w:szCs w:val="18"/>
                <w:lang w:eastAsia="es-MX"/>
              </w:rPr>
              <w:t>III. Establecer las zonas para el desarrollo habitacional, de conformidad con la legislación aplicable en materia de desarrollo urbano;</w:t>
            </w:r>
          </w:p>
          <w:p w:rsidR="002D0952" w:rsidRDefault="00840A9B" w:rsidP="002D0952">
            <w:pPr>
              <w:spacing w:after="0" w:line="240" w:lineRule="auto"/>
              <w:jc w:val="both"/>
              <w:rPr>
                <w:rFonts w:ascii="Calibri" w:eastAsia="Times New Roman" w:hAnsi="Calibri" w:cs="Times New Roman"/>
                <w:color w:val="000000"/>
                <w:sz w:val="18"/>
                <w:szCs w:val="18"/>
                <w:lang w:eastAsia="es-MX"/>
              </w:rPr>
            </w:pPr>
            <w:r w:rsidRPr="00840A9B">
              <w:rPr>
                <w:rFonts w:ascii="Calibri" w:eastAsia="Times New Roman" w:hAnsi="Calibri" w:cs="Times New Roman"/>
                <w:color w:val="000000"/>
                <w:sz w:val="18"/>
                <w:szCs w:val="18"/>
                <w:lang w:eastAsia="es-MX"/>
              </w:rPr>
              <w:t>IV. Coordinar, con el gobierno de su entidad federativa, la ejecución y el seguimiento del correspondiente programa estatal de vivienda;</w:t>
            </w:r>
          </w:p>
          <w:p w:rsidR="002D0952" w:rsidRDefault="00840A9B" w:rsidP="002D0952">
            <w:pPr>
              <w:spacing w:after="0" w:line="240" w:lineRule="auto"/>
              <w:jc w:val="both"/>
              <w:rPr>
                <w:rFonts w:ascii="Calibri" w:eastAsia="Times New Roman" w:hAnsi="Calibri" w:cs="Times New Roman"/>
                <w:color w:val="000000"/>
                <w:sz w:val="18"/>
                <w:szCs w:val="18"/>
                <w:lang w:eastAsia="es-MX"/>
              </w:rPr>
            </w:pPr>
            <w:r w:rsidRPr="00840A9B">
              <w:rPr>
                <w:rFonts w:ascii="Calibri" w:eastAsia="Times New Roman" w:hAnsi="Calibri" w:cs="Times New Roman"/>
                <w:color w:val="000000"/>
                <w:sz w:val="18"/>
                <w:szCs w:val="18"/>
                <w:lang w:eastAsia="es-MX"/>
              </w:rPr>
              <w:t>V. Prestar, en términos de las disposiciones jurídicas aplicables, los servicios públicos municipales a los predios en los que se realicen acciones de vivienda derivados de los diferentes programas de vivienda federales, estatales y municipales;</w:t>
            </w:r>
          </w:p>
          <w:p w:rsidR="002D0952" w:rsidRDefault="00840A9B" w:rsidP="002D0952">
            <w:pPr>
              <w:spacing w:after="0" w:line="240" w:lineRule="auto"/>
              <w:jc w:val="both"/>
              <w:rPr>
                <w:rFonts w:ascii="Calibri" w:eastAsia="Times New Roman" w:hAnsi="Calibri" w:cs="Times New Roman"/>
                <w:color w:val="000000"/>
                <w:sz w:val="18"/>
                <w:szCs w:val="18"/>
                <w:lang w:eastAsia="es-MX"/>
              </w:rPr>
            </w:pPr>
            <w:r w:rsidRPr="00840A9B">
              <w:rPr>
                <w:rFonts w:ascii="Calibri" w:eastAsia="Times New Roman" w:hAnsi="Calibri" w:cs="Times New Roman"/>
                <w:color w:val="000000"/>
                <w:sz w:val="18"/>
                <w:szCs w:val="18"/>
                <w:lang w:eastAsia="es-MX"/>
              </w:rPr>
              <w:t>VI. Coordinar acciones con el gobierno de su entidad federativa con la finalidad de recibir apoyo para la planeación, gestión de recursos, operación de programas y ejecución de acciones en materia de suelo y vivienda, y</w:t>
            </w:r>
          </w:p>
          <w:p w:rsidR="00840A9B" w:rsidRPr="00840A9B" w:rsidRDefault="00840A9B" w:rsidP="002D0952">
            <w:pPr>
              <w:spacing w:after="0" w:line="240" w:lineRule="auto"/>
              <w:jc w:val="both"/>
              <w:rPr>
                <w:rFonts w:ascii="Calibri" w:eastAsia="Times New Roman" w:hAnsi="Calibri" w:cs="Times New Roman"/>
                <w:color w:val="000000"/>
                <w:sz w:val="18"/>
                <w:szCs w:val="18"/>
                <w:lang w:eastAsia="es-MX"/>
              </w:rPr>
            </w:pPr>
            <w:r w:rsidRPr="00840A9B">
              <w:rPr>
                <w:rFonts w:ascii="Calibri" w:eastAsia="Times New Roman" w:hAnsi="Calibri" w:cs="Times New Roman"/>
                <w:color w:val="000000"/>
                <w:sz w:val="18"/>
                <w:szCs w:val="18"/>
                <w:lang w:eastAsia="es-MX"/>
              </w:rPr>
              <w:t>VII. Coordinar acciones en materia de suelo y vivienda con otros municipios.</w:t>
            </w:r>
          </w:p>
        </w:tc>
      </w:tr>
      <w:tr w:rsidR="006A4FB5" w:rsidRPr="00840A9B" w:rsidTr="002D0952">
        <w:trPr>
          <w:gridAfter w:val="2"/>
          <w:wAfter w:w="263" w:type="dxa"/>
          <w:trHeight w:val="30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4FB5" w:rsidRPr="009F2C0C" w:rsidRDefault="006A4FB5" w:rsidP="000A2268">
            <w:pPr>
              <w:spacing w:after="0" w:line="240" w:lineRule="auto"/>
              <w:jc w:val="center"/>
              <w:rPr>
                <w:rFonts w:ascii="Calibri" w:eastAsia="Times New Roman" w:hAnsi="Calibri" w:cs="Times New Roman"/>
                <w:color w:val="000000"/>
                <w:highlight w:val="yellow"/>
                <w:lang w:eastAsia="es-MX"/>
              </w:rPr>
            </w:pPr>
            <w:r w:rsidRPr="009F2C0C">
              <w:rPr>
                <w:rFonts w:ascii="Calibri" w:eastAsia="Times New Roman" w:hAnsi="Calibri" w:cs="Times New Roman"/>
                <w:color w:val="000000"/>
                <w:highlight w:val="yellow"/>
                <w:lang w:eastAsia="es-MX"/>
              </w:rPr>
              <w:t> </w:t>
            </w:r>
          </w:p>
        </w:tc>
        <w:tc>
          <w:tcPr>
            <w:tcW w:w="1540" w:type="dxa"/>
            <w:tcBorders>
              <w:top w:val="nil"/>
              <w:left w:val="single" w:sz="4" w:space="0" w:color="auto"/>
              <w:bottom w:val="nil"/>
              <w:right w:val="nil"/>
            </w:tcBorders>
            <w:shd w:val="clear" w:color="auto" w:fill="auto"/>
            <w:noWrap/>
            <w:hideMark/>
          </w:tcPr>
          <w:p w:rsidR="006A4FB5" w:rsidRPr="009F2C0C" w:rsidRDefault="006A4FB5" w:rsidP="002D0952">
            <w:pPr>
              <w:spacing w:after="0" w:line="240" w:lineRule="auto"/>
              <w:rPr>
                <w:rFonts w:ascii="Calibri" w:eastAsia="Times New Roman" w:hAnsi="Calibri" w:cs="Times New Roman"/>
                <w:color w:val="000000"/>
                <w:sz w:val="20"/>
                <w:szCs w:val="20"/>
                <w:highlight w:val="yellow"/>
                <w:lang w:eastAsia="es-MX"/>
              </w:rPr>
            </w:pPr>
            <w:r w:rsidRPr="009F2C0C">
              <w:rPr>
                <w:rFonts w:ascii="Calibri" w:eastAsia="Times New Roman" w:hAnsi="Calibri" w:cs="Times New Roman"/>
                <w:color w:val="000000"/>
                <w:sz w:val="20"/>
                <w:szCs w:val="20"/>
                <w:highlight w:val="yellow"/>
                <w:lang w:eastAsia="es-MX"/>
              </w:rPr>
              <w:t xml:space="preserve">Legislación </w:t>
            </w:r>
            <w:proofErr w:type="spellStart"/>
            <w:r w:rsidRPr="009F2C0C">
              <w:rPr>
                <w:rFonts w:ascii="Calibri" w:eastAsia="Times New Roman" w:hAnsi="Calibri" w:cs="Times New Roman"/>
                <w:color w:val="000000"/>
                <w:sz w:val="20"/>
                <w:szCs w:val="20"/>
                <w:highlight w:val="yellow"/>
                <w:lang w:eastAsia="es-MX"/>
              </w:rPr>
              <w:t>subnacional</w:t>
            </w:r>
            <w:proofErr w:type="spellEnd"/>
            <w:r w:rsidRPr="009F2C0C">
              <w:rPr>
                <w:rFonts w:ascii="Calibri" w:eastAsia="Times New Roman" w:hAnsi="Calibri" w:cs="Times New Roman"/>
                <w:color w:val="000000"/>
                <w:sz w:val="20"/>
                <w:szCs w:val="20"/>
                <w:highlight w:val="yellow"/>
                <w:lang w:eastAsia="es-MX"/>
              </w:rPr>
              <w:t xml:space="preserve"> o estrategia </w:t>
            </w:r>
            <w:proofErr w:type="spellStart"/>
            <w:r w:rsidRPr="009F2C0C">
              <w:rPr>
                <w:rFonts w:ascii="Calibri" w:eastAsia="Times New Roman" w:hAnsi="Calibri" w:cs="Times New Roman"/>
                <w:color w:val="000000"/>
                <w:sz w:val="20"/>
                <w:szCs w:val="20"/>
                <w:highlight w:val="yellow"/>
                <w:lang w:eastAsia="es-MX"/>
              </w:rPr>
              <w:t>subnacional</w:t>
            </w:r>
            <w:proofErr w:type="spellEnd"/>
            <w:r w:rsidRPr="009F2C0C">
              <w:rPr>
                <w:rFonts w:ascii="Calibri" w:eastAsia="Times New Roman" w:hAnsi="Calibri" w:cs="Times New Roman"/>
                <w:color w:val="000000"/>
                <w:sz w:val="20"/>
                <w:szCs w:val="20"/>
                <w:highlight w:val="yellow"/>
                <w:lang w:eastAsia="es-MX"/>
              </w:rPr>
              <w:t xml:space="preserve"> de vivienda</w:t>
            </w:r>
          </w:p>
        </w:tc>
        <w:tc>
          <w:tcPr>
            <w:tcW w:w="6946" w:type="dxa"/>
            <w:tcBorders>
              <w:top w:val="nil"/>
              <w:left w:val="nil"/>
              <w:bottom w:val="nil"/>
              <w:right w:val="nil"/>
            </w:tcBorders>
            <w:shd w:val="clear" w:color="auto" w:fill="auto"/>
            <w:noWrap/>
            <w:vAlign w:val="bottom"/>
            <w:hideMark/>
          </w:tcPr>
          <w:p w:rsidR="006A4FB5" w:rsidRPr="009F2C0C" w:rsidRDefault="002D0952" w:rsidP="002D0952">
            <w:pPr>
              <w:spacing w:after="0" w:line="240" w:lineRule="auto"/>
              <w:jc w:val="both"/>
              <w:rPr>
                <w:rFonts w:ascii="Calibri" w:eastAsia="Times New Roman" w:hAnsi="Calibri" w:cs="Times New Roman"/>
                <w:color w:val="000000"/>
                <w:highlight w:val="yellow"/>
                <w:lang w:eastAsia="es-MX"/>
              </w:rPr>
            </w:pPr>
            <w:r w:rsidRPr="009F2C0C">
              <w:rPr>
                <w:rFonts w:ascii="Calibri" w:eastAsia="Times New Roman" w:hAnsi="Calibri" w:cs="Times New Roman"/>
                <w:color w:val="000000"/>
                <w:highlight w:val="yellow"/>
                <w:lang w:eastAsia="es-MX"/>
              </w:rPr>
              <w:t>La Ley de Vivienda establece en su Art 17 “La Comisión promoverá que los gobiernos de las entidades federativas expidan sus respectivas leyes de vivienda, en donde establezcan la responsabilidad y compromiso de los gobiernos estatales y municipales en el ámbito de sus atribuciones para la solución de los problemas habitacionales de sus comunidades…”. Derivado de lo anterior cada estado ha generado su propia Ley Estatal de Vivienda, en las cuales se establecen las formas de coordinación entre los estados y con los Organismos encargados de financiar programas de vivienda para los trabajadores, conforme a la obligación prevista en el artículo 123 de la Constitución Política de los Estados Unidos Mexicanos, y se regirán en los términos de las leyes que regulan su propia organización y funcionamiento y coordinarán sus lineamientos de política general y objetivos a lo que marca esta Ley de Vivienda.</w:t>
            </w:r>
          </w:p>
          <w:p w:rsidR="002D0952" w:rsidRPr="009F2C0C" w:rsidRDefault="002D0952" w:rsidP="00347EA6">
            <w:pPr>
              <w:spacing w:after="0" w:line="240" w:lineRule="auto"/>
              <w:jc w:val="both"/>
              <w:rPr>
                <w:rFonts w:ascii="Calibri" w:eastAsia="Times New Roman" w:hAnsi="Calibri" w:cs="Times New Roman"/>
                <w:color w:val="000000"/>
                <w:highlight w:val="yellow"/>
                <w:lang w:eastAsia="es-MX"/>
              </w:rPr>
            </w:pPr>
            <w:r w:rsidRPr="009F2C0C">
              <w:rPr>
                <w:rFonts w:ascii="Calibri" w:eastAsia="Times New Roman" w:hAnsi="Calibri" w:cs="Times New Roman"/>
                <w:color w:val="000000"/>
                <w:highlight w:val="yellow"/>
                <w:lang w:eastAsia="es-MX"/>
              </w:rPr>
              <w:t xml:space="preserve">De igual manera señala su organización al interior del estado </w:t>
            </w:r>
            <w:r w:rsidR="00347EA6" w:rsidRPr="009F2C0C">
              <w:rPr>
                <w:rFonts w:ascii="Calibri" w:eastAsia="Times New Roman" w:hAnsi="Calibri" w:cs="Times New Roman"/>
                <w:color w:val="000000"/>
                <w:highlight w:val="yellow"/>
                <w:lang w:eastAsia="es-MX"/>
              </w:rPr>
              <w:t>y con los municipios, así como con lo</w:t>
            </w:r>
            <w:r w:rsidR="00985FBB" w:rsidRPr="009F2C0C">
              <w:rPr>
                <w:rFonts w:ascii="Calibri" w:eastAsia="Times New Roman" w:hAnsi="Calibri" w:cs="Times New Roman"/>
                <w:color w:val="000000"/>
                <w:highlight w:val="yellow"/>
                <w:lang w:eastAsia="es-MX"/>
              </w:rPr>
              <w:t>s Institutos estatales de vivienda que</w:t>
            </w:r>
            <w:r w:rsidR="00347EA6" w:rsidRPr="009F2C0C">
              <w:rPr>
                <w:rFonts w:ascii="Calibri" w:eastAsia="Times New Roman" w:hAnsi="Calibri" w:cs="Times New Roman"/>
                <w:color w:val="000000"/>
                <w:highlight w:val="yellow"/>
                <w:lang w:eastAsia="es-MX"/>
              </w:rPr>
              <w:t xml:space="preserve"> atienden a la población que no es </w:t>
            </w:r>
            <w:proofErr w:type="spellStart"/>
            <w:r w:rsidR="00347EA6" w:rsidRPr="009F2C0C">
              <w:rPr>
                <w:rFonts w:ascii="Calibri" w:eastAsia="Times New Roman" w:hAnsi="Calibri" w:cs="Times New Roman"/>
                <w:color w:val="000000"/>
                <w:highlight w:val="yellow"/>
                <w:lang w:eastAsia="es-MX"/>
              </w:rPr>
              <w:t>cbeneficiada</w:t>
            </w:r>
            <w:proofErr w:type="spellEnd"/>
            <w:r w:rsidR="00985FBB" w:rsidRPr="009F2C0C">
              <w:rPr>
                <w:rFonts w:ascii="Calibri" w:eastAsia="Times New Roman" w:hAnsi="Calibri" w:cs="Times New Roman"/>
                <w:color w:val="000000"/>
                <w:highlight w:val="yellow"/>
                <w:lang w:eastAsia="es-MX"/>
              </w:rPr>
              <w:t xml:space="preserve"> por los organismos anteriormente referidos. </w:t>
            </w:r>
          </w:p>
        </w:tc>
        <w:tc>
          <w:tcPr>
            <w:tcW w:w="162" w:type="dxa"/>
            <w:tcBorders>
              <w:top w:val="nil"/>
              <w:left w:val="nil"/>
              <w:bottom w:val="nil"/>
              <w:right w:val="nil"/>
            </w:tcBorders>
            <w:shd w:val="clear" w:color="auto" w:fill="auto"/>
            <w:noWrap/>
            <w:vAlign w:val="bottom"/>
            <w:hideMark/>
          </w:tcPr>
          <w:p w:rsidR="006A4FB5" w:rsidRPr="00840A9B" w:rsidRDefault="006A4FB5" w:rsidP="00840A9B">
            <w:pPr>
              <w:spacing w:after="0" w:line="240" w:lineRule="auto"/>
              <w:rPr>
                <w:rFonts w:ascii="Calibri" w:eastAsia="Times New Roman" w:hAnsi="Calibri" w:cs="Times New Roman"/>
                <w:color w:val="000000"/>
                <w:lang w:eastAsia="es-MX"/>
              </w:rPr>
            </w:pPr>
          </w:p>
        </w:tc>
      </w:tr>
      <w:tr w:rsidR="00E23D9B" w:rsidRPr="00840A9B" w:rsidTr="007B1A2A">
        <w:trPr>
          <w:gridAfter w:val="1"/>
          <w:wAfter w:w="101" w:type="dxa"/>
          <w:trHeight w:val="300"/>
        </w:trPr>
        <w:tc>
          <w:tcPr>
            <w:tcW w:w="460" w:type="dxa"/>
            <w:tcBorders>
              <w:top w:val="single" w:sz="4" w:space="0" w:color="auto"/>
            </w:tcBorders>
            <w:shd w:val="clear" w:color="auto" w:fill="auto"/>
            <w:noWrap/>
            <w:vAlign w:val="center"/>
          </w:tcPr>
          <w:p w:rsidR="00E23D9B" w:rsidRPr="009F2C0C" w:rsidRDefault="00E23D9B" w:rsidP="00840A9B">
            <w:pPr>
              <w:spacing w:after="0" w:line="240" w:lineRule="auto"/>
              <w:jc w:val="center"/>
              <w:rPr>
                <w:rFonts w:ascii="Calibri" w:eastAsia="Times New Roman" w:hAnsi="Calibri" w:cs="Times New Roman"/>
                <w:color w:val="000000"/>
                <w:highlight w:val="yellow"/>
                <w:lang w:eastAsia="es-MX"/>
              </w:rPr>
            </w:pPr>
          </w:p>
        </w:tc>
        <w:tc>
          <w:tcPr>
            <w:tcW w:w="1540" w:type="dxa"/>
            <w:tcBorders>
              <w:top w:val="nil"/>
              <w:right w:val="nil"/>
            </w:tcBorders>
            <w:shd w:val="clear" w:color="auto" w:fill="auto"/>
            <w:noWrap/>
          </w:tcPr>
          <w:p w:rsidR="00E23D9B" w:rsidRPr="009F2C0C" w:rsidRDefault="00E23D9B" w:rsidP="006A4FB5">
            <w:pPr>
              <w:spacing w:after="0" w:line="240" w:lineRule="auto"/>
              <w:rPr>
                <w:rFonts w:ascii="Calibri" w:eastAsia="Times New Roman" w:hAnsi="Calibri" w:cs="Times New Roman"/>
                <w:color w:val="000000"/>
                <w:sz w:val="20"/>
                <w:szCs w:val="20"/>
                <w:highlight w:val="yellow"/>
                <w:lang w:eastAsia="es-MX"/>
              </w:rPr>
            </w:pPr>
          </w:p>
          <w:p w:rsidR="00E23D9B" w:rsidRPr="009F2C0C" w:rsidRDefault="00E23D9B" w:rsidP="006A4FB5">
            <w:pPr>
              <w:spacing w:after="0" w:line="240" w:lineRule="auto"/>
              <w:rPr>
                <w:rFonts w:ascii="Calibri" w:eastAsia="Times New Roman" w:hAnsi="Calibri" w:cs="Times New Roman"/>
                <w:color w:val="000000"/>
                <w:sz w:val="20"/>
                <w:szCs w:val="20"/>
                <w:highlight w:val="yellow"/>
                <w:lang w:eastAsia="es-MX"/>
              </w:rPr>
            </w:pPr>
          </w:p>
          <w:p w:rsidR="00E23D9B" w:rsidRPr="009F2C0C" w:rsidRDefault="00E23D9B" w:rsidP="006A4FB5">
            <w:pPr>
              <w:spacing w:after="0" w:line="240" w:lineRule="auto"/>
              <w:rPr>
                <w:rFonts w:ascii="Calibri" w:eastAsia="Times New Roman" w:hAnsi="Calibri" w:cs="Times New Roman"/>
                <w:color w:val="000000"/>
                <w:sz w:val="20"/>
                <w:szCs w:val="20"/>
                <w:highlight w:val="yellow"/>
                <w:lang w:eastAsia="es-MX"/>
              </w:rPr>
            </w:pPr>
          </w:p>
        </w:tc>
        <w:tc>
          <w:tcPr>
            <w:tcW w:w="6946" w:type="dxa"/>
            <w:tcBorders>
              <w:top w:val="nil"/>
              <w:left w:val="nil"/>
              <w:right w:val="nil"/>
            </w:tcBorders>
            <w:shd w:val="clear" w:color="auto" w:fill="auto"/>
            <w:noWrap/>
            <w:vAlign w:val="bottom"/>
          </w:tcPr>
          <w:p w:rsidR="00E23D9B" w:rsidRPr="009F2C0C" w:rsidRDefault="00E23D9B" w:rsidP="00840A9B">
            <w:pPr>
              <w:spacing w:after="0" w:line="240" w:lineRule="auto"/>
              <w:rPr>
                <w:rFonts w:ascii="Calibri" w:eastAsia="Times New Roman" w:hAnsi="Calibri" w:cs="Times New Roman"/>
                <w:color w:val="000000"/>
                <w:highlight w:val="yellow"/>
                <w:lang w:eastAsia="es-MX"/>
              </w:rPr>
            </w:pPr>
          </w:p>
        </w:tc>
        <w:tc>
          <w:tcPr>
            <w:tcW w:w="162" w:type="dxa"/>
            <w:tcBorders>
              <w:top w:val="nil"/>
              <w:left w:val="nil"/>
              <w:right w:val="nil"/>
            </w:tcBorders>
            <w:shd w:val="clear" w:color="auto" w:fill="auto"/>
            <w:noWrap/>
            <w:vAlign w:val="bottom"/>
          </w:tcPr>
          <w:p w:rsidR="00E23D9B" w:rsidRPr="00840A9B" w:rsidRDefault="00E23D9B" w:rsidP="00840A9B">
            <w:pPr>
              <w:spacing w:after="0" w:line="240" w:lineRule="auto"/>
              <w:rPr>
                <w:rFonts w:ascii="Calibri" w:eastAsia="Times New Roman" w:hAnsi="Calibri" w:cs="Times New Roman"/>
                <w:color w:val="000000"/>
                <w:lang w:eastAsia="es-MX"/>
              </w:rPr>
            </w:pPr>
          </w:p>
        </w:tc>
        <w:tc>
          <w:tcPr>
            <w:tcW w:w="162" w:type="dxa"/>
            <w:tcBorders>
              <w:top w:val="nil"/>
              <w:left w:val="nil"/>
            </w:tcBorders>
            <w:shd w:val="clear" w:color="auto" w:fill="auto"/>
            <w:noWrap/>
            <w:vAlign w:val="bottom"/>
          </w:tcPr>
          <w:p w:rsidR="00E23D9B" w:rsidRPr="00840A9B" w:rsidRDefault="00E23D9B" w:rsidP="00840A9B">
            <w:pPr>
              <w:spacing w:after="0" w:line="240" w:lineRule="auto"/>
              <w:rPr>
                <w:rFonts w:ascii="Calibri" w:eastAsia="Times New Roman" w:hAnsi="Calibri" w:cs="Times New Roman"/>
                <w:color w:val="000000"/>
                <w:lang w:eastAsia="es-MX"/>
              </w:rPr>
            </w:pPr>
          </w:p>
        </w:tc>
      </w:tr>
      <w:tr w:rsidR="006A4FB5" w:rsidRPr="00840A9B" w:rsidTr="007B1A2A">
        <w:trPr>
          <w:gridAfter w:val="1"/>
          <w:wAfter w:w="101" w:type="dxa"/>
          <w:trHeight w:val="300"/>
        </w:trPr>
        <w:tc>
          <w:tcPr>
            <w:tcW w:w="460" w:type="dxa"/>
            <w:tcBorders>
              <w:left w:val="single" w:sz="4" w:space="0" w:color="auto"/>
              <w:bottom w:val="single" w:sz="4" w:space="0" w:color="auto"/>
              <w:right w:val="single" w:sz="4" w:space="0" w:color="auto"/>
            </w:tcBorders>
            <w:shd w:val="clear" w:color="auto" w:fill="auto"/>
            <w:noWrap/>
            <w:hideMark/>
          </w:tcPr>
          <w:p w:rsidR="006A4FB5" w:rsidRPr="009F2C0C" w:rsidRDefault="006A4FB5" w:rsidP="00E23D9B">
            <w:pPr>
              <w:spacing w:after="0" w:line="240" w:lineRule="auto"/>
              <w:rPr>
                <w:rFonts w:ascii="Calibri" w:eastAsia="Times New Roman" w:hAnsi="Calibri" w:cs="Times New Roman"/>
                <w:color w:val="000000"/>
                <w:highlight w:val="yellow"/>
                <w:lang w:eastAsia="es-MX"/>
              </w:rPr>
            </w:pPr>
            <w:r w:rsidRPr="009F2C0C">
              <w:rPr>
                <w:rFonts w:ascii="Calibri" w:eastAsia="Times New Roman" w:hAnsi="Calibri" w:cs="Times New Roman"/>
                <w:color w:val="000000"/>
                <w:highlight w:val="yellow"/>
                <w:lang w:eastAsia="es-MX"/>
              </w:rPr>
              <w:t> X</w:t>
            </w:r>
          </w:p>
        </w:tc>
        <w:tc>
          <w:tcPr>
            <w:tcW w:w="1540" w:type="dxa"/>
            <w:tcBorders>
              <w:left w:val="nil"/>
              <w:bottom w:val="nil"/>
              <w:right w:val="nil"/>
            </w:tcBorders>
            <w:shd w:val="clear" w:color="auto" w:fill="auto"/>
            <w:noWrap/>
            <w:hideMark/>
          </w:tcPr>
          <w:p w:rsidR="006A4FB5" w:rsidRPr="009F2C0C" w:rsidRDefault="006A4FB5" w:rsidP="006A4FB5">
            <w:pPr>
              <w:spacing w:after="0" w:line="240" w:lineRule="auto"/>
              <w:rPr>
                <w:rFonts w:ascii="Calibri" w:eastAsia="Times New Roman" w:hAnsi="Calibri" w:cs="Times New Roman"/>
                <w:color w:val="000000"/>
                <w:sz w:val="20"/>
                <w:szCs w:val="20"/>
                <w:highlight w:val="yellow"/>
                <w:lang w:eastAsia="es-MX"/>
              </w:rPr>
            </w:pPr>
            <w:r w:rsidRPr="009F2C0C">
              <w:rPr>
                <w:rFonts w:ascii="Calibri" w:eastAsia="Times New Roman" w:hAnsi="Calibri" w:cs="Times New Roman"/>
                <w:color w:val="000000"/>
                <w:sz w:val="20"/>
                <w:szCs w:val="20"/>
                <w:highlight w:val="yellow"/>
                <w:lang w:eastAsia="es-MX"/>
              </w:rPr>
              <w:t>Acuerdo inter-gubernamental</w:t>
            </w:r>
          </w:p>
        </w:tc>
        <w:tc>
          <w:tcPr>
            <w:tcW w:w="6946" w:type="dxa"/>
            <w:tcBorders>
              <w:left w:val="nil"/>
              <w:bottom w:val="nil"/>
              <w:right w:val="nil"/>
            </w:tcBorders>
            <w:shd w:val="clear" w:color="auto" w:fill="auto"/>
            <w:noWrap/>
            <w:vAlign w:val="bottom"/>
            <w:hideMark/>
          </w:tcPr>
          <w:p w:rsidR="006A4FB5" w:rsidRPr="009F2C0C" w:rsidRDefault="006A4FB5" w:rsidP="007B1A2A">
            <w:pPr>
              <w:spacing w:after="0" w:line="240" w:lineRule="auto"/>
              <w:jc w:val="both"/>
              <w:rPr>
                <w:rFonts w:ascii="Calibri" w:eastAsia="Times New Roman" w:hAnsi="Calibri" w:cs="Times New Roman"/>
                <w:color w:val="000000"/>
                <w:highlight w:val="yellow"/>
                <w:lang w:eastAsia="es-MX"/>
              </w:rPr>
            </w:pPr>
            <w:r w:rsidRPr="009F2C0C">
              <w:rPr>
                <w:rFonts w:ascii="Calibri" w:eastAsia="Times New Roman" w:hAnsi="Calibri" w:cs="Times New Roman"/>
                <w:color w:val="000000"/>
                <w:highlight w:val="yellow"/>
                <w:lang w:eastAsia="es-MX"/>
              </w:rPr>
              <w:t>Se celebran Acuerdo Intergubernamentales principalmente entre estados colindantes o bien que coincidan con Zonas Metropolitanas que tengan asuntos de interés o bien a fin de compart</w:t>
            </w:r>
            <w:r w:rsidR="007B1A2A" w:rsidRPr="009F2C0C">
              <w:rPr>
                <w:rFonts w:ascii="Calibri" w:eastAsia="Times New Roman" w:hAnsi="Calibri" w:cs="Times New Roman"/>
                <w:color w:val="000000"/>
                <w:highlight w:val="yellow"/>
                <w:lang w:eastAsia="es-MX"/>
              </w:rPr>
              <w:t xml:space="preserve">ir información y/o experiencias, </w:t>
            </w:r>
            <w:r w:rsidRPr="009F2C0C">
              <w:rPr>
                <w:rFonts w:ascii="Calibri" w:eastAsia="Times New Roman" w:hAnsi="Calibri" w:cs="Times New Roman"/>
                <w:color w:val="000000"/>
                <w:highlight w:val="yellow"/>
                <w:lang w:eastAsia="es-MX"/>
              </w:rPr>
              <w:t xml:space="preserve">para ello se Instala una Comisión Mixta de Políticas Públicas donde participen integrantes de ambos gobiernos, con objeto de establecer las bases de coordinación y colaboración intergubernamental, para que los gobiernos intercambien información respecto de programas exitosos y mecanismos de evaluación en materias de mutuo interés, como educación, salud, seguridad pública, procuración de justicia, protección social, vivienda, medio ambiente, desarrollo sustentable, desarrollo urbano, transportes, </w:t>
            </w:r>
            <w:r w:rsidRPr="009F2C0C">
              <w:rPr>
                <w:rFonts w:ascii="Calibri" w:eastAsia="Times New Roman" w:hAnsi="Calibri" w:cs="Times New Roman"/>
                <w:color w:val="000000"/>
                <w:highlight w:val="yellow"/>
                <w:lang w:eastAsia="es-MX"/>
              </w:rPr>
              <w:lastRenderedPageBreak/>
              <w:t>protección civil, finanzas, economía, turismo y de cualquier otra índole que signifique beneficiar directamente a la población. Este tipo de Acuerdos Intergubernamentales no son específicos en temas determinados generalmente se celebra uno solo y se señalan los temas en los cuales los gobiernos manifiestan interés en trabajar con el intercambio de información.</w:t>
            </w:r>
          </w:p>
          <w:p w:rsidR="00E23D9B" w:rsidRPr="009F2C0C" w:rsidRDefault="00E23D9B" w:rsidP="007B1A2A">
            <w:pPr>
              <w:spacing w:after="0" w:line="240" w:lineRule="auto"/>
              <w:jc w:val="both"/>
              <w:rPr>
                <w:rFonts w:ascii="Calibri" w:eastAsia="Times New Roman" w:hAnsi="Calibri" w:cs="Times New Roman"/>
                <w:color w:val="000000"/>
                <w:highlight w:val="yellow"/>
                <w:lang w:eastAsia="es-MX"/>
              </w:rPr>
            </w:pPr>
          </w:p>
          <w:p w:rsidR="00E23D9B" w:rsidRPr="009F2C0C" w:rsidRDefault="00E23D9B" w:rsidP="007B1A2A">
            <w:pPr>
              <w:spacing w:after="0" w:line="240" w:lineRule="auto"/>
              <w:jc w:val="both"/>
              <w:rPr>
                <w:rFonts w:ascii="Calibri" w:eastAsia="Times New Roman" w:hAnsi="Calibri" w:cs="Times New Roman"/>
                <w:color w:val="000000"/>
                <w:highlight w:val="yellow"/>
                <w:lang w:eastAsia="es-MX"/>
              </w:rPr>
            </w:pPr>
          </w:p>
        </w:tc>
        <w:tc>
          <w:tcPr>
            <w:tcW w:w="162" w:type="dxa"/>
            <w:tcBorders>
              <w:left w:val="nil"/>
              <w:bottom w:val="nil"/>
              <w:right w:val="nil"/>
            </w:tcBorders>
            <w:shd w:val="clear" w:color="auto" w:fill="auto"/>
            <w:noWrap/>
            <w:vAlign w:val="bottom"/>
            <w:hideMark/>
          </w:tcPr>
          <w:p w:rsidR="006A4FB5" w:rsidRPr="00840A9B" w:rsidRDefault="006A4FB5" w:rsidP="00840A9B">
            <w:pPr>
              <w:spacing w:after="0" w:line="240" w:lineRule="auto"/>
              <w:rPr>
                <w:rFonts w:ascii="Calibri" w:eastAsia="Times New Roman" w:hAnsi="Calibri" w:cs="Times New Roman"/>
                <w:color w:val="000000"/>
                <w:lang w:eastAsia="es-MX"/>
              </w:rPr>
            </w:pPr>
          </w:p>
        </w:tc>
        <w:tc>
          <w:tcPr>
            <w:tcW w:w="162" w:type="dxa"/>
            <w:tcBorders>
              <w:left w:val="nil"/>
              <w:bottom w:val="nil"/>
              <w:right w:val="nil"/>
            </w:tcBorders>
            <w:shd w:val="clear" w:color="auto" w:fill="auto"/>
            <w:noWrap/>
            <w:vAlign w:val="bottom"/>
            <w:hideMark/>
          </w:tcPr>
          <w:p w:rsidR="006A4FB5" w:rsidRPr="00840A9B" w:rsidRDefault="006A4FB5" w:rsidP="00840A9B">
            <w:pPr>
              <w:spacing w:after="0" w:line="240" w:lineRule="auto"/>
              <w:rPr>
                <w:rFonts w:ascii="Calibri" w:eastAsia="Times New Roman" w:hAnsi="Calibri" w:cs="Times New Roman"/>
                <w:color w:val="000000"/>
                <w:lang w:eastAsia="es-MX"/>
              </w:rPr>
            </w:pPr>
          </w:p>
        </w:tc>
      </w:tr>
      <w:tr w:rsidR="00E23D9B" w:rsidRPr="00840A9B" w:rsidTr="007B1A2A">
        <w:trPr>
          <w:gridAfter w:val="2"/>
          <w:wAfter w:w="263" w:type="dxa"/>
          <w:trHeight w:val="30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3D9B" w:rsidRPr="009F2C0C" w:rsidRDefault="00E23D9B" w:rsidP="00840A9B">
            <w:pPr>
              <w:spacing w:after="0" w:line="240" w:lineRule="auto"/>
              <w:jc w:val="center"/>
              <w:rPr>
                <w:rFonts w:ascii="Calibri" w:eastAsia="Times New Roman" w:hAnsi="Calibri" w:cs="Times New Roman"/>
                <w:color w:val="000000"/>
                <w:highlight w:val="yellow"/>
                <w:lang w:eastAsia="es-MX"/>
              </w:rPr>
            </w:pPr>
            <w:r w:rsidRPr="009F2C0C">
              <w:rPr>
                <w:rFonts w:ascii="Calibri" w:eastAsia="Times New Roman" w:hAnsi="Calibri" w:cs="Times New Roman"/>
                <w:color w:val="000000"/>
                <w:highlight w:val="yellow"/>
                <w:lang w:eastAsia="es-MX"/>
              </w:rPr>
              <w:lastRenderedPageBreak/>
              <w:t> </w:t>
            </w:r>
          </w:p>
        </w:tc>
        <w:tc>
          <w:tcPr>
            <w:tcW w:w="1540" w:type="dxa"/>
            <w:tcBorders>
              <w:top w:val="nil"/>
              <w:left w:val="nil"/>
              <w:bottom w:val="nil"/>
              <w:right w:val="nil"/>
            </w:tcBorders>
            <w:shd w:val="clear" w:color="auto" w:fill="auto"/>
            <w:noWrap/>
            <w:hideMark/>
          </w:tcPr>
          <w:p w:rsidR="00E23D9B" w:rsidRPr="009F2C0C" w:rsidRDefault="00E23D9B" w:rsidP="00E23D9B">
            <w:pPr>
              <w:spacing w:after="0" w:line="240" w:lineRule="auto"/>
              <w:rPr>
                <w:rFonts w:ascii="Calibri" w:eastAsia="Times New Roman" w:hAnsi="Calibri" w:cs="Times New Roman"/>
                <w:color w:val="000000"/>
                <w:sz w:val="20"/>
                <w:szCs w:val="20"/>
                <w:highlight w:val="yellow"/>
                <w:lang w:eastAsia="es-MX"/>
              </w:rPr>
            </w:pPr>
            <w:r w:rsidRPr="009F2C0C">
              <w:rPr>
                <w:rFonts w:ascii="Calibri" w:eastAsia="Times New Roman" w:hAnsi="Calibri" w:cs="Times New Roman"/>
                <w:color w:val="000000"/>
                <w:sz w:val="20"/>
                <w:szCs w:val="20"/>
                <w:highlight w:val="yellow"/>
                <w:lang w:eastAsia="es-MX"/>
              </w:rPr>
              <w:t>Otros, por favor explicar</w:t>
            </w:r>
          </w:p>
        </w:tc>
        <w:tc>
          <w:tcPr>
            <w:tcW w:w="6946" w:type="dxa"/>
            <w:tcBorders>
              <w:top w:val="nil"/>
              <w:left w:val="nil"/>
              <w:bottom w:val="nil"/>
              <w:right w:val="nil"/>
            </w:tcBorders>
            <w:shd w:val="clear" w:color="auto" w:fill="auto"/>
            <w:noWrap/>
            <w:vAlign w:val="bottom"/>
            <w:hideMark/>
          </w:tcPr>
          <w:p w:rsidR="00E23D9B" w:rsidRPr="009F2C0C" w:rsidRDefault="00E23D9B" w:rsidP="007B1A2A">
            <w:pPr>
              <w:spacing w:after="0" w:line="240" w:lineRule="auto"/>
              <w:jc w:val="both"/>
              <w:rPr>
                <w:rFonts w:ascii="Calibri" w:eastAsia="Times New Roman" w:hAnsi="Calibri" w:cs="Times New Roman"/>
                <w:color w:val="000000"/>
                <w:highlight w:val="yellow"/>
                <w:lang w:eastAsia="es-MX"/>
              </w:rPr>
            </w:pPr>
            <w:r w:rsidRPr="009F2C0C">
              <w:rPr>
                <w:rFonts w:ascii="Calibri" w:eastAsia="Times New Roman" w:hAnsi="Calibri" w:cs="Times New Roman"/>
                <w:color w:val="000000"/>
                <w:highlight w:val="yellow"/>
                <w:lang w:eastAsia="es-MX"/>
              </w:rPr>
              <w:t>La Comisión Nacional de Vivienda (CONAVI, es la encargada de diseñar, coordinar y promover políticas y programas de vivienda del país, orientadas a desarrollar las condiciones que permitan a las familias mexicanas tener acceso a una solución habitacional, de acuerdo con sus necesidades y posibilidades. La CONAVI se creó en julio de 2001 con el nombre de Comisión Nacional de Fomento a la Vivienda (CONAFOVI), y en junio de 2006 se convirtió en la Comisión Nacional de Vivienda (CONAVI), organismo descentralizado, de utilidad pública e interés social, no sectorizado, con personalidad jurídica y patrimonio propio.</w:t>
            </w:r>
          </w:p>
          <w:p w:rsidR="00E23D9B" w:rsidRPr="009F2C0C" w:rsidRDefault="00E23D9B" w:rsidP="007B1A2A">
            <w:pPr>
              <w:spacing w:after="0" w:line="240" w:lineRule="auto"/>
              <w:jc w:val="both"/>
              <w:rPr>
                <w:rFonts w:ascii="Calibri" w:eastAsia="Times New Roman" w:hAnsi="Calibri" w:cs="Times New Roman"/>
                <w:color w:val="000000"/>
                <w:highlight w:val="yellow"/>
                <w:lang w:eastAsia="es-MX"/>
              </w:rPr>
            </w:pPr>
          </w:p>
          <w:p w:rsidR="00E23D9B" w:rsidRPr="009F2C0C" w:rsidRDefault="00E23D9B" w:rsidP="007B1A2A">
            <w:pPr>
              <w:spacing w:after="0" w:line="240" w:lineRule="auto"/>
              <w:jc w:val="both"/>
              <w:rPr>
                <w:rFonts w:ascii="Calibri" w:eastAsia="Times New Roman" w:hAnsi="Calibri" w:cs="Times New Roman"/>
                <w:color w:val="000000"/>
                <w:highlight w:val="yellow"/>
                <w:lang w:eastAsia="es-MX"/>
              </w:rPr>
            </w:pPr>
            <w:r w:rsidRPr="009F2C0C">
              <w:rPr>
                <w:rFonts w:ascii="Calibri" w:eastAsia="Times New Roman" w:hAnsi="Calibri" w:cs="Times New Roman"/>
                <w:color w:val="000000"/>
                <w:highlight w:val="yellow"/>
                <w:lang w:eastAsia="es-MX"/>
              </w:rPr>
              <w:t>En esquema de organización, derivado de la reforma a la Ley Orgánica de la Administración Publica de la Federación, se agrupa a la nueva Secretaría de Desarrollo Agrario Territorial y Urbano, siendo la CONAVI la instancia técnica especializado en materia de vivienda, encargado de la elaboración del Programa Nacional de Vivienda y de la operación de subsidios.</w:t>
            </w:r>
          </w:p>
          <w:p w:rsidR="00E23D9B" w:rsidRPr="009F2C0C" w:rsidRDefault="00E23D9B" w:rsidP="007B1A2A">
            <w:pPr>
              <w:spacing w:after="0" w:line="240" w:lineRule="auto"/>
              <w:jc w:val="both"/>
              <w:rPr>
                <w:rFonts w:ascii="Calibri" w:eastAsia="Times New Roman" w:hAnsi="Calibri" w:cs="Times New Roman"/>
                <w:color w:val="000000"/>
                <w:highlight w:val="yellow"/>
                <w:lang w:eastAsia="es-MX"/>
              </w:rPr>
            </w:pPr>
          </w:p>
          <w:p w:rsidR="00E23D9B" w:rsidRPr="009F2C0C" w:rsidRDefault="00E23D9B" w:rsidP="007B1A2A">
            <w:pPr>
              <w:spacing w:after="0" w:line="240" w:lineRule="auto"/>
              <w:jc w:val="both"/>
              <w:rPr>
                <w:rFonts w:ascii="Calibri" w:eastAsia="Times New Roman" w:hAnsi="Calibri" w:cs="Times New Roman"/>
                <w:color w:val="000000"/>
                <w:highlight w:val="yellow"/>
                <w:lang w:eastAsia="es-MX"/>
              </w:rPr>
            </w:pPr>
            <w:r w:rsidRPr="009F2C0C">
              <w:rPr>
                <w:rFonts w:ascii="Calibri" w:eastAsia="Times New Roman" w:hAnsi="Calibri" w:cs="Times New Roman"/>
                <w:color w:val="000000"/>
                <w:highlight w:val="yellow"/>
                <w:lang w:eastAsia="es-MX"/>
              </w:rPr>
              <w:t>De acuerdo con la Ley de Vivienda, expedida en junio de 2006, la CONAVI tiene entre sus atribuciones supervisar que las acciones de vivienda se realicen con pleno cuidado del desarrollo urbano, el ordenamiento territorial y el desarrollo sustentable.</w:t>
            </w:r>
          </w:p>
          <w:p w:rsidR="00E23D9B" w:rsidRPr="009F2C0C" w:rsidRDefault="00E23D9B" w:rsidP="007B1A2A">
            <w:pPr>
              <w:spacing w:after="0" w:line="240" w:lineRule="auto"/>
              <w:jc w:val="both"/>
              <w:rPr>
                <w:rFonts w:ascii="Calibri" w:eastAsia="Times New Roman" w:hAnsi="Calibri" w:cs="Times New Roman"/>
                <w:color w:val="000000"/>
                <w:highlight w:val="yellow"/>
                <w:lang w:eastAsia="es-MX"/>
              </w:rPr>
            </w:pPr>
          </w:p>
          <w:p w:rsidR="00E23D9B" w:rsidRPr="009F2C0C" w:rsidRDefault="00E23D9B" w:rsidP="007B1A2A">
            <w:pPr>
              <w:spacing w:after="0" w:line="240" w:lineRule="auto"/>
              <w:jc w:val="both"/>
              <w:rPr>
                <w:rFonts w:ascii="Calibri" w:eastAsia="Times New Roman" w:hAnsi="Calibri" w:cs="Times New Roman"/>
                <w:color w:val="000000"/>
                <w:highlight w:val="yellow"/>
                <w:lang w:eastAsia="es-MX"/>
              </w:rPr>
            </w:pPr>
            <w:r w:rsidRPr="009F2C0C">
              <w:rPr>
                <w:rFonts w:ascii="Calibri" w:eastAsia="Times New Roman" w:hAnsi="Calibri" w:cs="Times New Roman"/>
                <w:color w:val="000000"/>
                <w:highlight w:val="yellow"/>
                <w:lang w:eastAsia="es-MX"/>
              </w:rPr>
              <w:t>Asimismo, tiene la función de promover y concertar con los sectores público, social y privado programas y acciones relacionados con la vivienda y suelo, así como desarrollar, ejecutar y promover esquemas, mecanismos y programas de financiamiento, subsidio y ahorro previo para la vivienda.</w:t>
            </w:r>
          </w:p>
          <w:p w:rsidR="00E23D9B" w:rsidRPr="009F2C0C" w:rsidRDefault="00E23D9B" w:rsidP="007B1A2A">
            <w:pPr>
              <w:spacing w:after="0" w:line="240" w:lineRule="auto"/>
              <w:jc w:val="both"/>
              <w:rPr>
                <w:rFonts w:ascii="Calibri" w:eastAsia="Times New Roman" w:hAnsi="Calibri" w:cs="Times New Roman"/>
                <w:color w:val="000000"/>
                <w:highlight w:val="yellow"/>
                <w:lang w:eastAsia="es-MX"/>
              </w:rPr>
            </w:pPr>
          </w:p>
          <w:p w:rsidR="00E23D9B" w:rsidRPr="009F2C0C" w:rsidRDefault="00E23D9B" w:rsidP="007B1A2A">
            <w:pPr>
              <w:spacing w:after="0" w:line="240" w:lineRule="auto"/>
              <w:jc w:val="both"/>
              <w:rPr>
                <w:rFonts w:ascii="Calibri" w:eastAsia="Times New Roman" w:hAnsi="Calibri" w:cs="Times New Roman"/>
                <w:color w:val="000000"/>
                <w:highlight w:val="yellow"/>
                <w:lang w:eastAsia="es-MX"/>
              </w:rPr>
            </w:pPr>
            <w:r w:rsidRPr="009F2C0C">
              <w:rPr>
                <w:rFonts w:ascii="Calibri" w:eastAsia="Times New Roman" w:hAnsi="Calibri" w:cs="Times New Roman"/>
                <w:color w:val="000000"/>
                <w:highlight w:val="yellow"/>
                <w:lang w:eastAsia="es-MX"/>
              </w:rPr>
              <w:t>De igual manera, la CONAVI tiene la responsabilidad de promover la expedición de normas oficiales mexicanas en materia de vivienda; fomentar y apoyar medidas que promuevan la calidad de la vivienda; propiciar la simplificación de procedimientos y trámites para el desarrollo integrador de proyectos habitacionales, y establecer vínculos institucionales, convenios de asistencia técnica e intercambio de información con organismos nacionales e internacionales.</w:t>
            </w:r>
          </w:p>
          <w:p w:rsidR="00E23D9B" w:rsidRPr="009F2C0C" w:rsidRDefault="00E23D9B" w:rsidP="007B1A2A">
            <w:pPr>
              <w:spacing w:after="0" w:line="240" w:lineRule="auto"/>
              <w:jc w:val="both"/>
              <w:rPr>
                <w:rFonts w:ascii="Calibri" w:eastAsia="Times New Roman" w:hAnsi="Calibri" w:cs="Times New Roman"/>
                <w:color w:val="000000"/>
                <w:highlight w:val="yellow"/>
                <w:lang w:eastAsia="es-MX"/>
              </w:rPr>
            </w:pPr>
          </w:p>
          <w:p w:rsidR="00E23D9B" w:rsidRPr="009F2C0C" w:rsidRDefault="00E23D9B" w:rsidP="007B1A2A">
            <w:pPr>
              <w:spacing w:after="0" w:line="240" w:lineRule="auto"/>
              <w:jc w:val="both"/>
              <w:rPr>
                <w:rFonts w:ascii="Calibri" w:eastAsia="Times New Roman" w:hAnsi="Calibri" w:cs="Times New Roman"/>
                <w:color w:val="000000"/>
                <w:highlight w:val="yellow"/>
                <w:lang w:eastAsia="es-MX"/>
              </w:rPr>
            </w:pPr>
            <w:r w:rsidRPr="009F2C0C">
              <w:rPr>
                <w:rFonts w:ascii="Calibri" w:eastAsia="Times New Roman" w:hAnsi="Calibri" w:cs="Times New Roman"/>
                <w:color w:val="000000"/>
                <w:highlight w:val="yellow"/>
                <w:lang w:eastAsia="es-MX"/>
              </w:rPr>
              <w:t xml:space="preserve">Aunado a ello, la CONAVI impulsa el programa de subsidios federales Esta es tu casa, mediante el cual se apoya la adquisición de lotes con servicios, compra de vivienda, mejoramiento y autoproducción. Este programa se compone del ahorro del beneficiario, subsidio del gobierno y crédito hipotecario, lo que le da un amplio contenido social, ya que ofrece la oportunidad a muchas familias de escasos recursos de adquirir una vivienda </w:t>
            </w:r>
            <w:r w:rsidRPr="009F2C0C">
              <w:rPr>
                <w:rFonts w:ascii="Calibri" w:eastAsia="Times New Roman" w:hAnsi="Calibri" w:cs="Times New Roman"/>
                <w:color w:val="000000"/>
                <w:highlight w:val="yellow"/>
                <w:lang w:eastAsia="es-MX"/>
              </w:rPr>
              <w:lastRenderedPageBreak/>
              <w:t>digna.</w:t>
            </w:r>
          </w:p>
        </w:tc>
        <w:tc>
          <w:tcPr>
            <w:tcW w:w="162" w:type="dxa"/>
            <w:tcBorders>
              <w:top w:val="nil"/>
              <w:left w:val="nil"/>
              <w:bottom w:val="nil"/>
              <w:right w:val="nil"/>
            </w:tcBorders>
            <w:shd w:val="clear" w:color="auto" w:fill="auto"/>
            <w:noWrap/>
            <w:vAlign w:val="bottom"/>
            <w:hideMark/>
          </w:tcPr>
          <w:p w:rsidR="00E23D9B" w:rsidRPr="00840A9B" w:rsidRDefault="00E23D9B" w:rsidP="00840A9B">
            <w:pPr>
              <w:spacing w:after="0" w:line="240" w:lineRule="auto"/>
              <w:rPr>
                <w:rFonts w:ascii="Calibri" w:eastAsia="Times New Roman" w:hAnsi="Calibri" w:cs="Times New Roman"/>
                <w:color w:val="000000"/>
                <w:lang w:eastAsia="es-MX"/>
              </w:rPr>
            </w:pPr>
          </w:p>
        </w:tc>
      </w:tr>
    </w:tbl>
    <w:p w:rsidR="00F261B4" w:rsidRPr="005B3632" w:rsidRDefault="00F261B4">
      <w:pPr>
        <w:rPr>
          <w:rFonts w:ascii="Arial" w:hAnsi="Arial" w:cs="Arial"/>
          <w:sz w:val="20"/>
          <w:szCs w:val="20"/>
        </w:rPr>
      </w:pPr>
    </w:p>
    <w:p w:rsidR="00F261B4" w:rsidRPr="005B3632" w:rsidRDefault="005B3632">
      <w:pPr>
        <w:rPr>
          <w:rFonts w:ascii="Arial" w:hAnsi="Arial" w:cs="Arial"/>
          <w:sz w:val="20"/>
          <w:szCs w:val="20"/>
        </w:rPr>
      </w:pPr>
      <w:r w:rsidRPr="005B3632">
        <w:rPr>
          <w:rFonts w:ascii="Arial" w:hAnsi="Arial" w:cs="Arial"/>
          <w:sz w:val="20"/>
          <w:szCs w:val="20"/>
        </w:rPr>
        <w:t xml:space="preserve">3.- ¿Qué papel tiene el gobierno central en relación a la vivienda y otros programas relacionados? ¿De qué manera se estructura el cumplimiento del derecho a la vivienda entre el nivel nacional y los niveles </w:t>
      </w:r>
      <w:proofErr w:type="spellStart"/>
      <w:r w:rsidRPr="005B3632">
        <w:rPr>
          <w:rFonts w:ascii="Arial" w:hAnsi="Arial" w:cs="Arial"/>
          <w:sz w:val="20"/>
          <w:szCs w:val="20"/>
        </w:rPr>
        <w:t>subnacionales</w:t>
      </w:r>
      <w:proofErr w:type="spellEnd"/>
      <w:r w:rsidRPr="005B3632">
        <w:rPr>
          <w:rFonts w:ascii="Arial" w:hAnsi="Arial" w:cs="Arial"/>
          <w:sz w:val="20"/>
          <w:szCs w:val="20"/>
        </w:rPr>
        <w:t xml:space="preserve"> de gobierno? Enviar ejemplos concretos sobre la manera en que operan y los mecanismos de cumplimiento existentes.</w:t>
      </w:r>
    </w:p>
    <w:p w:rsidR="00F261B4" w:rsidRDefault="005B3632" w:rsidP="005B3632">
      <w:pPr>
        <w:jc w:val="both"/>
        <w:rPr>
          <w:rFonts w:ascii="Arial" w:hAnsi="Arial" w:cs="Arial"/>
          <w:sz w:val="20"/>
          <w:szCs w:val="20"/>
        </w:rPr>
      </w:pPr>
      <w:r>
        <w:rPr>
          <w:rFonts w:ascii="Arial" w:hAnsi="Arial" w:cs="Arial"/>
          <w:sz w:val="20"/>
          <w:szCs w:val="20"/>
        </w:rPr>
        <w:t>Es</w:t>
      </w:r>
      <w:r w:rsidRPr="005B3632">
        <w:rPr>
          <w:rFonts w:ascii="Arial" w:hAnsi="Arial" w:cs="Arial"/>
          <w:sz w:val="20"/>
          <w:szCs w:val="20"/>
        </w:rPr>
        <w:t xml:space="preserve"> la S</w:t>
      </w:r>
      <w:r>
        <w:rPr>
          <w:rFonts w:ascii="Arial" w:hAnsi="Arial" w:cs="Arial"/>
          <w:sz w:val="20"/>
          <w:szCs w:val="20"/>
        </w:rPr>
        <w:t xml:space="preserve">ecretaría de </w:t>
      </w:r>
      <w:r w:rsidRPr="005B3632">
        <w:rPr>
          <w:rFonts w:ascii="Arial" w:hAnsi="Arial" w:cs="Arial"/>
          <w:sz w:val="20"/>
          <w:szCs w:val="20"/>
        </w:rPr>
        <w:t>D</w:t>
      </w:r>
      <w:r>
        <w:rPr>
          <w:rFonts w:ascii="Arial" w:hAnsi="Arial" w:cs="Arial"/>
          <w:sz w:val="20"/>
          <w:szCs w:val="20"/>
        </w:rPr>
        <w:t xml:space="preserve">esarrollo </w:t>
      </w:r>
      <w:r w:rsidRPr="005B3632">
        <w:rPr>
          <w:rFonts w:ascii="Arial" w:hAnsi="Arial" w:cs="Arial"/>
          <w:sz w:val="20"/>
          <w:szCs w:val="20"/>
        </w:rPr>
        <w:t>A</w:t>
      </w:r>
      <w:r>
        <w:rPr>
          <w:rFonts w:ascii="Arial" w:hAnsi="Arial" w:cs="Arial"/>
          <w:sz w:val="20"/>
          <w:szCs w:val="20"/>
        </w:rPr>
        <w:t xml:space="preserve">grario, </w:t>
      </w:r>
      <w:r w:rsidRPr="005B3632">
        <w:rPr>
          <w:rFonts w:ascii="Arial" w:hAnsi="Arial" w:cs="Arial"/>
          <w:sz w:val="20"/>
          <w:szCs w:val="20"/>
        </w:rPr>
        <w:t>T</w:t>
      </w:r>
      <w:r>
        <w:rPr>
          <w:rFonts w:ascii="Arial" w:hAnsi="Arial" w:cs="Arial"/>
          <w:sz w:val="20"/>
          <w:szCs w:val="20"/>
        </w:rPr>
        <w:t xml:space="preserve">erritorial y </w:t>
      </w:r>
      <w:r w:rsidRPr="005B3632">
        <w:rPr>
          <w:rFonts w:ascii="Arial" w:hAnsi="Arial" w:cs="Arial"/>
          <w:sz w:val="20"/>
          <w:szCs w:val="20"/>
        </w:rPr>
        <w:t>U</w:t>
      </w:r>
      <w:r>
        <w:rPr>
          <w:rFonts w:ascii="Arial" w:hAnsi="Arial" w:cs="Arial"/>
          <w:sz w:val="20"/>
          <w:szCs w:val="20"/>
        </w:rPr>
        <w:t xml:space="preserve">rbano (SEDATU), </w:t>
      </w:r>
      <w:r w:rsidRPr="005B3632">
        <w:rPr>
          <w:rFonts w:ascii="Arial" w:hAnsi="Arial" w:cs="Arial"/>
          <w:sz w:val="20"/>
          <w:szCs w:val="20"/>
        </w:rPr>
        <w:t>la responsable de elaborar los Programas Nacionales de Desarrollo</w:t>
      </w:r>
      <w:r>
        <w:rPr>
          <w:rFonts w:ascii="Arial" w:hAnsi="Arial" w:cs="Arial"/>
          <w:sz w:val="20"/>
          <w:szCs w:val="20"/>
        </w:rPr>
        <w:t xml:space="preserve"> </w:t>
      </w:r>
      <w:r w:rsidRPr="005B3632">
        <w:rPr>
          <w:rFonts w:ascii="Arial" w:hAnsi="Arial" w:cs="Arial"/>
          <w:sz w:val="20"/>
          <w:szCs w:val="20"/>
        </w:rPr>
        <w:t>Urbano y Vivienda 201</w:t>
      </w:r>
      <w:r w:rsidR="00D60A14">
        <w:rPr>
          <w:rFonts w:ascii="Arial" w:hAnsi="Arial" w:cs="Arial"/>
          <w:sz w:val="20"/>
          <w:szCs w:val="20"/>
        </w:rPr>
        <w:t>4</w:t>
      </w:r>
      <w:r w:rsidRPr="005B3632">
        <w:rPr>
          <w:rFonts w:ascii="Arial" w:hAnsi="Arial" w:cs="Arial"/>
          <w:sz w:val="20"/>
          <w:szCs w:val="20"/>
        </w:rPr>
        <w:t>–2018 para lo cual ha realizado 32 foros de consulta en los</w:t>
      </w:r>
      <w:r>
        <w:rPr>
          <w:rFonts w:ascii="Arial" w:hAnsi="Arial" w:cs="Arial"/>
          <w:sz w:val="20"/>
          <w:szCs w:val="20"/>
        </w:rPr>
        <w:t xml:space="preserve"> </w:t>
      </w:r>
      <w:r w:rsidRPr="005B3632">
        <w:rPr>
          <w:rFonts w:ascii="Arial" w:hAnsi="Arial" w:cs="Arial"/>
          <w:sz w:val="20"/>
          <w:szCs w:val="20"/>
        </w:rPr>
        <w:t>estados y el Distrito Federal, así como foros temáticos con la participación de</w:t>
      </w:r>
      <w:r>
        <w:rPr>
          <w:rFonts w:ascii="Arial" w:hAnsi="Arial" w:cs="Arial"/>
          <w:sz w:val="20"/>
          <w:szCs w:val="20"/>
        </w:rPr>
        <w:t xml:space="preserve"> </w:t>
      </w:r>
      <w:r w:rsidRPr="005B3632">
        <w:rPr>
          <w:rFonts w:ascii="Arial" w:hAnsi="Arial" w:cs="Arial"/>
          <w:sz w:val="20"/>
          <w:szCs w:val="20"/>
        </w:rPr>
        <w:t>especialistas, investigadores, académicos y funcionarios</w:t>
      </w:r>
      <w:r>
        <w:rPr>
          <w:rFonts w:ascii="Arial" w:hAnsi="Arial" w:cs="Arial"/>
          <w:sz w:val="20"/>
          <w:szCs w:val="20"/>
        </w:rPr>
        <w:t>.</w:t>
      </w:r>
    </w:p>
    <w:p w:rsidR="003862D5" w:rsidRDefault="003862D5" w:rsidP="003862D5">
      <w:pPr>
        <w:jc w:val="both"/>
        <w:rPr>
          <w:rFonts w:ascii="Arial" w:hAnsi="Arial" w:cs="Arial"/>
          <w:sz w:val="20"/>
          <w:szCs w:val="20"/>
        </w:rPr>
      </w:pPr>
      <w:r w:rsidRPr="003862D5">
        <w:rPr>
          <w:rFonts w:ascii="Arial" w:hAnsi="Arial" w:cs="Arial"/>
          <w:sz w:val="20"/>
          <w:szCs w:val="20"/>
        </w:rPr>
        <w:t xml:space="preserve">Se ha determinado que la SEDATU, sea la instancia coordinadora de la política de vivienda en </w:t>
      </w:r>
      <w:r>
        <w:rPr>
          <w:rFonts w:ascii="Arial" w:hAnsi="Arial" w:cs="Arial"/>
          <w:sz w:val="20"/>
          <w:szCs w:val="20"/>
        </w:rPr>
        <w:t>México</w:t>
      </w:r>
      <w:r w:rsidRPr="003862D5">
        <w:rPr>
          <w:rFonts w:ascii="Arial" w:hAnsi="Arial" w:cs="Arial"/>
          <w:sz w:val="20"/>
          <w:szCs w:val="20"/>
        </w:rPr>
        <w:t xml:space="preserve"> y presida, además, la Comisión Intersecretarial </w:t>
      </w:r>
      <w:r>
        <w:rPr>
          <w:rFonts w:ascii="Arial" w:hAnsi="Arial" w:cs="Arial"/>
          <w:sz w:val="20"/>
          <w:szCs w:val="20"/>
        </w:rPr>
        <w:t>de Vivienda</w:t>
      </w:r>
      <w:r w:rsidRPr="003862D5">
        <w:rPr>
          <w:rFonts w:ascii="Arial" w:hAnsi="Arial" w:cs="Arial"/>
          <w:sz w:val="20"/>
          <w:szCs w:val="20"/>
        </w:rPr>
        <w:t>.</w:t>
      </w:r>
    </w:p>
    <w:p w:rsidR="003862D5" w:rsidRDefault="003862D5" w:rsidP="003862D5">
      <w:pPr>
        <w:jc w:val="both"/>
        <w:rPr>
          <w:rFonts w:ascii="Arial" w:hAnsi="Arial" w:cs="Arial"/>
          <w:sz w:val="20"/>
          <w:szCs w:val="20"/>
        </w:rPr>
      </w:pPr>
      <w:r w:rsidRPr="003862D5">
        <w:rPr>
          <w:rFonts w:ascii="Arial" w:hAnsi="Arial" w:cs="Arial"/>
          <w:sz w:val="20"/>
          <w:szCs w:val="20"/>
        </w:rPr>
        <w:t>Igualmente, la Comisión Nacional de Vivienda, CONAVI; la Comisión para la Regularización de la Tenencia de la Tierra, CORETT, y el Fideicomiso Fondo Nacional de Habitaciones Populares, FONHAPO, serán sectorizados y coordinados por la SEDATU.</w:t>
      </w:r>
      <w:r>
        <w:rPr>
          <w:rFonts w:ascii="Arial" w:hAnsi="Arial" w:cs="Arial"/>
          <w:sz w:val="20"/>
          <w:szCs w:val="20"/>
        </w:rPr>
        <w:t xml:space="preserve"> </w:t>
      </w:r>
      <w:r w:rsidRPr="003862D5">
        <w:rPr>
          <w:rFonts w:ascii="Arial" w:hAnsi="Arial" w:cs="Arial"/>
          <w:sz w:val="20"/>
          <w:szCs w:val="20"/>
        </w:rPr>
        <w:t>El propósito es contar con estrategias, mecanismos de gestión y criterios unificados en materia de vivienda.</w:t>
      </w:r>
    </w:p>
    <w:p w:rsidR="003862D5" w:rsidRPr="003862D5" w:rsidRDefault="003862D5" w:rsidP="003862D5">
      <w:pPr>
        <w:jc w:val="both"/>
        <w:rPr>
          <w:rFonts w:ascii="Arial" w:hAnsi="Arial" w:cs="Arial"/>
          <w:sz w:val="20"/>
          <w:szCs w:val="20"/>
        </w:rPr>
      </w:pPr>
      <w:r w:rsidRPr="003862D5">
        <w:rPr>
          <w:rFonts w:ascii="Arial" w:hAnsi="Arial" w:cs="Arial"/>
          <w:sz w:val="20"/>
          <w:szCs w:val="20"/>
        </w:rPr>
        <w:t>El Gobierno de la República hará uso del financiamiento de vivienda para orientar el desarrollo territorial y urbano del país.</w:t>
      </w:r>
    </w:p>
    <w:p w:rsidR="003862D5" w:rsidRDefault="003862D5" w:rsidP="003862D5">
      <w:pPr>
        <w:jc w:val="both"/>
        <w:rPr>
          <w:rFonts w:ascii="Arial" w:hAnsi="Arial" w:cs="Arial"/>
          <w:sz w:val="20"/>
          <w:szCs w:val="20"/>
        </w:rPr>
      </w:pPr>
      <w:r w:rsidRPr="00521C86">
        <w:rPr>
          <w:rFonts w:ascii="Arial" w:hAnsi="Arial" w:cs="Arial"/>
          <w:sz w:val="20"/>
          <w:szCs w:val="20"/>
        </w:rPr>
        <w:t xml:space="preserve">El gobierno federal </w:t>
      </w:r>
      <w:r w:rsidR="00A054E9">
        <w:rPr>
          <w:rFonts w:ascii="Arial" w:hAnsi="Arial" w:cs="Arial"/>
          <w:sz w:val="20"/>
          <w:szCs w:val="20"/>
        </w:rPr>
        <w:t xml:space="preserve">a través de la CONAVI, </w:t>
      </w:r>
      <w:r>
        <w:rPr>
          <w:rFonts w:ascii="Arial" w:hAnsi="Arial" w:cs="Arial"/>
          <w:sz w:val="20"/>
          <w:szCs w:val="20"/>
        </w:rPr>
        <w:t>establece</w:t>
      </w:r>
      <w:r w:rsidRPr="00521C86">
        <w:rPr>
          <w:rFonts w:ascii="Arial" w:hAnsi="Arial" w:cs="Arial"/>
          <w:sz w:val="20"/>
          <w:szCs w:val="20"/>
        </w:rPr>
        <w:t xml:space="preserve"> las Reglas de Operación del Programa de Esquemas de Financiamiento y Subsidio Federal para Vivienda</w:t>
      </w:r>
      <w:r>
        <w:rPr>
          <w:rFonts w:ascii="Arial" w:hAnsi="Arial" w:cs="Arial"/>
          <w:sz w:val="20"/>
          <w:szCs w:val="20"/>
        </w:rPr>
        <w:t xml:space="preserve">, con los </w:t>
      </w:r>
      <w:r w:rsidRPr="00521C86">
        <w:rPr>
          <w:rFonts w:ascii="Arial" w:hAnsi="Arial" w:cs="Arial"/>
          <w:sz w:val="20"/>
          <w:szCs w:val="20"/>
        </w:rPr>
        <w:t xml:space="preserve">criterios </w:t>
      </w:r>
      <w:r>
        <w:rPr>
          <w:rFonts w:ascii="Arial" w:hAnsi="Arial" w:cs="Arial"/>
          <w:sz w:val="20"/>
          <w:szCs w:val="20"/>
        </w:rPr>
        <w:t xml:space="preserve">anuales, </w:t>
      </w:r>
      <w:r w:rsidRPr="00521C86">
        <w:rPr>
          <w:rFonts w:ascii="Arial" w:hAnsi="Arial" w:cs="Arial"/>
          <w:sz w:val="20"/>
          <w:szCs w:val="20"/>
        </w:rPr>
        <w:t>para el</w:t>
      </w:r>
      <w:r>
        <w:rPr>
          <w:rFonts w:ascii="Arial" w:hAnsi="Arial" w:cs="Arial"/>
          <w:sz w:val="20"/>
          <w:szCs w:val="20"/>
        </w:rPr>
        <w:t xml:space="preserve"> </w:t>
      </w:r>
      <w:r w:rsidRPr="00521C86">
        <w:rPr>
          <w:rFonts w:ascii="Arial" w:hAnsi="Arial" w:cs="Arial"/>
          <w:sz w:val="20"/>
          <w:szCs w:val="20"/>
        </w:rPr>
        <w:t xml:space="preserve">otorgamiento de subsidios </w:t>
      </w:r>
      <w:r>
        <w:rPr>
          <w:rFonts w:ascii="Arial" w:hAnsi="Arial" w:cs="Arial"/>
          <w:sz w:val="20"/>
          <w:szCs w:val="20"/>
        </w:rPr>
        <w:t xml:space="preserve">que operarán en </w:t>
      </w:r>
      <w:r w:rsidRPr="00521C86">
        <w:rPr>
          <w:rFonts w:ascii="Arial" w:hAnsi="Arial" w:cs="Arial"/>
          <w:sz w:val="20"/>
          <w:szCs w:val="20"/>
        </w:rPr>
        <w:t>201</w:t>
      </w:r>
      <w:r>
        <w:rPr>
          <w:rFonts w:ascii="Arial" w:hAnsi="Arial" w:cs="Arial"/>
          <w:sz w:val="20"/>
          <w:szCs w:val="20"/>
        </w:rPr>
        <w:t>4.</w:t>
      </w:r>
    </w:p>
    <w:p w:rsidR="00A054E9" w:rsidRDefault="00A054E9" w:rsidP="00A054E9">
      <w:pPr>
        <w:jc w:val="both"/>
        <w:rPr>
          <w:rFonts w:ascii="Arial" w:hAnsi="Arial" w:cs="Arial"/>
          <w:sz w:val="20"/>
          <w:szCs w:val="20"/>
        </w:rPr>
      </w:pPr>
      <w:r w:rsidRPr="00A054E9">
        <w:rPr>
          <w:rFonts w:ascii="Arial" w:hAnsi="Arial" w:cs="Arial"/>
          <w:sz w:val="20"/>
          <w:szCs w:val="20"/>
        </w:rPr>
        <w:t xml:space="preserve">La SEDATU, en coordinación con la Secretaría de Hacienda y Crédito Público </w:t>
      </w:r>
      <w:r>
        <w:rPr>
          <w:rFonts w:ascii="Arial" w:hAnsi="Arial" w:cs="Arial"/>
          <w:sz w:val="20"/>
          <w:szCs w:val="20"/>
        </w:rPr>
        <w:t>ha</w:t>
      </w:r>
      <w:r w:rsidRPr="00A054E9">
        <w:rPr>
          <w:rFonts w:ascii="Arial" w:hAnsi="Arial" w:cs="Arial"/>
          <w:sz w:val="20"/>
          <w:szCs w:val="20"/>
        </w:rPr>
        <w:t xml:space="preserve"> instrumenta</w:t>
      </w:r>
      <w:r>
        <w:rPr>
          <w:rFonts w:ascii="Arial" w:hAnsi="Arial" w:cs="Arial"/>
          <w:sz w:val="20"/>
          <w:szCs w:val="20"/>
        </w:rPr>
        <w:t>do</w:t>
      </w:r>
      <w:r w:rsidRPr="00A054E9">
        <w:rPr>
          <w:rFonts w:ascii="Arial" w:hAnsi="Arial" w:cs="Arial"/>
          <w:sz w:val="20"/>
          <w:szCs w:val="20"/>
        </w:rPr>
        <w:t xml:space="preserve"> un nuevo mecanismo de seguridad social y, de manera particular, enfocado a la adquisición de nueva vivienda, para que policías, tanto Federales, estatales y municipales</w:t>
      </w:r>
      <w:r>
        <w:rPr>
          <w:rFonts w:ascii="Arial" w:hAnsi="Arial" w:cs="Arial"/>
          <w:sz w:val="20"/>
          <w:szCs w:val="20"/>
        </w:rPr>
        <w:t>.</w:t>
      </w:r>
    </w:p>
    <w:p w:rsidR="00707E07" w:rsidRDefault="00857BFC" w:rsidP="00707E07">
      <w:pPr>
        <w:jc w:val="both"/>
        <w:rPr>
          <w:rFonts w:ascii="Arial" w:hAnsi="Arial" w:cs="Arial"/>
          <w:sz w:val="20"/>
          <w:szCs w:val="20"/>
        </w:rPr>
      </w:pPr>
      <w:r w:rsidRPr="00857BFC">
        <w:rPr>
          <w:rFonts w:ascii="Arial" w:hAnsi="Arial" w:cs="Arial"/>
          <w:sz w:val="20"/>
          <w:szCs w:val="20"/>
        </w:rPr>
        <w:t>La SEDATU</w:t>
      </w:r>
      <w:r>
        <w:rPr>
          <w:rFonts w:ascii="Arial" w:hAnsi="Arial" w:cs="Arial"/>
          <w:sz w:val="20"/>
          <w:szCs w:val="20"/>
        </w:rPr>
        <w:t xml:space="preserve"> c</w:t>
      </w:r>
      <w:r w:rsidRPr="00857BFC">
        <w:rPr>
          <w:rFonts w:ascii="Arial" w:hAnsi="Arial" w:cs="Arial"/>
          <w:sz w:val="20"/>
          <w:szCs w:val="20"/>
        </w:rPr>
        <w:t>oordina con los Organismos Nacionales de Vivienda una estrategia que permita alcanzar la meta de que toda la vivienda popular financiada o subsidiada por el Estado cuente, con al menos, dos espacios, dos recámaras, y se evite tener espacios muy reducidos para las familias mexicanas</w:t>
      </w:r>
      <w:r>
        <w:rPr>
          <w:rFonts w:ascii="Arial" w:hAnsi="Arial" w:cs="Arial"/>
          <w:sz w:val="20"/>
          <w:szCs w:val="20"/>
        </w:rPr>
        <w:t>, así como a</w:t>
      </w:r>
      <w:r w:rsidRPr="00857BFC">
        <w:rPr>
          <w:rFonts w:ascii="Arial" w:hAnsi="Arial" w:cs="Arial"/>
          <w:sz w:val="20"/>
          <w:szCs w:val="20"/>
        </w:rPr>
        <w:t>segurar que el desarrollo urbano se dé en condiciones de equilibrio con el sector rural y con respeto al medio ambiente, y a nuestros recursos naturales.</w:t>
      </w:r>
    </w:p>
    <w:p w:rsidR="00707E07" w:rsidRPr="0032160C" w:rsidRDefault="00707E07" w:rsidP="0032160C">
      <w:pPr>
        <w:jc w:val="both"/>
        <w:rPr>
          <w:rFonts w:ascii="Arial" w:hAnsi="Arial" w:cs="Arial"/>
          <w:sz w:val="20"/>
          <w:szCs w:val="20"/>
        </w:rPr>
      </w:pPr>
    </w:p>
    <w:p w:rsidR="00331A0A" w:rsidRDefault="00331A0A" w:rsidP="00521C86">
      <w:pPr>
        <w:jc w:val="both"/>
        <w:rPr>
          <w:rFonts w:ascii="Arial" w:hAnsi="Arial" w:cs="Arial"/>
          <w:sz w:val="20"/>
          <w:szCs w:val="20"/>
        </w:rPr>
      </w:pPr>
      <w:r>
        <w:rPr>
          <w:rFonts w:ascii="Arial" w:hAnsi="Arial" w:cs="Arial"/>
          <w:sz w:val="20"/>
          <w:szCs w:val="20"/>
        </w:rPr>
        <w:t xml:space="preserve">4.- Cuándo los gobiernos </w:t>
      </w:r>
      <w:proofErr w:type="spellStart"/>
      <w:r>
        <w:rPr>
          <w:rFonts w:ascii="Arial" w:hAnsi="Arial" w:cs="Arial"/>
          <w:sz w:val="20"/>
          <w:szCs w:val="20"/>
        </w:rPr>
        <w:t>subnacionales</w:t>
      </w:r>
      <w:proofErr w:type="spellEnd"/>
      <w:r>
        <w:rPr>
          <w:rFonts w:ascii="Arial" w:hAnsi="Arial" w:cs="Arial"/>
          <w:sz w:val="20"/>
          <w:szCs w:val="20"/>
        </w:rPr>
        <w:t xml:space="preserve"> mantienen responsabilidades cruciales en relación al derecho a una vivienda adecuada, sírvase describir </w:t>
      </w:r>
      <w:r w:rsidR="00707E07">
        <w:rPr>
          <w:rFonts w:ascii="Arial" w:hAnsi="Arial" w:cs="Arial"/>
          <w:sz w:val="20"/>
          <w:szCs w:val="20"/>
        </w:rPr>
        <w:t>cómo</w:t>
      </w:r>
      <w:r>
        <w:rPr>
          <w:rFonts w:ascii="Arial" w:hAnsi="Arial" w:cs="Arial"/>
          <w:sz w:val="20"/>
          <w:szCs w:val="20"/>
        </w:rPr>
        <w:t xml:space="preserve"> se lleva a cabo la coordinación de programas y políticas a nivel nacional y que responsabilidades se mantienen en las instituciones nacionales.</w:t>
      </w:r>
    </w:p>
    <w:p w:rsidR="00707E07" w:rsidRPr="0032160C" w:rsidRDefault="00707E07" w:rsidP="00707E07">
      <w:pPr>
        <w:jc w:val="both"/>
        <w:rPr>
          <w:rFonts w:ascii="Arial" w:hAnsi="Arial" w:cs="Arial"/>
          <w:sz w:val="20"/>
          <w:szCs w:val="20"/>
        </w:rPr>
      </w:pPr>
      <w:r w:rsidRPr="0032160C">
        <w:rPr>
          <w:rFonts w:ascii="Arial" w:hAnsi="Arial" w:cs="Arial"/>
          <w:sz w:val="20"/>
          <w:szCs w:val="20"/>
        </w:rPr>
        <w:t>El Consejo Nacional de Vivienda aprobó la creación de seis comités operativos para agilizar la aplicación de la Política Nacional de Vivienda.</w:t>
      </w:r>
    </w:p>
    <w:p w:rsidR="00707E07" w:rsidRPr="0032160C" w:rsidRDefault="00707E07" w:rsidP="00707E07">
      <w:pPr>
        <w:jc w:val="both"/>
        <w:rPr>
          <w:rFonts w:ascii="Arial" w:hAnsi="Arial" w:cs="Arial"/>
          <w:sz w:val="20"/>
          <w:szCs w:val="20"/>
        </w:rPr>
      </w:pPr>
      <w:r w:rsidRPr="0032160C">
        <w:rPr>
          <w:rFonts w:ascii="Arial" w:hAnsi="Arial" w:cs="Arial"/>
          <w:sz w:val="20"/>
          <w:szCs w:val="20"/>
        </w:rPr>
        <w:t>El primer comité va a medir el avance de la política urbana, verificará que exista un control real y efectivo en el crecimiento de las manchas urbanas, y su instrumento serán los polígonos de contención.</w:t>
      </w:r>
    </w:p>
    <w:p w:rsidR="00707E07" w:rsidRPr="0032160C" w:rsidRDefault="00707E07" w:rsidP="00707E07">
      <w:pPr>
        <w:jc w:val="both"/>
        <w:rPr>
          <w:rFonts w:ascii="Arial" w:hAnsi="Arial" w:cs="Arial"/>
          <w:sz w:val="20"/>
          <w:szCs w:val="20"/>
        </w:rPr>
      </w:pPr>
      <w:r w:rsidRPr="0032160C">
        <w:rPr>
          <w:rFonts w:ascii="Arial" w:hAnsi="Arial" w:cs="Arial"/>
          <w:sz w:val="20"/>
          <w:szCs w:val="20"/>
        </w:rPr>
        <w:lastRenderedPageBreak/>
        <w:t>El segundo se enfocará a los nuevos esquemas de financiamiento para la vivienda, y su tarea es promover la vivienda social, la vivienda en renta, el rescate casas deshabitadas y dar acceso a los servidores públicos a un crédito hipotecario.</w:t>
      </w:r>
    </w:p>
    <w:p w:rsidR="00707E07" w:rsidRPr="0032160C" w:rsidRDefault="00707E07" w:rsidP="00707E07">
      <w:pPr>
        <w:jc w:val="both"/>
        <w:rPr>
          <w:rFonts w:ascii="Arial" w:hAnsi="Arial" w:cs="Arial"/>
          <w:sz w:val="20"/>
          <w:szCs w:val="20"/>
        </w:rPr>
      </w:pPr>
      <w:r w:rsidRPr="0032160C">
        <w:rPr>
          <w:rFonts w:ascii="Arial" w:hAnsi="Arial" w:cs="Arial"/>
          <w:sz w:val="20"/>
          <w:szCs w:val="20"/>
        </w:rPr>
        <w:t>En tanto, el tercero trabajará en la desregulación, modernización y normatividad urbana, el cual busca dar eficiencia a los subsidios y evitar que la transferencia de recursos tenga un costo administrativo tan alto. Esto implica homologar trámites, capacitar y profesionalizar a los servidores públicos y crear una plataforma tecnológica que agilice los trámites al ciudadano.</w:t>
      </w:r>
    </w:p>
    <w:p w:rsidR="00707E07" w:rsidRDefault="00707E07" w:rsidP="00707E07">
      <w:pPr>
        <w:jc w:val="both"/>
        <w:rPr>
          <w:rFonts w:ascii="Arial" w:hAnsi="Arial" w:cs="Arial"/>
          <w:sz w:val="20"/>
          <w:szCs w:val="20"/>
        </w:rPr>
      </w:pPr>
      <w:r w:rsidRPr="0032160C">
        <w:rPr>
          <w:rFonts w:ascii="Arial" w:hAnsi="Arial" w:cs="Arial"/>
          <w:sz w:val="20"/>
          <w:szCs w:val="20"/>
        </w:rPr>
        <w:t>Los otros tres comités de trabajo restantes se encargarán de dar seguimiento al convenio marco de coordinación de acciones entre el Gobierno de la República y los estados; el desarrollo de instrumentos para la planeación del territorio, y para la comunicación y difusión de las acciones que se ejecuten en el sector.</w:t>
      </w:r>
    </w:p>
    <w:p w:rsidR="00331A0A" w:rsidRDefault="00331A0A" w:rsidP="00521C86">
      <w:pPr>
        <w:jc w:val="both"/>
        <w:rPr>
          <w:rFonts w:ascii="Arial" w:hAnsi="Arial" w:cs="Arial"/>
          <w:sz w:val="20"/>
          <w:szCs w:val="20"/>
        </w:rPr>
      </w:pPr>
    </w:p>
    <w:p w:rsidR="00707E07" w:rsidRDefault="00331A0A" w:rsidP="00521C86">
      <w:pPr>
        <w:jc w:val="both"/>
        <w:rPr>
          <w:rFonts w:ascii="Arial" w:hAnsi="Arial" w:cs="Arial"/>
          <w:sz w:val="20"/>
          <w:szCs w:val="20"/>
        </w:rPr>
      </w:pPr>
      <w:r>
        <w:rPr>
          <w:rFonts w:ascii="Arial" w:hAnsi="Arial" w:cs="Arial"/>
          <w:sz w:val="20"/>
          <w:szCs w:val="20"/>
        </w:rPr>
        <w:t xml:space="preserve">5.- Cuando los programas de vivienda y otros relacionados se administran al nivel </w:t>
      </w:r>
      <w:proofErr w:type="spellStart"/>
      <w:r>
        <w:rPr>
          <w:rFonts w:ascii="Arial" w:hAnsi="Arial" w:cs="Arial"/>
          <w:sz w:val="20"/>
          <w:szCs w:val="20"/>
        </w:rPr>
        <w:t>subnacional</w:t>
      </w:r>
      <w:proofErr w:type="spellEnd"/>
      <w:r w:rsidR="00707E07">
        <w:rPr>
          <w:rFonts w:ascii="Arial" w:hAnsi="Arial" w:cs="Arial"/>
          <w:sz w:val="20"/>
          <w:szCs w:val="20"/>
        </w:rPr>
        <w:t>, favor indicar como se financian estos programas; ¿Se establecen condiciones para el financiamiento que busquen garantizar que los recursos sean ejecutados de tal manera que se proteja el derecho a una vivienda adecuada? ¿Cuáles son los mecanismos de monitoreo?</w:t>
      </w:r>
    </w:p>
    <w:p w:rsidR="003862D5" w:rsidRDefault="003A5452" w:rsidP="003A5452">
      <w:pPr>
        <w:jc w:val="both"/>
        <w:rPr>
          <w:rFonts w:ascii="Arial" w:hAnsi="Arial" w:cs="Arial"/>
          <w:sz w:val="20"/>
          <w:szCs w:val="20"/>
        </w:rPr>
      </w:pPr>
      <w:r w:rsidRPr="003A5452">
        <w:rPr>
          <w:rFonts w:ascii="Arial" w:hAnsi="Arial" w:cs="Arial"/>
          <w:sz w:val="20"/>
          <w:szCs w:val="20"/>
        </w:rPr>
        <w:t>Los programas de financiamiento</w:t>
      </w:r>
      <w:r>
        <w:rPr>
          <w:rFonts w:ascii="Arial" w:hAnsi="Arial" w:cs="Arial"/>
          <w:sz w:val="20"/>
          <w:szCs w:val="20"/>
        </w:rPr>
        <w:t xml:space="preserve"> son </w:t>
      </w:r>
      <w:r w:rsidRPr="003A5452">
        <w:rPr>
          <w:rFonts w:ascii="Arial" w:hAnsi="Arial" w:cs="Arial"/>
          <w:sz w:val="20"/>
          <w:szCs w:val="20"/>
        </w:rPr>
        <w:t xml:space="preserve">operados por el conjunto </w:t>
      </w:r>
      <w:r>
        <w:rPr>
          <w:rFonts w:ascii="Arial" w:hAnsi="Arial" w:cs="Arial"/>
          <w:sz w:val="20"/>
          <w:szCs w:val="20"/>
        </w:rPr>
        <w:t>de</w:t>
      </w:r>
      <w:r w:rsidRPr="003A5452">
        <w:rPr>
          <w:rFonts w:ascii="Arial" w:hAnsi="Arial" w:cs="Arial"/>
          <w:sz w:val="20"/>
          <w:szCs w:val="20"/>
        </w:rPr>
        <w:t xml:space="preserve"> organismos</w:t>
      </w:r>
      <w:r>
        <w:rPr>
          <w:rFonts w:ascii="Arial" w:hAnsi="Arial" w:cs="Arial"/>
          <w:sz w:val="20"/>
          <w:szCs w:val="20"/>
        </w:rPr>
        <w:t xml:space="preserve"> </w:t>
      </w:r>
      <w:r w:rsidRPr="003A5452">
        <w:rPr>
          <w:rFonts w:ascii="Arial" w:hAnsi="Arial" w:cs="Arial"/>
          <w:sz w:val="20"/>
          <w:szCs w:val="20"/>
        </w:rPr>
        <w:t>nacionales, estatales y municipales de</w:t>
      </w:r>
      <w:r>
        <w:rPr>
          <w:rFonts w:ascii="Arial" w:hAnsi="Arial" w:cs="Arial"/>
          <w:sz w:val="20"/>
          <w:szCs w:val="20"/>
        </w:rPr>
        <w:t xml:space="preserve"> </w:t>
      </w:r>
      <w:r w:rsidRPr="003A5452">
        <w:rPr>
          <w:rFonts w:ascii="Arial" w:hAnsi="Arial" w:cs="Arial"/>
          <w:sz w:val="20"/>
          <w:szCs w:val="20"/>
        </w:rPr>
        <w:t>vivienda, la banca comercial y de desarrollo,</w:t>
      </w:r>
      <w:r>
        <w:rPr>
          <w:rFonts w:ascii="Arial" w:hAnsi="Arial" w:cs="Arial"/>
          <w:sz w:val="20"/>
          <w:szCs w:val="20"/>
        </w:rPr>
        <w:t xml:space="preserve"> </w:t>
      </w:r>
      <w:r w:rsidRPr="003A5452">
        <w:rPr>
          <w:rFonts w:ascii="Arial" w:hAnsi="Arial" w:cs="Arial"/>
          <w:sz w:val="20"/>
          <w:szCs w:val="20"/>
        </w:rPr>
        <w:t>así como otras entidades que otorgan</w:t>
      </w:r>
      <w:r>
        <w:rPr>
          <w:rFonts w:ascii="Arial" w:hAnsi="Arial" w:cs="Arial"/>
          <w:sz w:val="20"/>
          <w:szCs w:val="20"/>
        </w:rPr>
        <w:t xml:space="preserve"> </w:t>
      </w:r>
      <w:r w:rsidRPr="003A5452">
        <w:rPr>
          <w:rFonts w:ascii="Arial" w:hAnsi="Arial" w:cs="Arial"/>
          <w:sz w:val="20"/>
          <w:szCs w:val="20"/>
        </w:rPr>
        <w:t>créditos hipotecarios como prestación a sus</w:t>
      </w:r>
      <w:r>
        <w:rPr>
          <w:rFonts w:ascii="Arial" w:hAnsi="Arial" w:cs="Arial"/>
          <w:sz w:val="20"/>
          <w:szCs w:val="20"/>
        </w:rPr>
        <w:t xml:space="preserve"> </w:t>
      </w:r>
      <w:r w:rsidRPr="003A5452">
        <w:rPr>
          <w:rFonts w:ascii="Arial" w:hAnsi="Arial" w:cs="Arial"/>
          <w:sz w:val="20"/>
          <w:szCs w:val="20"/>
        </w:rPr>
        <w:t>trabajadores</w:t>
      </w:r>
      <w:r>
        <w:rPr>
          <w:rFonts w:ascii="Arial" w:hAnsi="Arial" w:cs="Arial"/>
          <w:sz w:val="20"/>
          <w:szCs w:val="20"/>
        </w:rPr>
        <w:t>.</w:t>
      </w:r>
    </w:p>
    <w:p w:rsidR="003A5452" w:rsidRDefault="003A5452" w:rsidP="003A5452">
      <w:pPr>
        <w:jc w:val="both"/>
        <w:rPr>
          <w:rFonts w:ascii="Arial" w:hAnsi="Arial" w:cs="Arial"/>
          <w:sz w:val="20"/>
          <w:szCs w:val="20"/>
        </w:rPr>
      </w:pPr>
      <w:r>
        <w:rPr>
          <w:rFonts w:ascii="Arial" w:hAnsi="Arial" w:cs="Arial"/>
          <w:sz w:val="20"/>
          <w:szCs w:val="20"/>
        </w:rPr>
        <w:t xml:space="preserve">Las condiciones se establecen desde el orden federal, a partir de las </w:t>
      </w:r>
      <w:r w:rsidRPr="003A5452">
        <w:rPr>
          <w:rFonts w:ascii="Arial" w:hAnsi="Arial" w:cs="Arial"/>
          <w:sz w:val="20"/>
          <w:szCs w:val="20"/>
        </w:rPr>
        <w:t>Reglas de</w:t>
      </w:r>
      <w:r>
        <w:rPr>
          <w:rFonts w:ascii="Arial" w:hAnsi="Arial" w:cs="Arial"/>
          <w:sz w:val="20"/>
          <w:szCs w:val="20"/>
        </w:rPr>
        <w:t xml:space="preserve"> </w:t>
      </w:r>
      <w:r w:rsidRPr="003A5452">
        <w:rPr>
          <w:rFonts w:ascii="Arial" w:hAnsi="Arial" w:cs="Arial"/>
          <w:sz w:val="20"/>
          <w:szCs w:val="20"/>
        </w:rPr>
        <w:t>Operación del Programa de</w:t>
      </w:r>
      <w:r>
        <w:rPr>
          <w:rFonts w:ascii="Arial" w:hAnsi="Arial" w:cs="Arial"/>
          <w:sz w:val="20"/>
          <w:szCs w:val="20"/>
        </w:rPr>
        <w:t xml:space="preserve"> </w:t>
      </w:r>
      <w:r w:rsidRPr="003A5452">
        <w:rPr>
          <w:rFonts w:ascii="Arial" w:hAnsi="Arial" w:cs="Arial"/>
          <w:sz w:val="20"/>
          <w:szCs w:val="20"/>
        </w:rPr>
        <w:t>Esquemas Financieros y Subsidio Federal</w:t>
      </w:r>
      <w:r>
        <w:rPr>
          <w:rFonts w:ascii="Arial" w:hAnsi="Arial" w:cs="Arial"/>
          <w:sz w:val="20"/>
          <w:szCs w:val="20"/>
        </w:rPr>
        <w:t xml:space="preserve"> </w:t>
      </w:r>
      <w:r w:rsidRPr="003A5452">
        <w:rPr>
          <w:rFonts w:ascii="Arial" w:hAnsi="Arial" w:cs="Arial"/>
          <w:sz w:val="20"/>
          <w:szCs w:val="20"/>
        </w:rPr>
        <w:t>para Vivienda</w:t>
      </w:r>
      <w:r>
        <w:rPr>
          <w:rFonts w:ascii="Arial" w:hAnsi="Arial" w:cs="Arial"/>
          <w:sz w:val="20"/>
          <w:szCs w:val="20"/>
        </w:rPr>
        <w:t xml:space="preserve">, </w:t>
      </w:r>
    </w:p>
    <w:p w:rsidR="003A5452" w:rsidRDefault="00120488" w:rsidP="00120488">
      <w:pPr>
        <w:jc w:val="both"/>
        <w:rPr>
          <w:rFonts w:ascii="Arial" w:hAnsi="Arial" w:cs="Arial"/>
          <w:sz w:val="20"/>
          <w:szCs w:val="20"/>
        </w:rPr>
      </w:pPr>
      <w:r w:rsidRPr="00120488">
        <w:rPr>
          <w:rFonts w:ascii="Arial" w:hAnsi="Arial" w:cs="Arial"/>
          <w:sz w:val="20"/>
          <w:szCs w:val="20"/>
        </w:rPr>
        <w:t>Se busca incentivar la</w:t>
      </w:r>
      <w:r>
        <w:rPr>
          <w:rFonts w:ascii="Arial" w:hAnsi="Arial" w:cs="Arial"/>
          <w:sz w:val="20"/>
          <w:szCs w:val="20"/>
        </w:rPr>
        <w:t xml:space="preserve"> </w:t>
      </w:r>
      <w:r w:rsidRPr="00120488">
        <w:rPr>
          <w:rFonts w:ascii="Arial" w:hAnsi="Arial" w:cs="Arial"/>
          <w:sz w:val="20"/>
          <w:szCs w:val="20"/>
        </w:rPr>
        <w:t>adquisición de vivienda digna con mayores</w:t>
      </w:r>
      <w:r>
        <w:rPr>
          <w:rFonts w:ascii="Arial" w:hAnsi="Arial" w:cs="Arial"/>
          <w:sz w:val="20"/>
          <w:szCs w:val="20"/>
        </w:rPr>
        <w:t xml:space="preserve"> </w:t>
      </w:r>
      <w:r w:rsidRPr="00120488">
        <w:rPr>
          <w:rFonts w:ascii="Arial" w:hAnsi="Arial" w:cs="Arial"/>
          <w:sz w:val="20"/>
          <w:szCs w:val="20"/>
        </w:rPr>
        <w:t>estándares de calidad y diversificar las</w:t>
      </w:r>
      <w:r>
        <w:rPr>
          <w:rFonts w:ascii="Arial" w:hAnsi="Arial" w:cs="Arial"/>
          <w:sz w:val="20"/>
          <w:szCs w:val="20"/>
        </w:rPr>
        <w:t xml:space="preserve"> </w:t>
      </w:r>
      <w:r w:rsidRPr="00120488">
        <w:rPr>
          <w:rFonts w:ascii="Arial" w:hAnsi="Arial" w:cs="Arial"/>
          <w:sz w:val="20"/>
          <w:szCs w:val="20"/>
        </w:rPr>
        <w:t>soluciones habitacionales. Los instrumentos</w:t>
      </w:r>
      <w:r>
        <w:rPr>
          <w:rFonts w:ascii="Arial" w:hAnsi="Arial" w:cs="Arial"/>
          <w:sz w:val="20"/>
          <w:szCs w:val="20"/>
        </w:rPr>
        <w:t xml:space="preserve"> </w:t>
      </w:r>
      <w:r w:rsidRPr="00120488">
        <w:rPr>
          <w:rFonts w:ascii="Arial" w:hAnsi="Arial" w:cs="Arial"/>
          <w:sz w:val="20"/>
          <w:szCs w:val="20"/>
        </w:rPr>
        <w:t>financieros (créditos hipotecarios) y recursos</w:t>
      </w:r>
      <w:r>
        <w:rPr>
          <w:rFonts w:ascii="Arial" w:hAnsi="Arial" w:cs="Arial"/>
          <w:sz w:val="20"/>
          <w:szCs w:val="20"/>
        </w:rPr>
        <w:t xml:space="preserve"> </w:t>
      </w:r>
      <w:r w:rsidRPr="00120488">
        <w:rPr>
          <w:rFonts w:ascii="Arial" w:hAnsi="Arial" w:cs="Arial"/>
          <w:sz w:val="20"/>
          <w:szCs w:val="20"/>
        </w:rPr>
        <w:t>públicos (subsidios) de que dispone el</w:t>
      </w:r>
      <w:r>
        <w:rPr>
          <w:rFonts w:ascii="Arial" w:hAnsi="Arial" w:cs="Arial"/>
          <w:sz w:val="20"/>
          <w:szCs w:val="20"/>
        </w:rPr>
        <w:t xml:space="preserve"> </w:t>
      </w:r>
      <w:r w:rsidRPr="00120488">
        <w:rPr>
          <w:rFonts w:ascii="Arial" w:hAnsi="Arial" w:cs="Arial"/>
          <w:sz w:val="20"/>
          <w:szCs w:val="20"/>
        </w:rPr>
        <w:t>Gobierno de la República deben reforzar la</w:t>
      </w:r>
      <w:r>
        <w:rPr>
          <w:rFonts w:ascii="Arial" w:hAnsi="Arial" w:cs="Arial"/>
          <w:sz w:val="20"/>
          <w:szCs w:val="20"/>
        </w:rPr>
        <w:t xml:space="preserve"> </w:t>
      </w:r>
      <w:r w:rsidRPr="00120488">
        <w:rPr>
          <w:rFonts w:ascii="Arial" w:hAnsi="Arial" w:cs="Arial"/>
          <w:sz w:val="20"/>
          <w:szCs w:val="20"/>
        </w:rPr>
        <w:t>orientación territorial a través de estímulos al</w:t>
      </w:r>
      <w:r>
        <w:rPr>
          <w:rFonts w:ascii="Arial" w:hAnsi="Arial" w:cs="Arial"/>
          <w:sz w:val="20"/>
          <w:szCs w:val="20"/>
        </w:rPr>
        <w:t xml:space="preserve"> </w:t>
      </w:r>
      <w:r w:rsidRPr="00120488">
        <w:rPr>
          <w:rFonts w:ascii="Arial" w:hAnsi="Arial" w:cs="Arial"/>
          <w:sz w:val="20"/>
          <w:szCs w:val="20"/>
        </w:rPr>
        <w:t>desarrollo de áreas delimitadas aptas para el</w:t>
      </w:r>
      <w:r>
        <w:rPr>
          <w:rFonts w:ascii="Arial" w:hAnsi="Arial" w:cs="Arial"/>
          <w:sz w:val="20"/>
          <w:szCs w:val="20"/>
        </w:rPr>
        <w:t xml:space="preserve"> </w:t>
      </w:r>
      <w:r w:rsidRPr="00120488">
        <w:rPr>
          <w:rFonts w:ascii="Arial" w:hAnsi="Arial" w:cs="Arial"/>
          <w:sz w:val="20"/>
          <w:szCs w:val="20"/>
        </w:rPr>
        <w:t>desarrollo urbano y la vivienda, y que al</w:t>
      </w:r>
      <w:r>
        <w:rPr>
          <w:rFonts w:ascii="Arial" w:hAnsi="Arial" w:cs="Arial"/>
          <w:sz w:val="20"/>
          <w:szCs w:val="20"/>
        </w:rPr>
        <w:t xml:space="preserve"> </w:t>
      </w:r>
      <w:r w:rsidRPr="00120488">
        <w:rPr>
          <w:rFonts w:ascii="Arial" w:hAnsi="Arial" w:cs="Arial"/>
          <w:sz w:val="20"/>
          <w:szCs w:val="20"/>
        </w:rPr>
        <w:t>mismo tiempo inhiban el crecimiento de las</w:t>
      </w:r>
      <w:r>
        <w:rPr>
          <w:rFonts w:ascii="Arial" w:hAnsi="Arial" w:cs="Arial"/>
          <w:sz w:val="20"/>
          <w:szCs w:val="20"/>
        </w:rPr>
        <w:t xml:space="preserve"> </w:t>
      </w:r>
      <w:r w:rsidRPr="00120488">
        <w:rPr>
          <w:rFonts w:ascii="Arial" w:hAnsi="Arial" w:cs="Arial"/>
          <w:sz w:val="20"/>
          <w:szCs w:val="20"/>
        </w:rPr>
        <w:t>manchas urbanas hacia zonas inadecuadas.</w:t>
      </w:r>
    </w:p>
    <w:p w:rsidR="005B3632" w:rsidRPr="00134377" w:rsidRDefault="003B77FE" w:rsidP="00521C86">
      <w:pPr>
        <w:jc w:val="both"/>
        <w:rPr>
          <w:rFonts w:ascii="Arial" w:hAnsi="Arial" w:cs="Arial"/>
          <w:b/>
          <w:sz w:val="20"/>
          <w:szCs w:val="20"/>
        </w:rPr>
      </w:pPr>
      <w:r w:rsidRPr="00134377">
        <w:rPr>
          <w:rFonts w:ascii="Arial" w:hAnsi="Arial" w:cs="Arial"/>
          <w:b/>
          <w:sz w:val="20"/>
          <w:szCs w:val="20"/>
        </w:rPr>
        <w:t xml:space="preserve">B. Rendición de cuentas de los gobiernos </w:t>
      </w:r>
      <w:proofErr w:type="spellStart"/>
      <w:r w:rsidRPr="00134377">
        <w:rPr>
          <w:rFonts w:ascii="Arial" w:hAnsi="Arial" w:cs="Arial"/>
          <w:b/>
          <w:sz w:val="20"/>
          <w:szCs w:val="20"/>
        </w:rPr>
        <w:t>subnacionales</w:t>
      </w:r>
      <w:proofErr w:type="spellEnd"/>
      <w:r w:rsidRPr="00134377">
        <w:rPr>
          <w:rFonts w:ascii="Arial" w:hAnsi="Arial" w:cs="Arial"/>
          <w:b/>
          <w:sz w:val="20"/>
          <w:szCs w:val="20"/>
        </w:rPr>
        <w:t>.</w:t>
      </w:r>
    </w:p>
    <w:p w:rsidR="003B77FE" w:rsidRPr="003B77FE" w:rsidRDefault="003B77FE" w:rsidP="003B77FE">
      <w:pPr>
        <w:jc w:val="both"/>
        <w:rPr>
          <w:rFonts w:ascii="Arial" w:hAnsi="Arial" w:cs="Arial"/>
          <w:sz w:val="20"/>
          <w:szCs w:val="20"/>
        </w:rPr>
      </w:pPr>
      <w:r w:rsidRPr="003B77FE">
        <w:rPr>
          <w:rFonts w:ascii="Arial" w:hAnsi="Arial" w:cs="Arial"/>
          <w:sz w:val="20"/>
          <w:szCs w:val="20"/>
        </w:rPr>
        <w:t>Existe</w:t>
      </w:r>
      <w:r>
        <w:rPr>
          <w:rFonts w:ascii="Arial" w:hAnsi="Arial" w:cs="Arial"/>
          <w:sz w:val="20"/>
          <w:szCs w:val="20"/>
        </w:rPr>
        <w:t xml:space="preserve"> </w:t>
      </w:r>
      <w:r w:rsidRPr="003B77FE">
        <w:rPr>
          <w:rFonts w:ascii="Arial" w:hAnsi="Arial" w:cs="Arial"/>
          <w:sz w:val="20"/>
          <w:szCs w:val="20"/>
        </w:rPr>
        <w:t>una</w:t>
      </w:r>
      <w:r>
        <w:rPr>
          <w:rFonts w:ascii="Arial" w:hAnsi="Arial" w:cs="Arial"/>
          <w:sz w:val="20"/>
          <w:szCs w:val="20"/>
        </w:rPr>
        <w:t xml:space="preserve"> </w:t>
      </w:r>
      <w:r w:rsidRPr="003B77FE">
        <w:rPr>
          <w:rFonts w:ascii="Arial" w:hAnsi="Arial" w:cs="Arial"/>
          <w:sz w:val="20"/>
          <w:szCs w:val="20"/>
        </w:rPr>
        <w:t>amplia</w:t>
      </w:r>
      <w:r>
        <w:rPr>
          <w:rFonts w:ascii="Arial" w:hAnsi="Arial" w:cs="Arial"/>
          <w:sz w:val="20"/>
          <w:szCs w:val="20"/>
        </w:rPr>
        <w:t xml:space="preserve"> </w:t>
      </w:r>
      <w:r w:rsidRPr="003B77FE">
        <w:rPr>
          <w:rFonts w:ascii="Arial" w:hAnsi="Arial" w:cs="Arial"/>
          <w:sz w:val="20"/>
          <w:szCs w:val="20"/>
        </w:rPr>
        <w:t>variedad</w:t>
      </w:r>
      <w:r>
        <w:rPr>
          <w:rFonts w:ascii="Arial" w:hAnsi="Arial" w:cs="Arial"/>
          <w:sz w:val="20"/>
          <w:szCs w:val="20"/>
        </w:rPr>
        <w:t xml:space="preserve"> </w:t>
      </w:r>
      <w:r w:rsidRPr="003B77FE">
        <w:rPr>
          <w:rFonts w:ascii="Arial" w:hAnsi="Arial" w:cs="Arial"/>
          <w:sz w:val="20"/>
          <w:szCs w:val="20"/>
        </w:rPr>
        <w:t>de</w:t>
      </w:r>
      <w:r>
        <w:rPr>
          <w:rFonts w:ascii="Arial" w:hAnsi="Arial" w:cs="Arial"/>
          <w:sz w:val="20"/>
          <w:szCs w:val="20"/>
        </w:rPr>
        <w:t xml:space="preserve"> </w:t>
      </w:r>
      <w:r w:rsidRPr="003B77FE">
        <w:rPr>
          <w:rFonts w:ascii="Arial" w:hAnsi="Arial" w:cs="Arial"/>
          <w:sz w:val="20"/>
          <w:szCs w:val="20"/>
        </w:rPr>
        <w:t>información</w:t>
      </w:r>
      <w:r>
        <w:rPr>
          <w:rFonts w:ascii="Arial" w:hAnsi="Arial" w:cs="Arial"/>
          <w:sz w:val="20"/>
          <w:szCs w:val="20"/>
        </w:rPr>
        <w:t xml:space="preserve"> </w:t>
      </w:r>
      <w:r w:rsidRPr="003B77FE">
        <w:rPr>
          <w:rFonts w:ascii="Arial" w:hAnsi="Arial" w:cs="Arial"/>
          <w:sz w:val="20"/>
          <w:szCs w:val="20"/>
        </w:rPr>
        <w:t>sobre</w:t>
      </w:r>
      <w:r>
        <w:rPr>
          <w:rFonts w:ascii="Arial" w:hAnsi="Arial" w:cs="Arial"/>
          <w:sz w:val="20"/>
          <w:szCs w:val="20"/>
        </w:rPr>
        <w:t xml:space="preserve"> </w:t>
      </w:r>
      <w:r w:rsidRPr="003B77FE">
        <w:rPr>
          <w:rFonts w:ascii="Arial" w:hAnsi="Arial" w:cs="Arial"/>
          <w:sz w:val="20"/>
          <w:szCs w:val="20"/>
        </w:rPr>
        <w:t>las</w:t>
      </w:r>
      <w:r>
        <w:rPr>
          <w:rFonts w:ascii="Arial" w:hAnsi="Arial" w:cs="Arial"/>
          <w:sz w:val="20"/>
          <w:szCs w:val="20"/>
        </w:rPr>
        <w:t xml:space="preserve"> </w:t>
      </w:r>
      <w:r w:rsidRPr="003B77FE">
        <w:rPr>
          <w:rFonts w:ascii="Arial" w:hAnsi="Arial" w:cs="Arial"/>
          <w:sz w:val="20"/>
          <w:szCs w:val="20"/>
        </w:rPr>
        <w:t>entidades</w:t>
      </w:r>
      <w:r>
        <w:rPr>
          <w:rFonts w:ascii="Arial" w:hAnsi="Arial" w:cs="Arial"/>
          <w:sz w:val="20"/>
          <w:szCs w:val="20"/>
        </w:rPr>
        <w:t xml:space="preserve"> </w:t>
      </w:r>
      <w:r w:rsidRPr="003B77FE">
        <w:rPr>
          <w:rFonts w:ascii="Arial" w:hAnsi="Arial" w:cs="Arial"/>
          <w:sz w:val="20"/>
          <w:szCs w:val="20"/>
        </w:rPr>
        <w:t>federativas.</w:t>
      </w:r>
      <w:r>
        <w:rPr>
          <w:rFonts w:ascii="Arial" w:hAnsi="Arial" w:cs="Arial"/>
          <w:sz w:val="20"/>
          <w:szCs w:val="20"/>
        </w:rPr>
        <w:t xml:space="preserve"> </w:t>
      </w:r>
      <w:r w:rsidRPr="003B77FE">
        <w:rPr>
          <w:rFonts w:ascii="Arial" w:hAnsi="Arial" w:cs="Arial"/>
          <w:sz w:val="20"/>
          <w:szCs w:val="20"/>
        </w:rPr>
        <w:t>Diversas</w:t>
      </w:r>
      <w:r>
        <w:rPr>
          <w:rFonts w:ascii="Arial" w:hAnsi="Arial" w:cs="Arial"/>
          <w:sz w:val="20"/>
          <w:szCs w:val="20"/>
        </w:rPr>
        <w:t xml:space="preserve"> </w:t>
      </w:r>
      <w:r w:rsidRPr="003B77FE">
        <w:rPr>
          <w:rFonts w:ascii="Arial" w:hAnsi="Arial" w:cs="Arial"/>
          <w:sz w:val="20"/>
          <w:szCs w:val="20"/>
        </w:rPr>
        <w:t>instituciones</w:t>
      </w:r>
      <w:r>
        <w:rPr>
          <w:rFonts w:ascii="Arial" w:hAnsi="Arial" w:cs="Arial"/>
          <w:sz w:val="20"/>
          <w:szCs w:val="20"/>
        </w:rPr>
        <w:t xml:space="preserve"> </w:t>
      </w:r>
      <w:r w:rsidRPr="003B77FE">
        <w:rPr>
          <w:rFonts w:ascii="Arial" w:hAnsi="Arial" w:cs="Arial"/>
          <w:sz w:val="20"/>
          <w:szCs w:val="20"/>
        </w:rPr>
        <w:t>oficiales</w:t>
      </w:r>
      <w:r>
        <w:rPr>
          <w:rFonts w:ascii="Arial" w:hAnsi="Arial" w:cs="Arial"/>
          <w:sz w:val="20"/>
          <w:szCs w:val="20"/>
        </w:rPr>
        <w:t xml:space="preserve"> </w:t>
      </w:r>
      <w:r w:rsidRPr="003B77FE">
        <w:rPr>
          <w:rFonts w:ascii="Arial" w:hAnsi="Arial" w:cs="Arial"/>
          <w:sz w:val="20"/>
          <w:szCs w:val="20"/>
        </w:rPr>
        <w:t>como INEGI,</w:t>
      </w:r>
      <w:r>
        <w:rPr>
          <w:rFonts w:ascii="Arial" w:hAnsi="Arial" w:cs="Arial"/>
          <w:sz w:val="20"/>
          <w:szCs w:val="20"/>
        </w:rPr>
        <w:t xml:space="preserve"> </w:t>
      </w:r>
      <w:proofErr w:type="spellStart"/>
      <w:r w:rsidRPr="003B77FE">
        <w:rPr>
          <w:rFonts w:ascii="Arial" w:hAnsi="Arial" w:cs="Arial"/>
          <w:sz w:val="20"/>
          <w:szCs w:val="20"/>
        </w:rPr>
        <w:t>Conapo</w:t>
      </w:r>
      <w:proofErr w:type="spellEnd"/>
      <w:r>
        <w:rPr>
          <w:rFonts w:ascii="Arial" w:hAnsi="Arial" w:cs="Arial"/>
          <w:sz w:val="20"/>
          <w:szCs w:val="20"/>
        </w:rPr>
        <w:t xml:space="preserve"> </w:t>
      </w:r>
      <w:r w:rsidRPr="003B77FE">
        <w:rPr>
          <w:rFonts w:ascii="Arial" w:hAnsi="Arial" w:cs="Arial"/>
          <w:sz w:val="20"/>
          <w:szCs w:val="20"/>
        </w:rPr>
        <w:t>y</w:t>
      </w:r>
      <w:r>
        <w:rPr>
          <w:rFonts w:ascii="Arial" w:hAnsi="Arial" w:cs="Arial"/>
          <w:sz w:val="20"/>
          <w:szCs w:val="20"/>
        </w:rPr>
        <w:t xml:space="preserve"> </w:t>
      </w:r>
      <w:r w:rsidRPr="003B77FE">
        <w:rPr>
          <w:rFonts w:ascii="Arial" w:hAnsi="Arial" w:cs="Arial"/>
          <w:sz w:val="20"/>
          <w:szCs w:val="20"/>
        </w:rPr>
        <w:t>las</w:t>
      </w:r>
      <w:r>
        <w:rPr>
          <w:rFonts w:ascii="Arial" w:hAnsi="Arial" w:cs="Arial"/>
          <w:sz w:val="20"/>
          <w:szCs w:val="20"/>
        </w:rPr>
        <w:t xml:space="preserve"> </w:t>
      </w:r>
      <w:r w:rsidRPr="003B77FE">
        <w:rPr>
          <w:rFonts w:ascii="Arial" w:hAnsi="Arial" w:cs="Arial"/>
          <w:sz w:val="20"/>
          <w:szCs w:val="20"/>
        </w:rPr>
        <w:t>secretarías</w:t>
      </w:r>
      <w:r>
        <w:rPr>
          <w:rFonts w:ascii="Arial" w:hAnsi="Arial" w:cs="Arial"/>
          <w:sz w:val="20"/>
          <w:szCs w:val="20"/>
        </w:rPr>
        <w:t xml:space="preserve"> </w:t>
      </w:r>
      <w:r w:rsidRPr="003B77FE">
        <w:rPr>
          <w:rFonts w:ascii="Arial" w:hAnsi="Arial" w:cs="Arial"/>
          <w:sz w:val="20"/>
          <w:szCs w:val="20"/>
        </w:rPr>
        <w:t>de</w:t>
      </w:r>
      <w:r>
        <w:rPr>
          <w:rFonts w:ascii="Arial" w:hAnsi="Arial" w:cs="Arial"/>
          <w:sz w:val="20"/>
          <w:szCs w:val="20"/>
        </w:rPr>
        <w:t xml:space="preserve"> </w:t>
      </w:r>
      <w:r w:rsidRPr="003B77FE">
        <w:rPr>
          <w:rFonts w:ascii="Arial" w:hAnsi="Arial" w:cs="Arial"/>
          <w:sz w:val="20"/>
          <w:szCs w:val="20"/>
        </w:rPr>
        <w:t>Hacienda</w:t>
      </w:r>
      <w:r>
        <w:rPr>
          <w:rFonts w:ascii="Arial" w:hAnsi="Arial" w:cs="Arial"/>
          <w:sz w:val="20"/>
          <w:szCs w:val="20"/>
        </w:rPr>
        <w:t xml:space="preserve"> </w:t>
      </w:r>
      <w:r w:rsidRPr="003B77FE">
        <w:rPr>
          <w:rFonts w:ascii="Arial" w:hAnsi="Arial" w:cs="Arial"/>
          <w:sz w:val="20"/>
          <w:szCs w:val="20"/>
        </w:rPr>
        <w:t>y</w:t>
      </w:r>
      <w:r>
        <w:rPr>
          <w:rFonts w:ascii="Arial" w:hAnsi="Arial" w:cs="Arial"/>
          <w:sz w:val="20"/>
          <w:szCs w:val="20"/>
        </w:rPr>
        <w:t xml:space="preserve"> </w:t>
      </w:r>
      <w:r w:rsidRPr="003B77FE">
        <w:rPr>
          <w:rFonts w:ascii="Arial" w:hAnsi="Arial" w:cs="Arial"/>
          <w:sz w:val="20"/>
          <w:szCs w:val="20"/>
        </w:rPr>
        <w:t>de</w:t>
      </w:r>
      <w:r>
        <w:rPr>
          <w:rFonts w:ascii="Arial" w:hAnsi="Arial" w:cs="Arial"/>
          <w:sz w:val="20"/>
          <w:szCs w:val="20"/>
        </w:rPr>
        <w:t xml:space="preserve"> </w:t>
      </w:r>
      <w:r w:rsidRPr="003B77FE">
        <w:rPr>
          <w:rFonts w:ascii="Arial" w:hAnsi="Arial" w:cs="Arial"/>
          <w:sz w:val="20"/>
          <w:szCs w:val="20"/>
        </w:rPr>
        <w:t>Desarrollo</w:t>
      </w:r>
      <w:r>
        <w:rPr>
          <w:rFonts w:ascii="Arial" w:hAnsi="Arial" w:cs="Arial"/>
          <w:sz w:val="20"/>
          <w:szCs w:val="20"/>
        </w:rPr>
        <w:t xml:space="preserve"> </w:t>
      </w:r>
      <w:r w:rsidRPr="003B77FE">
        <w:rPr>
          <w:rFonts w:ascii="Arial" w:hAnsi="Arial" w:cs="Arial"/>
          <w:sz w:val="20"/>
          <w:szCs w:val="20"/>
        </w:rPr>
        <w:t>Social</w:t>
      </w:r>
      <w:r>
        <w:rPr>
          <w:rFonts w:ascii="Arial" w:hAnsi="Arial" w:cs="Arial"/>
          <w:sz w:val="20"/>
          <w:szCs w:val="20"/>
        </w:rPr>
        <w:t xml:space="preserve"> </w:t>
      </w:r>
      <w:r w:rsidRPr="003B77FE">
        <w:rPr>
          <w:rFonts w:ascii="Arial" w:hAnsi="Arial" w:cs="Arial"/>
          <w:sz w:val="20"/>
          <w:szCs w:val="20"/>
        </w:rPr>
        <w:t>cuentan</w:t>
      </w:r>
      <w:r>
        <w:rPr>
          <w:rFonts w:ascii="Arial" w:hAnsi="Arial" w:cs="Arial"/>
          <w:sz w:val="20"/>
          <w:szCs w:val="20"/>
        </w:rPr>
        <w:t xml:space="preserve"> </w:t>
      </w:r>
      <w:r w:rsidRPr="003B77FE">
        <w:rPr>
          <w:rFonts w:ascii="Arial" w:hAnsi="Arial" w:cs="Arial"/>
          <w:sz w:val="20"/>
          <w:szCs w:val="20"/>
        </w:rPr>
        <w:t>con</w:t>
      </w:r>
      <w:r>
        <w:rPr>
          <w:rFonts w:ascii="Arial" w:hAnsi="Arial" w:cs="Arial"/>
          <w:sz w:val="20"/>
          <w:szCs w:val="20"/>
        </w:rPr>
        <w:t xml:space="preserve"> </w:t>
      </w:r>
      <w:r w:rsidRPr="003B77FE">
        <w:rPr>
          <w:rFonts w:ascii="Arial" w:hAnsi="Arial" w:cs="Arial"/>
          <w:sz w:val="20"/>
          <w:szCs w:val="20"/>
        </w:rPr>
        <w:t>bases</w:t>
      </w:r>
      <w:r>
        <w:rPr>
          <w:rFonts w:ascii="Arial" w:hAnsi="Arial" w:cs="Arial"/>
          <w:sz w:val="20"/>
          <w:szCs w:val="20"/>
        </w:rPr>
        <w:t xml:space="preserve"> </w:t>
      </w:r>
      <w:r w:rsidRPr="003B77FE">
        <w:rPr>
          <w:rFonts w:ascii="Arial" w:hAnsi="Arial" w:cs="Arial"/>
          <w:sz w:val="20"/>
          <w:szCs w:val="20"/>
        </w:rPr>
        <w:t>de</w:t>
      </w:r>
      <w:r>
        <w:rPr>
          <w:rFonts w:ascii="Arial" w:hAnsi="Arial" w:cs="Arial"/>
          <w:sz w:val="20"/>
          <w:szCs w:val="20"/>
        </w:rPr>
        <w:t xml:space="preserve"> </w:t>
      </w:r>
      <w:r w:rsidRPr="003B77FE">
        <w:rPr>
          <w:rFonts w:ascii="Arial" w:hAnsi="Arial" w:cs="Arial"/>
          <w:sz w:val="20"/>
          <w:szCs w:val="20"/>
        </w:rPr>
        <w:t>datos</w:t>
      </w:r>
      <w:r>
        <w:rPr>
          <w:rFonts w:ascii="Arial" w:hAnsi="Arial" w:cs="Arial"/>
          <w:sz w:val="20"/>
          <w:szCs w:val="20"/>
        </w:rPr>
        <w:t xml:space="preserve"> </w:t>
      </w:r>
      <w:r w:rsidRPr="003B77FE">
        <w:rPr>
          <w:rFonts w:ascii="Arial" w:hAnsi="Arial" w:cs="Arial"/>
          <w:sz w:val="20"/>
          <w:szCs w:val="20"/>
        </w:rPr>
        <w:t>sobre</w:t>
      </w:r>
      <w:r>
        <w:rPr>
          <w:rFonts w:ascii="Arial" w:hAnsi="Arial" w:cs="Arial"/>
          <w:sz w:val="20"/>
          <w:szCs w:val="20"/>
        </w:rPr>
        <w:t xml:space="preserve"> </w:t>
      </w:r>
      <w:r w:rsidRPr="003B77FE">
        <w:rPr>
          <w:rFonts w:ascii="Arial" w:hAnsi="Arial" w:cs="Arial"/>
          <w:sz w:val="20"/>
          <w:szCs w:val="20"/>
        </w:rPr>
        <w:t>población,</w:t>
      </w:r>
      <w:r>
        <w:rPr>
          <w:rFonts w:ascii="Arial" w:hAnsi="Arial" w:cs="Arial"/>
          <w:sz w:val="20"/>
          <w:szCs w:val="20"/>
        </w:rPr>
        <w:t xml:space="preserve"> </w:t>
      </w:r>
      <w:r w:rsidRPr="003B77FE">
        <w:rPr>
          <w:rFonts w:ascii="Arial" w:hAnsi="Arial" w:cs="Arial"/>
          <w:sz w:val="20"/>
          <w:szCs w:val="20"/>
        </w:rPr>
        <w:t>ingresos,</w:t>
      </w:r>
      <w:r>
        <w:rPr>
          <w:rFonts w:ascii="Arial" w:hAnsi="Arial" w:cs="Arial"/>
          <w:sz w:val="20"/>
          <w:szCs w:val="20"/>
        </w:rPr>
        <w:t xml:space="preserve"> </w:t>
      </w:r>
      <w:r w:rsidRPr="003B77FE">
        <w:rPr>
          <w:rFonts w:ascii="Arial" w:hAnsi="Arial" w:cs="Arial"/>
          <w:sz w:val="20"/>
          <w:szCs w:val="20"/>
        </w:rPr>
        <w:t>niveles</w:t>
      </w:r>
      <w:r>
        <w:rPr>
          <w:rFonts w:ascii="Arial" w:hAnsi="Arial" w:cs="Arial"/>
          <w:sz w:val="20"/>
          <w:szCs w:val="20"/>
        </w:rPr>
        <w:t xml:space="preserve"> </w:t>
      </w:r>
      <w:r w:rsidRPr="003B77FE">
        <w:rPr>
          <w:rFonts w:ascii="Arial" w:hAnsi="Arial" w:cs="Arial"/>
          <w:sz w:val="20"/>
          <w:szCs w:val="20"/>
        </w:rPr>
        <w:t>educativos,</w:t>
      </w:r>
      <w:r>
        <w:rPr>
          <w:rFonts w:ascii="Arial" w:hAnsi="Arial" w:cs="Arial"/>
          <w:sz w:val="20"/>
          <w:szCs w:val="20"/>
        </w:rPr>
        <w:t xml:space="preserve"> </w:t>
      </w:r>
      <w:r w:rsidRPr="003B77FE">
        <w:rPr>
          <w:rFonts w:ascii="Arial" w:hAnsi="Arial" w:cs="Arial"/>
          <w:sz w:val="20"/>
          <w:szCs w:val="20"/>
        </w:rPr>
        <w:t>actividad</w:t>
      </w:r>
      <w:r>
        <w:rPr>
          <w:rFonts w:ascii="Arial" w:hAnsi="Arial" w:cs="Arial"/>
          <w:sz w:val="20"/>
          <w:szCs w:val="20"/>
        </w:rPr>
        <w:t xml:space="preserve"> </w:t>
      </w:r>
      <w:r w:rsidRPr="003B77FE">
        <w:rPr>
          <w:rFonts w:ascii="Arial" w:hAnsi="Arial" w:cs="Arial"/>
          <w:sz w:val="20"/>
          <w:szCs w:val="20"/>
        </w:rPr>
        <w:t>económica,</w:t>
      </w:r>
      <w:r>
        <w:rPr>
          <w:rFonts w:ascii="Arial" w:hAnsi="Arial" w:cs="Arial"/>
          <w:sz w:val="20"/>
          <w:szCs w:val="20"/>
        </w:rPr>
        <w:t xml:space="preserve"> </w:t>
      </w:r>
      <w:r w:rsidRPr="003B77FE">
        <w:rPr>
          <w:rFonts w:ascii="Arial" w:hAnsi="Arial" w:cs="Arial"/>
          <w:sz w:val="20"/>
          <w:szCs w:val="20"/>
        </w:rPr>
        <w:t>migración,</w:t>
      </w:r>
      <w:r>
        <w:rPr>
          <w:rFonts w:ascii="Arial" w:hAnsi="Arial" w:cs="Arial"/>
          <w:sz w:val="20"/>
          <w:szCs w:val="20"/>
        </w:rPr>
        <w:t xml:space="preserve"> </w:t>
      </w:r>
      <w:r w:rsidRPr="003B77FE">
        <w:rPr>
          <w:rFonts w:ascii="Arial" w:hAnsi="Arial" w:cs="Arial"/>
          <w:sz w:val="20"/>
          <w:szCs w:val="20"/>
        </w:rPr>
        <w:t>etc.</w:t>
      </w:r>
      <w:r>
        <w:rPr>
          <w:rFonts w:ascii="Arial" w:hAnsi="Arial" w:cs="Arial"/>
          <w:sz w:val="20"/>
          <w:szCs w:val="20"/>
        </w:rPr>
        <w:t xml:space="preserve"> </w:t>
      </w:r>
      <w:r w:rsidRPr="003B77FE">
        <w:rPr>
          <w:rFonts w:ascii="Arial" w:hAnsi="Arial" w:cs="Arial"/>
          <w:sz w:val="20"/>
          <w:szCs w:val="20"/>
        </w:rPr>
        <w:t>Pero</w:t>
      </w:r>
      <w:r>
        <w:rPr>
          <w:rFonts w:ascii="Arial" w:hAnsi="Arial" w:cs="Arial"/>
          <w:sz w:val="20"/>
          <w:szCs w:val="20"/>
        </w:rPr>
        <w:t xml:space="preserve"> </w:t>
      </w:r>
      <w:r w:rsidRPr="003B77FE">
        <w:rPr>
          <w:rFonts w:ascii="Arial" w:hAnsi="Arial" w:cs="Arial"/>
          <w:sz w:val="20"/>
          <w:szCs w:val="20"/>
        </w:rPr>
        <w:t>en</w:t>
      </w:r>
      <w:r>
        <w:rPr>
          <w:rFonts w:ascii="Arial" w:hAnsi="Arial" w:cs="Arial"/>
          <w:sz w:val="20"/>
          <w:szCs w:val="20"/>
        </w:rPr>
        <w:t xml:space="preserve"> </w:t>
      </w:r>
      <w:r w:rsidRPr="003B77FE">
        <w:rPr>
          <w:rFonts w:ascii="Arial" w:hAnsi="Arial" w:cs="Arial"/>
          <w:sz w:val="20"/>
          <w:szCs w:val="20"/>
        </w:rPr>
        <w:t>materia</w:t>
      </w:r>
      <w:r>
        <w:rPr>
          <w:rFonts w:ascii="Arial" w:hAnsi="Arial" w:cs="Arial"/>
          <w:sz w:val="20"/>
          <w:szCs w:val="20"/>
        </w:rPr>
        <w:t xml:space="preserve"> </w:t>
      </w:r>
      <w:r w:rsidRPr="003B77FE">
        <w:rPr>
          <w:rFonts w:ascii="Arial" w:hAnsi="Arial" w:cs="Arial"/>
          <w:sz w:val="20"/>
          <w:szCs w:val="20"/>
        </w:rPr>
        <w:t>de</w:t>
      </w:r>
      <w:r>
        <w:rPr>
          <w:rFonts w:ascii="Arial" w:hAnsi="Arial" w:cs="Arial"/>
          <w:sz w:val="20"/>
          <w:szCs w:val="20"/>
        </w:rPr>
        <w:t xml:space="preserve"> </w:t>
      </w:r>
      <w:r w:rsidRPr="003B77FE">
        <w:rPr>
          <w:rFonts w:ascii="Arial" w:hAnsi="Arial" w:cs="Arial"/>
          <w:sz w:val="20"/>
          <w:szCs w:val="20"/>
        </w:rPr>
        <w:t>gobiernos</w:t>
      </w:r>
      <w:r>
        <w:rPr>
          <w:rFonts w:ascii="Arial" w:hAnsi="Arial" w:cs="Arial"/>
          <w:sz w:val="20"/>
          <w:szCs w:val="20"/>
        </w:rPr>
        <w:t xml:space="preserve"> </w:t>
      </w:r>
      <w:r w:rsidRPr="003B77FE">
        <w:rPr>
          <w:rFonts w:ascii="Arial" w:hAnsi="Arial" w:cs="Arial"/>
          <w:sz w:val="20"/>
          <w:szCs w:val="20"/>
        </w:rPr>
        <w:t>estatales</w:t>
      </w:r>
      <w:r>
        <w:rPr>
          <w:rFonts w:ascii="Arial" w:hAnsi="Arial" w:cs="Arial"/>
          <w:sz w:val="20"/>
          <w:szCs w:val="20"/>
        </w:rPr>
        <w:t xml:space="preserve"> </w:t>
      </w:r>
      <w:r w:rsidRPr="003B77FE">
        <w:rPr>
          <w:rFonts w:ascii="Arial" w:hAnsi="Arial" w:cs="Arial"/>
          <w:sz w:val="20"/>
          <w:szCs w:val="20"/>
        </w:rPr>
        <w:t>–es</w:t>
      </w:r>
      <w:r>
        <w:rPr>
          <w:rFonts w:ascii="Arial" w:hAnsi="Arial" w:cs="Arial"/>
          <w:sz w:val="20"/>
          <w:szCs w:val="20"/>
        </w:rPr>
        <w:t xml:space="preserve"> </w:t>
      </w:r>
      <w:r w:rsidRPr="003B77FE">
        <w:rPr>
          <w:rFonts w:ascii="Arial" w:hAnsi="Arial" w:cs="Arial"/>
          <w:sz w:val="20"/>
          <w:szCs w:val="20"/>
        </w:rPr>
        <w:t>decir,</w:t>
      </w:r>
      <w:r>
        <w:rPr>
          <w:rFonts w:ascii="Arial" w:hAnsi="Arial" w:cs="Arial"/>
          <w:sz w:val="20"/>
          <w:szCs w:val="20"/>
        </w:rPr>
        <w:t xml:space="preserve"> </w:t>
      </w:r>
      <w:r w:rsidRPr="003B77FE">
        <w:rPr>
          <w:rFonts w:ascii="Arial" w:hAnsi="Arial" w:cs="Arial"/>
          <w:sz w:val="20"/>
          <w:szCs w:val="20"/>
        </w:rPr>
        <w:t>de</w:t>
      </w:r>
      <w:r>
        <w:rPr>
          <w:rFonts w:ascii="Arial" w:hAnsi="Arial" w:cs="Arial"/>
          <w:sz w:val="20"/>
          <w:szCs w:val="20"/>
        </w:rPr>
        <w:t xml:space="preserve"> </w:t>
      </w:r>
      <w:r w:rsidRPr="003B77FE">
        <w:rPr>
          <w:rFonts w:ascii="Arial" w:hAnsi="Arial" w:cs="Arial"/>
          <w:sz w:val="20"/>
          <w:szCs w:val="20"/>
        </w:rPr>
        <w:t>las</w:t>
      </w:r>
      <w:r>
        <w:rPr>
          <w:rFonts w:ascii="Arial" w:hAnsi="Arial" w:cs="Arial"/>
          <w:sz w:val="20"/>
          <w:szCs w:val="20"/>
        </w:rPr>
        <w:t xml:space="preserve"> </w:t>
      </w:r>
      <w:r w:rsidRPr="003B77FE">
        <w:rPr>
          <w:rFonts w:ascii="Arial" w:hAnsi="Arial" w:cs="Arial"/>
          <w:sz w:val="20"/>
          <w:szCs w:val="20"/>
        </w:rPr>
        <w:t>estructuras</w:t>
      </w:r>
      <w:r>
        <w:rPr>
          <w:rFonts w:ascii="Arial" w:hAnsi="Arial" w:cs="Arial"/>
          <w:sz w:val="20"/>
          <w:szCs w:val="20"/>
        </w:rPr>
        <w:t xml:space="preserve"> </w:t>
      </w:r>
      <w:r w:rsidRPr="003B77FE">
        <w:rPr>
          <w:rFonts w:ascii="Arial" w:hAnsi="Arial" w:cs="Arial"/>
          <w:sz w:val="20"/>
          <w:szCs w:val="20"/>
        </w:rPr>
        <w:t>y</w:t>
      </w:r>
      <w:r>
        <w:rPr>
          <w:rFonts w:ascii="Arial" w:hAnsi="Arial" w:cs="Arial"/>
          <w:sz w:val="20"/>
          <w:szCs w:val="20"/>
        </w:rPr>
        <w:t xml:space="preserve"> </w:t>
      </w:r>
      <w:r w:rsidRPr="003B77FE">
        <w:rPr>
          <w:rFonts w:ascii="Arial" w:hAnsi="Arial" w:cs="Arial"/>
          <w:sz w:val="20"/>
          <w:szCs w:val="20"/>
        </w:rPr>
        <w:t>el</w:t>
      </w:r>
      <w:r>
        <w:rPr>
          <w:rFonts w:ascii="Arial" w:hAnsi="Arial" w:cs="Arial"/>
          <w:sz w:val="20"/>
          <w:szCs w:val="20"/>
        </w:rPr>
        <w:t xml:space="preserve"> </w:t>
      </w:r>
      <w:r w:rsidRPr="003B77FE">
        <w:rPr>
          <w:rFonts w:ascii="Arial" w:hAnsi="Arial" w:cs="Arial"/>
          <w:sz w:val="20"/>
          <w:szCs w:val="20"/>
        </w:rPr>
        <w:t>funcionamiento</w:t>
      </w:r>
      <w:r>
        <w:rPr>
          <w:rFonts w:ascii="Arial" w:hAnsi="Arial" w:cs="Arial"/>
          <w:sz w:val="20"/>
          <w:szCs w:val="20"/>
        </w:rPr>
        <w:t xml:space="preserve"> </w:t>
      </w:r>
      <w:r w:rsidRPr="003B77FE">
        <w:rPr>
          <w:rFonts w:ascii="Arial" w:hAnsi="Arial" w:cs="Arial"/>
          <w:sz w:val="20"/>
          <w:szCs w:val="20"/>
        </w:rPr>
        <w:t>de las administraciones públicas locales– la información es más bien</w:t>
      </w:r>
      <w:r>
        <w:rPr>
          <w:rFonts w:ascii="Arial" w:hAnsi="Arial" w:cs="Arial"/>
          <w:sz w:val="20"/>
          <w:szCs w:val="20"/>
        </w:rPr>
        <w:t xml:space="preserve"> </w:t>
      </w:r>
      <w:r w:rsidRPr="003B77FE">
        <w:rPr>
          <w:rFonts w:ascii="Arial" w:hAnsi="Arial" w:cs="Arial"/>
          <w:sz w:val="20"/>
          <w:szCs w:val="20"/>
        </w:rPr>
        <w:t>escasa,</w:t>
      </w:r>
      <w:r>
        <w:rPr>
          <w:rFonts w:ascii="Arial" w:hAnsi="Arial" w:cs="Arial"/>
          <w:sz w:val="20"/>
          <w:szCs w:val="20"/>
        </w:rPr>
        <w:t xml:space="preserve"> </w:t>
      </w:r>
      <w:r w:rsidRPr="003B77FE">
        <w:rPr>
          <w:rFonts w:ascii="Arial" w:hAnsi="Arial" w:cs="Arial"/>
          <w:sz w:val="20"/>
          <w:szCs w:val="20"/>
        </w:rPr>
        <w:t>salvo</w:t>
      </w:r>
      <w:r>
        <w:rPr>
          <w:rFonts w:ascii="Arial" w:hAnsi="Arial" w:cs="Arial"/>
          <w:sz w:val="20"/>
          <w:szCs w:val="20"/>
        </w:rPr>
        <w:t xml:space="preserve"> </w:t>
      </w:r>
      <w:r w:rsidRPr="003B77FE">
        <w:rPr>
          <w:rFonts w:ascii="Arial" w:hAnsi="Arial" w:cs="Arial"/>
          <w:sz w:val="20"/>
          <w:szCs w:val="20"/>
        </w:rPr>
        <w:t>la</w:t>
      </w:r>
      <w:r>
        <w:rPr>
          <w:rFonts w:ascii="Arial" w:hAnsi="Arial" w:cs="Arial"/>
          <w:sz w:val="20"/>
          <w:szCs w:val="20"/>
        </w:rPr>
        <w:t xml:space="preserve"> </w:t>
      </w:r>
      <w:r w:rsidRPr="003B77FE">
        <w:rPr>
          <w:rFonts w:ascii="Arial" w:hAnsi="Arial" w:cs="Arial"/>
          <w:sz w:val="20"/>
          <w:szCs w:val="20"/>
        </w:rPr>
        <w:t>relacionada</w:t>
      </w:r>
      <w:r>
        <w:rPr>
          <w:rFonts w:ascii="Arial" w:hAnsi="Arial" w:cs="Arial"/>
          <w:sz w:val="20"/>
          <w:szCs w:val="20"/>
        </w:rPr>
        <w:t xml:space="preserve"> </w:t>
      </w:r>
      <w:r w:rsidRPr="003B77FE">
        <w:rPr>
          <w:rFonts w:ascii="Arial" w:hAnsi="Arial" w:cs="Arial"/>
          <w:sz w:val="20"/>
          <w:szCs w:val="20"/>
        </w:rPr>
        <w:t>con</w:t>
      </w:r>
      <w:r>
        <w:rPr>
          <w:rFonts w:ascii="Arial" w:hAnsi="Arial" w:cs="Arial"/>
          <w:sz w:val="20"/>
          <w:szCs w:val="20"/>
        </w:rPr>
        <w:t xml:space="preserve"> </w:t>
      </w:r>
      <w:r w:rsidRPr="003B77FE">
        <w:rPr>
          <w:rFonts w:ascii="Arial" w:hAnsi="Arial" w:cs="Arial"/>
          <w:sz w:val="20"/>
          <w:szCs w:val="20"/>
        </w:rPr>
        <w:t>las</w:t>
      </w:r>
      <w:r>
        <w:rPr>
          <w:rFonts w:ascii="Arial" w:hAnsi="Arial" w:cs="Arial"/>
          <w:sz w:val="20"/>
          <w:szCs w:val="20"/>
        </w:rPr>
        <w:t xml:space="preserve"> </w:t>
      </w:r>
      <w:r w:rsidRPr="003B77FE">
        <w:rPr>
          <w:rFonts w:ascii="Arial" w:hAnsi="Arial" w:cs="Arial"/>
          <w:sz w:val="20"/>
          <w:szCs w:val="20"/>
        </w:rPr>
        <w:t>finanzas</w:t>
      </w:r>
      <w:r>
        <w:rPr>
          <w:rFonts w:ascii="Arial" w:hAnsi="Arial" w:cs="Arial"/>
          <w:sz w:val="20"/>
          <w:szCs w:val="20"/>
        </w:rPr>
        <w:t xml:space="preserve"> </w:t>
      </w:r>
      <w:r w:rsidRPr="003B77FE">
        <w:rPr>
          <w:rFonts w:ascii="Arial" w:hAnsi="Arial" w:cs="Arial"/>
          <w:sz w:val="20"/>
          <w:szCs w:val="20"/>
        </w:rPr>
        <w:t>públicas.</w:t>
      </w:r>
    </w:p>
    <w:p w:rsidR="003B77FE" w:rsidRPr="003B77FE" w:rsidRDefault="003B77FE" w:rsidP="003B77FE">
      <w:pPr>
        <w:jc w:val="both"/>
        <w:rPr>
          <w:rFonts w:ascii="Arial" w:hAnsi="Arial" w:cs="Arial"/>
          <w:sz w:val="20"/>
          <w:szCs w:val="20"/>
        </w:rPr>
      </w:pPr>
      <w:r w:rsidRPr="003B77FE">
        <w:rPr>
          <w:rFonts w:ascii="Arial" w:hAnsi="Arial" w:cs="Arial"/>
          <w:sz w:val="20"/>
          <w:szCs w:val="20"/>
        </w:rPr>
        <w:t>No</w:t>
      </w:r>
      <w:r>
        <w:rPr>
          <w:rFonts w:ascii="Arial" w:hAnsi="Arial" w:cs="Arial"/>
          <w:sz w:val="20"/>
          <w:szCs w:val="20"/>
        </w:rPr>
        <w:t xml:space="preserve"> </w:t>
      </w:r>
      <w:r w:rsidRPr="003B77FE">
        <w:rPr>
          <w:rFonts w:ascii="Arial" w:hAnsi="Arial" w:cs="Arial"/>
          <w:sz w:val="20"/>
          <w:szCs w:val="20"/>
        </w:rPr>
        <w:t>existe una fuente</w:t>
      </w:r>
      <w:r>
        <w:rPr>
          <w:rFonts w:ascii="Arial" w:hAnsi="Arial" w:cs="Arial"/>
          <w:sz w:val="20"/>
          <w:szCs w:val="20"/>
        </w:rPr>
        <w:t xml:space="preserve"> </w:t>
      </w:r>
      <w:r w:rsidRPr="003B77FE">
        <w:rPr>
          <w:rFonts w:ascii="Arial" w:hAnsi="Arial" w:cs="Arial"/>
          <w:sz w:val="20"/>
          <w:szCs w:val="20"/>
        </w:rPr>
        <w:t>de</w:t>
      </w:r>
      <w:r>
        <w:rPr>
          <w:rFonts w:ascii="Arial" w:hAnsi="Arial" w:cs="Arial"/>
          <w:sz w:val="20"/>
          <w:szCs w:val="20"/>
        </w:rPr>
        <w:t xml:space="preserve"> </w:t>
      </w:r>
      <w:r w:rsidRPr="003B77FE">
        <w:rPr>
          <w:rFonts w:ascii="Arial" w:hAnsi="Arial" w:cs="Arial"/>
          <w:sz w:val="20"/>
          <w:szCs w:val="20"/>
        </w:rPr>
        <w:t>información consolidada y objetiva sobre el</w:t>
      </w:r>
      <w:r>
        <w:rPr>
          <w:rFonts w:ascii="Arial" w:hAnsi="Arial" w:cs="Arial"/>
          <w:sz w:val="20"/>
          <w:szCs w:val="20"/>
        </w:rPr>
        <w:t xml:space="preserve"> </w:t>
      </w:r>
      <w:r w:rsidRPr="003B77FE">
        <w:rPr>
          <w:rFonts w:ascii="Arial" w:hAnsi="Arial" w:cs="Arial"/>
          <w:sz w:val="20"/>
          <w:szCs w:val="20"/>
        </w:rPr>
        <w:t>funcionamiento</w:t>
      </w:r>
      <w:r>
        <w:rPr>
          <w:rFonts w:ascii="Arial" w:hAnsi="Arial" w:cs="Arial"/>
          <w:sz w:val="20"/>
          <w:szCs w:val="20"/>
        </w:rPr>
        <w:t xml:space="preserve"> </w:t>
      </w:r>
      <w:r w:rsidRPr="003B77FE">
        <w:rPr>
          <w:rFonts w:ascii="Arial" w:hAnsi="Arial" w:cs="Arial"/>
          <w:sz w:val="20"/>
          <w:szCs w:val="20"/>
        </w:rPr>
        <w:t>de</w:t>
      </w:r>
      <w:r>
        <w:rPr>
          <w:rFonts w:ascii="Arial" w:hAnsi="Arial" w:cs="Arial"/>
          <w:sz w:val="20"/>
          <w:szCs w:val="20"/>
        </w:rPr>
        <w:t xml:space="preserve"> </w:t>
      </w:r>
      <w:r w:rsidRPr="003B77FE">
        <w:rPr>
          <w:rFonts w:ascii="Arial" w:hAnsi="Arial" w:cs="Arial"/>
          <w:sz w:val="20"/>
          <w:szCs w:val="20"/>
        </w:rPr>
        <w:t>las</w:t>
      </w:r>
      <w:r>
        <w:rPr>
          <w:rFonts w:ascii="Arial" w:hAnsi="Arial" w:cs="Arial"/>
          <w:sz w:val="20"/>
          <w:szCs w:val="20"/>
        </w:rPr>
        <w:t xml:space="preserve"> </w:t>
      </w:r>
      <w:r w:rsidRPr="003B77FE">
        <w:rPr>
          <w:rFonts w:ascii="Arial" w:hAnsi="Arial" w:cs="Arial"/>
          <w:sz w:val="20"/>
          <w:szCs w:val="20"/>
        </w:rPr>
        <w:t>instituciones</w:t>
      </w:r>
      <w:r>
        <w:rPr>
          <w:rFonts w:ascii="Arial" w:hAnsi="Arial" w:cs="Arial"/>
          <w:sz w:val="20"/>
          <w:szCs w:val="20"/>
        </w:rPr>
        <w:t xml:space="preserve"> </w:t>
      </w:r>
      <w:r w:rsidRPr="003B77FE">
        <w:rPr>
          <w:rFonts w:ascii="Arial" w:hAnsi="Arial" w:cs="Arial"/>
          <w:sz w:val="20"/>
          <w:szCs w:val="20"/>
        </w:rPr>
        <w:t>gubernativas</w:t>
      </w:r>
      <w:r>
        <w:rPr>
          <w:rFonts w:ascii="Arial" w:hAnsi="Arial" w:cs="Arial"/>
          <w:sz w:val="20"/>
          <w:szCs w:val="20"/>
        </w:rPr>
        <w:t xml:space="preserve"> </w:t>
      </w:r>
      <w:r w:rsidRPr="003B77FE">
        <w:rPr>
          <w:rFonts w:ascii="Arial" w:hAnsi="Arial" w:cs="Arial"/>
          <w:sz w:val="20"/>
          <w:szCs w:val="20"/>
        </w:rPr>
        <w:t>de</w:t>
      </w:r>
      <w:r>
        <w:rPr>
          <w:rFonts w:ascii="Arial" w:hAnsi="Arial" w:cs="Arial"/>
          <w:sz w:val="20"/>
          <w:szCs w:val="20"/>
        </w:rPr>
        <w:t xml:space="preserve"> </w:t>
      </w:r>
      <w:r w:rsidRPr="003B77FE">
        <w:rPr>
          <w:rFonts w:ascii="Arial" w:hAnsi="Arial" w:cs="Arial"/>
          <w:sz w:val="20"/>
          <w:szCs w:val="20"/>
        </w:rPr>
        <w:t>los</w:t>
      </w:r>
      <w:r>
        <w:rPr>
          <w:rFonts w:ascii="Arial" w:hAnsi="Arial" w:cs="Arial"/>
          <w:sz w:val="20"/>
          <w:szCs w:val="20"/>
        </w:rPr>
        <w:t xml:space="preserve"> </w:t>
      </w:r>
      <w:r w:rsidRPr="003B77FE">
        <w:rPr>
          <w:rFonts w:ascii="Arial" w:hAnsi="Arial" w:cs="Arial"/>
          <w:sz w:val="20"/>
          <w:szCs w:val="20"/>
        </w:rPr>
        <w:t>estados</w:t>
      </w:r>
      <w:r>
        <w:rPr>
          <w:rFonts w:ascii="Arial" w:hAnsi="Arial" w:cs="Arial"/>
          <w:sz w:val="20"/>
          <w:szCs w:val="20"/>
        </w:rPr>
        <w:t xml:space="preserve"> </w:t>
      </w:r>
      <w:r w:rsidRPr="003B77FE">
        <w:rPr>
          <w:rFonts w:ascii="Arial" w:hAnsi="Arial" w:cs="Arial"/>
          <w:sz w:val="20"/>
          <w:szCs w:val="20"/>
        </w:rPr>
        <w:t>mexicanos.</w:t>
      </w:r>
      <w:r w:rsidRPr="003B77FE">
        <w:rPr>
          <w:rFonts w:ascii="MS Gothic" w:eastAsia="MS Gothic" w:hAnsi="MS Gothic" w:cs="MS Gothic" w:hint="eastAsia"/>
          <w:sz w:val="20"/>
          <w:szCs w:val="20"/>
        </w:rPr>
        <w:t> </w:t>
      </w:r>
      <w:r w:rsidRPr="003B77FE">
        <w:rPr>
          <w:rFonts w:ascii="Arial" w:hAnsi="Arial" w:cs="Arial"/>
          <w:sz w:val="20"/>
          <w:szCs w:val="20"/>
        </w:rPr>
        <w:t>No</w:t>
      </w:r>
      <w:r>
        <w:rPr>
          <w:rFonts w:ascii="Arial" w:hAnsi="Arial" w:cs="Arial"/>
          <w:sz w:val="20"/>
          <w:szCs w:val="20"/>
        </w:rPr>
        <w:t xml:space="preserve"> </w:t>
      </w:r>
      <w:r w:rsidRPr="003B77FE">
        <w:rPr>
          <w:rFonts w:ascii="Arial" w:hAnsi="Arial" w:cs="Arial"/>
          <w:sz w:val="20"/>
          <w:szCs w:val="20"/>
        </w:rPr>
        <w:t>hay</w:t>
      </w:r>
      <w:r>
        <w:rPr>
          <w:rFonts w:ascii="Arial" w:hAnsi="Arial" w:cs="Arial"/>
          <w:sz w:val="20"/>
          <w:szCs w:val="20"/>
        </w:rPr>
        <w:t xml:space="preserve"> </w:t>
      </w:r>
      <w:r w:rsidRPr="003B77FE">
        <w:rPr>
          <w:rFonts w:ascii="Arial" w:hAnsi="Arial" w:cs="Arial"/>
          <w:sz w:val="20"/>
          <w:szCs w:val="20"/>
        </w:rPr>
        <w:t>aún</w:t>
      </w:r>
      <w:r>
        <w:rPr>
          <w:rFonts w:ascii="Arial" w:hAnsi="Arial" w:cs="Arial"/>
          <w:sz w:val="20"/>
          <w:szCs w:val="20"/>
        </w:rPr>
        <w:t xml:space="preserve"> </w:t>
      </w:r>
      <w:r w:rsidRPr="003B77FE">
        <w:rPr>
          <w:rFonts w:ascii="Arial" w:hAnsi="Arial" w:cs="Arial"/>
          <w:sz w:val="20"/>
          <w:szCs w:val="20"/>
        </w:rPr>
        <w:t>un</w:t>
      </w:r>
      <w:r>
        <w:rPr>
          <w:rFonts w:ascii="Arial" w:hAnsi="Arial" w:cs="Arial"/>
          <w:sz w:val="20"/>
          <w:szCs w:val="20"/>
        </w:rPr>
        <w:t xml:space="preserve"> </w:t>
      </w:r>
      <w:r w:rsidRPr="003B77FE">
        <w:rPr>
          <w:rFonts w:ascii="Arial" w:hAnsi="Arial" w:cs="Arial"/>
          <w:sz w:val="20"/>
          <w:szCs w:val="20"/>
        </w:rPr>
        <w:t>sistema</w:t>
      </w:r>
      <w:r>
        <w:rPr>
          <w:rFonts w:ascii="Arial" w:hAnsi="Arial" w:cs="Arial"/>
          <w:sz w:val="20"/>
          <w:szCs w:val="20"/>
        </w:rPr>
        <w:t xml:space="preserve"> </w:t>
      </w:r>
      <w:r w:rsidRPr="003B77FE">
        <w:rPr>
          <w:rFonts w:ascii="Arial" w:hAnsi="Arial" w:cs="Arial"/>
          <w:sz w:val="20"/>
          <w:szCs w:val="20"/>
        </w:rPr>
        <w:t>de</w:t>
      </w:r>
      <w:r>
        <w:rPr>
          <w:rFonts w:ascii="Arial" w:hAnsi="Arial" w:cs="Arial"/>
          <w:sz w:val="20"/>
          <w:szCs w:val="20"/>
        </w:rPr>
        <w:t xml:space="preserve"> </w:t>
      </w:r>
      <w:r w:rsidRPr="003B77FE">
        <w:rPr>
          <w:rFonts w:ascii="Arial" w:hAnsi="Arial" w:cs="Arial"/>
          <w:sz w:val="20"/>
          <w:szCs w:val="20"/>
        </w:rPr>
        <w:t>información</w:t>
      </w:r>
      <w:r>
        <w:rPr>
          <w:rFonts w:ascii="Arial" w:hAnsi="Arial" w:cs="Arial"/>
          <w:sz w:val="20"/>
          <w:szCs w:val="20"/>
        </w:rPr>
        <w:t xml:space="preserve"> </w:t>
      </w:r>
      <w:r w:rsidRPr="003B77FE">
        <w:rPr>
          <w:rFonts w:ascii="Arial" w:hAnsi="Arial" w:cs="Arial"/>
          <w:sz w:val="20"/>
          <w:szCs w:val="20"/>
        </w:rPr>
        <w:t>sobre</w:t>
      </w:r>
      <w:r>
        <w:rPr>
          <w:rFonts w:ascii="Arial" w:hAnsi="Arial" w:cs="Arial"/>
          <w:sz w:val="20"/>
          <w:szCs w:val="20"/>
        </w:rPr>
        <w:t xml:space="preserve"> </w:t>
      </w:r>
      <w:r w:rsidRPr="003B77FE">
        <w:rPr>
          <w:rFonts w:ascii="Arial" w:hAnsi="Arial" w:cs="Arial"/>
          <w:sz w:val="20"/>
          <w:szCs w:val="20"/>
        </w:rPr>
        <w:t>gobiernos</w:t>
      </w:r>
      <w:r>
        <w:rPr>
          <w:rFonts w:ascii="Arial" w:hAnsi="Arial" w:cs="Arial"/>
          <w:sz w:val="20"/>
          <w:szCs w:val="20"/>
        </w:rPr>
        <w:t xml:space="preserve"> </w:t>
      </w:r>
      <w:r w:rsidRPr="003B77FE">
        <w:rPr>
          <w:rFonts w:ascii="Arial" w:hAnsi="Arial" w:cs="Arial"/>
          <w:sz w:val="20"/>
          <w:szCs w:val="20"/>
        </w:rPr>
        <w:t>estatales.</w:t>
      </w:r>
    </w:p>
    <w:p w:rsidR="003B77FE" w:rsidRPr="003B77FE" w:rsidRDefault="003B77FE" w:rsidP="003B77FE">
      <w:pPr>
        <w:jc w:val="both"/>
        <w:rPr>
          <w:rFonts w:ascii="Arial" w:hAnsi="Arial" w:cs="Arial"/>
          <w:sz w:val="20"/>
          <w:szCs w:val="20"/>
        </w:rPr>
      </w:pPr>
    </w:p>
    <w:p w:rsidR="003B77FE" w:rsidRPr="005B3632" w:rsidRDefault="003B77FE" w:rsidP="003B77FE">
      <w:pPr>
        <w:jc w:val="both"/>
        <w:rPr>
          <w:rFonts w:ascii="Arial" w:hAnsi="Arial" w:cs="Arial"/>
          <w:sz w:val="20"/>
          <w:szCs w:val="20"/>
        </w:rPr>
      </w:pPr>
    </w:p>
    <w:sectPr w:rsidR="003B77FE" w:rsidRPr="005B363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D2450D"/>
    <w:multiLevelType w:val="multilevel"/>
    <w:tmpl w:val="77C40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1B4"/>
    <w:rsid w:val="000357FB"/>
    <w:rsid w:val="0008452C"/>
    <w:rsid w:val="00120488"/>
    <w:rsid w:val="00134377"/>
    <w:rsid w:val="0016675B"/>
    <w:rsid w:val="002D0952"/>
    <w:rsid w:val="0032160C"/>
    <w:rsid w:val="00322C2F"/>
    <w:rsid w:val="00331A0A"/>
    <w:rsid w:val="00347EA6"/>
    <w:rsid w:val="003862D5"/>
    <w:rsid w:val="003A5452"/>
    <w:rsid w:val="003B77FE"/>
    <w:rsid w:val="003D3886"/>
    <w:rsid w:val="0040027A"/>
    <w:rsid w:val="004B21A5"/>
    <w:rsid w:val="00521C86"/>
    <w:rsid w:val="00583CE2"/>
    <w:rsid w:val="005B3632"/>
    <w:rsid w:val="00631C24"/>
    <w:rsid w:val="006A4FB5"/>
    <w:rsid w:val="00707E07"/>
    <w:rsid w:val="007B1A2A"/>
    <w:rsid w:val="00840A9B"/>
    <w:rsid w:val="00857BFC"/>
    <w:rsid w:val="008A42D1"/>
    <w:rsid w:val="00930487"/>
    <w:rsid w:val="00985FBB"/>
    <w:rsid w:val="009F2C0C"/>
    <w:rsid w:val="00A054E9"/>
    <w:rsid w:val="00A366DC"/>
    <w:rsid w:val="00B4317D"/>
    <w:rsid w:val="00C96A5E"/>
    <w:rsid w:val="00D60A14"/>
    <w:rsid w:val="00E23D9B"/>
    <w:rsid w:val="00F261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261B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261B4"/>
    <w:rPr>
      <w:rFonts w:ascii="Tahoma" w:hAnsi="Tahoma" w:cs="Tahoma"/>
      <w:sz w:val="16"/>
      <w:szCs w:val="16"/>
    </w:rPr>
  </w:style>
  <w:style w:type="paragraph" w:styleId="NormalWeb">
    <w:name w:val="Normal (Web)"/>
    <w:basedOn w:val="Normal"/>
    <w:uiPriority w:val="99"/>
    <w:semiHidden/>
    <w:unhideWhenUsed/>
    <w:rsid w:val="003862D5"/>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261B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261B4"/>
    <w:rPr>
      <w:rFonts w:ascii="Tahoma" w:hAnsi="Tahoma" w:cs="Tahoma"/>
      <w:sz w:val="16"/>
      <w:szCs w:val="16"/>
    </w:rPr>
  </w:style>
  <w:style w:type="paragraph" w:styleId="NormalWeb">
    <w:name w:val="Normal (Web)"/>
    <w:basedOn w:val="Normal"/>
    <w:uiPriority w:val="99"/>
    <w:semiHidden/>
    <w:unhideWhenUsed/>
    <w:rsid w:val="003862D5"/>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927461">
      <w:bodyDiv w:val="1"/>
      <w:marLeft w:val="0"/>
      <w:marRight w:val="0"/>
      <w:marTop w:val="0"/>
      <w:marBottom w:val="0"/>
      <w:divBdr>
        <w:top w:val="none" w:sz="0" w:space="0" w:color="auto"/>
        <w:left w:val="none" w:sz="0" w:space="0" w:color="auto"/>
        <w:bottom w:val="none" w:sz="0" w:space="0" w:color="auto"/>
        <w:right w:val="none" w:sz="0" w:space="0" w:color="auto"/>
      </w:divBdr>
    </w:div>
    <w:div w:id="1240208893">
      <w:bodyDiv w:val="1"/>
      <w:marLeft w:val="0"/>
      <w:marRight w:val="0"/>
      <w:marTop w:val="0"/>
      <w:marBottom w:val="0"/>
      <w:divBdr>
        <w:top w:val="none" w:sz="0" w:space="0" w:color="auto"/>
        <w:left w:val="none" w:sz="0" w:space="0" w:color="auto"/>
        <w:bottom w:val="none" w:sz="0" w:space="0" w:color="auto"/>
        <w:right w:val="none" w:sz="0" w:space="0" w:color="auto"/>
      </w:divBdr>
    </w:div>
    <w:div w:id="1695770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3C4F9A-92B4-427B-B796-C5DD716FA830}"/>
</file>

<file path=customXml/itemProps2.xml><?xml version="1.0" encoding="utf-8"?>
<ds:datastoreItem xmlns:ds="http://schemas.openxmlformats.org/officeDocument/2006/customXml" ds:itemID="{D3EC68A1-0938-498C-BB4B-45A21E3ACEAB}"/>
</file>

<file path=customXml/itemProps3.xml><?xml version="1.0" encoding="utf-8"?>
<ds:datastoreItem xmlns:ds="http://schemas.openxmlformats.org/officeDocument/2006/customXml" ds:itemID="{307B8CF3-E896-4A99-96B6-8F957C0F45F7}"/>
</file>

<file path=docProps/app.xml><?xml version="1.0" encoding="utf-8"?>
<Properties xmlns="http://schemas.openxmlformats.org/officeDocument/2006/extended-properties" xmlns:vt="http://schemas.openxmlformats.org/officeDocument/2006/docPropsVTypes">
  <Template>Normal</Template>
  <TotalTime>0</TotalTime>
  <Pages>6</Pages>
  <Words>2732</Words>
  <Characters>15029</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ISMAEL.LOPEZP</dc:creator>
  <cp:lastModifiedBy>ISMAEL.LOPEZP</cp:lastModifiedBy>
  <cp:revision>4</cp:revision>
  <dcterms:created xsi:type="dcterms:W3CDTF">2014-11-04T01:47:00Z</dcterms:created>
  <dcterms:modified xsi:type="dcterms:W3CDTF">2014-11-04T23:40:00Z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2572600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