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B1" w:rsidRDefault="00A76AB1" w:rsidP="00E919F4">
      <w:pPr>
        <w:ind w:left="66"/>
        <w:jc w:val="both"/>
        <w:rPr>
          <w:rFonts w:ascii="Cambria" w:hAnsi="Cambria"/>
          <w:b/>
          <w:sz w:val="24"/>
          <w:szCs w:val="24"/>
        </w:rPr>
      </w:pPr>
      <w:r w:rsidRPr="00772E08">
        <w:rPr>
          <w:rFonts w:ascii="Cambria" w:hAnsi="Cambria"/>
          <w:b/>
          <w:sz w:val="24"/>
          <w:szCs w:val="24"/>
        </w:rPr>
        <w:t>SOLICITUD DE INFORMACIÓN SOBRE RESPONSABILIDADES DE LOS GOBIERNOS SUBNACIONALES RESPECTO AL DERECHO DE UNA VIVIENDA ADECUADA.</w:t>
      </w:r>
    </w:p>
    <w:p w:rsidR="003D11D7" w:rsidRDefault="003D11D7" w:rsidP="00E919F4">
      <w:pPr>
        <w:ind w:left="66"/>
        <w:jc w:val="both"/>
        <w:rPr>
          <w:rFonts w:ascii="Cambria" w:hAnsi="Cambria"/>
          <w:b/>
          <w:sz w:val="24"/>
          <w:szCs w:val="24"/>
        </w:rPr>
      </w:pPr>
    </w:p>
    <w:p w:rsidR="003D11D7" w:rsidRPr="00772E08" w:rsidRDefault="003D11D7" w:rsidP="00E919F4">
      <w:pPr>
        <w:ind w:left="66"/>
        <w:jc w:val="both"/>
        <w:rPr>
          <w:rFonts w:ascii="Cambria" w:hAnsi="Cambria"/>
          <w:b/>
          <w:sz w:val="24"/>
          <w:szCs w:val="24"/>
        </w:rPr>
      </w:pPr>
      <w:r w:rsidRPr="003D11D7">
        <w:rPr>
          <w:rFonts w:ascii="Cambria" w:hAnsi="Cambria"/>
          <w:b/>
          <w:sz w:val="24"/>
          <w:szCs w:val="24"/>
          <w:highlight w:val="yellow"/>
        </w:rPr>
        <w:t>ESPAÑA</w:t>
      </w:r>
    </w:p>
    <w:p w:rsidR="00A76AB1" w:rsidRPr="00772E08" w:rsidRDefault="00A76AB1" w:rsidP="00E919F4">
      <w:pPr>
        <w:ind w:left="66"/>
        <w:jc w:val="both"/>
        <w:rPr>
          <w:rFonts w:ascii="Cambria" w:hAnsi="Cambria"/>
          <w:b/>
          <w:sz w:val="24"/>
          <w:szCs w:val="24"/>
        </w:rPr>
      </w:pPr>
      <w:bookmarkStart w:id="0" w:name="_GoBack"/>
      <w:bookmarkEnd w:id="0"/>
    </w:p>
    <w:p w:rsidR="009C2983" w:rsidRPr="00772E08" w:rsidRDefault="00E919F4" w:rsidP="00E919F4">
      <w:pPr>
        <w:ind w:left="66"/>
        <w:jc w:val="both"/>
        <w:rPr>
          <w:rFonts w:ascii="Cambria" w:hAnsi="Cambria"/>
          <w:sz w:val="24"/>
          <w:szCs w:val="24"/>
        </w:rPr>
      </w:pPr>
      <w:r w:rsidRPr="00772E08">
        <w:rPr>
          <w:rFonts w:ascii="Cambria" w:hAnsi="Cambria"/>
          <w:b/>
          <w:sz w:val="24"/>
          <w:szCs w:val="24"/>
        </w:rPr>
        <w:t xml:space="preserve">A. </w:t>
      </w:r>
      <w:r w:rsidR="009E0588" w:rsidRPr="00772E08">
        <w:rPr>
          <w:rFonts w:ascii="Cambria" w:hAnsi="Cambria"/>
          <w:b/>
          <w:sz w:val="24"/>
          <w:szCs w:val="24"/>
        </w:rPr>
        <w:t>Distribución de responsabilidades en relación con el derecho a una vivienda adecuada</w:t>
      </w:r>
    </w:p>
    <w:p w:rsidR="009E0588" w:rsidRPr="00772E08" w:rsidRDefault="009E0588" w:rsidP="009E0588">
      <w:pPr>
        <w:pStyle w:val="ListParagraph"/>
        <w:numPr>
          <w:ilvl w:val="0"/>
          <w:numId w:val="2"/>
        </w:numPr>
        <w:jc w:val="both"/>
        <w:rPr>
          <w:rFonts w:ascii="Cambria" w:hAnsi="Cambria"/>
          <w:sz w:val="24"/>
          <w:szCs w:val="24"/>
        </w:rPr>
      </w:pPr>
      <w:r w:rsidRPr="00772E08">
        <w:rPr>
          <w:rFonts w:ascii="Cambria" w:hAnsi="Cambria"/>
          <w:sz w:val="24"/>
          <w:szCs w:val="24"/>
        </w:rPr>
        <w:t>Por favor indique el (los) nivel(es) de gobierno (nacional, provincial o estatal municipal) que tiene(n) la responsabilidad primordial en los siguientes temas (en caso de que la responsabilidad sea compartida, sírvase indicar más de una casilla):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473"/>
        <w:gridCol w:w="1559"/>
        <w:gridCol w:w="1781"/>
        <w:gridCol w:w="1128"/>
      </w:tblGrid>
      <w:tr w:rsidR="00E26043" w:rsidRPr="008903B2" w:rsidTr="008903B2">
        <w:tc>
          <w:tcPr>
            <w:tcW w:w="2633" w:type="dxa"/>
            <w:shd w:val="clear" w:color="auto" w:fill="BFBFBF"/>
          </w:tcPr>
          <w:p w:rsidR="009E0588" w:rsidRPr="008903B2" w:rsidRDefault="009E0588" w:rsidP="008903B2">
            <w:pPr>
              <w:spacing w:after="0" w:line="240" w:lineRule="auto"/>
              <w:rPr>
                <w:rFonts w:ascii="Cambria" w:hAnsi="Cambria"/>
                <w:sz w:val="24"/>
                <w:szCs w:val="24"/>
              </w:rPr>
            </w:pPr>
          </w:p>
        </w:tc>
        <w:tc>
          <w:tcPr>
            <w:tcW w:w="1473" w:type="dxa"/>
            <w:shd w:val="clear" w:color="auto" w:fill="BFBFBF"/>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Estado</w:t>
            </w:r>
          </w:p>
        </w:tc>
        <w:tc>
          <w:tcPr>
            <w:tcW w:w="1559" w:type="dxa"/>
            <w:shd w:val="clear" w:color="auto" w:fill="BFBFBF"/>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CCAA</w:t>
            </w:r>
          </w:p>
        </w:tc>
        <w:tc>
          <w:tcPr>
            <w:tcW w:w="1701" w:type="dxa"/>
            <w:shd w:val="clear" w:color="auto" w:fill="BFBFBF"/>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Ayuntamientos</w:t>
            </w:r>
          </w:p>
        </w:tc>
        <w:tc>
          <w:tcPr>
            <w:tcW w:w="1128" w:type="dxa"/>
            <w:shd w:val="clear" w:color="auto" w:fill="BFBFBF"/>
          </w:tcPr>
          <w:p w:rsidR="009E0588" w:rsidRPr="008903B2" w:rsidRDefault="009E0588" w:rsidP="008903B2">
            <w:pPr>
              <w:spacing w:after="0" w:line="240" w:lineRule="auto"/>
              <w:jc w:val="center"/>
              <w:rPr>
                <w:rFonts w:ascii="Cambria" w:hAnsi="Cambria"/>
                <w:sz w:val="24"/>
                <w:szCs w:val="24"/>
              </w:rPr>
            </w:pPr>
          </w:p>
        </w:tc>
      </w:tr>
      <w:tr w:rsidR="00E26043" w:rsidRPr="008903B2" w:rsidTr="008903B2">
        <w:tc>
          <w:tcPr>
            <w:tcW w:w="2633" w:type="dxa"/>
          </w:tcPr>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Programa de vivienda</w:t>
            </w:r>
          </w:p>
        </w:tc>
        <w:tc>
          <w:tcPr>
            <w:tcW w:w="1473" w:type="dxa"/>
            <w:vAlign w:val="center"/>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Sí</w:t>
            </w:r>
          </w:p>
        </w:tc>
        <w:tc>
          <w:tcPr>
            <w:tcW w:w="1559" w:type="dxa"/>
            <w:vAlign w:val="center"/>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Sí</w:t>
            </w:r>
          </w:p>
        </w:tc>
        <w:tc>
          <w:tcPr>
            <w:tcW w:w="1701" w:type="dxa"/>
            <w:vAlign w:val="center"/>
          </w:tcPr>
          <w:p w:rsidR="009E0588" w:rsidRPr="008903B2" w:rsidRDefault="00F706FB" w:rsidP="008903B2">
            <w:pPr>
              <w:spacing w:after="0" w:line="240" w:lineRule="auto"/>
              <w:jc w:val="center"/>
              <w:rPr>
                <w:rFonts w:ascii="Cambria" w:hAnsi="Cambria"/>
                <w:sz w:val="24"/>
                <w:szCs w:val="24"/>
              </w:rPr>
            </w:pPr>
            <w:r w:rsidRPr="008903B2">
              <w:rPr>
                <w:rFonts w:ascii="Cambria" w:hAnsi="Cambria"/>
                <w:sz w:val="24"/>
                <w:szCs w:val="24"/>
              </w:rPr>
              <w:t>Sí</w:t>
            </w:r>
          </w:p>
        </w:tc>
        <w:tc>
          <w:tcPr>
            <w:tcW w:w="1128" w:type="dxa"/>
            <w:vAlign w:val="center"/>
          </w:tcPr>
          <w:p w:rsidR="009E0588" w:rsidRPr="008903B2" w:rsidRDefault="009E0588" w:rsidP="008903B2">
            <w:pPr>
              <w:spacing w:after="0" w:line="240" w:lineRule="auto"/>
              <w:jc w:val="center"/>
              <w:rPr>
                <w:rFonts w:ascii="Cambria" w:hAnsi="Cambria"/>
                <w:sz w:val="24"/>
                <w:szCs w:val="24"/>
              </w:rPr>
            </w:pPr>
          </w:p>
        </w:tc>
      </w:tr>
      <w:tr w:rsidR="00E26043" w:rsidRPr="008903B2" w:rsidTr="008903B2">
        <w:tc>
          <w:tcPr>
            <w:tcW w:w="2633" w:type="dxa"/>
          </w:tcPr>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Programa de asistencia social</w:t>
            </w:r>
          </w:p>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(ej.: bonos individuales, subsidios para alquiler o vivienda)</w:t>
            </w:r>
          </w:p>
        </w:tc>
        <w:tc>
          <w:tcPr>
            <w:tcW w:w="1473" w:type="dxa"/>
            <w:vAlign w:val="center"/>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Sí</w:t>
            </w:r>
          </w:p>
        </w:tc>
        <w:tc>
          <w:tcPr>
            <w:tcW w:w="1559" w:type="dxa"/>
            <w:vAlign w:val="center"/>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Sí</w:t>
            </w:r>
          </w:p>
        </w:tc>
        <w:tc>
          <w:tcPr>
            <w:tcW w:w="1701" w:type="dxa"/>
            <w:vAlign w:val="center"/>
          </w:tcPr>
          <w:p w:rsidR="009E0588" w:rsidRPr="008903B2" w:rsidRDefault="000B1067" w:rsidP="008903B2">
            <w:pPr>
              <w:spacing w:after="0" w:line="240" w:lineRule="auto"/>
              <w:jc w:val="center"/>
              <w:rPr>
                <w:rFonts w:ascii="Cambria" w:hAnsi="Cambria"/>
                <w:sz w:val="24"/>
                <w:szCs w:val="24"/>
              </w:rPr>
            </w:pPr>
            <w:r w:rsidRPr="008903B2">
              <w:rPr>
                <w:rFonts w:ascii="Cambria" w:hAnsi="Cambria"/>
                <w:sz w:val="24"/>
                <w:szCs w:val="24"/>
              </w:rPr>
              <w:t>Sí</w:t>
            </w:r>
          </w:p>
        </w:tc>
        <w:tc>
          <w:tcPr>
            <w:tcW w:w="1128" w:type="dxa"/>
            <w:vAlign w:val="center"/>
          </w:tcPr>
          <w:p w:rsidR="009E0588" w:rsidRPr="008903B2" w:rsidRDefault="009E0588" w:rsidP="008903B2">
            <w:pPr>
              <w:spacing w:after="0" w:line="240" w:lineRule="auto"/>
              <w:jc w:val="center"/>
              <w:rPr>
                <w:rFonts w:ascii="Cambria" w:hAnsi="Cambria"/>
                <w:sz w:val="24"/>
                <w:szCs w:val="24"/>
              </w:rPr>
            </w:pPr>
          </w:p>
        </w:tc>
      </w:tr>
      <w:tr w:rsidR="00E26043" w:rsidRPr="008903B2" w:rsidTr="008903B2">
        <w:tc>
          <w:tcPr>
            <w:tcW w:w="2633" w:type="dxa"/>
          </w:tcPr>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Alquiler y protección de seguridad de la tenencia</w:t>
            </w:r>
          </w:p>
        </w:tc>
        <w:tc>
          <w:tcPr>
            <w:tcW w:w="1473" w:type="dxa"/>
            <w:vAlign w:val="center"/>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Sí</w:t>
            </w:r>
          </w:p>
        </w:tc>
        <w:tc>
          <w:tcPr>
            <w:tcW w:w="1559" w:type="dxa"/>
            <w:vAlign w:val="center"/>
          </w:tcPr>
          <w:p w:rsidR="009E0588" w:rsidRPr="008903B2" w:rsidRDefault="00E96A61" w:rsidP="008903B2">
            <w:pPr>
              <w:spacing w:after="0" w:line="240" w:lineRule="auto"/>
              <w:jc w:val="center"/>
              <w:rPr>
                <w:rFonts w:ascii="Cambria" w:hAnsi="Cambria"/>
                <w:sz w:val="24"/>
                <w:szCs w:val="24"/>
              </w:rPr>
            </w:pPr>
            <w:r w:rsidRPr="008903B2">
              <w:rPr>
                <w:rFonts w:ascii="Cambria" w:hAnsi="Cambria"/>
                <w:sz w:val="24"/>
                <w:szCs w:val="24"/>
              </w:rPr>
              <w:t>Si</w:t>
            </w:r>
          </w:p>
        </w:tc>
        <w:tc>
          <w:tcPr>
            <w:tcW w:w="1701" w:type="dxa"/>
            <w:vAlign w:val="center"/>
          </w:tcPr>
          <w:p w:rsidR="009E0588" w:rsidRPr="008903B2" w:rsidRDefault="009E0588" w:rsidP="008903B2">
            <w:pPr>
              <w:spacing w:after="0" w:line="240" w:lineRule="auto"/>
              <w:jc w:val="center"/>
              <w:rPr>
                <w:rFonts w:ascii="Cambria" w:hAnsi="Cambria"/>
                <w:sz w:val="24"/>
                <w:szCs w:val="24"/>
              </w:rPr>
            </w:pPr>
          </w:p>
        </w:tc>
        <w:tc>
          <w:tcPr>
            <w:tcW w:w="1128" w:type="dxa"/>
            <w:vAlign w:val="center"/>
          </w:tcPr>
          <w:p w:rsidR="009E0588" w:rsidRPr="008903B2" w:rsidRDefault="009E0588" w:rsidP="008903B2">
            <w:pPr>
              <w:spacing w:after="0" w:line="240" w:lineRule="auto"/>
              <w:jc w:val="center"/>
              <w:rPr>
                <w:rFonts w:ascii="Cambria" w:hAnsi="Cambria"/>
                <w:sz w:val="24"/>
                <w:szCs w:val="24"/>
              </w:rPr>
            </w:pPr>
          </w:p>
        </w:tc>
      </w:tr>
      <w:tr w:rsidR="00E26043" w:rsidRPr="008903B2" w:rsidTr="008903B2">
        <w:tc>
          <w:tcPr>
            <w:tcW w:w="2633" w:type="dxa"/>
          </w:tcPr>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Infraestructura y servicios</w:t>
            </w:r>
          </w:p>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(ej.: agua, saneamiento, electricidad)</w:t>
            </w:r>
          </w:p>
        </w:tc>
        <w:tc>
          <w:tcPr>
            <w:tcW w:w="1473" w:type="dxa"/>
            <w:vAlign w:val="center"/>
          </w:tcPr>
          <w:p w:rsidR="009E0588" w:rsidRPr="008903B2" w:rsidRDefault="000B1067" w:rsidP="008903B2">
            <w:pPr>
              <w:spacing w:after="0" w:line="240" w:lineRule="auto"/>
              <w:jc w:val="center"/>
              <w:rPr>
                <w:rFonts w:ascii="Cambria" w:hAnsi="Cambria"/>
                <w:sz w:val="24"/>
                <w:szCs w:val="24"/>
              </w:rPr>
            </w:pPr>
            <w:r w:rsidRPr="008903B2">
              <w:rPr>
                <w:rFonts w:ascii="Cambria" w:hAnsi="Cambria"/>
                <w:sz w:val="24"/>
                <w:szCs w:val="24"/>
              </w:rPr>
              <w:t>Sí</w:t>
            </w:r>
          </w:p>
        </w:tc>
        <w:tc>
          <w:tcPr>
            <w:tcW w:w="1559" w:type="dxa"/>
            <w:vAlign w:val="center"/>
          </w:tcPr>
          <w:p w:rsidR="009E0588" w:rsidRPr="008903B2" w:rsidRDefault="00F706FB" w:rsidP="008903B2">
            <w:pPr>
              <w:spacing w:after="0" w:line="240" w:lineRule="auto"/>
              <w:jc w:val="center"/>
              <w:rPr>
                <w:rFonts w:ascii="Cambria" w:hAnsi="Cambria"/>
                <w:sz w:val="24"/>
                <w:szCs w:val="24"/>
              </w:rPr>
            </w:pPr>
            <w:r w:rsidRPr="008903B2">
              <w:rPr>
                <w:rFonts w:ascii="Cambria" w:hAnsi="Cambria"/>
                <w:sz w:val="24"/>
                <w:szCs w:val="24"/>
              </w:rPr>
              <w:t>Sí</w:t>
            </w:r>
          </w:p>
        </w:tc>
        <w:tc>
          <w:tcPr>
            <w:tcW w:w="1701" w:type="dxa"/>
            <w:vAlign w:val="center"/>
          </w:tcPr>
          <w:p w:rsidR="009E0588" w:rsidRPr="008903B2" w:rsidRDefault="00AC48E9" w:rsidP="008903B2">
            <w:pPr>
              <w:spacing w:after="0" w:line="240" w:lineRule="auto"/>
              <w:jc w:val="center"/>
              <w:rPr>
                <w:rFonts w:ascii="Cambria" w:hAnsi="Cambria"/>
                <w:sz w:val="24"/>
                <w:szCs w:val="24"/>
              </w:rPr>
            </w:pPr>
            <w:r w:rsidRPr="008903B2">
              <w:rPr>
                <w:rFonts w:ascii="Cambria" w:hAnsi="Cambria"/>
                <w:sz w:val="24"/>
                <w:szCs w:val="24"/>
              </w:rPr>
              <w:t>Sí</w:t>
            </w:r>
          </w:p>
        </w:tc>
        <w:tc>
          <w:tcPr>
            <w:tcW w:w="1128" w:type="dxa"/>
            <w:vAlign w:val="center"/>
          </w:tcPr>
          <w:p w:rsidR="009E0588" w:rsidRPr="008903B2" w:rsidRDefault="009E0588" w:rsidP="008903B2">
            <w:pPr>
              <w:spacing w:after="0" w:line="240" w:lineRule="auto"/>
              <w:jc w:val="center"/>
              <w:rPr>
                <w:rFonts w:ascii="Cambria" w:hAnsi="Cambria"/>
                <w:sz w:val="24"/>
                <w:szCs w:val="24"/>
              </w:rPr>
            </w:pPr>
          </w:p>
        </w:tc>
      </w:tr>
      <w:tr w:rsidR="00E26043" w:rsidRPr="008903B2" w:rsidTr="008903B2">
        <w:tc>
          <w:tcPr>
            <w:tcW w:w="2633" w:type="dxa"/>
          </w:tcPr>
          <w:p w:rsidR="009E0588" w:rsidRPr="008903B2" w:rsidRDefault="009E0588" w:rsidP="008903B2">
            <w:pPr>
              <w:spacing w:after="0" w:line="240" w:lineRule="auto"/>
              <w:rPr>
                <w:rFonts w:ascii="Cambria" w:hAnsi="Cambria"/>
                <w:sz w:val="24"/>
                <w:szCs w:val="24"/>
              </w:rPr>
            </w:pPr>
            <w:r w:rsidRPr="008903B2">
              <w:rPr>
                <w:rFonts w:ascii="Cambria" w:hAnsi="Cambria"/>
                <w:sz w:val="24"/>
                <w:szCs w:val="24"/>
              </w:rPr>
              <w:t>Discriminación en vivienda</w:t>
            </w:r>
          </w:p>
        </w:tc>
        <w:tc>
          <w:tcPr>
            <w:tcW w:w="1473" w:type="dxa"/>
            <w:vAlign w:val="center"/>
          </w:tcPr>
          <w:p w:rsidR="009E0588" w:rsidRPr="008903B2" w:rsidRDefault="00290C37" w:rsidP="008903B2">
            <w:pPr>
              <w:spacing w:after="0" w:line="240" w:lineRule="auto"/>
              <w:jc w:val="center"/>
              <w:rPr>
                <w:rFonts w:ascii="Cambria" w:hAnsi="Cambria"/>
                <w:sz w:val="24"/>
                <w:szCs w:val="24"/>
              </w:rPr>
            </w:pPr>
            <w:r w:rsidRPr="008903B2">
              <w:rPr>
                <w:rFonts w:ascii="Cambria" w:hAnsi="Cambria"/>
                <w:sz w:val="24"/>
                <w:szCs w:val="24"/>
              </w:rPr>
              <w:t>Sí</w:t>
            </w:r>
          </w:p>
        </w:tc>
        <w:tc>
          <w:tcPr>
            <w:tcW w:w="1559" w:type="dxa"/>
            <w:vAlign w:val="center"/>
          </w:tcPr>
          <w:p w:rsidR="009E0588" w:rsidRPr="008903B2" w:rsidRDefault="00290C37" w:rsidP="008903B2">
            <w:pPr>
              <w:spacing w:after="0" w:line="240" w:lineRule="auto"/>
              <w:jc w:val="center"/>
              <w:rPr>
                <w:rFonts w:ascii="Cambria" w:hAnsi="Cambria"/>
                <w:sz w:val="24"/>
                <w:szCs w:val="24"/>
              </w:rPr>
            </w:pPr>
            <w:r w:rsidRPr="008903B2">
              <w:rPr>
                <w:rFonts w:ascii="Cambria" w:hAnsi="Cambria"/>
                <w:sz w:val="24"/>
                <w:szCs w:val="24"/>
              </w:rPr>
              <w:t>Sí</w:t>
            </w:r>
          </w:p>
        </w:tc>
        <w:tc>
          <w:tcPr>
            <w:tcW w:w="1701" w:type="dxa"/>
            <w:vAlign w:val="center"/>
          </w:tcPr>
          <w:p w:rsidR="009E0588" w:rsidRPr="008903B2" w:rsidRDefault="00290C37" w:rsidP="008903B2">
            <w:pPr>
              <w:spacing w:after="0" w:line="240" w:lineRule="auto"/>
              <w:jc w:val="center"/>
              <w:rPr>
                <w:rFonts w:ascii="Cambria" w:hAnsi="Cambria"/>
                <w:sz w:val="24"/>
                <w:szCs w:val="24"/>
              </w:rPr>
            </w:pPr>
            <w:r w:rsidRPr="008903B2">
              <w:rPr>
                <w:rFonts w:ascii="Cambria" w:hAnsi="Cambria"/>
                <w:sz w:val="24"/>
                <w:szCs w:val="24"/>
              </w:rPr>
              <w:t>Sí</w:t>
            </w:r>
          </w:p>
        </w:tc>
        <w:tc>
          <w:tcPr>
            <w:tcW w:w="1128" w:type="dxa"/>
            <w:vAlign w:val="center"/>
          </w:tcPr>
          <w:p w:rsidR="009E0588" w:rsidRPr="008903B2" w:rsidRDefault="009E0588" w:rsidP="008903B2">
            <w:pPr>
              <w:spacing w:after="0" w:line="240" w:lineRule="auto"/>
              <w:jc w:val="center"/>
              <w:rPr>
                <w:rFonts w:ascii="Cambria" w:hAnsi="Cambria"/>
                <w:sz w:val="24"/>
                <w:szCs w:val="24"/>
              </w:rPr>
            </w:pPr>
          </w:p>
        </w:tc>
      </w:tr>
    </w:tbl>
    <w:p w:rsidR="009E0588" w:rsidRPr="00772E08" w:rsidRDefault="009E0588" w:rsidP="009E0588">
      <w:pPr>
        <w:jc w:val="both"/>
        <w:rPr>
          <w:rFonts w:ascii="Cambria" w:hAnsi="Cambria"/>
          <w:sz w:val="24"/>
          <w:szCs w:val="24"/>
        </w:rPr>
      </w:pPr>
    </w:p>
    <w:p w:rsidR="00E919F4" w:rsidRPr="00772E08" w:rsidRDefault="00E919F4" w:rsidP="00E919F4">
      <w:pPr>
        <w:pStyle w:val="ListParagraph"/>
        <w:numPr>
          <w:ilvl w:val="0"/>
          <w:numId w:val="2"/>
        </w:numPr>
        <w:jc w:val="both"/>
        <w:rPr>
          <w:rFonts w:ascii="Cambria" w:hAnsi="Cambria"/>
          <w:sz w:val="24"/>
          <w:szCs w:val="24"/>
        </w:rPr>
      </w:pPr>
      <w:r w:rsidRPr="00772E08">
        <w:rPr>
          <w:rFonts w:ascii="Cambria" w:hAnsi="Cambria"/>
          <w:sz w:val="24"/>
          <w:szCs w:val="24"/>
        </w:rPr>
        <w:t xml:space="preserve">¿Cuál es la </w:t>
      </w:r>
      <w:r w:rsidRPr="00772E08">
        <w:rPr>
          <w:rFonts w:ascii="Cambria" w:hAnsi="Cambria"/>
          <w:b/>
          <w:sz w:val="24"/>
          <w:szCs w:val="24"/>
          <w:u w:val="single"/>
        </w:rPr>
        <w:t>base formal para la distribución de responsabilidades</w:t>
      </w:r>
      <w:r w:rsidRPr="00772E08">
        <w:rPr>
          <w:rFonts w:ascii="Cambria" w:hAnsi="Cambria"/>
          <w:sz w:val="24"/>
          <w:szCs w:val="24"/>
        </w:rPr>
        <w:t>? Por favor señale el (los) artículo(s) específico(s) y, de ser posible, envíe una copia o un enlace:</w:t>
      </w:r>
    </w:p>
    <w:p w:rsidR="00E919F4" w:rsidRPr="00772E08" w:rsidRDefault="00E919F4" w:rsidP="00E919F4">
      <w:pPr>
        <w:jc w:val="both"/>
        <w:rPr>
          <w:rFonts w:ascii="Cambria" w:hAnsi="Cambria"/>
          <w:sz w:val="24"/>
          <w:szCs w:val="24"/>
        </w:rPr>
      </w:pPr>
      <w:r w:rsidRPr="00772E08">
        <w:rPr>
          <w:rFonts w:ascii="Cambria" w:hAnsi="Cambria"/>
          <w:sz w:val="24"/>
          <w:szCs w:val="24"/>
          <w:bdr w:val="single" w:sz="4" w:space="0" w:color="auto"/>
        </w:rPr>
        <w:t xml:space="preserve"> </w:t>
      </w:r>
      <w:r w:rsidR="00290C37" w:rsidRPr="00772E08">
        <w:rPr>
          <w:rFonts w:ascii="Cambria" w:hAnsi="Cambria"/>
          <w:sz w:val="24"/>
          <w:szCs w:val="24"/>
          <w:bdr w:val="single" w:sz="4" w:space="0" w:color="auto"/>
        </w:rPr>
        <w:t>x</w:t>
      </w:r>
      <w:r w:rsidRPr="00772E08">
        <w:rPr>
          <w:rFonts w:ascii="Cambria" w:hAnsi="Cambria"/>
          <w:sz w:val="24"/>
          <w:szCs w:val="24"/>
          <w:bdr w:val="single" w:sz="4" w:space="0" w:color="auto"/>
        </w:rPr>
        <w:t xml:space="preserve">  </w:t>
      </w:r>
      <w:r w:rsidRPr="00772E08">
        <w:rPr>
          <w:rFonts w:ascii="Cambria" w:hAnsi="Cambria"/>
          <w:sz w:val="24"/>
          <w:szCs w:val="24"/>
        </w:rPr>
        <w:t xml:space="preserve">  Constitucional</w:t>
      </w:r>
    </w:p>
    <w:p w:rsidR="00290C37" w:rsidRPr="0050594D" w:rsidRDefault="00290C37" w:rsidP="00290C37">
      <w:pPr>
        <w:widowControl w:val="0"/>
        <w:jc w:val="both"/>
        <w:rPr>
          <w:rFonts w:ascii="Cambria" w:hAnsi="Cambria"/>
          <w:snapToGrid w:val="0"/>
          <w:sz w:val="24"/>
          <w:szCs w:val="24"/>
        </w:rPr>
      </w:pPr>
      <w:r w:rsidRPr="0050594D">
        <w:rPr>
          <w:rFonts w:ascii="Cambria" w:hAnsi="Cambria"/>
          <w:snapToGrid w:val="0"/>
          <w:sz w:val="24"/>
          <w:szCs w:val="24"/>
        </w:rPr>
        <w:t xml:space="preserve">La </w:t>
      </w:r>
      <w:r w:rsidR="00FA574B" w:rsidRPr="0050594D">
        <w:rPr>
          <w:rFonts w:ascii="Cambria" w:hAnsi="Cambria"/>
          <w:snapToGrid w:val="0"/>
          <w:sz w:val="24"/>
          <w:szCs w:val="24"/>
        </w:rPr>
        <w:t>Constitución Española de 1978</w:t>
      </w:r>
      <w:r w:rsidRPr="0050594D">
        <w:rPr>
          <w:rFonts w:ascii="Cambria" w:hAnsi="Cambria"/>
          <w:snapToGrid w:val="0"/>
          <w:sz w:val="24"/>
          <w:szCs w:val="24"/>
        </w:rPr>
        <w:t xml:space="preserve"> establece en su artículo 148. 1. Que “Las Comunidades Autónomas podrán asumir competencias en […] Ordenación del territorio, urbanismo y vivienda.”. En virtud de dicho artículo todas las Comunidades han asumido la competencia exclusiva en materia de vivienda en sus respectivos Estatutos de Autonomía.</w:t>
      </w:r>
    </w:p>
    <w:p w:rsidR="00290C37" w:rsidRPr="0050594D" w:rsidRDefault="00290C37" w:rsidP="00290C37">
      <w:pPr>
        <w:widowControl w:val="0"/>
        <w:jc w:val="both"/>
        <w:rPr>
          <w:rFonts w:ascii="Cambria" w:hAnsi="Cambria"/>
          <w:snapToGrid w:val="0"/>
          <w:sz w:val="24"/>
          <w:szCs w:val="24"/>
        </w:rPr>
      </w:pPr>
      <w:r w:rsidRPr="0050594D">
        <w:rPr>
          <w:rFonts w:ascii="Cambria" w:hAnsi="Cambria"/>
          <w:snapToGrid w:val="0"/>
          <w:sz w:val="24"/>
          <w:szCs w:val="24"/>
        </w:rPr>
        <w:t xml:space="preserve">Sin perjuicio de lo expuesto, de acuerdo con el artículo 149.1., corresponde al Estado “La regulación de las condiciones básicas que garanticen la igualdad de </w:t>
      </w:r>
      <w:r w:rsidRPr="0050594D">
        <w:rPr>
          <w:rFonts w:ascii="Cambria" w:hAnsi="Cambria"/>
          <w:snapToGrid w:val="0"/>
          <w:sz w:val="24"/>
          <w:szCs w:val="24"/>
        </w:rPr>
        <w:lastRenderedPageBreak/>
        <w:t xml:space="preserve">todos los españoles en el ejercicio de los derechos y en el cumplimiento de los deberes constitucionales.”. </w:t>
      </w:r>
    </w:p>
    <w:p w:rsidR="002A53DD" w:rsidRPr="0050594D" w:rsidRDefault="00290C37" w:rsidP="002A53DD">
      <w:pPr>
        <w:widowControl w:val="0"/>
        <w:jc w:val="both"/>
        <w:rPr>
          <w:rFonts w:ascii="Cambria" w:hAnsi="Cambria"/>
          <w:snapToGrid w:val="0"/>
          <w:sz w:val="24"/>
          <w:szCs w:val="24"/>
        </w:rPr>
      </w:pPr>
      <w:r w:rsidRPr="0050594D">
        <w:rPr>
          <w:rFonts w:ascii="Cambria" w:hAnsi="Cambria"/>
          <w:snapToGrid w:val="0"/>
          <w:sz w:val="24"/>
          <w:szCs w:val="24"/>
        </w:rPr>
        <w:t xml:space="preserve">Asimismo el artículo </w:t>
      </w:r>
      <w:r w:rsidR="002A53DD" w:rsidRPr="0050594D">
        <w:rPr>
          <w:rFonts w:ascii="Cambria" w:hAnsi="Cambria"/>
          <w:snapToGrid w:val="0"/>
          <w:sz w:val="24"/>
          <w:szCs w:val="24"/>
        </w:rPr>
        <w:t>47</w:t>
      </w:r>
      <w:r w:rsidRPr="0050594D">
        <w:rPr>
          <w:rFonts w:ascii="Cambria" w:hAnsi="Cambria"/>
          <w:snapToGrid w:val="0"/>
          <w:sz w:val="24"/>
          <w:szCs w:val="24"/>
        </w:rPr>
        <w:t xml:space="preserve"> de la Constitución establece que” T</w:t>
      </w:r>
      <w:r w:rsidR="002A53DD" w:rsidRPr="0050594D">
        <w:rPr>
          <w:rFonts w:ascii="Cambria" w:hAnsi="Cambria"/>
          <w:snapToGrid w:val="0"/>
          <w:sz w:val="24"/>
          <w:szCs w:val="24"/>
        </w:rPr>
        <w:t>odos los españoles tienen derecho a disfrutar de una vivienda digna y adecuada</w:t>
      </w:r>
      <w:r w:rsidRPr="0050594D">
        <w:rPr>
          <w:rFonts w:ascii="Cambria" w:hAnsi="Cambria"/>
          <w:snapToGrid w:val="0"/>
          <w:sz w:val="24"/>
          <w:szCs w:val="24"/>
        </w:rPr>
        <w:t>” [por lo que]“</w:t>
      </w:r>
      <w:r w:rsidR="002A53DD" w:rsidRPr="0050594D">
        <w:rPr>
          <w:rFonts w:ascii="Cambria" w:hAnsi="Cambria"/>
          <w:snapToGrid w:val="0"/>
          <w:sz w:val="24"/>
          <w:szCs w:val="24"/>
        </w:rPr>
        <w:t>Los poderes públicos promoverán las condiciones necesarias y establecerán las normas pertinentes para hacer efectivo este derecho, regulando la utilización del suelo de acuerdo con el interés general para impedir la especulación. La comunidad participará en las plusvalías que genere la acción urbanística de los entes públicos.</w:t>
      </w:r>
      <w:r w:rsidRPr="0050594D">
        <w:rPr>
          <w:rFonts w:ascii="Cambria" w:hAnsi="Cambria"/>
          <w:snapToGrid w:val="0"/>
          <w:sz w:val="24"/>
          <w:szCs w:val="24"/>
        </w:rPr>
        <w:t>” En este sentido el a</w:t>
      </w:r>
      <w:r w:rsidR="002A53DD" w:rsidRPr="0050594D">
        <w:rPr>
          <w:rFonts w:ascii="Cambria" w:hAnsi="Cambria"/>
          <w:snapToGrid w:val="0"/>
          <w:sz w:val="24"/>
          <w:szCs w:val="24"/>
        </w:rPr>
        <w:t xml:space="preserve">rtículo 50. </w:t>
      </w:r>
      <w:r w:rsidRPr="0050594D">
        <w:rPr>
          <w:rFonts w:ascii="Cambria" w:hAnsi="Cambria"/>
          <w:snapToGrid w:val="0"/>
          <w:sz w:val="24"/>
          <w:szCs w:val="24"/>
        </w:rPr>
        <w:t xml:space="preserve"> Añade que “</w:t>
      </w:r>
      <w:r w:rsidR="002A53DD" w:rsidRPr="0050594D">
        <w:rPr>
          <w:rFonts w:ascii="Cambria" w:hAnsi="Cambria"/>
          <w:snapToGrid w:val="0"/>
          <w:sz w:val="24"/>
          <w:szCs w:val="24"/>
        </w:rPr>
        <w:t>Los poderes públicos garantizarán, mediante pensiones adecuadas y periódicamente actualizadas, la suficiencia económica a los ciudadanos durante la tercera edad. Asimismo, y con independencia de las obligaciones familiares, promoverán su bienestar mediante un sistema de servicios sociales que atenderán sus problemas específicos de salud, vivienda, cultura y ocio.</w:t>
      </w:r>
      <w:r w:rsidRPr="0050594D">
        <w:rPr>
          <w:rFonts w:ascii="Cambria" w:hAnsi="Cambria"/>
          <w:snapToGrid w:val="0"/>
          <w:sz w:val="24"/>
          <w:szCs w:val="24"/>
        </w:rPr>
        <w:t>”</w:t>
      </w:r>
    </w:p>
    <w:p w:rsidR="00290C37" w:rsidRPr="00772E08" w:rsidRDefault="00E96A61" w:rsidP="007A5159">
      <w:pPr>
        <w:widowControl w:val="0"/>
        <w:jc w:val="both"/>
        <w:rPr>
          <w:rFonts w:ascii="Cambria" w:hAnsi="Cambria"/>
          <w:sz w:val="24"/>
          <w:szCs w:val="24"/>
        </w:rPr>
      </w:pPr>
      <w:r>
        <w:rPr>
          <w:rFonts w:ascii="Cambria" w:hAnsi="Cambria"/>
          <w:sz w:val="24"/>
          <w:szCs w:val="24"/>
        </w:rPr>
        <w:t>Por su parte, la Constitución española reconoce a los Ayuntamientos autonomía para la gestión de sus respectivos intereses (artículo 140), dentro de los cuales está también garantizar en la medida de sus posibilidades, el acceso de los ciudadanos a una vivienda digna y adecuada.</w:t>
      </w:r>
    </w:p>
    <w:p w:rsidR="002A53DD" w:rsidRPr="00772E08" w:rsidRDefault="007665CC" w:rsidP="007A5159">
      <w:pPr>
        <w:widowControl w:val="0"/>
        <w:jc w:val="both"/>
        <w:rPr>
          <w:rFonts w:ascii="Cambria" w:hAnsi="Cambria"/>
          <w:sz w:val="24"/>
          <w:szCs w:val="24"/>
        </w:rPr>
      </w:pPr>
      <w:hyperlink r:id="rId8" w:history="1">
        <w:r w:rsidR="00E526C9" w:rsidRPr="00772E08">
          <w:rPr>
            <w:rStyle w:val="Hyperlink"/>
            <w:rFonts w:ascii="Cambria" w:hAnsi="Cambria"/>
            <w:sz w:val="24"/>
            <w:szCs w:val="24"/>
          </w:rPr>
          <w:t>http://noticias.juridicas.com/base_datos/Admin/constitucion.html</w:t>
        </w:r>
      </w:hyperlink>
    </w:p>
    <w:p w:rsidR="00E526C9" w:rsidRPr="00772E08" w:rsidRDefault="00E526C9" w:rsidP="00E919F4">
      <w:pPr>
        <w:jc w:val="both"/>
        <w:rPr>
          <w:rFonts w:ascii="Cambria" w:hAnsi="Cambria"/>
          <w:sz w:val="24"/>
          <w:szCs w:val="24"/>
        </w:rPr>
      </w:pPr>
    </w:p>
    <w:p w:rsidR="00E919F4" w:rsidRPr="00772E08" w:rsidRDefault="00E919F4" w:rsidP="00E919F4">
      <w:pPr>
        <w:jc w:val="both"/>
        <w:rPr>
          <w:rFonts w:ascii="Cambria" w:hAnsi="Cambria"/>
          <w:sz w:val="24"/>
          <w:szCs w:val="24"/>
        </w:rPr>
      </w:pPr>
      <w:r w:rsidRPr="00772E08">
        <w:rPr>
          <w:rFonts w:ascii="Cambria" w:hAnsi="Cambria"/>
          <w:sz w:val="24"/>
          <w:szCs w:val="24"/>
          <w:bdr w:val="single" w:sz="4" w:space="0" w:color="auto"/>
        </w:rPr>
        <w:t xml:space="preserve"> </w:t>
      </w:r>
      <w:r w:rsidR="00290C37" w:rsidRPr="00772E08">
        <w:rPr>
          <w:rFonts w:ascii="Cambria" w:hAnsi="Cambria"/>
          <w:sz w:val="24"/>
          <w:szCs w:val="24"/>
          <w:bdr w:val="single" w:sz="4" w:space="0" w:color="auto"/>
        </w:rPr>
        <w:t>x</w:t>
      </w:r>
      <w:r w:rsidRPr="00772E08">
        <w:rPr>
          <w:rFonts w:ascii="Cambria" w:hAnsi="Cambria"/>
          <w:sz w:val="24"/>
          <w:szCs w:val="24"/>
          <w:bdr w:val="single" w:sz="4" w:space="0" w:color="auto"/>
        </w:rPr>
        <w:t xml:space="preserve">   </w:t>
      </w:r>
      <w:r w:rsidRPr="00772E08">
        <w:rPr>
          <w:rFonts w:ascii="Cambria" w:hAnsi="Cambria"/>
          <w:sz w:val="24"/>
          <w:szCs w:val="24"/>
        </w:rPr>
        <w:t xml:space="preserve">  Legislación nacional-orgánica-, o estrategia nacional de vivienda</w:t>
      </w:r>
      <w:r w:rsidR="00290C37" w:rsidRPr="00772E08">
        <w:rPr>
          <w:rFonts w:ascii="Cambria" w:hAnsi="Cambria"/>
          <w:sz w:val="24"/>
          <w:szCs w:val="24"/>
        </w:rPr>
        <w:t>.</w:t>
      </w:r>
    </w:p>
    <w:p w:rsidR="00301041" w:rsidRPr="00772E08" w:rsidRDefault="00301041" w:rsidP="00220289">
      <w:pPr>
        <w:jc w:val="both"/>
        <w:rPr>
          <w:rFonts w:ascii="Cambria" w:hAnsi="Cambria"/>
          <w:color w:val="000000"/>
          <w:sz w:val="24"/>
          <w:szCs w:val="24"/>
        </w:rPr>
      </w:pPr>
    </w:p>
    <w:p w:rsidR="00D41069" w:rsidRPr="0050594D" w:rsidRDefault="00220289" w:rsidP="00220289">
      <w:pPr>
        <w:jc w:val="both"/>
        <w:rPr>
          <w:rFonts w:ascii="Cambria" w:hAnsi="Cambria"/>
          <w:sz w:val="24"/>
          <w:szCs w:val="24"/>
        </w:rPr>
      </w:pPr>
      <w:r w:rsidRPr="0050594D">
        <w:rPr>
          <w:rFonts w:ascii="Cambria" w:hAnsi="Cambria"/>
          <w:sz w:val="24"/>
          <w:szCs w:val="24"/>
        </w:rPr>
        <w:t>La garantía constitucional del disfrute de una vivienda digna y adecuada, como responsabilidad compartida de todos los poderes públicos, se ha venido procurando durante los últimos años, mediante distintas políticas, entre las cuales,</w:t>
      </w:r>
      <w:r w:rsidR="00351F1E" w:rsidRPr="0050594D">
        <w:rPr>
          <w:rFonts w:ascii="Cambria" w:hAnsi="Cambria"/>
          <w:sz w:val="24"/>
          <w:szCs w:val="24"/>
        </w:rPr>
        <w:t xml:space="preserve"> se pueden destacar </w:t>
      </w:r>
      <w:r w:rsidR="00D41069" w:rsidRPr="0050594D">
        <w:rPr>
          <w:rFonts w:ascii="Cambria" w:hAnsi="Cambria"/>
          <w:sz w:val="24"/>
          <w:szCs w:val="24"/>
        </w:rPr>
        <w:t xml:space="preserve"> a nivel estatal las siguientes:</w:t>
      </w:r>
    </w:p>
    <w:p w:rsidR="00D41069" w:rsidRPr="0050594D" w:rsidRDefault="00D41069" w:rsidP="00D41069">
      <w:pPr>
        <w:pStyle w:val="ListParagraph"/>
        <w:numPr>
          <w:ilvl w:val="0"/>
          <w:numId w:val="9"/>
        </w:numPr>
        <w:jc w:val="both"/>
        <w:rPr>
          <w:rFonts w:ascii="Cambria" w:hAnsi="Cambria"/>
          <w:sz w:val="24"/>
          <w:szCs w:val="24"/>
        </w:rPr>
      </w:pPr>
      <w:r w:rsidRPr="0050594D">
        <w:rPr>
          <w:rFonts w:ascii="Cambria" w:hAnsi="Cambria"/>
          <w:sz w:val="24"/>
          <w:szCs w:val="24"/>
        </w:rPr>
        <w:t>A</w:t>
      </w:r>
      <w:r w:rsidR="00351F1E" w:rsidRPr="0050594D">
        <w:rPr>
          <w:rFonts w:ascii="Cambria" w:hAnsi="Cambria"/>
          <w:sz w:val="24"/>
          <w:szCs w:val="24"/>
        </w:rPr>
        <w:t xml:space="preserve">quellas que, de conformidad con lo establecido por el artículo 10 del Texto Refundido de la Ley de Suelo </w:t>
      </w:r>
      <w:r w:rsidRPr="0050594D">
        <w:rPr>
          <w:rFonts w:ascii="Cambria" w:hAnsi="Cambria"/>
          <w:sz w:val="24"/>
          <w:szCs w:val="24"/>
        </w:rPr>
        <w:t xml:space="preserve">(https://www.boe.es/buscar/act.php?id=BOE-A-2008-10792) </w:t>
      </w:r>
      <w:r w:rsidR="00351F1E" w:rsidRPr="0050594D">
        <w:rPr>
          <w:rFonts w:ascii="Cambria" w:hAnsi="Cambria"/>
          <w:sz w:val="24"/>
          <w:szCs w:val="24"/>
        </w:rPr>
        <w:t>obliga a la legislación de ordenación territorial y urbanística a destinar suelo adecuado y suficiente para la construcción de vivienda sujeta a un régimen de protección pública</w:t>
      </w:r>
      <w:r w:rsidR="00E96A61" w:rsidRPr="0050594D">
        <w:rPr>
          <w:rFonts w:ascii="Cambria" w:hAnsi="Cambria"/>
          <w:sz w:val="24"/>
          <w:szCs w:val="24"/>
        </w:rPr>
        <w:t xml:space="preserve"> (en concreto, un 30% como mínimo, de todo el suelo urbanizable con uso residencial)</w:t>
      </w:r>
      <w:r w:rsidR="00351F1E" w:rsidRPr="0050594D">
        <w:rPr>
          <w:rFonts w:ascii="Cambria" w:hAnsi="Cambria"/>
          <w:sz w:val="24"/>
          <w:szCs w:val="24"/>
        </w:rPr>
        <w:t xml:space="preserve"> </w:t>
      </w:r>
    </w:p>
    <w:p w:rsidR="00351F1E" w:rsidRPr="0050594D" w:rsidRDefault="00D41069" w:rsidP="00D41069">
      <w:pPr>
        <w:pStyle w:val="ListParagraph"/>
        <w:numPr>
          <w:ilvl w:val="0"/>
          <w:numId w:val="9"/>
        </w:numPr>
        <w:jc w:val="both"/>
        <w:rPr>
          <w:rFonts w:ascii="Cambria" w:hAnsi="Cambria"/>
          <w:sz w:val="24"/>
          <w:szCs w:val="24"/>
        </w:rPr>
      </w:pPr>
      <w:r w:rsidRPr="0050594D">
        <w:rPr>
          <w:rFonts w:ascii="Cambria" w:hAnsi="Cambria"/>
          <w:sz w:val="24"/>
          <w:szCs w:val="24"/>
        </w:rPr>
        <w:t>L</w:t>
      </w:r>
      <w:r w:rsidR="00351F1E" w:rsidRPr="0050594D">
        <w:rPr>
          <w:rFonts w:ascii="Cambria" w:hAnsi="Cambria"/>
          <w:sz w:val="24"/>
          <w:szCs w:val="24"/>
        </w:rPr>
        <w:t>as que tienen por objeto flexibilizar y fomentar el régimen previsto para el arrendamiento de viviendas (</w:t>
      </w:r>
      <w:hyperlink r:id="rId9" w:history="1">
        <w:r w:rsidRPr="0050594D">
          <w:rPr>
            <w:rStyle w:val="Hyperlink"/>
            <w:rFonts w:ascii="Cambria" w:hAnsi="Cambria"/>
            <w:color w:val="auto"/>
            <w:sz w:val="24"/>
            <w:szCs w:val="24"/>
          </w:rPr>
          <w:t>http://www.boe.es/boe/dias/2013/06/05/pdfs/BOE-A-2013-5941.pdf</w:t>
        </w:r>
      </w:hyperlink>
      <w:r w:rsidR="00351F1E" w:rsidRPr="0050594D">
        <w:rPr>
          <w:rFonts w:ascii="Cambria" w:hAnsi="Cambria"/>
          <w:sz w:val="24"/>
          <w:szCs w:val="24"/>
        </w:rPr>
        <w:t>)</w:t>
      </w:r>
      <w:r w:rsidRPr="0050594D">
        <w:rPr>
          <w:rFonts w:ascii="Cambria" w:hAnsi="Cambria"/>
          <w:sz w:val="24"/>
          <w:szCs w:val="24"/>
        </w:rPr>
        <w:t xml:space="preserve"> y</w:t>
      </w:r>
    </w:p>
    <w:p w:rsidR="00E2603A" w:rsidRPr="0050594D" w:rsidRDefault="00D41069" w:rsidP="00E2603A">
      <w:pPr>
        <w:pStyle w:val="ListParagraph"/>
        <w:numPr>
          <w:ilvl w:val="0"/>
          <w:numId w:val="9"/>
        </w:numPr>
        <w:jc w:val="both"/>
        <w:rPr>
          <w:rFonts w:ascii="Cambria" w:hAnsi="Cambria"/>
          <w:sz w:val="24"/>
          <w:szCs w:val="24"/>
        </w:rPr>
      </w:pPr>
      <w:r w:rsidRPr="0050594D">
        <w:rPr>
          <w:rFonts w:ascii="Cambria" w:hAnsi="Cambria"/>
          <w:sz w:val="24"/>
          <w:szCs w:val="24"/>
        </w:rPr>
        <w:t>L</w:t>
      </w:r>
      <w:r w:rsidR="00220289" w:rsidRPr="0050594D">
        <w:rPr>
          <w:rFonts w:ascii="Cambria" w:hAnsi="Cambria"/>
          <w:sz w:val="24"/>
          <w:szCs w:val="24"/>
        </w:rPr>
        <w:t xml:space="preserve">as correspondientes al ámbito fiscal y de ayudas públicas para la adquisición de viviendas libres, o protegidas, han tenido una amplia repercusión. </w:t>
      </w:r>
      <w:r w:rsidR="00E2603A" w:rsidRPr="0050594D">
        <w:rPr>
          <w:rFonts w:ascii="Cambria" w:hAnsi="Cambria"/>
          <w:sz w:val="24"/>
          <w:szCs w:val="24"/>
        </w:rPr>
        <w:t xml:space="preserve"> Estas políticas se han visto representadas en el ámbito de l</w:t>
      </w:r>
      <w:r w:rsidR="00220289" w:rsidRPr="0050594D">
        <w:rPr>
          <w:rFonts w:ascii="Cambria" w:hAnsi="Cambria"/>
          <w:sz w:val="24"/>
          <w:szCs w:val="24"/>
        </w:rPr>
        <w:t>a Administración General de Estado</w:t>
      </w:r>
      <w:r w:rsidR="00E2603A" w:rsidRPr="0050594D">
        <w:rPr>
          <w:rFonts w:ascii="Cambria" w:hAnsi="Cambria"/>
          <w:sz w:val="24"/>
          <w:szCs w:val="24"/>
        </w:rPr>
        <w:t xml:space="preserve">, desde 1980, por la aprobación cuatrienal de planes estatales de ayuda a la vivienda. En la actualidad está vigente el </w:t>
      </w:r>
      <w:r w:rsidR="00E2603A" w:rsidRPr="0050594D">
        <w:rPr>
          <w:rFonts w:ascii="Cambria" w:hAnsi="Cambria"/>
          <w:iCs/>
          <w:sz w:val="24"/>
          <w:szCs w:val="24"/>
        </w:rPr>
        <w:lastRenderedPageBreak/>
        <w:t>Plan Estatal de fomento del alquiler de viviendas, la rehabilitación edificatoria, y la regeneración y renovación urbanas, 2013-2016.</w:t>
      </w:r>
      <w:r w:rsidR="00E2603A" w:rsidRPr="0050594D">
        <w:rPr>
          <w:rFonts w:ascii="Cambria" w:hAnsi="Cambria"/>
          <w:sz w:val="24"/>
          <w:szCs w:val="24"/>
        </w:rPr>
        <w:t xml:space="preserve"> </w:t>
      </w:r>
      <w:r w:rsidR="00E96A61" w:rsidRPr="0050594D">
        <w:rPr>
          <w:rFonts w:ascii="Cambria" w:hAnsi="Cambria"/>
          <w:sz w:val="24"/>
          <w:szCs w:val="24"/>
        </w:rPr>
        <w:t>Se trata d</w:t>
      </w:r>
      <w:r w:rsidR="00E2603A" w:rsidRPr="0050594D">
        <w:rPr>
          <w:rFonts w:ascii="Cambria" w:hAnsi="Cambria"/>
          <w:sz w:val="24"/>
          <w:szCs w:val="24"/>
        </w:rPr>
        <w:t xml:space="preserve">el pilar </w:t>
      </w:r>
      <w:r w:rsidR="00E96A61" w:rsidRPr="0050594D">
        <w:rPr>
          <w:rFonts w:ascii="Cambria" w:hAnsi="Cambria"/>
          <w:sz w:val="24"/>
          <w:szCs w:val="24"/>
        </w:rPr>
        <w:t xml:space="preserve">de fomento e incentivos públicos a través del cual se </w:t>
      </w:r>
      <w:r w:rsidR="00E2603A" w:rsidRPr="0050594D">
        <w:rPr>
          <w:rFonts w:ascii="Cambria" w:hAnsi="Cambria"/>
          <w:sz w:val="24"/>
          <w:szCs w:val="24"/>
        </w:rPr>
        <w:t>financi</w:t>
      </w:r>
      <w:r w:rsidR="00E96A61" w:rsidRPr="0050594D">
        <w:rPr>
          <w:rFonts w:ascii="Cambria" w:hAnsi="Cambria"/>
          <w:sz w:val="24"/>
          <w:szCs w:val="24"/>
        </w:rPr>
        <w:t>a</w:t>
      </w:r>
      <w:r w:rsidR="00E2603A" w:rsidRPr="0050594D">
        <w:rPr>
          <w:rFonts w:ascii="Cambria" w:hAnsi="Cambria"/>
          <w:sz w:val="24"/>
          <w:szCs w:val="24"/>
        </w:rPr>
        <w:t xml:space="preserve"> la política general del Gobierno</w:t>
      </w:r>
      <w:r w:rsidR="00E96A61" w:rsidRPr="0050594D">
        <w:rPr>
          <w:rFonts w:ascii="Cambria" w:hAnsi="Cambria"/>
          <w:sz w:val="24"/>
          <w:szCs w:val="24"/>
        </w:rPr>
        <w:t>, plasmada en dos</w:t>
      </w:r>
      <w:r w:rsidR="00301041" w:rsidRPr="0050594D">
        <w:rPr>
          <w:rFonts w:ascii="Cambria" w:hAnsi="Cambria"/>
          <w:sz w:val="24"/>
          <w:szCs w:val="24"/>
        </w:rPr>
        <w:t xml:space="preserve"> iniciativas legislativas</w:t>
      </w:r>
      <w:r w:rsidR="005B3E1A" w:rsidRPr="0050594D">
        <w:rPr>
          <w:rFonts w:ascii="Cambria" w:hAnsi="Cambria"/>
          <w:sz w:val="24"/>
          <w:szCs w:val="24"/>
        </w:rPr>
        <w:t>:</w:t>
      </w:r>
      <w:r w:rsidR="00E2603A" w:rsidRPr="0050594D">
        <w:rPr>
          <w:rFonts w:ascii="Cambria" w:hAnsi="Cambria"/>
          <w:sz w:val="24"/>
          <w:szCs w:val="24"/>
        </w:rPr>
        <w:t xml:space="preserve"> la Ley de Medidas de Flexibilización y Fomento del Alquiler de Viviendas y el anteproyecto de Ley de rehabilitación, regeneración y renovación urbana. Dichas iniciativas forman parte junto con este Plan del Programa Nacional de Reformas del Gobierno de España </w:t>
      </w:r>
      <w:r w:rsidR="00301041" w:rsidRPr="0050594D">
        <w:rPr>
          <w:rFonts w:ascii="Cambria" w:hAnsi="Cambria"/>
          <w:sz w:val="24"/>
          <w:szCs w:val="24"/>
        </w:rPr>
        <w:t>que tienen por objetivo contribuir a</w:t>
      </w:r>
      <w:r w:rsidR="00E2603A" w:rsidRPr="0050594D">
        <w:rPr>
          <w:rFonts w:ascii="Cambria" w:hAnsi="Cambria"/>
          <w:sz w:val="24"/>
          <w:szCs w:val="24"/>
        </w:rPr>
        <w:t xml:space="preserve"> impulsar el crecimiento y la competitividad de la economía española.</w:t>
      </w:r>
    </w:p>
    <w:p w:rsidR="00E2603A" w:rsidRPr="00772E08" w:rsidRDefault="007665CC" w:rsidP="00220289">
      <w:pPr>
        <w:jc w:val="both"/>
        <w:rPr>
          <w:rFonts w:ascii="Cambria" w:hAnsi="Cambria"/>
          <w:sz w:val="24"/>
          <w:szCs w:val="24"/>
        </w:rPr>
      </w:pPr>
      <w:hyperlink r:id="rId10" w:history="1">
        <w:r w:rsidR="00E2603A" w:rsidRPr="00772E08">
          <w:rPr>
            <w:rStyle w:val="Hyperlink"/>
            <w:rFonts w:ascii="Cambria" w:hAnsi="Cambria"/>
            <w:sz w:val="24"/>
            <w:szCs w:val="24"/>
          </w:rPr>
          <w:t>http://www.fomento.gob.es/MFOM/LANG_CASTELLANO/DIRECCIONES_GENERALES/ARQ_VIVIENDA/APOYO_EMANCIPACION/PLAN_ESTATAL.htm</w:t>
        </w:r>
      </w:hyperlink>
    </w:p>
    <w:p w:rsidR="00351F1E" w:rsidRPr="00772E08" w:rsidRDefault="00351F1E" w:rsidP="00E919F4">
      <w:pPr>
        <w:jc w:val="both"/>
        <w:rPr>
          <w:rFonts w:ascii="Cambria" w:hAnsi="Cambria"/>
          <w:sz w:val="24"/>
          <w:szCs w:val="24"/>
        </w:rPr>
      </w:pPr>
    </w:p>
    <w:p w:rsidR="00E919F4" w:rsidRPr="00772E08" w:rsidRDefault="00E919F4" w:rsidP="00E919F4">
      <w:pPr>
        <w:jc w:val="both"/>
        <w:rPr>
          <w:rFonts w:ascii="Cambria" w:hAnsi="Cambria"/>
          <w:sz w:val="24"/>
          <w:szCs w:val="24"/>
        </w:rPr>
      </w:pPr>
      <w:r w:rsidRPr="00772E08">
        <w:rPr>
          <w:rFonts w:ascii="Cambria" w:hAnsi="Cambria"/>
          <w:sz w:val="24"/>
          <w:szCs w:val="24"/>
          <w:bdr w:val="single" w:sz="4" w:space="0" w:color="auto"/>
        </w:rPr>
        <w:t xml:space="preserve">    </w:t>
      </w:r>
      <w:r w:rsidRPr="00772E08">
        <w:rPr>
          <w:rFonts w:ascii="Cambria" w:hAnsi="Cambria"/>
          <w:sz w:val="24"/>
          <w:szCs w:val="24"/>
        </w:rPr>
        <w:t xml:space="preserve">  Legislación subnacional o estrategia subnacional de vivienda</w:t>
      </w:r>
    </w:p>
    <w:p w:rsidR="00E2603A" w:rsidRPr="0050594D" w:rsidRDefault="00E2603A" w:rsidP="00E2603A">
      <w:pPr>
        <w:rPr>
          <w:rFonts w:ascii="Cambria" w:hAnsi="Cambria"/>
          <w:sz w:val="24"/>
          <w:szCs w:val="24"/>
        </w:rPr>
      </w:pPr>
    </w:p>
    <w:p w:rsidR="00E2603A" w:rsidRPr="0050594D" w:rsidRDefault="00E2603A" w:rsidP="0050594D">
      <w:pPr>
        <w:jc w:val="both"/>
        <w:rPr>
          <w:rFonts w:ascii="Cambria" w:hAnsi="Cambria"/>
          <w:sz w:val="24"/>
          <w:szCs w:val="24"/>
        </w:rPr>
      </w:pPr>
      <w:r w:rsidRPr="0050594D">
        <w:rPr>
          <w:rFonts w:ascii="Cambria" w:hAnsi="Cambria"/>
          <w:sz w:val="24"/>
          <w:szCs w:val="24"/>
        </w:rPr>
        <w:t>Las Comunidades Autónomas cuentan con su propia normativa en materia de vivienda y también, en la mayoría de los casos, con sus Planes específicos de ayuda a la vivienda</w:t>
      </w:r>
      <w:r w:rsidR="005B3E1A" w:rsidRPr="0050594D">
        <w:rPr>
          <w:rFonts w:ascii="Cambria" w:hAnsi="Cambria"/>
          <w:sz w:val="24"/>
          <w:szCs w:val="24"/>
        </w:rPr>
        <w:t>, aunque la mayor parte de los mismos se apoyan en el Plan estatal</w:t>
      </w:r>
      <w:r w:rsidRPr="0050594D">
        <w:rPr>
          <w:rFonts w:ascii="Cambria" w:hAnsi="Cambria"/>
          <w:sz w:val="24"/>
          <w:szCs w:val="24"/>
        </w:rPr>
        <w:t>.</w:t>
      </w:r>
    </w:p>
    <w:p w:rsidR="00E2603A" w:rsidRPr="00772E08" w:rsidRDefault="00E2603A" w:rsidP="00E2603A">
      <w:pPr>
        <w:pStyle w:val="ListParagraph"/>
        <w:ind w:left="0"/>
        <w:rPr>
          <w:rFonts w:ascii="Cambria" w:hAnsi="Cambria"/>
          <w:color w:val="0070C0"/>
          <w:sz w:val="24"/>
          <w:szCs w:val="24"/>
        </w:rPr>
      </w:pPr>
      <w:r w:rsidRPr="00772E08">
        <w:rPr>
          <w:rFonts w:ascii="Cambria" w:hAnsi="Cambria"/>
          <w:color w:val="0070C0"/>
          <w:sz w:val="24"/>
          <w:szCs w:val="24"/>
        </w:rPr>
        <w:t>http://www.fomento.gob.es/MFOM/LANG_CASTELLANO/DIRECCIONES_GENERALES/ARQ_VIVIENDA/_INFORMACION/NORMATIVA/NORMA_AUTO/VIVIENDA/</w:t>
      </w:r>
    </w:p>
    <w:p w:rsidR="002C3551" w:rsidRPr="00772E08" w:rsidRDefault="002C3551" w:rsidP="00E919F4">
      <w:pPr>
        <w:jc w:val="both"/>
        <w:rPr>
          <w:rFonts w:ascii="Cambria" w:hAnsi="Cambria"/>
          <w:sz w:val="24"/>
          <w:szCs w:val="24"/>
        </w:rPr>
      </w:pPr>
    </w:p>
    <w:p w:rsidR="00E919F4" w:rsidRPr="00772E08" w:rsidRDefault="00E919F4" w:rsidP="00E919F4">
      <w:pPr>
        <w:jc w:val="both"/>
        <w:rPr>
          <w:rFonts w:ascii="Cambria" w:hAnsi="Cambria"/>
          <w:sz w:val="24"/>
          <w:szCs w:val="24"/>
        </w:rPr>
      </w:pPr>
      <w:r w:rsidRPr="00772E08">
        <w:rPr>
          <w:rFonts w:ascii="Cambria" w:hAnsi="Cambria"/>
          <w:sz w:val="24"/>
          <w:szCs w:val="24"/>
          <w:bdr w:val="single" w:sz="4" w:space="0" w:color="auto"/>
        </w:rPr>
        <w:t xml:space="preserve">    </w:t>
      </w:r>
      <w:r w:rsidRPr="00772E08">
        <w:rPr>
          <w:rFonts w:ascii="Cambria" w:hAnsi="Cambria"/>
          <w:sz w:val="24"/>
          <w:szCs w:val="24"/>
        </w:rPr>
        <w:t xml:space="preserve">  Acuerdo inter-gubernamental</w:t>
      </w:r>
    </w:p>
    <w:p w:rsidR="00E2603A" w:rsidRPr="00772E08" w:rsidRDefault="00E2603A" w:rsidP="00E919F4">
      <w:pPr>
        <w:jc w:val="both"/>
        <w:rPr>
          <w:rFonts w:ascii="Cambria" w:hAnsi="Cambria"/>
          <w:b/>
          <w:smallCaps/>
          <w:color w:val="FF0000"/>
          <w:sz w:val="24"/>
          <w:szCs w:val="24"/>
          <w:lang w:val="es-ES_tradnl"/>
        </w:rPr>
      </w:pPr>
    </w:p>
    <w:p w:rsidR="00E2603A" w:rsidRPr="0050594D" w:rsidRDefault="00E2603A" w:rsidP="00E919F4">
      <w:pPr>
        <w:jc w:val="both"/>
        <w:rPr>
          <w:rFonts w:ascii="Cambria" w:hAnsi="Cambria"/>
          <w:sz w:val="24"/>
          <w:szCs w:val="24"/>
          <w:lang w:val="es-ES_tradnl"/>
        </w:rPr>
      </w:pPr>
      <w:r w:rsidRPr="0050594D">
        <w:rPr>
          <w:rFonts w:ascii="Cambria" w:hAnsi="Cambria"/>
          <w:sz w:val="24"/>
          <w:szCs w:val="24"/>
          <w:lang w:val="es-ES_tradnl"/>
        </w:rPr>
        <w:t>No existe ningún acuerdo intergubernamental en materia de vivienda.</w:t>
      </w:r>
    </w:p>
    <w:p w:rsidR="00E2603A" w:rsidRPr="00772E08" w:rsidRDefault="00E2603A" w:rsidP="00E919F4">
      <w:pPr>
        <w:jc w:val="both"/>
        <w:rPr>
          <w:rFonts w:ascii="Cambria" w:hAnsi="Cambria"/>
          <w:b/>
          <w:smallCaps/>
          <w:color w:val="FF0000"/>
          <w:sz w:val="24"/>
          <w:szCs w:val="24"/>
          <w:lang w:val="es-ES_tradnl"/>
        </w:rPr>
      </w:pPr>
    </w:p>
    <w:p w:rsidR="00E919F4" w:rsidRPr="00772E08" w:rsidRDefault="00E919F4" w:rsidP="00E919F4">
      <w:pPr>
        <w:jc w:val="both"/>
        <w:rPr>
          <w:rFonts w:ascii="Cambria" w:hAnsi="Cambria"/>
          <w:sz w:val="24"/>
          <w:szCs w:val="24"/>
        </w:rPr>
      </w:pPr>
      <w:r w:rsidRPr="00772E08">
        <w:rPr>
          <w:rFonts w:ascii="Cambria" w:hAnsi="Cambria"/>
          <w:sz w:val="24"/>
          <w:szCs w:val="24"/>
          <w:bdr w:val="single" w:sz="4" w:space="0" w:color="auto"/>
        </w:rPr>
        <w:t xml:space="preserve">    </w:t>
      </w:r>
      <w:r w:rsidRPr="00772E08">
        <w:rPr>
          <w:rFonts w:ascii="Cambria" w:hAnsi="Cambria"/>
          <w:sz w:val="24"/>
          <w:szCs w:val="24"/>
        </w:rPr>
        <w:t xml:space="preserve">  Otros, por favor explicar</w:t>
      </w:r>
    </w:p>
    <w:p w:rsidR="00E56B76" w:rsidRPr="00772E08" w:rsidRDefault="00E56B76" w:rsidP="00E919F4">
      <w:pPr>
        <w:jc w:val="both"/>
        <w:rPr>
          <w:rFonts w:ascii="Cambria" w:hAnsi="Cambria"/>
          <w:sz w:val="24"/>
          <w:szCs w:val="24"/>
        </w:rPr>
      </w:pPr>
    </w:p>
    <w:p w:rsidR="009E0588" w:rsidRPr="00772E08" w:rsidRDefault="00E919F4" w:rsidP="00E919F4">
      <w:pPr>
        <w:pStyle w:val="ListParagraph"/>
        <w:numPr>
          <w:ilvl w:val="0"/>
          <w:numId w:val="2"/>
        </w:numPr>
        <w:jc w:val="both"/>
        <w:rPr>
          <w:rFonts w:ascii="Cambria" w:hAnsi="Cambria"/>
          <w:sz w:val="24"/>
          <w:szCs w:val="24"/>
        </w:rPr>
      </w:pPr>
      <w:r w:rsidRPr="00772E08">
        <w:rPr>
          <w:rFonts w:ascii="Cambria" w:hAnsi="Cambria"/>
          <w:sz w:val="24"/>
          <w:szCs w:val="24"/>
        </w:rPr>
        <w:t xml:space="preserve">¿Qué </w:t>
      </w:r>
      <w:r w:rsidRPr="00772E08">
        <w:rPr>
          <w:rFonts w:ascii="Cambria" w:hAnsi="Cambria"/>
          <w:b/>
          <w:sz w:val="24"/>
          <w:szCs w:val="24"/>
          <w:u w:val="single"/>
        </w:rPr>
        <w:t>papel tiene el gobierno central</w:t>
      </w:r>
      <w:r w:rsidRPr="00772E08">
        <w:rPr>
          <w:rFonts w:ascii="Cambria" w:hAnsi="Cambria"/>
          <w:sz w:val="24"/>
          <w:szCs w:val="24"/>
        </w:rPr>
        <w:t xml:space="preserve"> en relación con la vivienda y otros programas relacionados? ¿De qué manera se estructura el cumplimiento del derecho a la vivienda entre el nivel nacional y los niveles subnacionales de gobierno? Sírvase, de ser posible, enviar ejemplos concretos sobre la manera en que operan y los mecanismos de cumplimiento existentes.</w:t>
      </w:r>
    </w:p>
    <w:p w:rsidR="00BB4FDD" w:rsidRPr="0050594D" w:rsidRDefault="00F706FB" w:rsidP="00BB4FDD">
      <w:pPr>
        <w:jc w:val="both"/>
        <w:rPr>
          <w:rFonts w:ascii="Cambria" w:hAnsi="Cambria"/>
          <w:sz w:val="24"/>
          <w:szCs w:val="24"/>
        </w:rPr>
      </w:pPr>
      <w:r w:rsidRPr="0050594D">
        <w:rPr>
          <w:rFonts w:ascii="Cambria" w:hAnsi="Cambria"/>
          <w:sz w:val="24"/>
          <w:szCs w:val="24"/>
        </w:rPr>
        <w:t>A partir del texto constitucional, todos los poderes públicos tienen la responsabilidad compartida de garantizar el disfrute a una vivienda digna y adecuada.</w:t>
      </w:r>
    </w:p>
    <w:p w:rsidR="00F706FB" w:rsidRPr="0050594D" w:rsidRDefault="00F706FB" w:rsidP="00BB4FDD">
      <w:pPr>
        <w:jc w:val="both"/>
        <w:rPr>
          <w:rFonts w:ascii="Cambria" w:hAnsi="Cambria"/>
          <w:sz w:val="24"/>
          <w:szCs w:val="24"/>
        </w:rPr>
      </w:pPr>
      <w:r w:rsidRPr="0050594D">
        <w:rPr>
          <w:rFonts w:ascii="Cambria" w:hAnsi="Cambria"/>
          <w:sz w:val="24"/>
          <w:szCs w:val="24"/>
        </w:rPr>
        <w:t xml:space="preserve">El gobierno central elabora un </w:t>
      </w:r>
      <w:r w:rsidR="007A5159" w:rsidRPr="0050594D">
        <w:rPr>
          <w:rFonts w:ascii="Cambria" w:hAnsi="Cambria"/>
          <w:sz w:val="24"/>
          <w:szCs w:val="24"/>
          <w:u w:val="single"/>
        </w:rPr>
        <w:t>P</w:t>
      </w:r>
      <w:r w:rsidRPr="0050594D">
        <w:rPr>
          <w:rFonts w:ascii="Cambria" w:hAnsi="Cambria"/>
          <w:sz w:val="24"/>
          <w:szCs w:val="24"/>
          <w:u w:val="single"/>
        </w:rPr>
        <w:t>lan de vivienda</w:t>
      </w:r>
      <w:r w:rsidRPr="0050594D">
        <w:rPr>
          <w:rFonts w:ascii="Cambria" w:hAnsi="Cambria"/>
          <w:sz w:val="24"/>
          <w:szCs w:val="24"/>
        </w:rPr>
        <w:t xml:space="preserve"> </w:t>
      </w:r>
      <w:r w:rsidR="007A5159" w:rsidRPr="0050594D">
        <w:rPr>
          <w:rFonts w:ascii="Cambria" w:hAnsi="Cambria"/>
          <w:sz w:val="24"/>
          <w:szCs w:val="24"/>
        </w:rPr>
        <w:t xml:space="preserve">cuatrienal </w:t>
      </w:r>
      <w:r w:rsidRPr="0050594D">
        <w:rPr>
          <w:rFonts w:ascii="Cambria" w:hAnsi="Cambria"/>
          <w:sz w:val="24"/>
          <w:szCs w:val="24"/>
        </w:rPr>
        <w:t>de aplicación nacional, con la financiación correspondiente, que posteriormente se concreta y ejecuta a nivel autonómico y/o local.</w:t>
      </w:r>
      <w:r w:rsidR="005B3E1A" w:rsidRPr="0050594D">
        <w:rPr>
          <w:rFonts w:ascii="Cambria" w:hAnsi="Cambria"/>
          <w:sz w:val="24"/>
          <w:szCs w:val="24"/>
        </w:rPr>
        <w:t xml:space="preserve"> El Estado transfiere los fondfos a las CC.AA. y ellas </w:t>
      </w:r>
      <w:r w:rsidR="005B3E1A" w:rsidRPr="0050594D">
        <w:rPr>
          <w:rFonts w:ascii="Cambria" w:hAnsi="Cambria"/>
          <w:sz w:val="24"/>
          <w:szCs w:val="24"/>
        </w:rPr>
        <w:lastRenderedPageBreak/>
        <w:t xml:space="preserve">gestionan directamente las ayudas con los Ayuntamientos o con los propios ciudadanos (según el tipo de ayuda de que se trate). </w:t>
      </w:r>
    </w:p>
    <w:p w:rsidR="00222447" w:rsidRPr="0050594D" w:rsidRDefault="00F706FB" w:rsidP="00BB4FDD">
      <w:pPr>
        <w:jc w:val="both"/>
        <w:rPr>
          <w:rFonts w:ascii="Cambria" w:hAnsi="Cambria"/>
          <w:sz w:val="24"/>
          <w:szCs w:val="24"/>
        </w:rPr>
      </w:pPr>
      <w:r w:rsidRPr="0050594D">
        <w:rPr>
          <w:rFonts w:ascii="Cambria" w:hAnsi="Cambria"/>
          <w:sz w:val="24"/>
          <w:szCs w:val="24"/>
        </w:rPr>
        <w:t>Por su parte</w:t>
      </w:r>
      <w:r w:rsidR="00222447" w:rsidRPr="0050594D">
        <w:rPr>
          <w:rFonts w:ascii="Cambria" w:hAnsi="Cambria"/>
          <w:sz w:val="24"/>
          <w:szCs w:val="24"/>
        </w:rPr>
        <w:t>,</w:t>
      </w:r>
      <w:r w:rsidRPr="0050594D">
        <w:rPr>
          <w:rFonts w:ascii="Cambria" w:hAnsi="Cambria"/>
          <w:sz w:val="24"/>
          <w:szCs w:val="24"/>
        </w:rPr>
        <w:t xml:space="preserve"> </w:t>
      </w:r>
      <w:r w:rsidR="007A5159" w:rsidRPr="0050594D">
        <w:rPr>
          <w:rFonts w:ascii="Cambria" w:hAnsi="Cambria"/>
          <w:sz w:val="24"/>
          <w:szCs w:val="24"/>
        </w:rPr>
        <w:t xml:space="preserve">la mayoría de </w:t>
      </w:r>
      <w:r w:rsidRPr="0050594D">
        <w:rPr>
          <w:rFonts w:ascii="Cambria" w:hAnsi="Cambria"/>
          <w:sz w:val="24"/>
          <w:szCs w:val="24"/>
        </w:rPr>
        <w:t xml:space="preserve">las Comunidades Autónomas </w:t>
      </w:r>
      <w:r w:rsidR="007A5159" w:rsidRPr="0050594D">
        <w:rPr>
          <w:rFonts w:ascii="Cambria" w:hAnsi="Cambria"/>
          <w:sz w:val="24"/>
          <w:szCs w:val="24"/>
        </w:rPr>
        <w:t xml:space="preserve">tiene su propia </w:t>
      </w:r>
      <w:r w:rsidR="00222447" w:rsidRPr="0050594D">
        <w:rPr>
          <w:rFonts w:ascii="Cambria" w:hAnsi="Cambria"/>
          <w:sz w:val="24"/>
          <w:szCs w:val="24"/>
        </w:rPr>
        <w:t>normativa (leyes o decretos) que garantizan o favorecen el derecho de los ciudadanos a acceder a una vivienda digna y adecuada. Además, aprueban cuatrienalmente el correspondiente plan de vivienda</w:t>
      </w:r>
      <w:r w:rsidR="00FD513E" w:rsidRPr="0050594D">
        <w:rPr>
          <w:rFonts w:ascii="Cambria" w:hAnsi="Cambria"/>
          <w:sz w:val="24"/>
          <w:szCs w:val="24"/>
        </w:rPr>
        <w:t xml:space="preserve"> en desarrollo y ejecución del plan estatal.</w:t>
      </w:r>
      <w:r w:rsidR="005B3E1A" w:rsidRPr="0050594D">
        <w:rPr>
          <w:rFonts w:ascii="Cambria" w:hAnsi="Cambria"/>
          <w:sz w:val="24"/>
          <w:szCs w:val="24"/>
        </w:rPr>
        <w:t xml:space="preserve"> Normalmente incorporan fondos propios a los fondos que ya reciben desde el Estado.</w:t>
      </w:r>
    </w:p>
    <w:p w:rsidR="00FD513E" w:rsidRPr="0050594D" w:rsidRDefault="00FD513E" w:rsidP="00BB4FDD">
      <w:pPr>
        <w:jc w:val="both"/>
        <w:rPr>
          <w:rFonts w:ascii="Cambria" w:hAnsi="Cambria"/>
          <w:sz w:val="24"/>
          <w:szCs w:val="24"/>
        </w:rPr>
      </w:pPr>
      <w:r w:rsidRPr="0050594D">
        <w:rPr>
          <w:rFonts w:ascii="Cambria" w:hAnsi="Cambria"/>
          <w:sz w:val="24"/>
          <w:szCs w:val="24"/>
        </w:rPr>
        <w:t xml:space="preserve">En concreto el último plan estatal aprobado es el </w:t>
      </w:r>
      <w:hyperlink r:id="rId11" w:tgtFrame="_blank" w:tooltip="Real Decreto 233/2013 de 5 de abril, por el que se regula el Plan Estatal de fomento del alquiler de viviendas, la rehabilitación edificatoria, y la regeneración y renovación urbanas, 2013-2016. Enlace a archivo con extensión .pdf. Este enlace abre una ventana" w:history="1">
        <w:r w:rsidRPr="0050594D">
          <w:rPr>
            <w:rFonts w:ascii="Cambria" w:hAnsi="Cambria"/>
            <w:sz w:val="24"/>
            <w:szCs w:val="24"/>
          </w:rPr>
          <w:t>Plan Estatal de fomento del alquiler de viviendas, la rehabilitación edificatoria, y la regeneración y renovación urbanas, 2013-2016</w:t>
        </w:r>
      </w:hyperlink>
      <w:r w:rsidRPr="0050594D">
        <w:rPr>
          <w:rFonts w:ascii="Cambria" w:hAnsi="Cambria"/>
          <w:sz w:val="24"/>
          <w:szCs w:val="24"/>
        </w:rPr>
        <w:t>, que está siendo objeto de traslación paulatina en cada una de las distintas CCAA.</w:t>
      </w:r>
    </w:p>
    <w:p w:rsidR="005B3E1A" w:rsidRDefault="005B3E1A" w:rsidP="00BB4FDD">
      <w:pPr>
        <w:jc w:val="both"/>
        <w:rPr>
          <w:rFonts w:ascii="Cambria" w:hAnsi="Cambria"/>
          <w:sz w:val="24"/>
          <w:szCs w:val="24"/>
        </w:rPr>
      </w:pPr>
      <w:r>
        <w:rPr>
          <w:rFonts w:ascii="Cambria" w:hAnsi="Cambria"/>
          <w:sz w:val="24"/>
          <w:szCs w:val="24"/>
        </w:rPr>
        <w:t xml:space="preserve">Además, como </w:t>
      </w:r>
      <w:r w:rsidRPr="005B3E1A">
        <w:rPr>
          <w:rFonts w:ascii="Cambria" w:hAnsi="Cambria"/>
          <w:sz w:val="24"/>
          <w:szCs w:val="24"/>
        </w:rPr>
        <w:t xml:space="preserve">ejemplo concreto sobre la manera en que operan </w:t>
      </w:r>
      <w:r>
        <w:rPr>
          <w:rFonts w:ascii="Cambria" w:hAnsi="Cambria"/>
          <w:sz w:val="24"/>
          <w:szCs w:val="24"/>
        </w:rPr>
        <w:t xml:space="preserve">estas relaciones </w:t>
      </w:r>
      <w:r w:rsidRPr="005B3E1A">
        <w:rPr>
          <w:rFonts w:ascii="Cambria" w:hAnsi="Cambria"/>
          <w:sz w:val="24"/>
          <w:szCs w:val="24"/>
        </w:rPr>
        <w:t>y los mecanismos de cumplimiento existentes</w:t>
      </w:r>
      <w:r>
        <w:rPr>
          <w:rFonts w:ascii="Cambria" w:hAnsi="Cambria"/>
          <w:sz w:val="24"/>
          <w:szCs w:val="24"/>
        </w:rPr>
        <w:t xml:space="preserve">, puede aportarse la exigencia contenida en la Ley de Suelo del Estado de que los Planes urbanísticos destinen, al menos un 30% de todo el suelo con uso residencial a vivienda protegida. La </w:t>
      </w:r>
      <w:r w:rsidRPr="005B3E1A">
        <w:rPr>
          <w:rFonts w:ascii="Cambria" w:hAnsi="Cambria"/>
          <w:sz w:val="24"/>
          <w:szCs w:val="24"/>
        </w:rPr>
        <w:t xml:space="preserve">legislación urbanística </w:t>
      </w:r>
      <w:r>
        <w:rPr>
          <w:rFonts w:ascii="Cambria" w:hAnsi="Cambria"/>
          <w:sz w:val="24"/>
          <w:szCs w:val="24"/>
        </w:rPr>
        <w:t>de las CC.AA. amplía en algunos casos esta exigencia, y sube dicho % hasta un 50% (así ocurre en Madrid y Castilla-La Mancha, por ejemplo), y los órganos autonómicos controlan que los Ayuntamientos respeten estas reglas cuando elaboran sus correspondientes Planes Urbanísticos, así como que cada sector lleva su propio 30% o más, y no se acumulan esto tipo de viviendas en único lugar, impidiendo con ello que se viole el principio de cohesión social.</w:t>
      </w:r>
    </w:p>
    <w:p w:rsidR="005B3E1A" w:rsidRDefault="005B3E1A" w:rsidP="00BB4FDD">
      <w:pPr>
        <w:jc w:val="both"/>
        <w:rPr>
          <w:rFonts w:ascii="Cambria" w:hAnsi="Cambria"/>
          <w:sz w:val="24"/>
          <w:szCs w:val="24"/>
        </w:rPr>
      </w:pPr>
    </w:p>
    <w:p w:rsidR="00E919F4" w:rsidRPr="00772E08" w:rsidRDefault="00E919F4" w:rsidP="00E919F4">
      <w:pPr>
        <w:pStyle w:val="ListParagraph"/>
        <w:numPr>
          <w:ilvl w:val="0"/>
          <w:numId w:val="2"/>
        </w:numPr>
        <w:jc w:val="both"/>
        <w:rPr>
          <w:rFonts w:ascii="Cambria" w:hAnsi="Cambria"/>
          <w:sz w:val="24"/>
          <w:szCs w:val="24"/>
        </w:rPr>
      </w:pPr>
      <w:r w:rsidRPr="00772E08">
        <w:rPr>
          <w:rFonts w:ascii="Cambria" w:hAnsi="Cambria"/>
          <w:sz w:val="24"/>
          <w:szCs w:val="24"/>
        </w:rPr>
        <w:t>Cuando los gobiernos subnacionales mantienen responsabilidades cruciales en relación el derecho a una vivienda adecuada, sírvase describir cómo se lleva a cabo la coordinación de programas y políticas a nivel nacional y qué responsabilidades se mantienen en las instituciones nacionales</w:t>
      </w:r>
      <w:r w:rsidR="005F67E2" w:rsidRPr="00772E08">
        <w:rPr>
          <w:rFonts w:ascii="Cambria" w:hAnsi="Cambria"/>
          <w:sz w:val="24"/>
          <w:szCs w:val="24"/>
        </w:rPr>
        <w:t>.</w:t>
      </w:r>
    </w:p>
    <w:p w:rsidR="00301041" w:rsidRPr="0050594D" w:rsidRDefault="00301041" w:rsidP="00BB4FDD">
      <w:pPr>
        <w:jc w:val="both"/>
        <w:rPr>
          <w:rFonts w:ascii="Cambria" w:hAnsi="Cambria"/>
          <w:sz w:val="24"/>
          <w:szCs w:val="24"/>
        </w:rPr>
      </w:pPr>
      <w:r w:rsidRPr="0050594D">
        <w:rPr>
          <w:rFonts w:ascii="Cambria" w:hAnsi="Cambria"/>
          <w:sz w:val="24"/>
          <w:szCs w:val="24"/>
        </w:rPr>
        <w:t xml:space="preserve">Los gobiernos subnacionales tienen total autonomía para elaborar sus políticas en materia de vivienda con el único límite de que su regulación se ajuste a lo establecido por la Constitución. </w:t>
      </w:r>
      <w:r w:rsidR="005B3E1A" w:rsidRPr="0050594D">
        <w:rPr>
          <w:rFonts w:ascii="Cambria" w:hAnsi="Cambria"/>
          <w:sz w:val="24"/>
          <w:szCs w:val="24"/>
        </w:rPr>
        <w:t xml:space="preserve">No obstante, como la política de vivienda incide en la Economía Nacional, y la planificación de la misma corresponde al Estado, ambas Administraciones públicas deben coordinarse. No obstante, </w:t>
      </w:r>
      <w:r w:rsidR="00E031C1" w:rsidRPr="0050594D">
        <w:rPr>
          <w:rFonts w:ascii="Cambria" w:hAnsi="Cambria"/>
          <w:sz w:val="24"/>
          <w:szCs w:val="24"/>
        </w:rPr>
        <w:t>no existen grandes discrepancias entre las políticas de vivienda llevadas a cabo tanto por el Estado</w:t>
      </w:r>
      <w:r w:rsidR="005B3E1A" w:rsidRPr="0050594D">
        <w:rPr>
          <w:rFonts w:ascii="Cambria" w:hAnsi="Cambria"/>
          <w:sz w:val="24"/>
          <w:szCs w:val="24"/>
        </w:rPr>
        <w:t>,</w:t>
      </w:r>
      <w:r w:rsidR="00E031C1" w:rsidRPr="0050594D">
        <w:rPr>
          <w:rFonts w:ascii="Cambria" w:hAnsi="Cambria"/>
          <w:sz w:val="24"/>
          <w:szCs w:val="24"/>
        </w:rPr>
        <w:t xml:space="preserve"> como por las Comunidades Autónomas.</w:t>
      </w:r>
    </w:p>
    <w:p w:rsidR="00301041" w:rsidRPr="00772E08" w:rsidRDefault="00301041" w:rsidP="00BB4FDD">
      <w:pPr>
        <w:jc w:val="both"/>
        <w:rPr>
          <w:rFonts w:ascii="Cambria" w:hAnsi="Cambria"/>
          <w:color w:val="FF0000"/>
          <w:sz w:val="24"/>
          <w:szCs w:val="24"/>
        </w:rPr>
      </w:pPr>
    </w:p>
    <w:p w:rsidR="005F67E2" w:rsidRPr="00772E08" w:rsidRDefault="005F67E2" w:rsidP="00E919F4">
      <w:pPr>
        <w:pStyle w:val="ListParagraph"/>
        <w:numPr>
          <w:ilvl w:val="0"/>
          <w:numId w:val="2"/>
        </w:numPr>
        <w:jc w:val="both"/>
        <w:rPr>
          <w:rFonts w:ascii="Cambria" w:hAnsi="Cambria"/>
          <w:sz w:val="24"/>
          <w:szCs w:val="24"/>
        </w:rPr>
      </w:pPr>
      <w:r w:rsidRPr="00772E08">
        <w:rPr>
          <w:rFonts w:ascii="Cambria" w:hAnsi="Cambria"/>
          <w:sz w:val="24"/>
          <w:szCs w:val="24"/>
        </w:rPr>
        <w:t>Cuando los programas de vivienda y otros relacionados se administran al nivel subnacional, favor indicar cómo se financian estos programas: ¿Se establecen condiciones para el financiamiento que busquen garantizar que los recursos sean ejecutados de tal manera que se proteja el derecho a una vivienda adecuada? ¿Cuáles son los mecanismos de monitoreo?</w:t>
      </w:r>
    </w:p>
    <w:p w:rsidR="00BB4FDD" w:rsidRPr="00772E08" w:rsidRDefault="00BB4FDD" w:rsidP="00BB4FDD">
      <w:pPr>
        <w:pStyle w:val="ListParagraph"/>
        <w:rPr>
          <w:rFonts w:ascii="Cambria" w:hAnsi="Cambria"/>
          <w:sz w:val="24"/>
          <w:szCs w:val="24"/>
        </w:rPr>
      </w:pPr>
    </w:p>
    <w:p w:rsidR="00301041" w:rsidRPr="0050594D" w:rsidRDefault="00301041" w:rsidP="00BB4FDD">
      <w:pPr>
        <w:jc w:val="both"/>
        <w:rPr>
          <w:rFonts w:ascii="Cambria" w:hAnsi="Cambria"/>
          <w:sz w:val="24"/>
          <w:szCs w:val="24"/>
        </w:rPr>
      </w:pPr>
      <w:r w:rsidRPr="0050594D">
        <w:rPr>
          <w:rFonts w:ascii="Cambria" w:hAnsi="Cambria"/>
          <w:sz w:val="24"/>
          <w:szCs w:val="24"/>
        </w:rPr>
        <w:lastRenderedPageBreak/>
        <w:t>La</w:t>
      </w:r>
      <w:r w:rsidR="0050594D">
        <w:rPr>
          <w:rFonts w:ascii="Cambria" w:hAnsi="Cambria"/>
          <w:sz w:val="24"/>
          <w:szCs w:val="24"/>
        </w:rPr>
        <w:t>s</w:t>
      </w:r>
      <w:r w:rsidRPr="0050594D">
        <w:rPr>
          <w:rFonts w:ascii="Cambria" w:hAnsi="Cambria"/>
          <w:sz w:val="24"/>
          <w:szCs w:val="24"/>
        </w:rPr>
        <w:t xml:space="preserve"> ayudas previstas por el Plan Estatal se distribuirán de acuerdo con las condiciones y requisitos que </w:t>
      </w:r>
      <w:r w:rsidR="00E031C1" w:rsidRPr="0050594D">
        <w:rPr>
          <w:rFonts w:ascii="Cambria" w:hAnsi="Cambria"/>
          <w:sz w:val="24"/>
          <w:szCs w:val="24"/>
        </w:rPr>
        <w:t xml:space="preserve">dicho Plan </w:t>
      </w:r>
      <w:r w:rsidRPr="0050594D">
        <w:rPr>
          <w:rFonts w:ascii="Cambria" w:hAnsi="Cambria"/>
          <w:sz w:val="24"/>
          <w:szCs w:val="24"/>
        </w:rPr>
        <w:t>establece y de conformidad con los Convenios que la Admin</w:t>
      </w:r>
      <w:r w:rsidR="00E031C1" w:rsidRPr="0050594D">
        <w:rPr>
          <w:rFonts w:ascii="Cambria" w:hAnsi="Cambria"/>
          <w:sz w:val="24"/>
          <w:szCs w:val="24"/>
        </w:rPr>
        <w:t>istración</w:t>
      </w:r>
      <w:r w:rsidRPr="0050594D">
        <w:rPr>
          <w:rFonts w:ascii="Cambria" w:hAnsi="Cambria"/>
          <w:sz w:val="24"/>
          <w:szCs w:val="24"/>
        </w:rPr>
        <w:t xml:space="preserve"> General del Estado firma con cada una de las Comunidades Autónomas para </w:t>
      </w:r>
      <w:r w:rsidR="005B3E1A" w:rsidRPr="0050594D">
        <w:rPr>
          <w:rFonts w:ascii="Cambria" w:hAnsi="Cambria"/>
          <w:sz w:val="24"/>
          <w:szCs w:val="24"/>
        </w:rPr>
        <w:t xml:space="preserve">asignarles </w:t>
      </w:r>
      <w:r w:rsidRPr="0050594D">
        <w:rPr>
          <w:rFonts w:ascii="Cambria" w:hAnsi="Cambria"/>
          <w:sz w:val="24"/>
          <w:szCs w:val="24"/>
        </w:rPr>
        <w:t>los fondos</w:t>
      </w:r>
      <w:r w:rsidR="00E031C1" w:rsidRPr="0050594D">
        <w:rPr>
          <w:rFonts w:ascii="Cambria" w:hAnsi="Cambria"/>
          <w:sz w:val="24"/>
          <w:szCs w:val="24"/>
        </w:rPr>
        <w:t xml:space="preserve"> </w:t>
      </w:r>
      <w:r w:rsidR="005B3E1A" w:rsidRPr="0050594D">
        <w:rPr>
          <w:rFonts w:ascii="Cambria" w:hAnsi="Cambria"/>
          <w:sz w:val="24"/>
          <w:szCs w:val="24"/>
        </w:rPr>
        <w:t>que a cada una de ellas les corresponden (por tamaño, por población, etc.)</w:t>
      </w:r>
      <w:r w:rsidRPr="0050594D">
        <w:rPr>
          <w:rFonts w:ascii="Cambria" w:hAnsi="Cambria"/>
          <w:sz w:val="24"/>
          <w:szCs w:val="24"/>
        </w:rPr>
        <w:t>.</w:t>
      </w:r>
    </w:p>
    <w:p w:rsidR="00E031C1" w:rsidRPr="0050594D" w:rsidRDefault="00301041" w:rsidP="00BB4FDD">
      <w:pPr>
        <w:jc w:val="both"/>
        <w:rPr>
          <w:rFonts w:ascii="Cambria" w:hAnsi="Cambria"/>
          <w:sz w:val="24"/>
          <w:szCs w:val="24"/>
        </w:rPr>
      </w:pPr>
      <w:r w:rsidRPr="0050594D">
        <w:rPr>
          <w:rFonts w:ascii="Cambria" w:hAnsi="Cambria"/>
          <w:sz w:val="24"/>
          <w:szCs w:val="24"/>
        </w:rPr>
        <w:t xml:space="preserve">Además el Plan vigente condiciona la recepción de las subvenciones a la previa realización de las actuaciones subvencionadas, garantizando que la financiación se destine exclusivamente a </w:t>
      </w:r>
      <w:r w:rsidR="00E031C1" w:rsidRPr="0050594D">
        <w:rPr>
          <w:rFonts w:ascii="Cambria" w:hAnsi="Cambria"/>
          <w:sz w:val="24"/>
          <w:szCs w:val="24"/>
        </w:rPr>
        <w:t>aquello que estaba previsto.</w:t>
      </w:r>
    </w:p>
    <w:p w:rsidR="00E031C1" w:rsidRPr="0050594D" w:rsidRDefault="00E031C1" w:rsidP="00BB4FDD">
      <w:pPr>
        <w:jc w:val="both"/>
        <w:rPr>
          <w:rFonts w:ascii="Cambria" w:hAnsi="Cambria"/>
          <w:sz w:val="24"/>
          <w:szCs w:val="24"/>
        </w:rPr>
      </w:pPr>
      <w:r w:rsidRPr="0050594D">
        <w:rPr>
          <w:rFonts w:ascii="Cambria" w:hAnsi="Cambria"/>
          <w:sz w:val="24"/>
          <w:szCs w:val="24"/>
        </w:rPr>
        <w:t>La mayoría de las Comunidades Autónomas vinculan las ayudas de sus propios Planes de Vivienda a los objetivos del Plan estatal de manera que puedan ser compatibles y se aprovechen las sinergias generadas con idénticos objetivos.</w:t>
      </w:r>
    </w:p>
    <w:p w:rsidR="00BB4FDD" w:rsidRPr="0050594D" w:rsidRDefault="00BB4FDD" w:rsidP="00BB4FDD">
      <w:pPr>
        <w:jc w:val="both"/>
        <w:rPr>
          <w:rFonts w:ascii="Cambria" w:hAnsi="Cambria"/>
          <w:sz w:val="24"/>
          <w:szCs w:val="24"/>
        </w:rPr>
      </w:pPr>
    </w:p>
    <w:p w:rsidR="005F67E2" w:rsidRPr="00772E08" w:rsidRDefault="005F67E2" w:rsidP="005F67E2">
      <w:pPr>
        <w:jc w:val="both"/>
        <w:rPr>
          <w:rFonts w:ascii="Cambria" w:hAnsi="Cambria"/>
          <w:sz w:val="24"/>
          <w:szCs w:val="24"/>
        </w:rPr>
      </w:pPr>
      <w:r w:rsidRPr="00772E08">
        <w:rPr>
          <w:rFonts w:ascii="Cambria" w:hAnsi="Cambria"/>
          <w:b/>
          <w:sz w:val="24"/>
          <w:szCs w:val="24"/>
        </w:rPr>
        <w:t>B. Rendición de cuentas de los gobiernos subnacionales</w:t>
      </w:r>
    </w:p>
    <w:p w:rsidR="005F67E2" w:rsidRPr="00772E08" w:rsidRDefault="005F67E2" w:rsidP="005F67E2">
      <w:pPr>
        <w:pStyle w:val="ListParagraph"/>
        <w:numPr>
          <w:ilvl w:val="0"/>
          <w:numId w:val="5"/>
        </w:numPr>
        <w:ind w:left="426"/>
        <w:jc w:val="both"/>
        <w:rPr>
          <w:rFonts w:ascii="Cambria" w:hAnsi="Cambria"/>
          <w:sz w:val="24"/>
          <w:szCs w:val="24"/>
        </w:rPr>
      </w:pPr>
      <w:r w:rsidRPr="00772E08">
        <w:rPr>
          <w:rFonts w:ascii="Cambria" w:hAnsi="Cambria"/>
          <w:sz w:val="24"/>
          <w:szCs w:val="24"/>
        </w:rPr>
        <w:t>Conforme a los siguientes puntos, ¿están los gobiernos subnacionales obligados a rendir cuentas sobre el derecho a la vivienda adecuada?</w:t>
      </w:r>
    </w:p>
    <w:p w:rsidR="005F67E2" w:rsidRPr="00772E08" w:rsidRDefault="005F67E2" w:rsidP="00F84ACE">
      <w:pPr>
        <w:ind w:left="567"/>
        <w:jc w:val="both"/>
        <w:rPr>
          <w:rFonts w:ascii="Cambria" w:hAnsi="Cambria"/>
          <w:sz w:val="24"/>
          <w:szCs w:val="24"/>
        </w:rPr>
      </w:pPr>
      <w:r w:rsidRPr="00772E08">
        <w:rPr>
          <w:rFonts w:ascii="Cambria" w:hAnsi="Cambria"/>
          <w:sz w:val="24"/>
          <w:szCs w:val="24"/>
          <w:bdr w:val="single" w:sz="4" w:space="0" w:color="auto"/>
        </w:rPr>
        <w:t xml:space="preserve"> </w:t>
      </w:r>
      <w:r w:rsidR="005B3E1A">
        <w:rPr>
          <w:rFonts w:ascii="Cambria" w:hAnsi="Cambria"/>
          <w:sz w:val="24"/>
          <w:szCs w:val="24"/>
          <w:bdr w:val="single" w:sz="4" w:space="0" w:color="auto"/>
        </w:rPr>
        <w:t xml:space="preserve"> No  </w:t>
      </w:r>
      <w:r w:rsidRPr="00772E08">
        <w:rPr>
          <w:rFonts w:ascii="Cambria" w:hAnsi="Cambria"/>
          <w:sz w:val="24"/>
          <w:szCs w:val="24"/>
        </w:rPr>
        <w:t>Derecho internacional de los derechos humanos (Si/No)</w:t>
      </w:r>
    </w:p>
    <w:p w:rsidR="00BB4FDD" w:rsidRPr="00772E08" w:rsidRDefault="00BB4FDD" w:rsidP="00F84ACE">
      <w:pPr>
        <w:ind w:left="567"/>
        <w:jc w:val="both"/>
        <w:rPr>
          <w:rFonts w:ascii="Cambria" w:hAnsi="Cambria"/>
          <w:sz w:val="24"/>
          <w:szCs w:val="24"/>
        </w:rPr>
      </w:pPr>
    </w:p>
    <w:p w:rsidR="005F67E2" w:rsidRPr="00772E08" w:rsidRDefault="005F67E2" w:rsidP="00F84ACE">
      <w:pPr>
        <w:ind w:left="567"/>
        <w:jc w:val="both"/>
        <w:rPr>
          <w:rFonts w:ascii="Cambria" w:hAnsi="Cambria"/>
          <w:sz w:val="24"/>
          <w:szCs w:val="24"/>
        </w:rPr>
      </w:pPr>
      <w:r w:rsidRPr="00772E08">
        <w:rPr>
          <w:rFonts w:ascii="Cambria" w:hAnsi="Cambria"/>
          <w:sz w:val="24"/>
          <w:szCs w:val="24"/>
          <w:bdr w:val="single" w:sz="4" w:space="0" w:color="auto"/>
        </w:rPr>
        <w:t xml:space="preserve"> </w:t>
      </w:r>
      <w:r w:rsidR="005B3E1A">
        <w:rPr>
          <w:rFonts w:ascii="Cambria" w:hAnsi="Cambria"/>
          <w:sz w:val="24"/>
          <w:szCs w:val="24"/>
          <w:bdr w:val="single" w:sz="4" w:space="0" w:color="auto"/>
        </w:rPr>
        <w:t>Si</w:t>
      </w:r>
      <w:r w:rsidRPr="00772E08">
        <w:rPr>
          <w:rFonts w:ascii="Cambria" w:hAnsi="Cambria"/>
          <w:sz w:val="24"/>
          <w:szCs w:val="24"/>
          <w:bdr w:val="single" w:sz="4" w:space="0" w:color="auto"/>
        </w:rPr>
        <w:t xml:space="preserve">  </w:t>
      </w:r>
      <w:r w:rsidRPr="00772E08">
        <w:rPr>
          <w:rFonts w:ascii="Cambria" w:hAnsi="Cambria"/>
          <w:sz w:val="24"/>
          <w:szCs w:val="24"/>
        </w:rPr>
        <w:t xml:space="preserve">  Constitución/Declaración de Derechos Humanos (Si/No)</w:t>
      </w:r>
    </w:p>
    <w:p w:rsidR="00BB4FDD" w:rsidRPr="00772E08" w:rsidRDefault="00BB4FDD" w:rsidP="00F84ACE">
      <w:pPr>
        <w:ind w:left="567"/>
        <w:jc w:val="both"/>
        <w:rPr>
          <w:rFonts w:ascii="Cambria" w:hAnsi="Cambria"/>
          <w:sz w:val="24"/>
          <w:szCs w:val="24"/>
        </w:rPr>
      </w:pPr>
    </w:p>
    <w:p w:rsidR="005F67E2" w:rsidRPr="00772E08" w:rsidRDefault="002A1D12" w:rsidP="00F84ACE">
      <w:pPr>
        <w:ind w:left="567"/>
        <w:jc w:val="both"/>
        <w:rPr>
          <w:rFonts w:ascii="Cambria" w:hAnsi="Cambria"/>
          <w:sz w:val="24"/>
          <w:szCs w:val="24"/>
        </w:rPr>
      </w:pPr>
      <w:r>
        <w:rPr>
          <w:rFonts w:ascii="Cambria" w:hAnsi="Cambria"/>
          <w:sz w:val="24"/>
          <w:szCs w:val="24"/>
          <w:bdr w:val="single" w:sz="4" w:space="0" w:color="auto"/>
        </w:rPr>
        <w:t>Si</w:t>
      </w:r>
      <w:r w:rsidR="005F67E2" w:rsidRPr="00772E08">
        <w:rPr>
          <w:rFonts w:ascii="Cambria" w:hAnsi="Cambria"/>
          <w:sz w:val="24"/>
          <w:szCs w:val="24"/>
          <w:bdr w:val="single" w:sz="4" w:space="0" w:color="auto"/>
        </w:rPr>
        <w:t xml:space="preserve">  </w:t>
      </w:r>
      <w:r w:rsidR="005F67E2" w:rsidRPr="00772E08">
        <w:rPr>
          <w:rFonts w:ascii="Cambria" w:hAnsi="Cambria"/>
          <w:sz w:val="24"/>
          <w:szCs w:val="24"/>
        </w:rPr>
        <w:t xml:space="preserve">  Legislación nacional o subnacional (Si/No)</w:t>
      </w:r>
    </w:p>
    <w:p w:rsidR="00BB4FDD" w:rsidRPr="00772E08" w:rsidRDefault="00BB4FDD" w:rsidP="00F84ACE">
      <w:pPr>
        <w:ind w:left="567"/>
        <w:jc w:val="both"/>
        <w:rPr>
          <w:rFonts w:ascii="Cambria" w:hAnsi="Cambria"/>
          <w:sz w:val="24"/>
          <w:szCs w:val="24"/>
        </w:rPr>
      </w:pPr>
    </w:p>
    <w:p w:rsidR="005F67E2" w:rsidRPr="00772E08" w:rsidRDefault="005F67E2" w:rsidP="00F84ACE">
      <w:pPr>
        <w:ind w:left="567"/>
        <w:jc w:val="both"/>
        <w:rPr>
          <w:rFonts w:ascii="Cambria" w:hAnsi="Cambria"/>
          <w:sz w:val="24"/>
          <w:szCs w:val="24"/>
        </w:rPr>
      </w:pPr>
      <w:r w:rsidRPr="00772E08">
        <w:rPr>
          <w:rFonts w:ascii="Cambria" w:hAnsi="Cambria"/>
          <w:sz w:val="24"/>
          <w:szCs w:val="24"/>
          <w:bdr w:val="single" w:sz="4" w:space="0" w:color="auto"/>
        </w:rPr>
        <w:t xml:space="preserve">  </w:t>
      </w:r>
      <w:r w:rsidR="002A1D12">
        <w:rPr>
          <w:rFonts w:ascii="Cambria" w:hAnsi="Cambria"/>
          <w:sz w:val="24"/>
          <w:szCs w:val="24"/>
          <w:bdr w:val="single" w:sz="4" w:space="0" w:color="auto"/>
        </w:rPr>
        <w:t>No</w:t>
      </w:r>
      <w:r w:rsidRPr="00772E08">
        <w:rPr>
          <w:rFonts w:ascii="Cambria" w:hAnsi="Cambria"/>
          <w:sz w:val="24"/>
          <w:szCs w:val="24"/>
        </w:rPr>
        <w:t xml:space="preserve">  Carta de la ciudad u otros documentos similares a nivel de estado/provincia o municipio (Si/No)</w:t>
      </w:r>
    </w:p>
    <w:p w:rsidR="00BB4FDD" w:rsidRPr="00772E08" w:rsidRDefault="00BB4FDD" w:rsidP="00F84ACE">
      <w:pPr>
        <w:ind w:left="567"/>
        <w:jc w:val="both"/>
        <w:rPr>
          <w:rFonts w:ascii="Cambria" w:hAnsi="Cambria"/>
          <w:sz w:val="24"/>
          <w:szCs w:val="24"/>
        </w:rPr>
      </w:pPr>
    </w:p>
    <w:p w:rsidR="005F67E2" w:rsidRPr="00772E08" w:rsidRDefault="005F67E2" w:rsidP="00F84ACE">
      <w:pPr>
        <w:ind w:left="567"/>
        <w:jc w:val="both"/>
        <w:rPr>
          <w:rFonts w:ascii="Cambria" w:hAnsi="Cambria"/>
          <w:sz w:val="24"/>
          <w:szCs w:val="24"/>
        </w:rPr>
      </w:pPr>
      <w:r w:rsidRPr="00772E08">
        <w:rPr>
          <w:rFonts w:ascii="Cambria" w:hAnsi="Cambria"/>
          <w:sz w:val="24"/>
          <w:szCs w:val="24"/>
          <w:bdr w:val="single" w:sz="4" w:space="0" w:color="auto"/>
        </w:rPr>
        <w:t xml:space="preserve"> </w:t>
      </w:r>
      <w:r w:rsidR="002A1D12">
        <w:rPr>
          <w:rFonts w:ascii="Cambria" w:hAnsi="Cambria"/>
          <w:sz w:val="24"/>
          <w:szCs w:val="24"/>
          <w:bdr w:val="single" w:sz="4" w:space="0" w:color="auto"/>
        </w:rPr>
        <w:t>Si</w:t>
      </w:r>
      <w:r w:rsidRPr="00772E08">
        <w:rPr>
          <w:rFonts w:ascii="Cambria" w:hAnsi="Cambria"/>
          <w:sz w:val="24"/>
          <w:szCs w:val="24"/>
          <w:bdr w:val="single" w:sz="4" w:space="0" w:color="auto"/>
        </w:rPr>
        <w:t xml:space="preserve">   </w:t>
      </w:r>
      <w:r w:rsidRPr="00772E08">
        <w:rPr>
          <w:rFonts w:ascii="Cambria" w:hAnsi="Cambria"/>
          <w:sz w:val="24"/>
          <w:szCs w:val="24"/>
        </w:rPr>
        <w:t xml:space="preserve">  Acuerdos inter-gubernamentales (Si/No)</w:t>
      </w:r>
    </w:p>
    <w:p w:rsidR="00BB4FDD" w:rsidRPr="00772E08" w:rsidRDefault="00BB4FDD" w:rsidP="00F84ACE">
      <w:pPr>
        <w:ind w:left="567"/>
        <w:jc w:val="both"/>
        <w:rPr>
          <w:rFonts w:ascii="Cambria" w:hAnsi="Cambria"/>
          <w:sz w:val="24"/>
          <w:szCs w:val="24"/>
        </w:rPr>
      </w:pPr>
    </w:p>
    <w:p w:rsidR="005F67E2" w:rsidRPr="00772E08" w:rsidRDefault="005F67E2" w:rsidP="00F84ACE">
      <w:pPr>
        <w:ind w:left="567"/>
        <w:jc w:val="both"/>
        <w:rPr>
          <w:rFonts w:ascii="Cambria" w:hAnsi="Cambria"/>
          <w:sz w:val="24"/>
          <w:szCs w:val="24"/>
        </w:rPr>
      </w:pPr>
      <w:r w:rsidRPr="00772E08">
        <w:rPr>
          <w:rFonts w:ascii="Cambria" w:hAnsi="Cambria"/>
          <w:sz w:val="24"/>
          <w:szCs w:val="24"/>
          <w:bdr w:val="single" w:sz="4" w:space="0" w:color="auto"/>
        </w:rPr>
        <w:t xml:space="preserve"> </w:t>
      </w:r>
      <w:r w:rsidR="002A1D12">
        <w:rPr>
          <w:rFonts w:ascii="Cambria" w:hAnsi="Cambria"/>
          <w:sz w:val="24"/>
          <w:szCs w:val="24"/>
          <w:bdr w:val="single" w:sz="4" w:space="0" w:color="auto"/>
        </w:rPr>
        <w:t>Si</w:t>
      </w:r>
      <w:r w:rsidRPr="00772E08">
        <w:rPr>
          <w:rFonts w:ascii="Cambria" w:hAnsi="Cambria"/>
          <w:sz w:val="24"/>
          <w:szCs w:val="24"/>
          <w:bdr w:val="single" w:sz="4" w:space="0" w:color="auto"/>
        </w:rPr>
        <w:t xml:space="preserve">   </w:t>
      </w:r>
      <w:r w:rsidRPr="00772E08">
        <w:rPr>
          <w:rFonts w:ascii="Cambria" w:hAnsi="Cambria"/>
          <w:sz w:val="24"/>
          <w:szCs w:val="24"/>
        </w:rPr>
        <w:t xml:space="preserve">  Condiciones de financiamiento (ej.: transferencias presupuestarias del gobierno central a los gobiernos subnacionales) (Si/No)</w:t>
      </w:r>
    </w:p>
    <w:p w:rsidR="00BB4FDD" w:rsidRPr="00772E08" w:rsidRDefault="00BB4FDD" w:rsidP="005F67E2">
      <w:pPr>
        <w:jc w:val="both"/>
        <w:rPr>
          <w:rFonts w:ascii="Cambria" w:hAnsi="Cambria"/>
          <w:sz w:val="24"/>
          <w:szCs w:val="24"/>
        </w:rPr>
      </w:pPr>
    </w:p>
    <w:p w:rsidR="009E0588" w:rsidRPr="00772E08" w:rsidRDefault="002B4268" w:rsidP="006B250F">
      <w:pPr>
        <w:pStyle w:val="ListParagraph"/>
        <w:numPr>
          <w:ilvl w:val="0"/>
          <w:numId w:val="5"/>
        </w:numPr>
        <w:spacing w:before="120"/>
        <w:ind w:left="426" w:hanging="357"/>
        <w:jc w:val="both"/>
        <w:rPr>
          <w:rFonts w:ascii="Cambria" w:hAnsi="Cambria"/>
          <w:sz w:val="24"/>
          <w:szCs w:val="24"/>
        </w:rPr>
      </w:pPr>
      <w:r w:rsidRPr="00772E08">
        <w:rPr>
          <w:rFonts w:ascii="Cambria" w:hAnsi="Cambria"/>
          <w:sz w:val="24"/>
          <w:szCs w:val="24"/>
        </w:rPr>
        <w:t>En relación con los puntos anteriores y en la medida de lo posible, por favor identifique:</w:t>
      </w:r>
    </w:p>
    <w:p w:rsidR="00E031C1" w:rsidRPr="00772E08" w:rsidRDefault="00E031C1" w:rsidP="00E031C1">
      <w:pPr>
        <w:pStyle w:val="ListParagraph"/>
        <w:spacing w:before="120"/>
        <w:ind w:left="426"/>
        <w:jc w:val="both"/>
        <w:rPr>
          <w:rFonts w:ascii="Cambria" w:hAnsi="Cambria"/>
          <w:sz w:val="24"/>
          <w:szCs w:val="24"/>
        </w:rPr>
      </w:pPr>
    </w:p>
    <w:p w:rsidR="002B4268" w:rsidRPr="00772E08" w:rsidRDefault="002B4268" w:rsidP="006B250F">
      <w:pPr>
        <w:pStyle w:val="ListParagraph"/>
        <w:numPr>
          <w:ilvl w:val="1"/>
          <w:numId w:val="5"/>
        </w:numPr>
        <w:spacing w:before="120"/>
        <w:ind w:hanging="357"/>
        <w:jc w:val="both"/>
        <w:rPr>
          <w:rFonts w:ascii="Cambria" w:hAnsi="Cambria"/>
          <w:sz w:val="24"/>
          <w:szCs w:val="24"/>
        </w:rPr>
      </w:pPr>
      <w:r w:rsidRPr="00772E08">
        <w:rPr>
          <w:rFonts w:ascii="Cambria" w:hAnsi="Cambria"/>
          <w:sz w:val="24"/>
          <w:szCs w:val="24"/>
        </w:rPr>
        <w:t>El artículo relevante</w:t>
      </w:r>
      <w:r w:rsidR="0050594D">
        <w:rPr>
          <w:rFonts w:ascii="Cambria" w:hAnsi="Cambria"/>
          <w:sz w:val="24"/>
          <w:szCs w:val="24"/>
        </w:rPr>
        <w:t>. Artículo 47 de la Constitución española.</w:t>
      </w:r>
    </w:p>
    <w:p w:rsidR="002B4268" w:rsidRPr="00772E08" w:rsidRDefault="002B4268" w:rsidP="006B250F">
      <w:pPr>
        <w:pStyle w:val="ListParagraph"/>
        <w:numPr>
          <w:ilvl w:val="1"/>
          <w:numId w:val="5"/>
        </w:numPr>
        <w:spacing w:before="120"/>
        <w:ind w:hanging="357"/>
        <w:jc w:val="both"/>
        <w:rPr>
          <w:rFonts w:ascii="Cambria" w:hAnsi="Cambria"/>
          <w:sz w:val="24"/>
          <w:szCs w:val="24"/>
        </w:rPr>
      </w:pPr>
      <w:r w:rsidRPr="00772E08">
        <w:rPr>
          <w:rFonts w:ascii="Cambria" w:hAnsi="Cambria"/>
          <w:sz w:val="24"/>
          <w:szCs w:val="24"/>
        </w:rPr>
        <w:t>Los diversos</w:t>
      </w:r>
      <w:r w:rsidR="00546FA4" w:rsidRPr="00772E08">
        <w:rPr>
          <w:rFonts w:ascii="Cambria" w:hAnsi="Cambria"/>
          <w:sz w:val="24"/>
          <w:szCs w:val="24"/>
        </w:rPr>
        <w:t xml:space="preserve"> niveles subnacionales de gobierno en que se aplican dichos artículos</w:t>
      </w:r>
      <w:r w:rsidR="0050594D">
        <w:rPr>
          <w:rFonts w:ascii="Cambria" w:hAnsi="Cambria"/>
          <w:sz w:val="24"/>
          <w:szCs w:val="24"/>
        </w:rPr>
        <w:t>. En el Estado, en las CC.AA. y en los Ayuntamientos, cada uno en su propia esfera competencial.</w:t>
      </w:r>
    </w:p>
    <w:p w:rsidR="00546FA4" w:rsidRPr="00772E08" w:rsidRDefault="00546FA4" w:rsidP="006B250F">
      <w:pPr>
        <w:pStyle w:val="ListParagraph"/>
        <w:numPr>
          <w:ilvl w:val="1"/>
          <w:numId w:val="5"/>
        </w:numPr>
        <w:spacing w:before="120"/>
        <w:ind w:hanging="357"/>
        <w:jc w:val="both"/>
        <w:rPr>
          <w:rFonts w:ascii="Cambria" w:hAnsi="Cambria"/>
          <w:sz w:val="24"/>
          <w:szCs w:val="24"/>
        </w:rPr>
      </w:pPr>
      <w:r w:rsidRPr="00772E08">
        <w:rPr>
          <w:rFonts w:ascii="Cambria" w:hAnsi="Cambria"/>
          <w:sz w:val="24"/>
          <w:szCs w:val="24"/>
        </w:rPr>
        <w:lastRenderedPageBreak/>
        <w:t>Mecanismos de cumplimiento (ej.: cortes y tribunales, instituciones nacionales de derechos humanos, incluyendo Defensorías de Pueblo, mecanismos administrativos, etc.)</w:t>
      </w:r>
      <w:r w:rsidR="0050594D">
        <w:rPr>
          <w:rFonts w:ascii="Cambria" w:hAnsi="Cambria"/>
          <w:sz w:val="24"/>
          <w:szCs w:val="24"/>
        </w:rPr>
        <w:t xml:space="preserve"> En realidad, no existe como tal un  derecho a la vivienda que pueda ser reclamado ante los Tribunales. La Constitución española incluye este derecho entre los denominados “Principios rectores de la política social y económica”, lo que implica que todos los poderes públicos tienen la obligación de promover las medidas necesarias para que el derecho sea efectivo. Desde ese punto de vista, se puede reclamar de la Administración que adopte dichas medidas, pero no se posee el derecho a una concreta medida. Éstas las decidirán las Administraciones Públicas.</w:t>
      </w:r>
    </w:p>
    <w:p w:rsidR="00BB4FDD" w:rsidRPr="00772E08" w:rsidRDefault="00BB4FDD" w:rsidP="00BB4FDD">
      <w:pPr>
        <w:spacing w:before="120"/>
        <w:jc w:val="both"/>
        <w:rPr>
          <w:rFonts w:ascii="Cambria" w:hAnsi="Cambria"/>
          <w:sz w:val="24"/>
          <w:szCs w:val="24"/>
        </w:rPr>
      </w:pPr>
    </w:p>
    <w:p w:rsidR="00546FA4" w:rsidRPr="00772E08" w:rsidRDefault="00546FA4" w:rsidP="006B250F">
      <w:pPr>
        <w:pStyle w:val="ListParagraph"/>
        <w:numPr>
          <w:ilvl w:val="0"/>
          <w:numId w:val="5"/>
        </w:numPr>
        <w:spacing w:before="120"/>
        <w:ind w:left="426" w:hanging="357"/>
        <w:jc w:val="both"/>
        <w:rPr>
          <w:rFonts w:ascii="Cambria" w:hAnsi="Cambria"/>
          <w:sz w:val="24"/>
          <w:szCs w:val="24"/>
        </w:rPr>
      </w:pPr>
      <w:r w:rsidRPr="00772E08">
        <w:rPr>
          <w:rFonts w:ascii="Cambria" w:hAnsi="Cambria"/>
          <w:sz w:val="24"/>
          <w:szCs w:val="24"/>
        </w:rPr>
        <w:t>¿Los gobiernos subnacionales están involucrados en la presentación de informes ante los órganos internacionales de monitoreo de derechos humanos, y en el cumplimiento de las recomendaciones que emanan de éstos? (ej.: órganos de tratado de ONU, Examen Periódico Universal, etc.). En caso de respuesta afirmativa, explique por favor de qué manera, y de ser posible envíe un ejemplo.</w:t>
      </w:r>
    </w:p>
    <w:p w:rsidR="00A15E33" w:rsidRPr="0050594D" w:rsidRDefault="002A1D12" w:rsidP="00E031C1">
      <w:pPr>
        <w:spacing w:before="120"/>
        <w:jc w:val="both"/>
        <w:rPr>
          <w:rFonts w:ascii="Cambria" w:hAnsi="Cambria"/>
          <w:sz w:val="24"/>
          <w:szCs w:val="24"/>
        </w:rPr>
      </w:pPr>
      <w:r w:rsidRPr="0050594D">
        <w:rPr>
          <w:rFonts w:ascii="Cambria" w:hAnsi="Cambria"/>
          <w:sz w:val="24"/>
          <w:szCs w:val="24"/>
        </w:rPr>
        <w:t xml:space="preserve">No, porque las relaciones internacionales están reservadas en la Constitución española al Gobierno </w:t>
      </w:r>
      <w:r w:rsidR="0050594D">
        <w:rPr>
          <w:rFonts w:ascii="Cambria" w:hAnsi="Cambria"/>
          <w:sz w:val="24"/>
          <w:szCs w:val="24"/>
        </w:rPr>
        <w:t>del Estado</w:t>
      </w:r>
      <w:r w:rsidRPr="0050594D">
        <w:rPr>
          <w:rFonts w:ascii="Cambria" w:hAnsi="Cambria"/>
          <w:sz w:val="24"/>
          <w:szCs w:val="24"/>
        </w:rPr>
        <w:t>.</w:t>
      </w:r>
    </w:p>
    <w:p w:rsidR="00E031C1" w:rsidRPr="00772E08" w:rsidRDefault="00E031C1" w:rsidP="00BB4FDD">
      <w:pPr>
        <w:spacing w:before="120"/>
        <w:jc w:val="both"/>
        <w:rPr>
          <w:rFonts w:ascii="Cambria" w:hAnsi="Cambria"/>
          <w:sz w:val="24"/>
          <w:szCs w:val="24"/>
        </w:rPr>
      </w:pPr>
    </w:p>
    <w:p w:rsidR="00A15E33" w:rsidRDefault="00546FA4" w:rsidP="00BB4FDD">
      <w:pPr>
        <w:pStyle w:val="ListParagraph"/>
        <w:numPr>
          <w:ilvl w:val="0"/>
          <w:numId w:val="5"/>
        </w:numPr>
        <w:spacing w:before="120"/>
        <w:ind w:left="426" w:hanging="357"/>
        <w:jc w:val="both"/>
        <w:rPr>
          <w:rFonts w:ascii="Cambria" w:hAnsi="Cambria"/>
          <w:sz w:val="24"/>
          <w:szCs w:val="24"/>
        </w:rPr>
      </w:pPr>
      <w:r w:rsidRPr="00772E08">
        <w:rPr>
          <w:rFonts w:ascii="Cambria" w:hAnsi="Cambria"/>
          <w:sz w:val="24"/>
          <w:szCs w:val="24"/>
        </w:rPr>
        <w:t>Además de la rendición de cuentas legal o internacional que se ha descrito anteriormente, qué otros mecanismos políticos o institucionales existen en su país que sirvan para la rendición de cuentas de los gobiernos subnacionales con base en los estándares y requerimientos ligados a la realización del derecho a una vivienda adecuada? (ej. Procedimientos de revisión del gobierno, de instituciones nacionales de derechos humanos incluidas las Defensorías del Pueblo, de consejos locales de derechos humanos, etc.)</w:t>
      </w:r>
      <w:r w:rsidR="00D70E24" w:rsidRPr="00772E08">
        <w:rPr>
          <w:rFonts w:ascii="Cambria" w:hAnsi="Cambria"/>
          <w:sz w:val="24"/>
          <w:szCs w:val="24"/>
        </w:rPr>
        <w:t>.</w:t>
      </w:r>
    </w:p>
    <w:p w:rsidR="0050594D" w:rsidRDefault="0050594D" w:rsidP="00351F1E">
      <w:pPr>
        <w:spacing w:before="120"/>
        <w:ind w:left="69"/>
        <w:jc w:val="both"/>
        <w:rPr>
          <w:rFonts w:ascii="Cambria" w:hAnsi="Cambria"/>
          <w:sz w:val="24"/>
          <w:szCs w:val="24"/>
        </w:rPr>
      </w:pPr>
      <w:r w:rsidRPr="0050594D">
        <w:rPr>
          <w:rFonts w:ascii="Cambria" w:hAnsi="Cambria"/>
          <w:sz w:val="24"/>
          <w:szCs w:val="24"/>
        </w:rPr>
        <w:t>En realidad, no existe como tal un  derecho a la vivienda que pueda ser reclamado ante los Tribunales. La Constitución española incluye este derecho entre los denominados “Principios rectores de la política social y económica”, lo que implica que todos los poderes públicos tienen la obligación de promover las medidas necesarias para que el derecho sea efectivo. Desde ese punto de vista, se puede reclamar de la Administración que adopte dichas medidas, pero no se posee el derecho a una concreta medida. Éstas las decidirán las Administraciones Públicas</w:t>
      </w:r>
    </w:p>
    <w:p w:rsidR="00E031C1" w:rsidRPr="00772E08" w:rsidRDefault="00E031C1" w:rsidP="00BB4FDD">
      <w:pPr>
        <w:spacing w:before="120"/>
        <w:jc w:val="both"/>
        <w:rPr>
          <w:rFonts w:ascii="Cambria" w:hAnsi="Cambria"/>
          <w:sz w:val="24"/>
          <w:szCs w:val="24"/>
        </w:rPr>
      </w:pPr>
    </w:p>
    <w:p w:rsidR="00D70E24" w:rsidRDefault="00D70E24" w:rsidP="006B250F">
      <w:pPr>
        <w:pStyle w:val="ListParagraph"/>
        <w:numPr>
          <w:ilvl w:val="0"/>
          <w:numId w:val="5"/>
        </w:numPr>
        <w:spacing w:before="120"/>
        <w:ind w:left="426" w:hanging="357"/>
        <w:jc w:val="both"/>
        <w:rPr>
          <w:rFonts w:ascii="Cambria" w:hAnsi="Cambria"/>
          <w:sz w:val="24"/>
          <w:szCs w:val="24"/>
        </w:rPr>
      </w:pPr>
      <w:r w:rsidRPr="00772E08">
        <w:rPr>
          <w:rFonts w:ascii="Cambria" w:hAnsi="Cambria"/>
          <w:sz w:val="24"/>
          <w:szCs w:val="24"/>
        </w:rPr>
        <w:t xml:space="preserve">Por favor identifique cuáles podrían ser, desde su punto de vista/el punto de vista de su Gobierno, los tres principales desafíos en su país para lograr una rendición de cuentas efectiva de los gobiernos subnacionales en relación con </w:t>
      </w:r>
      <w:r w:rsidR="0050594D">
        <w:rPr>
          <w:rFonts w:ascii="Cambria" w:hAnsi="Cambria"/>
          <w:sz w:val="24"/>
          <w:szCs w:val="24"/>
        </w:rPr>
        <w:t xml:space="preserve">la </w:t>
      </w:r>
      <w:r w:rsidRPr="00772E08">
        <w:rPr>
          <w:rFonts w:ascii="Cambria" w:hAnsi="Cambria"/>
          <w:sz w:val="24"/>
          <w:szCs w:val="24"/>
        </w:rPr>
        <w:t>vivienda.</w:t>
      </w:r>
    </w:p>
    <w:p w:rsidR="00F6112D" w:rsidRDefault="0050594D" w:rsidP="0050594D">
      <w:pPr>
        <w:spacing w:before="120"/>
        <w:ind w:left="69"/>
        <w:jc w:val="both"/>
        <w:rPr>
          <w:rFonts w:ascii="Cambria" w:hAnsi="Cambria"/>
          <w:sz w:val="24"/>
          <w:szCs w:val="24"/>
        </w:rPr>
      </w:pPr>
      <w:r>
        <w:rPr>
          <w:rFonts w:ascii="Cambria" w:hAnsi="Cambria"/>
          <w:sz w:val="24"/>
          <w:szCs w:val="24"/>
        </w:rPr>
        <w:lastRenderedPageBreak/>
        <w:t>Tal y como se ha señalado, no existe un único derecho a la vivienda, sino a que las Administraciones Públicas promuevan las medidas necesarias para garantizar el acceso de todos a una vivienda digna y adecuada. Desde ese punto de vista la rendición de cuentas efectivas lógicamente debe estar coordinada con esta regulación constitucional</w:t>
      </w:r>
      <w:r w:rsidR="00806925">
        <w:rPr>
          <w:rFonts w:ascii="Cambria" w:hAnsi="Cambria"/>
          <w:sz w:val="24"/>
          <w:szCs w:val="24"/>
        </w:rPr>
        <w:t xml:space="preserve"> y, en consecuencia, debería consistir en verificar si la normativa de vivienda, las medidas de fomento e incentivos públicos puestas en marcha en cada momento histórico y cualesquiera otras actuaciones cumplen realmente dicho objetivo. Para ello debería basarse en un análisis de datos objetivos que determinen la realidad de dicho acceso por parte de todos.</w:t>
      </w:r>
    </w:p>
    <w:p w:rsidR="00806925" w:rsidRDefault="00806925" w:rsidP="0050594D">
      <w:pPr>
        <w:spacing w:before="120"/>
        <w:ind w:left="69"/>
        <w:jc w:val="both"/>
        <w:rPr>
          <w:rFonts w:ascii="Cambria" w:hAnsi="Cambria"/>
          <w:sz w:val="24"/>
          <w:szCs w:val="24"/>
        </w:rPr>
      </w:pPr>
    </w:p>
    <w:p w:rsidR="00806925" w:rsidRPr="0050594D" w:rsidRDefault="008903B2" w:rsidP="008903B2">
      <w:pPr>
        <w:spacing w:before="120"/>
        <w:ind w:left="69"/>
        <w:jc w:val="center"/>
        <w:rPr>
          <w:rFonts w:ascii="Cambria" w:hAnsi="Cambria"/>
          <w:sz w:val="24"/>
          <w:szCs w:val="24"/>
        </w:rPr>
      </w:pPr>
      <w:r>
        <w:rPr>
          <w:rFonts w:ascii="Cambria" w:hAnsi="Cambria"/>
          <w:sz w:val="24"/>
          <w:szCs w:val="24"/>
        </w:rPr>
        <w:t>-------------------</w:t>
      </w:r>
    </w:p>
    <w:sectPr w:rsidR="00806925" w:rsidRPr="0050594D" w:rsidSect="001844D4">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CB" w:rsidRDefault="00C721CB" w:rsidP="002F292C">
      <w:pPr>
        <w:spacing w:after="0" w:line="240" w:lineRule="auto"/>
      </w:pPr>
      <w:r>
        <w:separator/>
      </w:r>
    </w:p>
  </w:endnote>
  <w:endnote w:type="continuationSeparator" w:id="0">
    <w:p w:rsidR="00C721CB" w:rsidRDefault="00C721CB" w:rsidP="002F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2C" w:rsidRDefault="001844D4">
    <w:pPr>
      <w:pStyle w:val="Footer"/>
      <w:jc w:val="center"/>
    </w:pPr>
    <w:r>
      <w:fldChar w:fldCharType="begin"/>
    </w:r>
    <w:r w:rsidR="002F292C">
      <w:instrText>PAGE   \* MERGEFORMAT</w:instrText>
    </w:r>
    <w:r>
      <w:fldChar w:fldCharType="separate"/>
    </w:r>
    <w:r w:rsidR="007665CC">
      <w:rPr>
        <w:noProof/>
      </w:rPr>
      <w:t>3</w:t>
    </w:r>
    <w:r>
      <w:fldChar w:fldCharType="end"/>
    </w:r>
  </w:p>
  <w:p w:rsidR="002F292C" w:rsidRDefault="002F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CB" w:rsidRDefault="00C721CB" w:rsidP="002F292C">
      <w:pPr>
        <w:spacing w:after="0" w:line="240" w:lineRule="auto"/>
      </w:pPr>
      <w:r>
        <w:separator/>
      </w:r>
    </w:p>
  </w:footnote>
  <w:footnote w:type="continuationSeparator" w:id="0">
    <w:p w:rsidR="00C721CB" w:rsidRDefault="00C721CB" w:rsidP="002F2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07"/>
    <w:multiLevelType w:val="hybridMultilevel"/>
    <w:tmpl w:val="8834D536"/>
    <w:lvl w:ilvl="0" w:tplc="0C0A000F">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
    <w:nsid w:val="0C0A04BD"/>
    <w:multiLevelType w:val="multilevel"/>
    <w:tmpl w:val="0D9C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7697A"/>
    <w:multiLevelType w:val="hybridMultilevel"/>
    <w:tmpl w:val="B09E3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2511D58"/>
    <w:multiLevelType w:val="hybridMultilevel"/>
    <w:tmpl w:val="7E76F69C"/>
    <w:lvl w:ilvl="0" w:tplc="386CD56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7C0396"/>
    <w:multiLevelType w:val="hybridMultilevel"/>
    <w:tmpl w:val="BF7ECD4A"/>
    <w:lvl w:ilvl="0" w:tplc="9086F34E">
      <w:start w:val="1"/>
      <w:numFmt w:val="upperLetter"/>
      <w:lvlText w:val="%1."/>
      <w:lvlJc w:val="left"/>
      <w:pPr>
        <w:ind w:left="426" w:hanging="360"/>
      </w:pPr>
      <w:rPr>
        <w:rFonts w:hint="default"/>
        <w:b/>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5">
    <w:nsid w:val="3FA1538E"/>
    <w:multiLevelType w:val="hybridMultilevel"/>
    <w:tmpl w:val="E90C08EE"/>
    <w:lvl w:ilvl="0" w:tplc="0C0A000F">
      <w:start w:val="1"/>
      <w:numFmt w:val="decimal"/>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605E62"/>
    <w:multiLevelType w:val="hybridMultilevel"/>
    <w:tmpl w:val="3F04C76C"/>
    <w:lvl w:ilvl="0" w:tplc="175EC760">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E90F36"/>
    <w:multiLevelType w:val="hybridMultilevel"/>
    <w:tmpl w:val="8CF29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15021C"/>
    <w:multiLevelType w:val="hybridMultilevel"/>
    <w:tmpl w:val="F210F142"/>
    <w:lvl w:ilvl="0" w:tplc="9DA2C952">
      <w:start w:val="1"/>
      <w:numFmt w:val="upperLetter"/>
      <w:lvlText w:val="%1."/>
      <w:lvlJc w:val="left"/>
      <w:pPr>
        <w:ind w:left="720" w:hanging="360"/>
      </w:pPr>
      <w:rPr>
        <w:rFonts w:ascii="Times New Roman" w:eastAsia="Times New Roman" w:hAnsi="Times New Roman" w:cs="Times New Roman" w:hint="default"/>
        <w:color w:val="000000"/>
        <w:w w:val="11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0588"/>
    <w:rsid w:val="000B1067"/>
    <w:rsid w:val="00181107"/>
    <w:rsid w:val="001844D4"/>
    <w:rsid w:val="00220289"/>
    <w:rsid w:val="00222447"/>
    <w:rsid w:val="00290C37"/>
    <w:rsid w:val="002A1D12"/>
    <w:rsid w:val="002A53DD"/>
    <w:rsid w:val="002B4268"/>
    <w:rsid w:val="002C3551"/>
    <w:rsid w:val="002F292C"/>
    <w:rsid w:val="00301041"/>
    <w:rsid w:val="00350906"/>
    <w:rsid w:val="00351F1E"/>
    <w:rsid w:val="0038789C"/>
    <w:rsid w:val="003D11D7"/>
    <w:rsid w:val="00456054"/>
    <w:rsid w:val="0049737B"/>
    <w:rsid w:val="0050594D"/>
    <w:rsid w:val="00526927"/>
    <w:rsid w:val="00546FA4"/>
    <w:rsid w:val="005520E3"/>
    <w:rsid w:val="00553F98"/>
    <w:rsid w:val="0057052E"/>
    <w:rsid w:val="005B3E1A"/>
    <w:rsid w:val="005F67E2"/>
    <w:rsid w:val="006B250F"/>
    <w:rsid w:val="00710177"/>
    <w:rsid w:val="007665CC"/>
    <w:rsid w:val="00772E08"/>
    <w:rsid w:val="007A5159"/>
    <w:rsid w:val="007F0254"/>
    <w:rsid w:val="00806925"/>
    <w:rsid w:val="0084294F"/>
    <w:rsid w:val="008903B2"/>
    <w:rsid w:val="009C2983"/>
    <w:rsid w:val="009E0588"/>
    <w:rsid w:val="00A15E33"/>
    <w:rsid w:val="00A76AB1"/>
    <w:rsid w:val="00AC48E9"/>
    <w:rsid w:val="00BB4FDD"/>
    <w:rsid w:val="00BF5D6A"/>
    <w:rsid w:val="00C721CB"/>
    <w:rsid w:val="00CB5D54"/>
    <w:rsid w:val="00D41069"/>
    <w:rsid w:val="00D44D82"/>
    <w:rsid w:val="00D70E24"/>
    <w:rsid w:val="00D96050"/>
    <w:rsid w:val="00E031C1"/>
    <w:rsid w:val="00E2603A"/>
    <w:rsid w:val="00E26043"/>
    <w:rsid w:val="00E526C9"/>
    <w:rsid w:val="00E56B76"/>
    <w:rsid w:val="00E919F4"/>
    <w:rsid w:val="00E9609D"/>
    <w:rsid w:val="00E96A61"/>
    <w:rsid w:val="00F6112D"/>
    <w:rsid w:val="00F706FB"/>
    <w:rsid w:val="00F80CED"/>
    <w:rsid w:val="00F84ACE"/>
    <w:rsid w:val="00FA574B"/>
    <w:rsid w:val="00FD5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88"/>
    <w:pPr>
      <w:spacing w:after="160" w:line="259" w:lineRule="auto"/>
    </w:pPr>
    <w:rPr>
      <w:sz w:val="22"/>
      <w:szCs w:val="22"/>
      <w:lang w:eastAsia="en-US"/>
    </w:rPr>
  </w:style>
  <w:style w:type="paragraph" w:styleId="Heading1">
    <w:name w:val="heading 1"/>
    <w:basedOn w:val="Normal"/>
    <w:link w:val="Heading1Char"/>
    <w:uiPriority w:val="9"/>
    <w:qFormat/>
    <w:rsid w:val="002C3551"/>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88"/>
    <w:pPr>
      <w:ind w:left="720"/>
      <w:contextualSpacing/>
    </w:pPr>
  </w:style>
  <w:style w:type="table" w:styleId="TableGrid">
    <w:name w:val="Table Grid"/>
    <w:basedOn w:val="TableNormal"/>
    <w:uiPriority w:val="39"/>
    <w:rsid w:val="009E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3551"/>
    <w:rPr>
      <w:rFonts w:ascii="Times New Roman" w:eastAsia="Times New Roman" w:hAnsi="Times New Roman" w:cs="Times New Roman"/>
      <w:b/>
      <w:bCs/>
      <w:kern w:val="36"/>
      <w:sz w:val="48"/>
      <w:szCs w:val="48"/>
      <w:lang w:eastAsia="es-ES"/>
    </w:rPr>
  </w:style>
  <w:style w:type="character" w:styleId="Hyperlink">
    <w:name w:val="Hyperlink"/>
    <w:basedOn w:val="DefaultParagraphFont"/>
    <w:uiPriority w:val="99"/>
    <w:unhideWhenUsed/>
    <w:rsid w:val="002C3551"/>
    <w:rPr>
      <w:color w:val="0563C1"/>
      <w:u w:val="single"/>
    </w:rPr>
  </w:style>
  <w:style w:type="paragraph" w:styleId="Header">
    <w:name w:val="header"/>
    <w:basedOn w:val="Normal"/>
    <w:link w:val="HeaderChar"/>
    <w:uiPriority w:val="99"/>
    <w:unhideWhenUsed/>
    <w:rsid w:val="002F292C"/>
    <w:pPr>
      <w:tabs>
        <w:tab w:val="center" w:pos="4252"/>
        <w:tab w:val="right" w:pos="8504"/>
      </w:tabs>
      <w:spacing w:after="0" w:line="240" w:lineRule="auto"/>
    </w:pPr>
  </w:style>
  <w:style w:type="character" w:customStyle="1" w:styleId="HeaderChar">
    <w:name w:val="Header Char"/>
    <w:basedOn w:val="DefaultParagraphFont"/>
    <w:link w:val="Header"/>
    <w:uiPriority w:val="99"/>
    <w:rsid w:val="002F292C"/>
  </w:style>
  <w:style w:type="paragraph" w:styleId="Footer">
    <w:name w:val="footer"/>
    <w:basedOn w:val="Normal"/>
    <w:link w:val="FooterChar"/>
    <w:uiPriority w:val="99"/>
    <w:unhideWhenUsed/>
    <w:rsid w:val="002F292C"/>
    <w:pPr>
      <w:tabs>
        <w:tab w:val="center" w:pos="4252"/>
        <w:tab w:val="right" w:pos="8504"/>
      </w:tabs>
      <w:spacing w:after="0" w:line="240" w:lineRule="auto"/>
    </w:pPr>
  </w:style>
  <w:style w:type="character" w:customStyle="1" w:styleId="FooterChar">
    <w:name w:val="Footer Char"/>
    <w:basedOn w:val="DefaultParagraphFont"/>
    <w:link w:val="Footer"/>
    <w:uiPriority w:val="99"/>
    <w:rsid w:val="002F292C"/>
  </w:style>
  <w:style w:type="paragraph" w:styleId="BalloonText">
    <w:name w:val="Balloon Text"/>
    <w:basedOn w:val="Normal"/>
    <w:link w:val="BalloonTextChar"/>
    <w:uiPriority w:val="99"/>
    <w:semiHidden/>
    <w:unhideWhenUsed/>
    <w:rsid w:val="002F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2C"/>
    <w:rPr>
      <w:rFonts w:ascii="Segoe UI" w:hAnsi="Segoe UI" w:cs="Segoe UI"/>
      <w:sz w:val="18"/>
      <w:szCs w:val="18"/>
    </w:rPr>
  </w:style>
  <w:style w:type="paragraph" w:customStyle="1" w:styleId="Default">
    <w:name w:val="Default"/>
    <w:rsid w:val="00220289"/>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2278">
      <w:bodyDiv w:val="1"/>
      <w:marLeft w:val="0"/>
      <w:marRight w:val="0"/>
      <w:marTop w:val="0"/>
      <w:marBottom w:val="0"/>
      <w:divBdr>
        <w:top w:val="none" w:sz="0" w:space="0" w:color="auto"/>
        <w:left w:val="none" w:sz="0" w:space="0" w:color="auto"/>
        <w:bottom w:val="none" w:sz="0" w:space="0" w:color="auto"/>
        <w:right w:val="none" w:sz="0" w:space="0" w:color="auto"/>
      </w:divBdr>
      <w:divsChild>
        <w:div w:id="1083407068">
          <w:marLeft w:val="0"/>
          <w:marRight w:val="0"/>
          <w:marTop w:val="0"/>
          <w:marBottom w:val="0"/>
          <w:divBdr>
            <w:top w:val="none" w:sz="0" w:space="0" w:color="auto"/>
            <w:left w:val="none" w:sz="0" w:space="0" w:color="auto"/>
            <w:bottom w:val="none" w:sz="0" w:space="0" w:color="auto"/>
            <w:right w:val="none" w:sz="0" w:space="0" w:color="auto"/>
          </w:divBdr>
          <w:divsChild>
            <w:div w:id="1710184879">
              <w:marLeft w:val="0"/>
              <w:marRight w:val="0"/>
              <w:marTop w:val="0"/>
              <w:marBottom w:val="0"/>
              <w:divBdr>
                <w:top w:val="none" w:sz="0" w:space="0" w:color="auto"/>
                <w:left w:val="none" w:sz="0" w:space="0" w:color="auto"/>
                <w:bottom w:val="none" w:sz="0" w:space="0" w:color="auto"/>
                <w:right w:val="none" w:sz="0" w:space="0" w:color="auto"/>
              </w:divBdr>
              <w:divsChild>
                <w:div w:id="488325914">
                  <w:marLeft w:val="4170"/>
                  <w:marRight w:val="180"/>
                  <w:marTop w:val="0"/>
                  <w:marBottom w:val="0"/>
                  <w:divBdr>
                    <w:top w:val="none" w:sz="0" w:space="0" w:color="auto"/>
                    <w:left w:val="none" w:sz="0" w:space="0" w:color="auto"/>
                    <w:bottom w:val="none" w:sz="0" w:space="0" w:color="auto"/>
                    <w:right w:val="none" w:sz="0" w:space="0" w:color="auto"/>
                  </w:divBdr>
                  <w:divsChild>
                    <w:div w:id="845363375">
                      <w:marLeft w:val="0"/>
                      <w:marRight w:val="0"/>
                      <w:marTop w:val="0"/>
                      <w:marBottom w:val="0"/>
                      <w:divBdr>
                        <w:top w:val="none" w:sz="0" w:space="0" w:color="auto"/>
                        <w:left w:val="none" w:sz="0" w:space="0" w:color="auto"/>
                        <w:bottom w:val="none" w:sz="0" w:space="0" w:color="auto"/>
                        <w:right w:val="none" w:sz="0" w:space="0" w:color="auto"/>
                      </w:divBdr>
                      <w:divsChild>
                        <w:div w:id="2068842905">
                          <w:marLeft w:val="0"/>
                          <w:marRight w:val="0"/>
                          <w:marTop w:val="0"/>
                          <w:marBottom w:val="0"/>
                          <w:divBdr>
                            <w:top w:val="none" w:sz="0" w:space="0" w:color="auto"/>
                            <w:left w:val="none" w:sz="0" w:space="0" w:color="auto"/>
                            <w:bottom w:val="none" w:sz="0" w:space="0" w:color="auto"/>
                            <w:right w:val="none" w:sz="0" w:space="0" w:color="auto"/>
                          </w:divBdr>
                          <w:divsChild>
                            <w:div w:id="1492524307">
                              <w:marLeft w:val="0"/>
                              <w:marRight w:val="3675"/>
                              <w:marTop w:val="0"/>
                              <w:marBottom w:val="0"/>
                              <w:divBdr>
                                <w:top w:val="none" w:sz="0" w:space="0" w:color="auto"/>
                                <w:left w:val="none" w:sz="0" w:space="0" w:color="auto"/>
                                <w:bottom w:val="none" w:sz="0" w:space="0" w:color="auto"/>
                                <w:right w:val="none" w:sz="0" w:space="0" w:color="auto"/>
                              </w:divBdr>
                              <w:divsChild>
                                <w:div w:id="10181172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constituc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mento.gob.es/NR/rdonlyres/69DD334E-DD0D-433B-ABA1-6EBCA70726B1/123724/BOEA20133780consolidado.pdf" TargetMode="External"/><Relationship Id="rId5" Type="http://schemas.openxmlformats.org/officeDocument/2006/relationships/webSettings" Target="webSettings.xml"/><Relationship Id="rId10" Type="http://schemas.openxmlformats.org/officeDocument/2006/relationships/hyperlink" Target="http://www.fomento.gob.es/MFOM/LANG_CASTELLANO/DIRECCIONES_GENERALES/ARQ_VIVIENDA/APOYO_EMANCIPACION/PLAN_ESTATAL.htm" TargetMode="External"/><Relationship Id="rId4" Type="http://schemas.openxmlformats.org/officeDocument/2006/relationships/settings" Target="settings.xml"/><Relationship Id="rId9" Type="http://schemas.openxmlformats.org/officeDocument/2006/relationships/hyperlink" Target="http://www.boe.es/boe/dias/2013/06/05/pdfs/BOE-A-2013-5941.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12550</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14722</CharactersWithSpaces>
  <SharedDoc>false</SharedDoc>
  <HLinks>
    <vt:vector size="24" baseType="variant">
      <vt:variant>
        <vt:i4>3801194</vt:i4>
      </vt:variant>
      <vt:variant>
        <vt:i4>9</vt:i4>
      </vt:variant>
      <vt:variant>
        <vt:i4>0</vt:i4>
      </vt:variant>
      <vt:variant>
        <vt:i4>5</vt:i4>
      </vt:variant>
      <vt:variant>
        <vt:lpwstr>http://www.fomento.gob.es/NR/rdonlyres/69DD334E-DD0D-433B-ABA1-6EBCA70726B1/123724/BOEA20133780consolidado.pdf</vt:lpwstr>
      </vt:variant>
      <vt:variant>
        <vt:lpwstr/>
      </vt:variant>
      <vt:variant>
        <vt:i4>2687044</vt:i4>
      </vt:variant>
      <vt:variant>
        <vt:i4>6</vt:i4>
      </vt:variant>
      <vt:variant>
        <vt:i4>0</vt:i4>
      </vt:variant>
      <vt:variant>
        <vt:i4>5</vt:i4>
      </vt:variant>
      <vt:variant>
        <vt:lpwstr>http://www.fomento.gob.es/MFOM/LANG_CASTELLANO/DIRECCIONES_GENERALES/ARQ_VIVIENDA/APOYO_EMANCIPACION/PLAN_ESTATAL.htm</vt:lpwstr>
      </vt:variant>
      <vt:variant>
        <vt:lpwstr/>
      </vt:variant>
      <vt:variant>
        <vt:i4>7864440</vt:i4>
      </vt:variant>
      <vt:variant>
        <vt:i4>3</vt:i4>
      </vt:variant>
      <vt:variant>
        <vt:i4>0</vt:i4>
      </vt:variant>
      <vt:variant>
        <vt:i4>5</vt:i4>
      </vt:variant>
      <vt:variant>
        <vt:lpwstr>http://www.boe.es/boe/dias/2013/06/05/pdfs/BOE-A-2013-5941.pdf</vt:lpwstr>
      </vt:variant>
      <vt:variant>
        <vt:lpwstr/>
      </vt:variant>
      <vt:variant>
        <vt:i4>5570616</vt:i4>
      </vt:variant>
      <vt:variant>
        <vt:i4>0</vt:i4>
      </vt:variant>
      <vt:variant>
        <vt:i4>0</vt:i4>
      </vt:variant>
      <vt:variant>
        <vt:i4>5</vt:i4>
      </vt:variant>
      <vt:variant>
        <vt:lpwstr>http://noticias.juridicas.com/base_datos/Admin/constitucion.html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Hernández Sánchez María José</dc:creator>
  <cp:lastModifiedBy>Juana Sotomayor</cp:lastModifiedBy>
  <cp:revision>2</cp:revision>
  <cp:lastPrinted>2014-10-27T11:11:00Z</cp:lastPrinted>
  <dcterms:created xsi:type="dcterms:W3CDTF">2014-11-18T10:36:00Z</dcterms:created>
  <dcterms:modified xsi:type="dcterms:W3CDTF">2014-11-18T10:36:00Z</dcterms:modified>
</cp:coreProperties>
</file>