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D6" w:rsidRPr="00697E94" w:rsidRDefault="00B960D6" w:rsidP="0005527B">
      <w:pPr>
        <w:spacing w:line="240" w:lineRule="auto"/>
        <w:jc w:val="center"/>
        <w:rPr>
          <w:rStyle w:val="BookTitle"/>
          <w:rFonts w:ascii="Times New Roman" w:hAnsi="Times New Roman" w:cs="Times New Roman"/>
          <w:b/>
          <w:i w:val="0"/>
          <w:iCs w:val="0"/>
          <w:smallCaps w:val="0"/>
          <w:sz w:val="24"/>
          <w:szCs w:val="24"/>
        </w:rPr>
      </w:pPr>
      <w:bookmarkStart w:id="0" w:name="_GoBack"/>
      <w:bookmarkEnd w:id="0"/>
      <w:r w:rsidRPr="00697E94">
        <w:rPr>
          <w:rStyle w:val="BookTitle"/>
          <w:rFonts w:ascii="Times New Roman" w:hAnsi="Times New Roman" w:cs="Times New Roman"/>
          <w:b/>
          <w:i w:val="0"/>
          <w:sz w:val="24"/>
          <w:szCs w:val="24"/>
        </w:rPr>
        <w:t xml:space="preserve">Australia’s response to the Declaration on the Rights of Indigenous Peoples questionnaire </w:t>
      </w:r>
    </w:p>
    <w:p w:rsidR="00B960D6" w:rsidRPr="00697E94" w:rsidRDefault="00B960D6" w:rsidP="0005527B">
      <w:pPr>
        <w:spacing w:line="240" w:lineRule="auto"/>
        <w:jc w:val="center"/>
        <w:rPr>
          <w:rStyle w:val="BookTitle"/>
          <w:rFonts w:ascii="Times New Roman" w:hAnsi="Times New Roman" w:cs="Times New Roman"/>
          <w:b/>
          <w:i w:val="0"/>
          <w:sz w:val="24"/>
          <w:szCs w:val="24"/>
        </w:rPr>
      </w:pPr>
      <w:r w:rsidRPr="00697E94">
        <w:rPr>
          <w:rStyle w:val="BookTitle"/>
          <w:rFonts w:ascii="Times New Roman" w:hAnsi="Times New Roman" w:cs="Times New Roman"/>
          <w:b/>
          <w:i w:val="0"/>
          <w:sz w:val="24"/>
          <w:szCs w:val="24"/>
        </w:rPr>
        <w:t>February 2012</w:t>
      </w:r>
    </w:p>
    <w:p w:rsidR="00B960D6" w:rsidRPr="00697E94" w:rsidRDefault="00B960D6" w:rsidP="0005527B">
      <w:pPr>
        <w:spacing w:line="240" w:lineRule="auto"/>
        <w:jc w:val="center"/>
        <w:rPr>
          <w:rStyle w:val="BookTitle"/>
          <w:rFonts w:ascii="Times New Roman" w:hAnsi="Times New Roman" w:cs="Times New Roman"/>
          <w:b/>
          <w:i w:val="0"/>
          <w:iCs w:val="0"/>
          <w:smallCaps w:val="0"/>
          <w:sz w:val="24"/>
          <w:szCs w:val="24"/>
        </w:rPr>
      </w:pPr>
    </w:p>
    <w:p w:rsidR="00316009" w:rsidRPr="00316009" w:rsidRDefault="00316009" w:rsidP="00316009">
      <w:pPr>
        <w:numPr>
          <w:ilvl w:val="0"/>
          <w:numId w:val="9"/>
        </w:numPr>
        <w:spacing w:after="0" w:line="240" w:lineRule="auto"/>
        <w:rPr>
          <w:rFonts w:ascii="Times New Roman" w:hAnsi="Times New Roman" w:cs="Times New Roman"/>
          <w:b/>
          <w:sz w:val="24"/>
          <w:szCs w:val="24"/>
        </w:rPr>
      </w:pPr>
      <w:r w:rsidRPr="00316009">
        <w:rPr>
          <w:rFonts w:ascii="Times New Roman" w:hAnsi="Times New Roman" w:cs="Times New Roman"/>
          <w:b/>
          <w:sz w:val="24"/>
          <w:szCs w:val="24"/>
        </w:rPr>
        <w:t>Does the state have an overarching national implementation strategy to attain the goals of the Declaration?</w:t>
      </w:r>
    </w:p>
    <w:p w:rsidR="00DF4733" w:rsidRDefault="00DF4733" w:rsidP="0005527B">
      <w:pPr>
        <w:tabs>
          <w:tab w:val="left" w:pos="567"/>
        </w:tabs>
        <w:spacing w:line="240" w:lineRule="auto"/>
        <w:rPr>
          <w:rFonts w:ascii="Times New Roman" w:hAnsi="Times New Roman" w:cs="Times New Roman"/>
          <w:bCs/>
          <w:sz w:val="24"/>
          <w:szCs w:val="24"/>
        </w:rPr>
      </w:pPr>
    </w:p>
    <w:p w:rsidR="00B960D6" w:rsidRPr="00697E94" w:rsidRDefault="00B960D6"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sz w:val="24"/>
          <w:szCs w:val="24"/>
        </w:rPr>
        <w:t xml:space="preserve">The Australian Government announced its support for the Declaration on 3 April 2009.  Along with the National Apology to </w:t>
      </w:r>
      <w:r w:rsidR="00DF4733">
        <w:rPr>
          <w:rFonts w:ascii="Times New Roman" w:hAnsi="Times New Roman" w:cs="Times New Roman"/>
          <w:bCs/>
          <w:sz w:val="24"/>
          <w:szCs w:val="24"/>
        </w:rPr>
        <w:t>Australia’s Indigenous Peoples</w:t>
      </w:r>
      <w:r w:rsidR="00765614">
        <w:rPr>
          <w:rFonts w:ascii="Times New Roman" w:hAnsi="Times New Roman" w:cs="Times New Roman"/>
          <w:bCs/>
          <w:sz w:val="24"/>
          <w:szCs w:val="24"/>
        </w:rPr>
        <w:t>,</w:t>
      </w:r>
      <w:r w:rsidR="00DF4733">
        <w:rPr>
          <w:rFonts w:ascii="Times New Roman" w:hAnsi="Times New Roman" w:cs="Times New Roman"/>
          <w:bCs/>
          <w:sz w:val="24"/>
          <w:szCs w:val="24"/>
        </w:rPr>
        <w:t xml:space="preserve"> and </w:t>
      </w:r>
      <w:r w:rsidR="00764C4D">
        <w:rPr>
          <w:rFonts w:ascii="Times New Roman" w:hAnsi="Times New Roman" w:cs="Times New Roman"/>
          <w:bCs/>
          <w:sz w:val="24"/>
          <w:szCs w:val="24"/>
        </w:rPr>
        <w:t xml:space="preserve">in particular, </w:t>
      </w:r>
      <w:r w:rsidRPr="00697E94">
        <w:rPr>
          <w:rFonts w:ascii="Times New Roman" w:hAnsi="Times New Roman" w:cs="Times New Roman"/>
          <w:bCs/>
          <w:sz w:val="24"/>
          <w:szCs w:val="24"/>
        </w:rPr>
        <w:t>the Stolen Generations</w:t>
      </w:r>
      <w:r w:rsidR="00DF4733">
        <w:rPr>
          <w:rFonts w:ascii="Times New Roman" w:hAnsi="Times New Roman" w:cs="Times New Roman"/>
          <w:bCs/>
          <w:sz w:val="24"/>
          <w:szCs w:val="24"/>
        </w:rPr>
        <w:t>,</w:t>
      </w:r>
      <w:r w:rsidRPr="00697E94">
        <w:rPr>
          <w:rFonts w:ascii="Times New Roman" w:hAnsi="Times New Roman" w:cs="Times New Roman"/>
          <w:bCs/>
          <w:sz w:val="24"/>
          <w:szCs w:val="24"/>
        </w:rPr>
        <w:t xml:space="preserve"> the announcement demonstrated the Government’s commitment to strengthening the relationship and ensuring genuine engagement with Indigenous Australians.</w:t>
      </w:r>
    </w:p>
    <w:p w:rsidR="009A366E" w:rsidRDefault="00764C4D" w:rsidP="009A366E">
      <w:pPr>
        <w:tabs>
          <w:tab w:val="left" w:pos="567"/>
        </w:tabs>
        <w:spacing w:line="240" w:lineRule="auto"/>
        <w:rPr>
          <w:rFonts w:ascii="Times New Roman" w:hAnsi="Times New Roman" w:cs="Times New Roman"/>
          <w:bCs/>
          <w:sz w:val="24"/>
          <w:szCs w:val="24"/>
        </w:rPr>
      </w:pPr>
      <w:r w:rsidRPr="00DF4733">
        <w:rPr>
          <w:rFonts w:ascii="Times New Roman" w:hAnsi="Times New Roman" w:cs="Times New Roman"/>
          <w:bCs/>
          <w:sz w:val="24"/>
          <w:szCs w:val="24"/>
        </w:rPr>
        <w:t xml:space="preserve">The Australian Government’s overarching approach to addressing Indigenous disadvantage is through the Closing the Gap strategy.  The Government is accountable to the Australian people through the Prime Minister’s Closing the Gap report which is tabled in Parliament annually.  </w:t>
      </w:r>
    </w:p>
    <w:p w:rsidR="009A366E" w:rsidRPr="00EA4314" w:rsidRDefault="009A366E" w:rsidP="009A366E">
      <w:pPr>
        <w:spacing w:before="100" w:beforeAutospacing="1" w:after="100" w:afterAutospacing="1" w:line="240" w:lineRule="auto"/>
        <w:rPr>
          <w:rFonts w:ascii="Times New Roman" w:eastAsia="Times New Roman" w:hAnsi="Times New Roman" w:cs="Times New Roman"/>
          <w:sz w:val="24"/>
          <w:szCs w:val="24"/>
          <w:lang w:val="en" w:eastAsia="en-AU"/>
        </w:rPr>
      </w:pPr>
      <w:r w:rsidRPr="00EA4314">
        <w:rPr>
          <w:rFonts w:ascii="Times New Roman" w:eastAsia="Times New Roman" w:hAnsi="Times New Roman" w:cs="Times New Roman"/>
          <w:sz w:val="24"/>
          <w:szCs w:val="24"/>
          <w:lang w:val="en" w:eastAsia="en-AU"/>
        </w:rPr>
        <w:t xml:space="preserve">In 2007, the Council of Australian Governments (COAG) agreed to a partnership between all levels of government to work with Indigenous communities to achieve the target of Closing the Gap in Indigenous </w:t>
      </w:r>
      <w:r w:rsidR="00F27E09">
        <w:rPr>
          <w:rFonts w:ascii="Times New Roman" w:eastAsia="Times New Roman" w:hAnsi="Times New Roman" w:cs="Times New Roman"/>
          <w:sz w:val="24"/>
          <w:szCs w:val="24"/>
          <w:lang w:val="en" w:eastAsia="en-AU"/>
        </w:rPr>
        <w:t>d</w:t>
      </w:r>
      <w:r w:rsidRPr="00EA4314">
        <w:rPr>
          <w:rFonts w:ascii="Times New Roman" w:eastAsia="Times New Roman" w:hAnsi="Times New Roman" w:cs="Times New Roman"/>
          <w:sz w:val="24"/>
          <w:szCs w:val="24"/>
          <w:lang w:val="en" w:eastAsia="en-AU"/>
        </w:rPr>
        <w:t>isadvantage.</w:t>
      </w:r>
    </w:p>
    <w:p w:rsidR="009A366E" w:rsidRPr="00EA4314" w:rsidRDefault="009A366E" w:rsidP="009A366E">
      <w:pPr>
        <w:tabs>
          <w:tab w:val="left" w:pos="567"/>
        </w:tabs>
        <w:spacing w:line="240" w:lineRule="auto"/>
        <w:rPr>
          <w:rFonts w:ascii="Times New Roman" w:hAnsi="Times New Roman" w:cs="Times New Roman"/>
          <w:bCs/>
          <w:sz w:val="24"/>
          <w:szCs w:val="24"/>
        </w:rPr>
      </w:pPr>
      <w:r w:rsidRPr="00EA4314">
        <w:rPr>
          <w:rFonts w:ascii="Times New Roman" w:hAnsi="Times New Roman" w:cs="Times New Roman"/>
          <w:bCs/>
          <w:sz w:val="24"/>
          <w:szCs w:val="24"/>
        </w:rPr>
        <w:t xml:space="preserve">The </w:t>
      </w:r>
      <w:r w:rsidRPr="00EA4314">
        <w:rPr>
          <w:rFonts w:ascii="Times New Roman" w:eastAsia="Times New Roman" w:hAnsi="Times New Roman" w:cs="Times New Roman"/>
          <w:sz w:val="24"/>
          <w:szCs w:val="24"/>
          <w:lang w:val="en" w:eastAsia="en-AU"/>
        </w:rPr>
        <w:t>COAG</w:t>
      </w:r>
      <w:r w:rsidRPr="00EA4314">
        <w:rPr>
          <w:rFonts w:ascii="Times New Roman" w:hAnsi="Times New Roman" w:cs="Times New Roman"/>
          <w:bCs/>
          <w:sz w:val="24"/>
          <w:szCs w:val="24"/>
        </w:rPr>
        <w:t xml:space="preserve"> reform agenda is implemented through </w:t>
      </w:r>
      <w:hyperlink r:id="rId9" w:anchor="national_agreement" w:history="1">
        <w:r w:rsidRPr="00EA4314">
          <w:rPr>
            <w:rFonts w:ascii="Times New Roman" w:hAnsi="Times New Roman" w:cs="Times New Roman"/>
            <w:bCs/>
            <w:sz w:val="24"/>
            <w:szCs w:val="24"/>
          </w:rPr>
          <w:t>National Agreements</w:t>
        </w:r>
      </w:hyperlink>
      <w:r w:rsidRPr="00EA4314">
        <w:rPr>
          <w:rFonts w:ascii="Times New Roman" w:hAnsi="Times New Roman" w:cs="Times New Roman"/>
          <w:bCs/>
          <w:sz w:val="24"/>
          <w:szCs w:val="24"/>
        </w:rPr>
        <w:t xml:space="preserve">, National Partnerships and other intergovernmental agreements.  Under the </w:t>
      </w:r>
      <w:hyperlink r:id="rId10" w:tooltip="National Agreements, Standing Council for Federal Financial Relations website" w:history="1">
        <w:r w:rsidRPr="00EA4314">
          <w:rPr>
            <w:rFonts w:ascii="Times New Roman" w:hAnsi="Times New Roman" w:cs="Times New Roman"/>
            <w:bCs/>
            <w:sz w:val="24"/>
            <w:szCs w:val="24"/>
          </w:rPr>
          <w:t>National Indigenous Reform Agreement</w:t>
        </w:r>
      </w:hyperlink>
      <w:r w:rsidRPr="00EA4314">
        <w:rPr>
          <w:rFonts w:ascii="Times New Roman" w:hAnsi="Times New Roman" w:cs="Times New Roman"/>
          <w:bCs/>
          <w:sz w:val="24"/>
          <w:szCs w:val="24"/>
        </w:rPr>
        <w:t xml:space="preserve">, all Australian governments have shared responsibility for Closing the Gap in Indigenous </w:t>
      </w:r>
      <w:r w:rsidR="00F27E09">
        <w:rPr>
          <w:rFonts w:ascii="Times New Roman" w:hAnsi="Times New Roman" w:cs="Times New Roman"/>
          <w:bCs/>
          <w:sz w:val="24"/>
          <w:szCs w:val="24"/>
        </w:rPr>
        <w:t>d</w:t>
      </w:r>
      <w:r w:rsidRPr="00EA4314">
        <w:rPr>
          <w:rFonts w:ascii="Times New Roman" w:hAnsi="Times New Roman" w:cs="Times New Roman"/>
          <w:bCs/>
          <w:sz w:val="24"/>
          <w:szCs w:val="24"/>
        </w:rPr>
        <w:t>isadvantage across six key areas – life expectancy, child mortality, access to early childhood education, literacy and numeracy, education attainment and economic participation.</w:t>
      </w:r>
    </w:p>
    <w:p w:rsidR="009A366E" w:rsidRDefault="009A366E" w:rsidP="009A366E">
      <w:pPr>
        <w:tabs>
          <w:tab w:val="left" w:pos="567"/>
        </w:tabs>
        <w:spacing w:line="240" w:lineRule="auto"/>
        <w:rPr>
          <w:rFonts w:ascii="Times New Roman" w:hAnsi="Times New Roman" w:cs="Times New Roman"/>
          <w:bCs/>
          <w:sz w:val="24"/>
          <w:szCs w:val="24"/>
        </w:rPr>
      </w:pPr>
      <w:r w:rsidRPr="00EA4314">
        <w:rPr>
          <w:rFonts w:ascii="Times New Roman" w:hAnsi="Times New Roman" w:cs="Times New Roman"/>
          <w:bCs/>
          <w:sz w:val="24"/>
          <w:szCs w:val="24"/>
        </w:rPr>
        <w:t>Each year, the COAG Reform Council report</w:t>
      </w:r>
      <w:r w:rsidR="00F27E09">
        <w:rPr>
          <w:rFonts w:ascii="Times New Roman" w:hAnsi="Times New Roman" w:cs="Times New Roman"/>
          <w:bCs/>
          <w:sz w:val="24"/>
          <w:szCs w:val="24"/>
        </w:rPr>
        <w:t>s</w:t>
      </w:r>
      <w:r w:rsidRPr="00EA4314">
        <w:rPr>
          <w:rFonts w:ascii="Times New Roman" w:hAnsi="Times New Roman" w:cs="Times New Roman"/>
          <w:bCs/>
          <w:sz w:val="24"/>
          <w:szCs w:val="24"/>
        </w:rPr>
        <w:t xml:space="preserve"> to COAG on the performance of Commonwealth, State and Territory governments against the objectives and outcomes of the National Indigenous Reform Agreement.</w:t>
      </w:r>
    </w:p>
    <w:p w:rsidR="00764C4D" w:rsidRPr="00DF4733" w:rsidRDefault="00764C4D" w:rsidP="00DF4733">
      <w:pPr>
        <w:tabs>
          <w:tab w:val="left" w:pos="567"/>
        </w:tabs>
        <w:spacing w:line="240" w:lineRule="auto"/>
        <w:rPr>
          <w:rFonts w:ascii="Times New Roman" w:hAnsi="Times New Roman" w:cs="Times New Roman"/>
          <w:bCs/>
          <w:sz w:val="24"/>
          <w:szCs w:val="24"/>
        </w:rPr>
      </w:pPr>
      <w:r w:rsidRPr="00DF4733">
        <w:rPr>
          <w:rFonts w:ascii="Times New Roman" w:hAnsi="Times New Roman" w:cs="Times New Roman"/>
          <w:bCs/>
          <w:sz w:val="24"/>
          <w:szCs w:val="24"/>
        </w:rPr>
        <w:t xml:space="preserve">The principles of the Declaration are consistent with the Government’s approach to Closing the Gap.  In partnership with States and Territories, the Government is making an unprecedented effort to bring about long term positive outcomes for Indigenous Australians, with more than $5.2 billion in funding for employment, education, health services, community development and community safety.   The </w:t>
      </w:r>
      <w:r w:rsidR="00DF4733">
        <w:rPr>
          <w:rFonts w:ascii="Times New Roman" w:hAnsi="Times New Roman" w:cs="Times New Roman"/>
          <w:bCs/>
          <w:sz w:val="24"/>
          <w:szCs w:val="24"/>
        </w:rPr>
        <w:t>Australian</w:t>
      </w:r>
      <w:r w:rsidRPr="00DF4733">
        <w:rPr>
          <w:rFonts w:ascii="Times New Roman" w:hAnsi="Times New Roman" w:cs="Times New Roman"/>
          <w:bCs/>
          <w:sz w:val="24"/>
          <w:szCs w:val="24"/>
        </w:rPr>
        <w:t xml:space="preserve"> Government is committed to working in partnership with stakeholders to achieve these outcomes for Indigenous Australians.  </w:t>
      </w:r>
    </w:p>
    <w:p w:rsidR="00B960D6" w:rsidRPr="00697E94" w:rsidRDefault="00B960D6"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sz w:val="24"/>
          <w:szCs w:val="24"/>
        </w:rPr>
        <w:t xml:space="preserve">At the United Nations General Assembly’s Third Committee in 2010, Australia also supported a proposal to organise a World Conference on Indigenous Peoples to be held in 2014.  The purpose of the meeting will be to share perspectives and best practices on the realisation of the rights of Indigenous peoples, including pursuing the objectives of the Declaration. </w:t>
      </w:r>
    </w:p>
    <w:p w:rsidR="00785BD3" w:rsidRDefault="00785BD3">
      <w:pPr>
        <w:spacing w:before="60" w:after="60" w:line="240" w:lineRule="auto"/>
        <w:ind w:left="1077" w:right="68" w:hanging="357"/>
        <w:rPr>
          <w:rFonts w:ascii="Times New Roman" w:hAnsi="Times New Roman" w:cs="Times New Roman"/>
          <w:b/>
          <w:bCs/>
          <w:sz w:val="24"/>
          <w:szCs w:val="24"/>
        </w:rPr>
      </w:pPr>
      <w:r>
        <w:rPr>
          <w:rFonts w:ascii="Times New Roman" w:hAnsi="Times New Roman" w:cs="Times New Roman"/>
          <w:b/>
          <w:bCs/>
          <w:sz w:val="24"/>
          <w:szCs w:val="24"/>
        </w:rPr>
        <w:br w:type="page"/>
      </w:r>
    </w:p>
    <w:p w:rsidR="00092D0A" w:rsidRPr="00697E94" w:rsidRDefault="00092D0A" w:rsidP="0005527B">
      <w:pPr>
        <w:tabs>
          <w:tab w:val="left" w:pos="567"/>
        </w:tabs>
        <w:spacing w:line="240" w:lineRule="auto"/>
        <w:rPr>
          <w:rFonts w:ascii="Times New Roman" w:hAnsi="Times New Roman" w:cs="Times New Roman"/>
          <w:b/>
          <w:bCs/>
          <w:sz w:val="24"/>
          <w:szCs w:val="24"/>
        </w:rPr>
      </w:pPr>
      <w:r w:rsidRPr="00697E94">
        <w:rPr>
          <w:rFonts w:ascii="Times New Roman" w:hAnsi="Times New Roman" w:cs="Times New Roman"/>
          <w:b/>
          <w:bCs/>
          <w:sz w:val="24"/>
          <w:szCs w:val="24"/>
        </w:rPr>
        <w:lastRenderedPageBreak/>
        <w:t xml:space="preserve">2. </w:t>
      </w:r>
      <w:r w:rsidRPr="00697E94">
        <w:rPr>
          <w:rFonts w:ascii="Times New Roman" w:hAnsi="Times New Roman" w:cs="Times New Roman"/>
          <w:b/>
          <w:bCs/>
          <w:sz w:val="24"/>
          <w:szCs w:val="24"/>
        </w:rPr>
        <w:tab/>
        <w:t>Have specific legal, policy or other measures been adopted especially to implement any or all rights in the Declaration?</w:t>
      </w:r>
    </w:p>
    <w:p w:rsidR="004F7FA1" w:rsidRPr="00697E94" w:rsidRDefault="004F7FA1"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sz w:val="24"/>
          <w:szCs w:val="24"/>
        </w:rPr>
        <w:t xml:space="preserve">The </w:t>
      </w:r>
      <w:r w:rsidR="00D1789A">
        <w:rPr>
          <w:rFonts w:ascii="Times New Roman" w:hAnsi="Times New Roman" w:cs="Times New Roman"/>
          <w:bCs/>
          <w:sz w:val="24"/>
          <w:szCs w:val="24"/>
        </w:rPr>
        <w:t xml:space="preserve">Australian </w:t>
      </w:r>
      <w:r w:rsidRPr="00697E94">
        <w:rPr>
          <w:rFonts w:ascii="Times New Roman" w:hAnsi="Times New Roman" w:cs="Times New Roman"/>
          <w:bCs/>
          <w:sz w:val="24"/>
          <w:szCs w:val="24"/>
        </w:rPr>
        <w:t xml:space="preserve">Government is committed to an approach to the Declaration which is consistent with its domestic and international obligations, including in respect of Aboriginal and Torres Strait Islander peoples. </w:t>
      </w:r>
    </w:p>
    <w:p w:rsidR="00092D0A" w:rsidRDefault="00092D0A"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sz w:val="24"/>
          <w:szCs w:val="24"/>
        </w:rPr>
        <w:t xml:space="preserve">The Government’s Indigenous policies are generally consistent with the spirit of the Declaration and relevant agencies within the Government liaise closely on relevant issues to ensure that these issues are taken into account in policy and program development. </w:t>
      </w:r>
    </w:p>
    <w:p w:rsidR="002B16B1" w:rsidRPr="0081487C" w:rsidRDefault="002B16B1" w:rsidP="002B16B1">
      <w:pPr>
        <w:tabs>
          <w:tab w:val="left" w:pos="567"/>
        </w:tabs>
        <w:spacing w:line="240" w:lineRule="auto"/>
        <w:rPr>
          <w:rFonts w:ascii="Times New Roman" w:hAnsi="Times New Roman" w:cs="Times New Roman"/>
          <w:bCs/>
          <w:sz w:val="24"/>
          <w:szCs w:val="24"/>
        </w:rPr>
      </w:pPr>
      <w:r w:rsidRPr="0081487C">
        <w:rPr>
          <w:rFonts w:ascii="Times New Roman" w:hAnsi="Times New Roman" w:cs="Times New Roman"/>
          <w:bCs/>
          <w:sz w:val="24"/>
          <w:szCs w:val="24"/>
        </w:rPr>
        <w:t>The Government is committed to building stronger relationships with Aboriginal and Torres Strait Islander people based on mutual respect.</w:t>
      </w:r>
    </w:p>
    <w:p w:rsidR="002B16B1" w:rsidRPr="0081487C" w:rsidRDefault="002B16B1" w:rsidP="002B16B1">
      <w:pPr>
        <w:tabs>
          <w:tab w:val="left" w:pos="567"/>
        </w:tabs>
        <w:spacing w:line="240" w:lineRule="auto"/>
        <w:rPr>
          <w:rFonts w:ascii="Times New Roman" w:hAnsi="Times New Roman" w:cs="Times New Roman"/>
          <w:bCs/>
          <w:sz w:val="24"/>
          <w:szCs w:val="24"/>
        </w:rPr>
      </w:pPr>
      <w:r w:rsidRPr="0081487C">
        <w:rPr>
          <w:rFonts w:ascii="Times New Roman" w:hAnsi="Times New Roman" w:cs="Times New Roman"/>
          <w:bCs/>
          <w:sz w:val="24"/>
          <w:szCs w:val="24"/>
        </w:rPr>
        <w:t xml:space="preserve">The Government </w:t>
      </w:r>
      <w:r w:rsidR="00765614">
        <w:rPr>
          <w:rFonts w:ascii="Times New Roman" w:hAnsi="Times New Roman" w:cs="Times New Roman"/>
          <w:bCs/>
          <w:sz w:val="24"/>
          <w:szCs w:val="24"/>
        </w:rPr>
        <w:t xml:space="preserve">has built </w:t>
      </w:r>
      <w:r w:rsidRPr="0081487C">
        <w:rPr>
          <w:rFonts w:ascii="Times New Roman" w:hAnsi="Times New Roman" w:cs="Times New Roman"/>
          <w:bCs/>
          <w:sz w:val="24"/>
          <w:szCs w:val="24"/>
        </w:rPr>
        <w:t xml:space="preserve">on the goodwill from the </w:t>
      </w:r>
      <w:r w:rsidR="00765614">
        <w:rPr>
          <w:rFonts w:ascii="Times New Roman" w:hAnsi="Times New Roman" w:cs="Times New Roman"/>
          <w:bCs/>
          <w:sz w:val="24"/>
          <w:szCs w:val="24"/>
        </w:rPr>
        <w:t xml:space="preserve">National </w:t>
      </w:r>
      <w:r w:rsidRPr="0081487C">
        <w:rPr>
          <w:rFonts w:ascii="Times New Roman" w:hAnsi="Times New Roman" w:cs="Times New Roman"/>
          <w:bCs/>
          <w:sz w:val="24"/>
          <w:szCs w:val="24"/>
        </w:rPr>
        <w:t>Apology and further</w:t>
      </w:r>
      <w:r w:rsidR="00765614">
        <w:rPr>
          <w:rFonts w:ascii="Times New Roman" w:hAnsi="Times New Roman" w:cs="Times New Roman"/>
          <w:bCs/>
          <w:sz w:val="24"/>
          <w:szCs w:val="24"/>
        </w:rPr>
        <w:t>ed</w:t>
      </w:r>
      <w:r w:rsidRPr="0081487C">
        <w:rPr>
          <w:rFonts w:ascii="Times New Roman" w:hAnsi="Times New Roman" w:cs="Times New Roman"/>
          <w:bCs/>
          <w:sz w:val="24"/>
          <w:szCs w:val="24"/>
        </w:rPr>
        <w:t xml:space="preserve"> better relationships with Indigenous peoples by establish</w:t>
      </w:r>
      <w:r w:rsidR="00DF4733" w:rsidRPr="0081487C">
        <w:rPr>
          <w:rFonts w:ascii="Times New Roman" w:hAnsi="Times New Roman" w:cs="Times New Roman"/>
          <w:bCs/>
          <w:sz w:val="24"/>
          <w:szCs w:val="24"/>
        </w:rPr>
        <w:t>ing</w:t>
      </w:r>
      <w:r w:rsidRPr="0081487C">
        <w:rPr>
          <w:rFonts w:ascii="Times New Roman" w:hAnsi="Times New Roman" w:cs="Times New Roman"/>
          <w:bCs/>
          <w:sz w:val="24"/>
          <w:szCs w:val="24"/>
        </w:rPr>
        <w:t xml:space="preserve"> the National Congress of Australia’s First Peoples.</w:t>
      </w:r>
      <w:r w:rsidR="00DF4733" w:rsidRPr="0081487C">
        <w:rPr>
          <w:rFonts w:ascii="Times New Roman" w:hAnsi="Times New Roman" w:cs="Times New Roman"/>
          <w:bCs/>
          <w:sz w:val="24"/>
          <w:szCs w:val="24"/>
        </w:rPr>
        <w:t xml:space="preserve">  </w:t>
      </w:r>
      <w:r w:rsidRPr="0081487C">
        <w:rPr>
          <w:rFonts w:ascii="Times New Roman" w:hAnsi="Times New Roman" w:cs="Times New Roman"/>
          <w:bCs/>
          <w:sz w:val="24"/>
          <w:szCs w:val="24"/>
        </w:rPr>
        <w:t>The National Congress provides a voice for Indigenous Australians and an opportunity to build new relationships with government and industry to secure the economic, social and cultural futures of Aboriginal and Torres Strait Islander peoples.</w:t>
      </w:r>
    </w:p>
    <w:p w:rsidR="006B6389" w:rsidRPr="002B16B1" w:rsidRDefault="00DF4733" w:rsidP="002B16B1">
      <w:pPr>
        <w:tabs>
          <w:tab w:val="left" w:pos="567"/>
        </w:tabs>
        <w:spacing w:line="240" w:lineRule="auto"/>
        <w:rPr>
          <w:rFonts w:ascii="Times New Roman" w:hAnsi="Times New Roman" w:cs="Times New Roman"/>
          <w:bCs/>
          <w:sz w:val="24"/>
          <w:szCs w:val="24"/>
        </w:rPr>
      </w:pPr>
      <w:r w:rsidRPr="0081487C">
        <w:rPr>
          <w:rFonts w:ascii="Times New Roman" w:hAnsi="Times New Roman" w:cs="Times New Roman"/>
          <w:sz w:val="24"/>
          <w:szCs w:val="24"/>
          <w:lang w:eastAsia="en-AU"/>
        </w:rPr>
        <w:t>The Government</w:t>
      </w:r>
      <w:r w:rsidR="006B6389" w:rsidRPr="0081487C">
        <w:rPr>
          <w:rFonts w:ascii="Times New Roman" w:hAnsi="Times New Roman" w:cs="Times New Roman"/>
          <w:sz w:val="24"/>
          <w:szCs w:val="24"/>
          <w:lang w:eastAsia="en-AU"/>
        </w:rPr>
        <w:t xml:space="preserve"> will continue to engage with the National Congress around the needs of Indigenous Australians and the development of government policies and programs.</w:t>
      </w:r>
    </w:p>
    <w:p w:rsidR="00CA0FC2" w:rsidRDefault="00765614" w:rsidP="008852FC">
      <w:pPr>
        <w:tabs>
          <w:tab w:val="left" w:pos="567"/>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addition to its investment to </w:t>
      </w:r>
      <w:r w:rsidR="0072761A">
        <w:rPr>
          <w:rFonts w:ascii="Times New Roman" w:hAnsi="Times New Roman" w:cs="Times New Roman"/>
          <w:bCs/>
          <w:sz w:val="24"/>
          <w:szCs w:val="24"/>
        </w:rPr>
        <w:t>c</w:t>
      </w:r>
      <w:r>
        <w:rPr>
          <w:rFonts w:ascii="Times New Roman" w:hAnsi="Times New Roman" w:cs="Times New Roman"/>
          <w:bCs/>
          <w:sz w:val="24"/>
          <w:szCs w:val="24"/>
        </w:rPr>
        <w:t xml:space="preserve">lose the </w:t>
      </w:r>
      <w:r w:rsidR="0072761A">
        <w:rPr>
          <w:rFonts w:ascii="Times New Roman" w:hAnsi="Times New Roman" w:cs="Times New Roman"/>
          <w:bCs/>
          <w:sz w:val="24"/>
          <w:szCs w:val="24"/>
        </w:rPr>
        <w:t>g</w:t>
      </w:r>
      <w:r>
        <w:rPr>
          <w:rFonts w:ascii="Times New Roman" w:hAnsi="Times New Roman" w:cs="Times New Roman"/>
          <w:bCs/>
          <w:sz w:val="24"/>
          <w:szCs w:val="24"/>
        </w:rPr>
        <w:t xml:space="preserve">ap </w:t>
      </w:r>
      <w:r w:rsidR="0072761A">
        <w:rPr>
          <w:rFonts w:ascii="Times New Roman" w:hAnsi="Times New Roman" w:cs="Times New Roman"/>
          <w:bCs/>
          <w:sz w:val="24"/>
          <w:szCs w:val="24"/>
        </w:rPr>
        <w:t>i</w:t>
      </w:r>
      <w:r>
        <w:rPr>
          <w:rFonts w:ascii="Times New Roman" w:hAnsi="Times New Roman" w:cs="Times New Roman"/>
          <w:bCs/>
          <w:sz w:val="24"/>
          <w:szCs w:val="24"/>
        </w:rPr>
        <w:t xml:space="preserve">n Indigenous disadvantage, the Australian Government is supporting Indigenous culture.  </w:t>
      </w:r>
      <w:r w:rsidR="00EF63BA" w:rsidRPr="00CA0FC2">
        <w:rPr>
          <w:rFonts w:ascii="Times New Roman" w:hAnsi="Times New Roman" w:cs="Times New Roman"/>
          <w:bCs/>
          <w:sz w:val="24"/>
          <w:szCs w:val="24"/>
        </w:rPr>
        <w:t>In 2011-12, over $26</w:t>
      </w:r>
      <w:r>
        <w:rPr>
          <w:rFonts w:ascii="Times New Roman" w:hAnsi="Times New Roman" w:cs="Times New Roman"/>
          <w:bCs/>
          <w:sz w:val="24"/>
          <w:szCs w:val="24"/>
        </w:rPr>
        <w:t> </w:t>
      </w:r>
      <w:r w:rsidR="00EF63BA" w:rsidRPr="00CA0FC2">
        <w:rPr>
          <w:rFonts w:ascii="Times New Roman" w:hAnsi="Times New Roman" w:cs="Times New Roman"/>
          <w:bCs/>
          <w:sz w:val="24"/>
          <w:szCs w:val="24"/>
        </w:rPr>
        <w:t xml:space="preserve">million was administered to support over 294 Indigenous </w:t>
      </w:r>
      <w:r w:rsidR="0001207D" w:rsidRPr="00CA0FC2">
        <w:rPr>
          <w:rFonts w:ascii="Times New Roman" w:hAnsi="Times New Roman" w:cs="Times New Roman"/>
          <w:bCs/>
          <w:sz w:val="24"/>
          <w:szCs w:val="24"/>
        </w:rPr>
        <w:t>cultures</w:t>
      </w:r>
      <w:r w:rsidR="00EF63BA" w:rsidRPr="00CA0FC2">
        <w:rPr>
          <w:rFonts w:ascii="Times New Roman" w:hAnsi="Times New Roman" w:cs="Times New Roman"/>
          <w:bCs/>
          <w:sz w:val="24"/>
          <w:szCs w:val="24"/>
        </w:rPr>
        <w:t xml:space="preserve">, languages and visual arts activities across Australia with the majority of this funding delivered to regional and remote communities.  </w:t>
      </w:r>
      <w:r w:rsidR="00F27E09">
        <w:rPr>
          <w:rFonts w:ascii="Times New Roman" w:hAnsi="Times New Roman" w:cs="Times New Roman"/>
          <w:bCs/>
          <w:sz w:val="24"/>
          <w:szCs w:val="24"/>
        </w:rPr>
        <w:t>A further</w:t>
      </w:r>
      <w:r w:rsidR="00EF63BA" w:rsidRPr="00CA0FC2">
        <w:rPr>
          <w:rFonts w:ascii="Times New Roman" w:hAnsi="Times New Roman" w:cs="Times New Roman"/>
          <w:bCs/>
          <w:sz w:val="24"/>
          <w:szCs w:val="24"/>
        </w:rPr>
        <w:t xml:space="preserve"> </w:t>
      </w:r>
      <w:r w:rsidR="00F27E09" w:rsidRPr="00C419DD">
        <w:rPr>
          <w:rFonts w:ascii="Times New Roman" w:hAnsi="Times New Roman" w:cs="Times New Roman"/>
          <w:bCs/>
          <w:sz w:val="24"/>
          <w:szCs w:val="24"/>
        </w:rPr>
        <w:t>$20 million was invested in 2011-12</w:t>
      </w:r>
      <w:r w:rsidR="00F27E09">
        <w:rPr>
          <w:rFonts w:ascii="Times New Roman" w:hAnsi="Times New Roman" w:cs="Times New Roman"/>
          <w:bCs/>
          <w:sz w:val="24"/>
          <w:szCs w:val="24"/>
        </w:rPr>
        <w:t>,</w:t>
      </w:r>
      <w:r w:rsidR="00F27E09" w:rsidRPr="00C419DD">
        <w:rPr>
          <w:rFonts w:ascii="Times New Roman" w:hAnsi="Times New Roman" w:cs="Times New Roman"/>
          <w:bCs/>
          <w:sz w:val="24"/>
          <w:szCs w:val="24"/>
        </w:rPr>
        <w:t xml:space="preserve"> </w:t>
      </w:r>
      <w:r w:rsidR="00EF63BA" w:rsidRPr="00CA0FC2">
        <w:rPr>
          <w:rFonts w:ascii="Times New Roman" w:hAnsi="Times New Roman" w:cs="Times New Roman"/>
          <w:bCs/>
          <w:sz w:val="24"/>
          <w:szCs w:val="24"/>
        </w:rPr>
        <w:t>th</w:t>
      </w:r>
      <w:r w:rsidR="00EF63BA" w:rsidRPr="00C419DD">
        <w:rPr>
          <w:rFonts w:ascii="Times New Roman" w:hAnsi="Times New Roman" w:cs="Times New Roman"/>
          <w:bCs/>
          <w:sz w:val="24"/>
          <w:szCs w:val="24"/>
        </w:rPr>
        <w:t>rough the Indigenous Employment Initiative</w:t>
      </w:r>
      <w:r w:rsidR="00F27E09">
        <w:rPr>
          <w:rFonts w:ascii="Times New Roman" w:hAnsi="Times New Roman" w:cs="Times New Roman"/>
          <w:bCs/>
          <w:sz w:val="24"/>
          <w:szCs w:val="24"/>
        </w:rPr>
        <w:t>,</w:t>
      </w:r>
      <w:r w:rsidR="00EF63BA" w:rsidRPr="00C419DD">
        <w:rPr>
          <w:rFonts w:ascii="Times New Roman" w:hAnsi="Times New Roman" w:cs="Times New Roman"/>
          <w:bCs/>
          <w:sz w:val="24"/>
          <w:szCs w:val="24"/>
        </w:rPr>
        <w:t xml:space="preserve"> to employ Aboriginal and Torres Strait Islander people</w:t>
      </w:r>
      <w:r w:rsidR="00EF63BA" w:rsidRPr="005346CD">
        <w:rPr>
          <w:rFonts w:ascii="Times New Roman" w:hAnsi="Times New Roman" w:cs="Times New Roman"/>
          <w:bCs/>
          <w:sz w:val="24"/>
          <w:szCs w:val="24"/>
        </w:rPr>
        <w:t xml:space="preserve"> in jobs to deliver arts, culture, languages and broadcasting programs in regional and remote areas.  This funding su</w:t>
      </w:r>
      <w:r w:rsidR="00EF63BA" w:rsidRPr="008852FC">
        <w:rPr>
          <w:rFonts w:ascii="Times New Roman" w:hAnsi="Times New Roman" w:cs="Times New Roman"/>
          <w:bCs/>
          <w:sz w:val="24"/>
          <w:szCs w:val="24"/>
        </w:rPr>
        <w:t>pports over 600 jobs that provide Indigenous Australians with increased economic independence, mainstream employment conditions and skills development.</w:t>
      </w:r>
    </w:p>
    <w:p w:rsidR="005A0FDA" w:rsidRPr="0081487C" w:rsidRDefault="005A0FDA" w:rsidP="0081487C">
      <w:pPr>
        <w:tabs>
          <w:tab w:val="left" w:pos="567"/>
        </w:tabs>
        <w:spacing w:line="240" w:lineRule="auto"/>
        <w:rPr>
          <w:rFonts w:ascii="Times New Roman" w:hAnsi="Times New Roman" w:cs="Times New Roman"/>
          <w:bCs/>
          <w:sz w:val="24"/>
          <w:szCs w:val="24"/>
        </w:rPr>
      </w:pPr>
      <w:r w:rsidRPr="0081487C">
        <w:rPr>
          <w:rFonts w:ascii="Times New Roman" w:hAnsi="Times New Roman" w:cs="Times New Roman"/>
          <w:bCs/>
          <w:sz w:val="24"/>
          <w:szCs w:val="24"/>
        </w:rPr>
        <w:t xml:space="preserve">Additional major government investments to close the gap on Indigenous </w:t>
      </w:r>
      <w:r w:rsidR="0081487C">
        <w:rPr>
          <w:rFonts w:ascii="Times New Roman" w:hAnsi="Times New Roman" w:cs="Times New Roman"/>
          <w:bCs/>
          <w:sz w:val="24"/>
          <w:szCs w:val="24"/>
        </w:rPr>
        <w:t xml:space="preserve">disadvantage include </w:t>
      </w:r>
      <w:r w:rsidRPr="0081487C">
        <w:rPr>
          <w:rFonts w:ascii="Times New Roman" w:hAnsi="Times New Roman" w:cs="Times New Roman"/>
          <w:bCs/>
          <w:sz w:val="24"/>
          <w:szCs w:val="24"/>
        </w:rPr>
        <w:t xml:space="preserve">$3.4 billion for Stronger Futures in the Northern Territory – a comprehensive </w:t>
      </w:r>
      <w:r w:rsidR="00610AFF" w:rsidRPr="0081487C">
        <w:rPr>
          <w:rFonts w:ascii="Times New Roman" w:hAnsi="Times New Roman" w:cs="Times New Roman"/>
          <w:bCs/>
          <w:sz w:val="24"/>
          <w:szCs w:val="24"/>
        </w:rPr>
        <w:t>t</w:t>
      </w:r>
      <w:r w:rsidRPr="0081487C">
        <w:rPr>
          <w:rFonts w:ascii="Times New Roman" w:hAnsi="Times New Roman" w:cs="Times New Roman"/>
          <w:bCs/>
          <w:sz w:val="24"/>
          <w:szCs w:val="24"/>
        </w:rPr>
        <w:t>en-year plan to support Aboriginal people in the Northern Territory to live strong, independent lives</w:t>
      </w:r>
      <w:r w:rsidR="00765614">
        <w:rPr>
          <w:rFonts w:ascii="Times New Roman" w:hAnsi="Times New Roman" w:cs="Times New Roman"/>
          <w:bCs/>
          <w:sz w:val="24"/>
          <w:szCs w:val="24"/>
        </w:rPr>
        <w:t>.</w:t>
      </w:r>
    </w:p>
    <w:p w:rsidR="005A0FDA" w:rsidRPr="0081487C" w:rsidRDefault="0081487C" w:rsidP="0081487C">
      <w:pPr>
        <w:tabs>
          <w:tab w:val="left" w:pos="567"/>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Government has also invested </w:t>
      </w:r>
      <w:r w:rsidR="005A0FDA" w:rsidRPr="0081487C">
        <w:rPr>
          <w:rFonts w:ascii="Times New Roman" w:hAnsi="Times New Roman" w:cs="Times New Roman"/>
          <w:bCs/>
          <w:sz w:val="24"/>
          <w:szCs w:val="24"/>
        </w:rPr>
        <w:t>$291.2 million over six years for Remote Service Delive</w:t>
      </w:r>
      <w:r>
        <w:rPr>
          <w:rFonts w:ascii="Times New Roman" w:hAnsi="Times New Roman" w:cs="Times New Roman"/>
          <w:bCs/>
          <w:sz w:val="24"/>
          <w:szCs w:val="24"/>
        </w:rPr>
        <w:t xml:space="preserve">ry (commenced December 2008) to </w:t>
      </w:r>
      <w:r w:rsidR="005A0FDA" w:rsidRPr="0081487C">
        <w:rPr>
          <w:rFonts w:ascii="Times New Roman" w:hAnsi="Times New Roman" w:cs="Times New Roman"/>
          <w:bCs/>
          <w:sz w:val="24"/>
          <w:szCs w:val="24"/>
        </w:rPr>
        <w:t>increase access to services and raise the level of government services</w:t>
      </w:r>
      <w:r>
        <w:rPr>
          <w:rFonts w:ascii="Times New Roman" w:hAnsi="Times New Roman" w:cs="Times New Roman"/>
          <w:bCs/>
          <w:sz w:val="24"/>
          <w:szCs w:val="24"/>
        </w:rPr>
        <w:t xml:space="preserve">, </w:t>
      </w:r>
      <w:r w:rsidR="005A0FDA" w:rsidRPr="0081487C">
        <w:rPr>
          <w:rFonts w:ascii="Times New Roman" w:hAnsi="Times New Roman" w:cs="Times New Roman"/>
          <w:bCs/>
          <w:sz w:val="24"/>
          <w:szCs w:val="24"/>
        </w:rPr>
        <w:t>build community governance capacity</w:t>
      </w:r>
      <w:r>
        <w:rPr>
          <w:rFonts w:ascii="Times New Roman" w:hAnsi="Times New Roman" w:cs="Times New Roman"/>
          <w:bCs/>
          <w:sz w:val="24"/>
          <w:szCs w:val="24"/>
        </w:rPr>
        <w:t xml:space="preserve">, </w:t>
      </w:r>
      <w:r w:rsidR="005A0FDA" w:rsidRPr="0081487C">
        <w:rPr>
          <w:rFonts w:ascii="Times New Roman" w:hAnsi="Times New Roman" w:cs="Times New Roman"/>
          <w:bCs/>
          <w:sz w:val="24"/>
          <w:szCs w:val="24"/>
        </w:rPr>
        <w:t>provide translation services to assist in better understanding the needs of communities</w:t>
      </w:r>
      <w:r>
        <w:rPr>
          <w:rFonts w:ascii="Times New Roman" w:hAnsi="Times New Roman" w:cs="Times New Roman"/>
          <w:bCs/>
          <w:sz w:val="24"/>
          <w:szCs w:val="24"/>
        </w:rPr>
        <w:t xml:space="preserve">, </w:t>
      </w:r>
      <w:r w:rsidR="005A0FDA" w:rsidRPr="0081487C">
        <w:rPr>
          <w:rFonts w:ascii="Times New Roman" w:hAnsi="Times New Roman" w:cs="Times New Roman"/>
          <w:bCs/>
          <w:sz w:val="24"/>
          <w:szCs w:val="24"/>
        </w:rPr>
        <w:t>build an evidence base on what services are needed in each location</w:t>
      </w:r>
      <w:r>
        <w:rPr>
          <w:rFonts w:ascii="Times New Roman" w:hAnsi="Times New Roman" w:cs="Times New Roman"/>
          <w:bCs/>
          <w:sz w:val="24"/>
          <w:szCs w:val="24"/>
        </w:rPr>
        <w:t xml:space="preserve">, </w:t>
      </w:r>
      <w:r w:rsidR="005A0FDA" w:rsidRPr="0081487C">
        <w:rPr>
          <w:rFonts w:ascii="Times New Roman" w:hAnsi="Times New Roman" w:cs="Times New Roman"/>
          <w:bCs/>
          <w:sz w:val="24"/>
          <w:szCs w:val="24"/>
        </w:rPr>
        <w:t>develop local implementation plans in 29 priority locations</w:t>
      </w:r>
      <w:r w:rsidR="00610AFF" w:rsidRPr="0081487C">
        <w:rPr>
          <w:rFonts w:ascii="Times New Roman" w:hAnsi="Times New Roman" w:cs="Times New Roman"/>
          <w:bCs/>
          <w:sz w:val="24"/>
          <w:szCs w:val="24"/>
        </w:rPr>
        <w:t>, and</w:t>
      </w:r>
      <w:r>
        <w:rPr>
          <w:rFonts w:ascii="Times New Roman" w:hAnsi="Times New Roman" w:cs="Times New Roman"/>
          <w:bCs/>
          <w:sz w:val="24"/>
          <w:szCs w:val="24"/>
        </w:rPr>
        <w:t xml:space="preserve"> </w:t>
      </w:r>
      <w:r w:rsidR="005A0FDA" w:rsidRPr="0081487C">
        <w:rPr>
          <w:rFonts w:ascii="Times New Roman" w:hAnsi="Times New Roman" w:cs="Times New Roman"/>
          <w:bCs/>
          <w:sz w:val="24"/>
          <w:szCs w:val="24"/>
        </w:rPr>
        <w:t>develop and operate in a single government interface to make it easier for community to connect with government.</w:t>
      </w:r>
    </w:p>
    <w:p w:rsidR="00785BD3" w:rsidRDefault="00785BD3">
      <w:pPr>
        <w:spacing w:before="60" w:after="60" w:line="240" w:lineRule="auto"/>
        <w:ind w:left="1077" w:right="68" w:hanging="357"/>
        <w:rPr>
          <w:rFonts w:ascii="Times New Roman" w:hAnsi="Times New Roman" w:cs="Times New Roman"/>
          <w:b/>
          <w:bCs/>
          <w:sz w:val="24"/>
          <w:szCs w:val="24"/>
        </w:rPr>
      </w:pPr>
      <w:r>
        <w:rPr>
          <w:rFonts w:ascii="Times New Roman" w:hAnsi="Times New Roman" w:cs="Times New Roman"/>
          <w:b/>
          <w:bCs/>
          <w:sz w:val="24"/>
          <w:szCs w:val="24"/>
        </w:rPr>
        <w:br w:type="page"/>
      </w:r>
    </w:p>
    <w:p w:rsidR="00092D0A" w:rsidRPr="00697E94" w:rsidRDefault="00092D0A" w:rsidP="0005527B">
      <w:pPr>
        <w:tabs>
          <w:tab w:val="left" w:pos="567"/>
        </w:tabs>
        <w:spacing w:line="240" w:lineRule="auto"/>
        <w:rPr>
          <w:rFonts w:ascii="Times New Roman" w:hAnsi="Times New Roman" w:cs="Times New Roman"/>
          <w:b/>
          <w:bCs/>
          <w:sz w:val="24"/>
          <w:szCs w:val="24"/>
        </w:rPr>
      </w:pPr>
      <w:r w:rsidRPr="00697E94">
        <w:rPr>
          <w:rFonts w:ascii="Times New Roman" w:hAnsi="Times New Roman" w:cs="Times New Roman"/>
          <w:b/>
          <w:bCs/>
          <w:sz w:val="24"/>
          <w:szCs w:val="24"/>
        </w:rPr>
        <w:lastRenderedPageBreak/>
        <w:t>3.</w:t>
      </w:r>
      <w:r w:rsidRPr="00697E94">
        <w:rPr>
          <w:rFonts w:ascii="Times New Roman" w:hAnsi="Times New Roman" w:cs="Times New Roman"/>
          <w:b/>
          <w:bCs/>
          <w:sz w:val="24"/>
          <w:szCs w:val="24"/>
        </w:rPr>
        <w:tab/>
        <w:t>When devising laws, policies or other measures that affect indigenous peoples, do governmental bodies routinely take into account the Declaration (including indigenous peoples’ rights to participate in decision making that affects them)?</w:t>
      </w:r>
    </w:p>
    <w:p w:rsidR="0005527B" w:rsidRPr="00697E94" w:rsidRDefault="0005527B"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sz w:val="24"/>
          <w:szCs w:val="24"/>
        </w:rPr>
        <w:t>Recognising that Aboriginal and Torres Strait Islander voices need to be at the heart of policy and program making if they are</w:t>
      </w:r>
      <w:r w:rsidR="00AD28DE">
        <w:rPr>
          <w:rFonts w:ascii="Times New Roman" w:hAnsi="Times New Roman" w:cs="Times New Roman"/>
          <w:bCs/>
          <w:sz w:val="24"/>
          <w:szCs w:val="24"/>
        </w:rPr>
        <w:t xml:space="preserve"> to work, and noting the emphasi</w:t>
      </w:r>
      <w:r w:rsidRPr="00697E94">
        <w:rPr>
          <w:rFonts w:ascii="Times New Roman" w:hAnsi="Times New Roman" w:cs="Times New Roman"/>
          <w:bCs/>
          <w:sz w:val="24"/>
          <w:szCs w:val="24"/>
        </w:rPr>
        <w:t xml:space="preserve">s of the Declaration on the importance of consulting Indigenous people in relation to matters that directly affect them, the </w:t>
      </w:r>
      <w:r w:rsidR="00D1789A">
        <w:rPr>
          <w:rFonts w:ascii="Times New Roman" w:hAnsi="Times New Roman" w:cs="Times New Roman"/>
          <w:bCs/>
          <w:sz w:val="24"/>
          <w:szCs w:val="24"/>
        </w:rPr>
        <w:t xml:space="preserve">Australian </w:t>
      </w:r>
      <w:r w:rsidRPr="00697E94">
        <w:rPr>
          <w:rFonts w:ascii="Times New Roman" w:hAnsi="Times New Roman" w:cs="Times New Roman"/>
          <w:bCs/>
          <w:sz w:val="24"/>
          <w:szCs w:val="24"/>
        </w:rPr>
        <w:t xml:space="preserve">Government has a sustained focus on building genuine engagement with Indigenous peoples and ensuring their adequate participation in the life of the nation. In an administrative context, </w:t>
      </w:r>
      <w:r w:rsidRPr="00697E94">
        <w:rPr>
          <w:rFonts w:ascii="Times New Roman" w:hAnsi="Times New Roman" w:cs="Times New Roman"/>
          <w:bCs/>
          <w:iCs/>
          <w:sz w:val="24"/>
          <w:szCs w:val="24"/>
        </w:rPr>
        <w:t xml:space="preserve">the Australian Government </w:t>
      </w:r>
      <w:r w:rsidRPr="008852FC">
        <w:rPr>
          <w:rFonts w:ascii="Times New Roman" w:hAnsi="Times New Roman" w:cs="Times New Roman"/>
          <w:bCs/>
          <w:sz w:val="24"/>
          <w:szCs w:val="24"/>
        </w:rPr>
        <w:t xml:space="preserve">reaches out to Indigenous Australians through a network of offices across the country.  These include 29 </w:t>
      </w:r>
      <w:hyperlink r:id="rId11" w:anchor="icc" w:history="1">
        <w:r w:rsidRPr="008852FC">
          <w:rPr>
            <w:rFonts w:ascii="Times New Roman" w:hAnsi="Times New Roman" w:cs="Times New Roman"/>
            <w:bCs/>
            <w:sz w:val="24"/>
            <w:szCs w:val="24"/>
          </w:rPr>
          <w:t>Indigenous Coordination Centres</w:t>
        </w:r>
      </w:hyperlink>
      <w:r w:rsidRPr="008852FC">
        <w:rPr>
          <w:rFonts w:ascii="Times New Roman" w:hAnsi="Times New Roman" w:cs="Times New Roman"/>
          <w:bCs/>
          <w:sz w:val="24"/>
          <w:szCs w:val="24"/>
        </w:rPr>
        <w:t xml:space="preserve"> and six </w:t>
      </w:r>
      <w:hyperlink r:id="rId12" w:anchor="roc" w:history="1">
        <w:r w:rsidRPr="008852FC">
          <w:rPr>
            <w:rFonts w:ascii="Times New Roman" w:hAnsi="Times New Roman" w:cs="Times New Roman"/>
            <w:bCs/>
            <w:sz w:val="24"/>
            <w:szCs w:val="24"/>
          </w:rPr>
          <w:t>Regional Operations Centres</w:t>
        </w:r>
      </w:hyperlink>
      <w:r w:rsidRPr="008852FC">
        <w:rPr>
          <w:rFonts w:ascii="Times New Roman" w:hAnsi="Times New Roman" w:cs="Times New Roman"/>
          <w:bCs/>
          <w:sz w:val="24"/>
          <w:szCs w:val="24"/>
        </w:rPr>
        <w:t xml:space="preserve">, designed with the aim of carrying out best practice government service delivery and </w:t>
      </w:r>
      <w:r w:rsidRPr="00697E94">
        <w:rPr>
          <w:rFonts w:ascii="Times New Roman" w:hAnsi="Times New Roman" w:cs="Times New Roman"/>
          <w:bCs/>
          <w:sz w:val="24"/>
          <w:szCs w:val="24"/>
        </w:rPr>
        <w:t xml:space="preserve">engagement across urban, regional and remote areas. </w:t>
      </w:r>
    </w:p>
    <w:p w:rsidR="0005527B" w:rsidRPr="00697E94" w:rsidRDefault="0005527B" w:rsidP="0005527B">
      <w:pPr>
        <w:tabs>
          <w:tab w:val="left" w:pos="567"/>
        </w:tabs>
        <w:spacing w:line="240" w:lineRule="auto"/>
        <w:rPr>
          <w:rFonts w:ascii="Times New Roman" w:hAnsi="Times New Roman" w:cs="Times New Roman"/>
          <w:bCs/>
          <w:iCs/>
          <w:sz w:val="24"/>
          <w:szCs w:val="24"/>
        </w:rPr>
      </w:pPr>
      <w:r w:rsidRPr="00697E94">
        <w:rPr>
          <w:rFonts w:ascii="Times New Roman" w:hAnsi="Times New Roman" w:cs="Times New Roman"/>
          <w:bCs/>
          <w:sz w:val="24"/>
          <w:szCs w:val="24"/>
        </w:rPr>
        <w:t xml:space="preserve">These administrative arrangements are supported by an Indigenous Engagement Framework, which captures the Australian Government’s aspirations to engage effectively with Indigenous peoples and a range of tools for achieving </w:t>
      </w:r>
      <w:r w:rsidR="00CA0FC2">
        <w:rPr>
          <w:rFonts w:ascii="Times New Roman" w:hAnsi="Times New Roman" w:cs="Times New Roman"/>
          <w:bCs/>
          <w:sz w:val="24"/>
          <w:szCs w:val="24"/>
        </w:rPr>
        <w:t>those aspirations</w:t>
      </w:r>
      <w:r w:rsidRPr="00697E94">
        <w:rPr>
          <w:rFonts w:ascii="Times New Roman" w:hAnsi="Times New Roman" w:cs="Times New Roman"/>
          <w:bCs/>
          <w:sz w:val="24"/>
          <w:szCs w:val="24"/>
        </w:rPr>
        <w:t xml:space="preserve">.  </w:t>
      </w:r>
    </w:p>
    <w:p w:rsidR="0005527B" w:rsidRPr="00697E94" w:rsidRDefault="0005527B" w:rsidP="0005527B">
      <w:pPr>
        <w:tabs>
          <w:tab w:val="left" w:pos="567"/>
        </w:tabs>
        <w:spacing w:line="240" w:lineRule="auto"/>
        <w:rPr>
          <w:rFonts w:ascii="Times New Roman" w:hAnsi="Times New Roman" w:cs="Times New Roman"/>
          <w:bCs/>
          <w:sz w:val="24"/>
          <w:szCs w:val="24"/>
        </w:rPr>
      </w:pPr>
      <w:r w:rsidRPr="00697E94">
        <w:rPr>
          <w:rFonts w:ascii="Times New Roman" w:hAnsi="Times New Roman" w:cs="Times New Roman"/>
          <w:bCs/>
          <w:iCs/>
          <w:sz w:val="24"/>
          <w:szCs w:val="24"/>
        </w:rPr>
        <w:t xml:space="preserve">The National Congress of Australia’s First Peoples (a national leadership forum) was established in mid-2011 to </w:t>
      </w:r>
      <w:r w:rsidR="00FB0EBB">
        <w:rPr>
          <w:rFonts w:ascii="Times New Roman" w:hAnsi="Times New Roman" w:cs="Times New Roman"/>
          <w:bCs/>
          <w:iCs/>
          <w:sz w:val="24"/>
          <w:szCs w:val="24"/>
        </w:rPr>
        <w:t>provide a voice for</w:t>
      </w:r>
      <w:r w:rsidRPr="00697E94">
        <w:rPr>
          <w:rFonts w:ascii="Times New Roman" w:hAnsi="Times New Roman" w:cs="Times New Roman"/>
          <w:bCs/>
          <w:iCs/>
          <w:sz w:val="24"/>
          <w:szCs w:val="24"/>
        </w:rPr>
        <w:t xml:space="preserve"> Aboriginal and Torres Strait Islander peoples</w:t>
      </w:r>
      <w:r w:rsidR="00FB0EBB">
        <w:rPr>
          <w:rFonts w:ascii="Times New Roman" w:hAnsi="Times New Roman" w:cs="Times New Roman"/>
          <w:bCs/>
          <w:iCs/>
          <w:sz w:val="24"/>
          <w:szCs w:val="24"/>
        </w:rPr>
        <w:t xml:space="preserve"> in national strategic matters that substantially affect</w:t>
      </w:r>
      <w:r w:rsidR="00765614">
        <w:rPr>
          <w:rFonts w:ascii="Times New Roman" w:hAnsi="Times New Roman" w:cs="Times New Roman"/>
          <w:bCs/>
          <w:iCs/>
          <w:sz w:val="24"/>
          <w:szCs w:val="24"/>
        </w:rPr>
        <w:t xml:space="preserve"> Indigenous Australians</w:t>
      </w:r>
      <w:r w:rsidRPr="00697E94">
        <w:rPr>
          <w:rFonts w:ascii="Times New Roman" w:hAnsi="Times New Roman" w:cs="Times New Roman"/>
          <w:bCs/>
          <w:iCs/>
          <w:sz w:val="24"/>
          <w:szCs w:val="24"/>
        </w:rPr>
        <w:t>.</w:t>
      </w:r>
    </w:p>
    <w:p w:rsidR="0005527B" w:rsidRPr="00F071E4" w:rsidRDefault="0005527B" w:rsidP="0005527B">
      <w:pPr>
        <w:tabs>
          <w:tab w:val="left" w:pos="567"/>
        </w:tabs>
        <w:spacing w:line="240" w:lineRule="auto"/>
        <w:rPr>
          <w:rFonts w:ascii="Times New Roman" w:hAnsi="Times New Roman" w:cs="Times New Roman"/>
          <w:bCs/>
          <w:sz w:val="24"/>
          <w:szCs w:val="24"/>
        </w:rPr>
      </w:pPr>
      <w:r w:rsidRPr="008852FC">
        <w:rPr>
          <w:rFonts w:ascii="Times New Roman" w:hAnsi="Times New Roman" w:cs="Times New Roman"/>
          <w:bCs/>
          <w:sz w:val="24"/>
          <w:szCs w:val="24"/>
        </w:rPr>
        <w:t xml:space="preserve">Adequate consultation </w:t>
      </w:r>
      <w:r w:rsidR="00F27E09">
        <w:rPr>
          <w:rFonts w:ascii="Times New Roman" w:hAnsi="Times New Roman" w:cs="Times New Roman"/>
          <w:bCs/>
          <w:sz w:val="24"/>
          <w:szCs w:val="24"/>
        </w:rPr>
        <w:t xml:space="preserve">remains of great </w:t>
      </w:r>
      <w:r w:rsidRPr="008852FC">
        <w:rPr>
          <w:rFonts w:ascii="Times New Roman" w:hAnsi="Times New Roman" w:cs="Times New Roman"/>
          <w:bCs/>
          <w:sz w:val="24"/>
          <w:szCs w:val="24"/>
        </w:rPr>
        <w:t xml:space="preserve">importance </w:t>
      </w:r>
      <w:r w:rsidR="00F27E09">
        <w:rPr>
          <w:rFonts w:ascii="Times New Roman" w:hAnsi="Times New Roman" w:cs="Times New Roman"/>
          <w:bCs/>
          <w:sz w:val="24"/>
          <w:szCs w:val="24"/>
        </w:rPr>
        <w:t xml:space="preserve">to </w:t>
      </w:r>
      <w:r w:rsidRPr="008852FC">
        <w:rPr>
          <w:rFonts w:ascii="Times New Roman" w:hAnsi="Times New Roman" w:cs="Times New Roman"/>
          <w:bCs/>
          <w:sz w:val="24"/>
          <w:szCs w:val="24"/>
        </w:rPr>
        <w:t xml:space="preserve">the Government’s commitment to explore with Indigenous and non-Indigenous Australians the question of recognising the unique place of Australia’s First Peoples in the Australian Constitution. This initiative reflects the Government’s </w:t>
      </w:r>
      <w:r w:rsidR="00816A78">
        <w:rPr>
          <w:rFonts w:ascii="Times New Roman" w:hAnsi="Times New Roman" w:cs="Times New Roman"/>
          <w:bCs/>
          <w:sz w:val="24"/>
          <w:szCs w:val="24"/>
        </w:rPr>
        <w:t xml:space="preserve">broader </w:t>
      </w:r>
      <w:r w:rsidR="00FB0EBB" w:rsidRPr="008852FC">
        <w:rPr>
          <w:rFonts w:ascii="Times New Roman" w:hAnsi="Times New Roman" w:cs="Times New Roman"/>
          <w:bCs/>
          <w:sz w:val="24"/>
          <w:szCs w:val="24"/>
        </w:rPr>
        <w:t xml:space="preserve">goal to </w:t>
      </w:r>
      <w:r w:rsidR="00AD28DE">
        <w:rPr>
          <w:rFonts w:ascii="Times New Roman" w:hAnsi="Times New Roman" w:cs="Times New Roman"/>
          <w:bCs/>
          <w:sz w:val="24"/>
          <w:szCs w:val="24"/>
        </w:rPr>
        <w:t>increase</w:t>
      </w:r>
      <w:r w:rsidR="00FB0EBB" w:rsidRPr="008852FC">
        <w:rPr>
          <w:rFonts w:ascii="Times New Roman" w:hAnsi="Times New Roman" w:cs="Times New Roman"/>
          <w:bCs/>
          <w:sz w:val="24"/>
          <w:szCs w:val="24"/>
        </w:rPr>
        <w:t xml:space="preserve"> respect between Indigenous and non-Indigenous Australians</w:t>
      </w:r>
      <w:r w:rsidRPr="00F071E4">
        <w:rPr>
          <w:rFonts w:ascii="Times New Roman" w:hAnsi="Times New Roman" w:cs="Times New Roman"/>
          <w:bCs/>
          <w:sz w:val="24"/>
          <w:szCs w:val="24"/>
        </w:rPr>
        <w:t>.</w:t>
      </w:r>
    </w:p>
    <w:p w:rsidR="007206FF" w:rsidRPr="00F071E4" w:rsidRDefault="007206FF" w:rsidP="005F00B6">
      <w:pPr>
        <w:tabs>
          <w:tab w:val="left" w:pos="567"/>
        </w:tabs>
        <w:spacing w:line="240" w:lineRule="auto"/>
        <w:rPr>
          <w:rFonts w:ascii="Times New Roman" w:hAnsi="Times New Roman" w:cs="Times New Roman"/>
          <w:bCs/>
          <w:sz w:val="24"/>
          <w:szCs w:val="24"/>
        </w:rPr>
      </w:pPr>
      <w:r w:rsidRPr="00F071E4">
        <w:rPr>
          <w:rFonts w:ascii="Times New Roman" w:hAnsi="Times New Roman" w:cs="Times New Roman"/>
          <w:bCs/>
          <w:sz w:val="24"/>
          <w:szCs w:val="24"/>
        </w:rPr>
        <w:t xml:space="preserve">In December 2010, the Prime Minister, the Hon Julia Gillard MP, appointed an Expert Panel on Constitutional Recognition of Aboriginal and Torres Strait Islander Peoples to consider, consult and advise the Government on how best to recognise Aboriginal and Torres Strait Islander peoples in the Constitution and on possible options for change that would likely get the support of the majority of Australians at a referendum. The Expert Panel included parliamentarians from </w:t>
      </w:r>
      <w:r w:rsidR="00AD28DE" w:rsidRPr="00F071E4">
        <w:rPr>
          <w:rFonts w:ascii="Times New Roman" w:hAnsi="Times New Roman" w:cs="Times New Roman"/>
          <w:bCs/>
          <w:sz w:val="24"/>
          <w:szCs w:val="24"/>
        </w:rPr>
        <w:t xml:space="preserve">all major Australian political parties </w:t>
      </w:r>
      <w:r w:rsidRPr="00F071E4">
        <w:rPr>
          <w:rFonts w:ascii="Times New Roman" w:hAnsi="Times New Roman" w:cs="Times New Roman"/>
          <w:bCs/>
          <w:sz w:val="24"/>
          <w:szCs w:val="24"/>
        </w:rPr>
        <w:t>and Independents, Indigenous and community leaders</w:t>
      </w:r>
      <w:r w:rsidR="00765614">
        <w:rPr>
          <w:rFonts w:ascii="Times New Roman" w:hAnsi="Times New Roman" w:cs="Times New Roman"/>
          <w:bCs/>
          <w:sz w:val="24"/>
          <w:szCs w:val="24"/>
        </w:rPr>
        <w:t>,</w:t>
      </w:r>
      <w:r w:rsidRPr="00F071E4">
        <w:rPr>
          <w:rFonts w:ascii="Times New Roman" w:hAnsi="Times New Roman" w:cs="Times New Roman"/>
          <w:bCs/>
          <w:sz w:val="24"/>
          <w:szCs w:val="24"/>
        </w:rPr>
        <w:t xml:space="preserve"> and legal and constitutional law experts. In conducting its consultations and developing recommendations, the Expert Panel held more than 250 meetings with Indigenous and non-Indigenous Australians across Australia, including 84 public consultations</w:t>
      </w:r>
      <w:r w:rsidR="00F27E09">
        <w:rPr>
          <w:rFonts w:ascii="Times New Roman" w:hAnsi="Times New Roman" w:cs="Times New Roman"/>
          <w:bCs/>
          <w:sz w:val="24"/>
          <w:szCs w:val="24"/>
        </w:rPr>
        <w:t xml:space="preserve"> (</w:t>
      </w:r>
      <w:r w:rsidRPr="00F071E4">
        <w:rPr>
          <w:rFonts w:ascii="Times New Roman" w:hAnsi="Times New Roman" w:cs="Times New Roman"/>
          <w:bCs/>
          <w:sz w:val="24"/>
          <w:szCs w:val="24"/>
        </w:rPr>
        <w:t>more than 4,600 people</w:t>
      </w:r>
      <w:r w:rsidR="00F27E09">
        <w:rPr>
          <w:rFonts w:ascii="Times New Roman" w:hAnsi="Times New Roman" w:cs="Times New Roman"/>
          <w:bCs/>
          <w:sz w:val="24"/>
          <w:szCs w:val="24"/>
        </w:rPr>
        <w:t xml:space="preserve"> were consulted),</w:t>
      </w:r>
      <w:r w:rsidRPr="00F071E4">
        <w:rPr>
          <w:rFonts w:ascii="Times New Roman" w:hAnsi="Times New Roman" w:cs="Times New Roman"/>
          <w:bCs/>
          <w:sz w:val="24"/>
          <w:szCs w:val="24"/>
        </w:rPr>
        <w:t xml:space="preserve"> and received more than 3,500 submissions, including from Indigenous organisations and survey responses from members of the National Congress</w:t>
      </w:r>
      <w:r w:rsidR="00765614">
        <w:rPr>
          <w:rFonts w:ascii="Times New Roman" w:hAnsi="Times New Roman" w:cs="Times New Roman"/>
          <w:bCs/>
          <w:sz w:val="24"/>
          <w:szCs w:val="24"/>
        </w:rPr>
        <w:t xml:space="preserve"> of Australia’s First Peoples</w:t>
      </w:r>
      <w:r w:rsidRPr="00F071E4">
        <w:rPr>
          <w:rFonts w:ascii="Times New Roman" w:hAnsi="Times New Roman" w:cs="Times New Roman"/>
          <w:bCs/>
          <w:sz w:val="24"/>
          <w:szCs w:val="24"/>
        </w:rPr>
        <w:t>.</w:t>
      </w:r>
    </w:p>
    <w:p w:rsidR="005346CD" w:rsidRPr="008852FC" w:rsidRDefault="0005527B" w:rsidP="0005527B">
      <w:pPr>
        <w:tabs>
          <w:tab w:val="left" w:pos="567"/>
        </w:tabs>
        <w:spacing w:line="240" w:lineRule="auto"/>
        <w:rPr>
          <w:rFonts w:ascii="Times New Roman" w:hAnsi="Times New Roman" w:cs="Times New Roman"/>
          <w:bCs/>
          <w:iCs/>
          <w:sz w:val="24"/>
          <w:szCs w:val="24"/>
        </w:rPr>
      </w:pPr>
      <w:r w:rsidRPr="008852FC">
        <w:rPr>
          <w:rFonts w:ascii="Times New Roman" w:hAnsi="Times New Roman" w:cs="Times New Roman"/>
          <w:bCs/>
          <w:iCs/>
          <w:sz w:val="24"/>
          <w:szCs w:val="24"/>
        </w:rPr>
        <w:t xml:space="preserve">The Government also acknowledges the importance of economic participation </w:t>
      </w:r>
      <w:r w:rsidR="00765614">
        <w:rPr>
          <w:rFonts w:ascii="Times New Roman" w:hAnsi="Times New Roman" w:cs="Times New Roman"/>
          <w:bCs/>
          <w:iCs/>
          <w:sz w:val="24"/>
          <w:szCs w:val="24"/>
        </w:rPr>
        <w:t>for</w:t>
      </w:r>
      <w:r w:rsidRPr="008852FC">
        <w:rPr>
          <w:rFonts w:ascii="Times New Roman" w:hAnsi="Times New Roman" w:cs="Times New Roman"/>
          <w:bCs/>
          <w:iCs/>
          <w:sz w:val="24"/>
          <w:szCs w:val="24"/>
        </w:rPr>
        <w:t xml:space="preserve"> Indigenous peoples, including in the context of the Declaration. </w:t>
      </w:r>
    </w:p>
    <w:p w:rsidR="00785BD3" w:rsidRDefault="00785BD3">
      <w:pPr>
        <w:spacing w:before="60" w:after="60" w:line="240" w:lineRule="auto"/>
        <w:ind w:left="1077" w:right="68" w:hanging="357"/>
        <w:rPr>
          <w:rFonts w:ascii="Times New Roman" w:hAnsi="Times New Roman" w:cs="Times New Roman"/>
          <w:bCs/>
          <w:iCs/>
          <w:sz w:val="24"/>
          <w:szCs w:val="24"/>
        </w:rPr>
      </w:pPr>
      <w:r>
        <w:rPr>
          <w:rFonts w:ascii="Times New Roman" w:hAnsi="Times New Roman" w:cs="Times New Roman"/>
          <w:bCs/>
          <w:iCs/>
          <w:sz w:val="24"/>
          <w:szCs w:val="24"/>
        </w:rPr>
        <w:br w:type="page"/>
      </w:r>
    </w:p>
    <w:p w:rsidR="003E05FD" w:rsidRPr="00F071E4" w:rsidRDefault="003E05FD" w:rsidP="003E05FD">
      <w:pPr>
        <w:tabs>
          <w:tab w:val="left" w:pos="567"/>
        </w:tabs>
        <w:spacing w:line="240" w:lineRule="auto"/>
        <w:rPr>
          <w:rFonts w:ascii="Times New Roman" w:hAnsi="Times New Roman" w:cs="Times New Roman"/>
          <w:bCs/>
          <w:iCs/>
          <w:sz w:val="24"/>
          <w:szCs w:val="24"/>
        </w:rPr>
      </w:pPr>
      <w:r w:rsidRPr="00F071E4">
        <w:rPr>
          <w:rFonts w:ascii="Times New Roman" w:hAnsi="Times New Roman" w:cs="Times New Roman"/>
          <w:bCs/>
          <w:iCs/>
          <w:sz w:val="24"/>
          <w:szCs w:val="24"/>
        </w:rPr>
        <w:t xml:space="preserve">To increase the participation of Aboriginal and Torres Strait Islander peoples in the economy, the Government’s Indigenous Economic Development Strategy 2011-2018 (IEDS) was released on 19 October 2011. It provides a whole-of-government framework for future actions, programs and policies for Indigenous economic development, as part of the wider Closing the Gap strategy agreed by the Council of Australian Governments in 2008. The IEDS aims to support the rights of Aboriginal and Torres Strait Islander peoples to participate in Australia’s strong economy and financially and socially benefit from work. The strategy was the product of extensive consultations with Indigenous Australians, all levels of government and the private and not-for-profit sectors. </w:t>
      </w:r>
    </w:p>
    <w:p w:rsidR="003E05FD" w:rsidRPr="003E05FD" w:rsidRDefault="003E05FD" w:rsidP="003E05FD">
      <w:pPr>
        <w:tabs>
          <w:tab w:val="left" w:pos="567"/>
        </w:tabs>
        <w:spacing w:line="240" w:lineRule="auto"/>
        <w:rPr>
          <w:rFonts w:ascii="Times New Roman" w:hAnsi="Times New Roman" w:cs="Times New Roman"/>
          <w:bCs/>
          <w:iCs/>
          <w:sz w:val="24"/>
          <w:szCs w:val="24"/>
        </w:rPr>
      </w:pPr>
      <w:r w:rsidRPr="00F071E4">
        <w:rPr>
          <w:rFonts w:ascii="Times New Roman" w:hAnsi="Times New Roman" w:cs="Times New Roman"/>
          <w:bCs/>
          <w:iCs/>
          <w:sz w:val="24"/>
          <w:szCs w:val="24"/>
        </w:rPr>
        <w:t xml:space="preserve">A further piece of the Indigenous economic-development framework was put in place with the announcement on 26 April 2012 of the new Remote Jobs and Communities Program. Starting on 1 July 2013, the new program will make significant changes to employment, participation and community-development services in up to 65 remote regions across Australia, focused on getting people into jobs and building strong communities. The reforms have been widely discussed with Indigenous and other people and communities in remote areas. Consultations were undertaken after the July 2011 release of the discussion paper </w:t>
      </w:r>
      <w:r w:rsidR="00AD28DE" w:rsidRPr="00F071E4">
        <w:rPr>
          <w:rFonts w:ascii="Times New Roman" w:hAnsi="Times New Roman" w:cs="Times New Roman"/>
          <w:bCs/>
          <w:iCs/>
          <w:sz w:val="24"/>
          <w:szCs w:val="24"/>
        </w:rPr>
        <w:t>‘</w:t>
      </w:r>
      <w:r w:rsidRPr="00F071E4">
        <w:rPr>
          <w:rFonts w:ascii="Times New Roman" w:hAnsi="Times New Roman" w:cs="Times New Roman"/>
          <w:bCs/>
          <w:iCs/>
          <w:sz w:val="24"/>
          <w:szCs w:val="24"/>
        </w:rPr>
        <w:t>The Future of Remote Participation and Employment Servicing Arrangements</w:t>
      </w:r>
      <w:r w:rsidR="00AD28DE" w:rsidRPr="00F071E4">
        <w:rPr>
          <w:rFonts w:ascii="Times New Roman" w:hAnsi="Times New Roman" w:cs="Times New Roman"/>
          <w:bCs/>
          <w:iCs/>
          <w:sz w:val="24"/>
          <w:szCs w:val="24"/>
        </w:rPr>
        <w:t>’</w:t>
      </w:r>
      <w:r w:rsidRPr="00F071E4">
        <w:rPr>
          <w:rFonts w:ascii="Times New Roman" w:hAnsi="Times New Roman" w:cs="Times New Roman"/>
          <w:bCs/>
          <w:iCs/>
          <w:sz w:val="24"/>
          <w:szCs w:val="24"/>
        </w:rPr>
        <w:t>. Around 1200 people contributed to 42 consult</w:t>
      </w:r>
      <w:r w:rsidR="00AD28DE" w:rsidRPr="00F071E4">
        <w:rPr>
          <w:rFonts w:ascii="Times New Roman" w:hAnsi="Times New Roman" w:cs="Times New Roman"/>
          <w:bCs/>
          <w:iCs/>
          <w:sz w:val="24"/>
          <w:szCs w:val="24"/>
        </w:rPr>
        <w:t>ation sessions across Australia</w:t>
      </w:r>
      <w:r w:rsidRPr="00F071E4">
        <w:rPr>
          <w:rFonts w:ascii="Times New Roman" w:hAnsi="Times New Roman" w:cs="Times New Roman"/>
          <w:bCs/>
          <w:iCs/>
          <w:sz w:val="24"/>
          <w:szCs w:val="24"/>
        </w:rPr>
        <w:t xml:space="preserve"> in August and September 2011. The Australian Government spoke to individuals, service providers, employers and others with an interest in this area. An expert panel was also appointed to provide advice. From late May until mid-July 2012, more than 90 information and consultation sessions were held in the proposed 65 remote regions, to inform people about the new Remote Jobs and Communities Program and to discuss how it might work in local areas. Further consultation and engagement will be undertaken as the new program is implemented over 2012-13.</w:t>
      </w:r>
    </w:p>
    <w:p w:rsidR="009561B5" w:rsidRPr="00F071E4" w:rsidRDefault="009561B5" w:rsidP="009561B5">
      <w:pPr>
        <w:tabs>
          <w:tab w:val="left" w:pos="567"/>
        </w:tabs>
        <w:spacing w:line="240" w:lineRule="auto"/>
        <w:rPr>
          <w:rFonts w:ascii="Times New Roman" w:hAnsi="Times New Roman" w:cs="Times New Roman"/>
          <w:bCs/>
          <w:iCs/>
          <w:sz w:val="24"/>
          <w:szCs w:val="24"/>
        </w:rPr>
      </w:pPr>
      <w:r w:rsidRPr="00F071E4">
        <w:rPr>
          <w:rFonts w:ascii="Times New Roman" w:hAnsi="Times New Roman" w:cs="Times New Roman"/>
          <w:bCs/>
          <w:iCs/>
          <w:sz w:val="24"/>
          <w:szCs w:val="24"/>
        </w:rPr>
        <w:t xml:space="preserve">On two occasions in the last three years the Australian Government has undertaken extensive consultations with Aboriginal people in the Northern Territory to hear the views of local people and inform government decisions on major legislative reforms and the provision of services to help reduce the extent of Aboriginal disadvantage. </w:t>
      </w:r>
    </w:p>
    <w:p w:rsidR="009561B5" w:rsidRPr="009561B5" w:rsidRDefault="00F27E09" w:rsidP="009561B5">
      <w:pPr>
        <w:tabs>
          <w:tab w:val="left" w:pos="567"/>
        </w:tabs>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During the </w:t>
      </w:r>
      <w:r w:rsidR="009561B5" w:rsidRPr="00F071E4">
        <w:rPr>
          <w:rFonts w:ascii="Times New Roman" w:hAnsi="Times New Roman" w:cs="Times New Roman"/>
          <w:bCs/>
          <w:iCs/>
          <w:sz w:val="24"/>
          <w:szCs w:val="24"/>
        </w:rPr>
        <w:t xml:space="preserve">Stronger Futures </w:t>
      </w:r>
      <w:r w:rsidRPr="00F071E4">
        <w:rPr>
          <w:rFonts w:ascii="Times New Roman" w:hAnsi="Times New Roman" w:cs="Times New Roman"/>
          <w:bCs/>
          <w:iCs/>
          <w:sz w:val="24"/>
          <w:szCs w:val="24"/>
        </w:rPr>
        <w:t>consultations</w:t>
      </w:r>
      <w:r>
        <w:rPr>
          <w:rFonts w:ascii="Times New Roman" w:hAnsi="Times New Roman" w:cs="Times New Roman"/>
          <w:bCs/>
          <w:iCs/>
          <w:sz w:val="24"/>
          <w:szCs w:val="24"/>
        </w:rPr>
        <w:t xml:space="preserve">, which were conducted </w:t>
      </w:r>
      <w:r w:rsidR="009561B5" w:rsidRPr="00F071E4">
        <w:rPr>
          <w:rFonts w:ascii="Times New Roman" w:hAnsi="Times New Roman" w:cs="Times New Roman"/>
          <w:bCs/>
          <w:iCs/>
          <w:sz w:val="24"/>
          <w:szCs w:val="24"/>
        </w:rPr>
        <w:t>in the Northern Territory in 2011, whole-of-community meetings were held in 100 remote communities and town camps, together with public meetings in major towns.  Trained and well-prepared interpreters were on hand to assist in most of the whole-of-community meetings.  To ensure that everyone who wanted to had the opportunity to have their say, there were also hundreds of less formal discussions across the Territory with individuals, families and other groups in communities.</w:t>
      </w:r>
      <w:r w:rsidR="009561B5" w:rsidRPr="009561B5">
        <w:rPr>
          <w:rFonts w:ascii="Times New Roman" w:hAnsi="Times New Roman" w:cs="Times New Roman"/>
          <w:bCs/>
          <w:iCs/>
          <w:sz w:val="24"/>
          <w:szCs w:val="24"/>
        </w:rPr>
        <w:t xml:space="preserve">  </w:t>
      </w:r>
    </w:p>
    <w:p w:rsidR="00785BD3" w:rsidRDefault="00785BD3">
      <w:pPr>
        <w:spacing w:before="60" w:after="60" w:line="240" w:lineRule="auto"/>
        <w:ind w:left="1077" w:right="68" w:hanging="357"/>
        <w:rPr>
          <w:rFonts w:ascii="Times New Roman" w:hAnsi="Times New Roman" w:cs="Times New Roman"/>
          <w:b/>
          <w:sz w:val="24"/>
          <w:szCs w:val="24"/>
        </w:rPr>
      </w:pPr>
      <w:r>
        <w:rPr>
          <w:rFonts w:ascii="Times New Roman" w:hAnsi="Times New Roman" w:cs="Times New Roman"/>
          <w:b/>
          <w:sz w:val="24"/>
          <w:szCs w:val="24"/>
        </w:rPr>
        <w:br w:type="page"/>
      </w:r>
    </w:p>
    <w:p w:rsidR="0005527B" w:rsidRPr="00697E94" w:rsidRDefault="0005527B" w:rsidP="0005527B">
      <w:p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 xml:space="preserve">4. </w:t>
      </w:r>
      <w:r w:rsidRPr="00697E94">
        <w:rPr>
          <w:rFonts w:ascii="Times New Roman" w:hAnsi="Times New Roman" w:cs="Times New Roman"/>
          <w:b/>
          <w:sz w:val="24"/>
          <w:szCs w:val="24"/>
        </w:rPr>
        <w:tab/>
        <w:t>Has the Government endeavoured to raise awareness about the Declaration to various levels of the community and governance to enhance the prospects of it implementation?</w:t>
      </w:r>
    </w:p>
    <w:p w:rsidR="0005527B" w:rsidRPr="00697E94" w:rsidRDefault="0005527B" w:rsidP="0005527B">
      <w:p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If yes:</w:t>
      </w:r>
    </w:p>
    <w:p w:rsidR="0005527B" w:rsidRPr="00697E94" w:rsidRDefault="0005527B" w:rsidP="0005527B">
      <w:pPr>
        <w:numPr>
          <w:ilvl w:val="0"/>
          <w:numId w:val="7"/>
        </w:num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please explain the initiatives the Government has undertaken</w:t>
      </w:r>
    </w:p>
    <w:p w:rsidR="0005527B" w:rsidRPr="00697E94" w:rsidRDefault="0005527B" w:rsidP="0005527B">
      <w:pPr>
        <w:numPr>
          <w:ilvl w:val="0"/>
          <w:numId w:val="7"/>
        </w:num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does this include translation of the Declaration into different languages?</w:t>
      </w:r>
    </w:p>
    <w:p w:rsidR="0005527B" w:rsidRPr="00697E94" w:rsidRDefault="0005527B" w:rsidP="0005527B">
      <w:pPr>
        <w:numPr>
          <w:ilvl w:val="0"/>
          <w:numId w:val="7"/>
        </w:num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has the Declaration been disseminated widely? If not:</w:t>
      </w:r>
    </w:p>
    <w:p w:rsidR="0005527B" w:rsidRPr="00697E94" w:rsidRDefault="0005527B" w:rsidP="0005527B">
      <w:pPr>
        <w:numPr>
          <w:ilvl w:val="0"/>
          <w:numId w:val="7"/>
        </w:num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what steps, if any, are planned to raise awareness about the Declaration?</w:t>
      </w:r>
    </w:p>
    <w:p w:rsidR="0005527B" w:rsidRPr="00697E94" w:rsidRDefault="0005527B" w:rsidP="0005527B">
      <w:pPr>
        <w:numPr>
          <w:ilvl w:val="0"/>
          <w:numId w:val="7"/>
        </w:num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if there are no plans to raise awareness about the Declaration, why not?</w:t>
      </w:r>
    </w:p>
    <w:p w:rsidR="00B960D6" w:rsidRPr="00697E94" w:rsidRDefault="00B960D6" w:rsidP="0005527B">
      <w:pPr>
        <w:spacing w:after="0" w:line="240" w:lineRule="auto"/>
        <w:rPr>
          <w:rFonts w:ascii="Times New Roman" w:hAnsi="Times New Roman" w:cs="Times New Roman"/>
          <w:sz w:val="24"/>
          <w:szCs w:val="24"/>
        </w:rPr>
      </w:pPr>
    </w:p>
    <w:p w:rsidR="00FB0EBB" w:rsidRPr="0057289E" w:rsidRDefault="00FE5CA9" w:rsidP="00FB0EBB">
      <w:pPr>
        <w:pStyle w:val="NormalWeb"/>
        <w:rPr>
          <w:lang w:val="en"/>
        </w:rPr>
      </w:pPr>
      <w:r>
        <w:t>Australia’s national human rights institution, t</w:t>
      </w:r>
      <w:r w:rsidR="00FB0EBB" w:rsidRPr="008852FC">
        <w:t xml:space="preserve">he Australian Human Rights Commission, has </w:t>
      </w:r>
      <w:r w:rsidR="00FB0EBB" w:rsidRPr="008852FC">
        <w:rPr>
          <w:lang w:val="en"/>
        </w:rPr>
        <w:t>developed several resources to help Aboriginal and Torres Strait Islander peoples understand and protect their rights. These resources include an overview and community guide on the Declaration, as well as a poster, which aim to bring the Declaration to life by highlighting existing examples of Indigenous peoples’ rights in action.</w:t>
      </w:r>
      <w:r w:rsidR="00FB0EBB" w:rsidRPr="0057289E">
        <w:rPr>
          <w:lang w:val="en"/>
        </w:rPr>
        <w:t xml:space="preserve"> </w:t>
      </w:r>
    </w:p>
    <w:p w:rsidR="00FB0EBB" w:rsidRPr="00610AFF" w:rsidRDefault="00FB0EBB" w:rsidP="00FB0EBB">
      <w:pPr>
        <w:spacing w:after="0" w:line="240" w:lineRule="auto"/>
        <w:rPr>
          <w:rFonts w:ascii="Times New Roman" w:hAnsi="Times New Roman" w:cs="Times New Roman"/>
          <w:sz w:val="24"/>
          <w:szCs w:val="24"/>
        </w:rPr>
      </w:pPr>
      <w:r w:rsidRPr="008852FC">
        <w:rPr>
          <w:rFonts w:ascii="Times New Roman" w:hAnsi="Times New Roman" w:cs="Times New Roman"/>
          <w:sz w:val="24"/>
          <w:szCs w:val="24"/>
        </w:rPr>
        <w:t xml:space="preserve">The resources may be viewed at the following link: </w:t>
      </w:r>
      <w:hyperlink r:id="rId13" w:history="1">
        <w:r w:rsidRPr="00610AFF">
          <w:rPr>
            <w:rStyle w:val="Hyperlink"/>
            <w:rFonts w:ascii="Times New Roman" w:hAnsi="Times New Roman" w:cs="Times New Roman"/>
            <w:color w:val="auto"/>
            <w:sz w:val="24"/>
            <w:szCs w:val="24"/>
            <w:u w:val="none"/>
          </w:rPr>
          <w:t>http://www.hreoc.gov.au/declaration_indigenous/declaration_full.html</w:t>
        </w:r>
      </w:hyperlink>
    </w:p>
    <w:p w:rsidR="00FB0EBB" w:rsidRDefault="00FB0EBB" w:rsidP="00FB0EBB">
      <w:pPr>
        <w:spacing w:after="0" w:line="240" w:lineRule="auto"/>
        <w:rPr>
          <w:rFonts w:ascii="Times New Roman" w:hAnsi="Times New Roman" w:cs="Times New Roman"/>
          <w:sz w:val="24"/>
          <w:szCs w:val="24"/>
          <w:highlight w:val="yellow"/>
        </w:rPr>
      </w:pPr>
    </w:p>
    <w:p w:rsidR="00FB0EBB" w:rsidRDefault="00FB0EBB" w:rsidP="00FB0EBB">
      <w:pPr>
        <w:spacing w:after="0" w:line="240" w:lineRule="auto"/>
        <w:rPr>
          <w:rFonts w:ascii="Times New Roman" w:hAnsi="Times New Roman" w:cs="Times New Roman"/>
          <w:sz w:val="24"/>
          <w:szCs w:val="24"/>
        </w:rPr>
      </w:pPr>
    </w:p>
    <w:p w:rsidR="00FB0EBB" w:rsidRDefault="00FB0EBB" w:rsidP="00FB0EBB">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What are the main challenges encountered in adopting measures and implementing strategies to attain the goals of the Declaration?</w:t>
      </w:r>
    </w:p>
    <w:p w:rsidR="00FB0EBB" w:rsidRDefault="00FB0EBB" w:rsidP="00FB0EBB">
      <w:pPr>
        <w:spacing w:after="0" w:line="240" w:lineRule="auto"/>
        <w:rPr>
          <w:rFonts w:ascii="Times New Roman" w:hAnsi="Times New Roman" w:cs="Times New Roman"/>
          <w:b/>
          <w:sz w:val="24"/>
          <w:szCs w:val="24"/>
        </w:rPr>
      </w:pPr>
    </w:p>
    <w:p w:rsidR="00FB0EBB" w:rsidRPr="008852FC" w:rsidRDefault="008C7AA1" w:rsidP="008852FC">
      <w:pPr>
        <w:rPr>
          <w:rFonts w:ascii="Times New Roman" w:hAnsi="Times New Roman" w:cs="Times New Roman"/>
          <w:sz w:val="24"/>
          <w:szCs w:val="24"/>
        </w:rPr>
      </w:pPr>
      <w:r>
        <w:rPr>
          <w:rFonts w:ascii="Times New Roman" w:hAnsi="Times New Roman" w:cs="Times New Roman"/>
          <w:sz w:val="24"/>
          <w:szCs w:val="24"/>
        </w:rPr>
        <w:t>T</w:t>
      </w:r>
      <w:r w:rsidR="00FB0EBB" w:rsidRPr="008852FC">
        <w:rPr>
          <w:rFonts w:ascii="Times New Roman" w:hAnsi="Times New Roman" w:cs="Times New Roman"/>
          <w:sz w:val="24"/>
          <w:szCs w:val="24"/>
        </w:rPr>
        <w:t xml:space="preserve">he </w:t>
      </w:r>
      <w:r w:rsidR="00FB0EBB" w:rsidRPr="0057289E">
        <w:rPr>
          <w:rFonts w:ascii="Times New Roman" w:hAnsi="Times New Roman" w:cs="Times New Roman"/>
          <w:sz w:val="24"/>
          <w:szCs w:val="24"/>
        </w:rPr>
        <w:t>Australian Government’s overarching approach to addressing Indigenous disadvantage is through the Closing the Gap strategy</w:t>
      </w:r>
      <w:r w:rsidR="00901C4B">
        <w:rPr>
          <w:rFonts w:ascii="Times New Roman" w:hAnsi="Times New Roman" w:cs="Times New Roman"/>
          <w:sz w:val="24"/>
          <w:szCs w:val="24"/>
        </w:rPr>
        <w:t xml:space="preserve"> which includes an emphasis on mutual respect between Indigenous and non-Indigenous Australians.</w:t>
      </w:r>
      <w:r w:rsidR="00FB0EBB" w:rsidRPr="0057289E">
        <w:rPr>
          <w:rFonts w:ascii="Times New Roman" w:hAnsi="Times New Roman" w:cs="Times New Roman"/>
          <w:sz w:val="24"/>
          <w:szCs w:val="24"/>
        </w:rPr>
        <w:t xml:space="preserve">  The principles of the Declaration are consistent with the Government’s approach to Closing the Gap. </w:t>
      </w:r>
    </w:p>
    <w:p w:rsidR="00FB0EBB" w:rsidRPr="008852FC" w:rsidRDefault="0020463A" w:rsidP="00FB0EB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B0EBB" w:rsidRPr="008852FC">
        <w:rPr>
          <w:rFonts w:ascii="Times New Roman" w:hAnsi="Times New Roman" w:cs="Times New Roman"/>
          <w:sz w:val="24"/>
          <w:szCs w:val="24"/>
        </w:rPr>
        <w:t xml:space="preserve"> lack of definitional consensus, including </w:t>
      </w:r>
      <w:r w:rsidR="00F27E09">
        <w:rPr>
          <w:rFonts w:ascii="Times New Roman" w:hAnsi="Times New Roman" w:cs="Times New Roman"/>
          <w:sz w:val="24"/>
          <w:szCs w:val="24"/>
        </w:rPr>
        <w:t>in</w:t>
      </w:r>
      <w:r w:rsidR="00F27E09" w:rsidRPr="008852FC">
        <w:rPr>
          <w:rFonts w:ascii="Times New Roman" w:hAnsi="Times New Roman" w:cs="Times New Roman"/>
          <w:sz w:val="24"/>
          <w:szCs w:val="24"/>
        </w:rPr>
        <w:t xml:space="preserve"> </w:t>
      </w:r>
      <w:r w:rsidR="00FB0EBB" w:rsidRPr="008852FC">
        <w:rPr>
          <w:rFonts w:ascii="Times New Roman" w:hAnsi="Times New Roman" w:cs="Times New Roman"/>
          <w:sz w:val="24"/>
          <w:szCs w:val="24"/>
        </w:rPr>
        <w:t>international law, on key terms including self-determination, sovereignty and “free, prior and informed consent”</w:t>
      </w:r>
      <w:r>
        <w:rPr>
          <w:rFonts w:ascii="Times New Roman" w:hAnsi="Times New Roman" w:cs="Times New Roman"/>
          <w:sz w:val="24"/>
          <w:szCs w:val="24"/>
        </w:rPr>
        <w:t xml:space="preserve"> may inhibit agreement on how the Declaration </w:t>
      </w:r>
      <w:r w:rsidR="000972F2">
        <w:rPr>
          <w:rFonts w:ascii="Times New Roman" w:hAnsi="Times New Roman" w:cs="Times New Roman"/>
          <w:sz w:val="24"/>
          <w:szCs w:val="24"/>
        </w:rPr>
        <w:t xml:space="preserve">can </w:t>
      </w:r>
      <w:r>
        <w:rPr>
          <w:rFonts w:ascii="Times New Roman" w:hAnsi="Times New Roman" w:cs="Times New Roman"/>
          <w:sz w:val="24"/>
          <w:szCs w:val="24"/>
        </w:rPr>
        <w:t xml:space="preserve">practically operate to close the gap </w:t>
      </w:r>
      <w:r w:rsidR="00F27E09">
        <w:rPr>
          <w:rFonts w:ascii="Times New Roman" w:hAnsi="Times New Roman" w:cs="Times New Roman"/>
          <w:sz w:val="24"/>
          <w:szCs w:val="24"/>
        </w:rPr>
        <w:t xml:space="preserve">on </w:t>
      </w:r>
      <w:r>
        <w:rPr>
          <w:rFonts w:ascii="Times New Roman" w:hAnsi="Times New Roman" w:cs="Times New Roman"/>
          <w:sz w:val="24"/>
          <w:szCs w:val="24"/>
        </w:rPr>
        <w:t>Indigenous disadvantage.</w:t>
      </w:r>
    </w:p>
    <w:p w:rsidR="00FB0EBB" w:rsidRPr="008852FC" w:rsidRDefault="00FB0EBB" w:rsidP="00FB0EBB">
      <w:pPr>
        <w:spacing w:after="0" w:line="240" w:lineRule="auto"/>
        <w:rPr>
          <w:rFonts w:ascii="Times New Roman" w:hAnsi="Times New Roman" w:cs="Times New Roman"/>
          <w:sz w:val="24"/>
          <w:szCs w:val="24"/>
        </w:rPr>
      </w:pPr>
    </w:p>
    <w:p w:rsidR="00FB0EBB" w:rsidRDefault="00FB0EBB" w:rsidP="00FB0EBB">
      <w:pPr>
        <w:spacing w:after="0" w:line="240" w:lineRule="auto"/>
        <w:rPr>
          <w:rFonts w:ascii="Times New Roman" w:hAnsi="Times New Roman" w:cs="Times New Roman"/>
          <w:sz w:val="24"/>
          <w:szCs w:val="24"/>
        </w:rPr>
      </w:pPr>
      <w:r w:rsidRPr="008852FC">
        <w:rPr>
          <w:rFonts w:ascii="Times New Roman" w:hAnsi="Times New Roman" w:cs="Times New Roman"/>
          <w:sz w:val="24"/>
          <w:szCs w:val="24"/>
        </w:rPr>
        <w:t xml:space="preserve">Domestically, </w:t>
      </w:r>
      <w:r w:rsidR="0020463A">
        <w:rPr>
          <w:rFonts w:ascii="Times New Roman" w:hAnsi="Times New Roman" w:cs="Times New Roman"/>
          <w:sz w:val="24"/>
          <w:szCs w:val="24"/>
        </w:rPr>
        <w:t>under</w:t>
      </w:r>
      <w:r w:rsidRPr="008852FC">
        <w:rPr>
          <w:rFonts w:ascii="Times New Roman" w:hAnsi="Times New Roman" w:cs="Times New Roman"/>
          <w:sz w:val="24"/>
          <w:szCs w:val="24"/>
        </w:rPr>
        <w:t xml:space="preserve"> the Australian Constitution, </w:t>
      </w:r>
      <w:r w:rsidR="00F27E09">
        <w:rPr>
          <w:rFonts w:ascii="Times New Roman" w:hAnsi="Times New Roman" w:cs="Times New Roman"/>
          <w:sz w:val="24"/>
          <w:szCs w:val="24"/>
        </w:rPr>
        <w:t xml:space="preserve">state and territory governments are afforded powers which may limit the </w:t>
      </w:r>
      <w:r w:rsidR="00FE5CA9">
        <w:rPr>
          <w:rFonts w:ascii="Times New Roman" w:hAnsi="Times New Roman" w:cs="Times New Roman"/>
          <w:sz w:val="24"/>
          <w:szCs w:val="24"/>
        </w:rPr>
        <w:t>ability</w:t>
      </w:r>
      <w:r w:rsidR="00F27E09">
        <w:rPr>
          <w:rFonts w:ascii="Times New Roman" w:hAnsi="Times New Roman" w:cs="Times New Roman"/>
          <w:sz w:val="24"/>
          <w:szCs w:val="24"/>
        </w:rPr>
        <w:t xml:space="preserve"> of the federal government to legislate on relevant matters.</w:t>
      </w:r>
    </w:p>
    <w:p w:rsidR="00FB0EBB" w:rsidRDefault="00FB0EBB" w:rsidP="00FB0EBB">
      <w:pPr>
        <w:spacing w:after="0" w:line="240" w:lineRule="auto"/>
        <w:rPr>
          <w:rFonts w:ascii="Times New Roman" w:hAnsi="Times New Roman" w:cs="Times New Roman"/>
          <w:sz w:val="24"/>
          <w:szCs w:val="24"/>
        </w:rPr>
      </w:pPr>
    </w:p>
    <w:p w:rsidR="00FB0EBB" w:rsidRDefault="00FB0EBB" w:rsidP="00FB0EBB">
      <w:pPr>
        <w:spacing w:after="0" w:line="240" w:lineRule="auto"/>
        <w:rPr>
          <w:rFonts w:ascii="Times New Roman" w:hAnsi="Times New Roman" w:cs="Times New Roman"/>
          <w:sz w:val="24"/>
          <w:szCs w:val="24"/>
        </w:rPr>
      </w:pPr>
    </w:p>
    <w:p w:rsidR="0005527B" w:rsidRPr="00697E94" w:rsidRDefault="0005527B" w:rsidP="0005527B">
      <w:pPr>
        <w:spacing w:after="0" w:line="240" w:lineRule="auto"/>
        <w:rPr>
          <w:rFonts w:ascii="Times New Roman" w:hAnsi="Times New Roman" w:cs="Times New Roman"/>
          <w:sz w:val="24"/>
          <w:szCs w:val="24"/>
        </w:rPr>
      </w:pPr>
    </w:p>
    <w:p w:rsidR="00785BD3" w:rsidRDefault="00785BD3">
      <w:pPr>
        <w:spacing w:before="60" w:after="60" w:line="240" w:lineRule="auto"/>
        <w:ind w:left="1077" w:right="68" w:hanging="357"/>
        <w:rPr>
          <w:rFonts w:ascii="Times New Roman" w:hAnsi="Times New Roman" w:cs="Times New Roman"/>
          <w:b/>
          <w:sz w:val="24"/>
          <w:szCs w:val="24"/>
        </w:rPr>
      </w:pPr>
      <w:r>
        <w:rPr>
          <w:rFonts w:ascii="Times New Roman" w:hAnsi="Times New Roman" w:cs="Times New Roman"/>
          <w:b/>
          <w:sz w:val="24"/>
          <w:szCs w:val="24"/>
        </w:rPr>
        <w:br w:type="page"/>
      </w:r>
    </w:p>
    <w:p w:rsidR="0005527B" w:rsidRPr="00697E94" w:rsidRDefault="0005527B" w:rsidP="0005527B">
      <w:p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6.</w:t>
      </w:r>
      <w:r w:rsidRPr="00697E94">
        <w:rPr>
          <w:rFonts w:ascii="Times New Roman" w:hAnsi="Times New Roman" w:cs="Times New Roman"/>
          <w:b/>
          <w:sz w:val="24"/>
          <w:szCs w:val="24"/>
        </w:rPr>
        <w:tab/>
        <w:t xml:space="preserve"> In the light of the information provided above, what are your views on best practices regarding possible appropriate measures and Implementation strategies to attain the goals of the Declaration?</w:t>
      </w:r>
    </w:p>
    <w:p w:rsidR="0005527B" w:rsidRPr="00697E94" w:rsidRDefault="0005527B" w:rsidP="0005527B">
      <w:pPr>
        <w:spacing w:after="0" w:line="240" w:lineRule="auto"/>
        <w:rPr>
          <w:rFonts w:ascii="Times New Roman" w:hAnsi="Times New Roman" w:cs="Times New Roman"/>
          <w:b/>
          <w:sz w:val="24"/>
          <w:szCs w:val="24"/>
        </w:rPr>
      </w:pPr>
    </w:p>
    <w:p w:rsidR="0005527B" w:rsidRPr="00697E94" w:rsidRDefault="0005527B" w:rsidP="0005527B">
      <w:pPr>
        <w:spacing w:after="0" w:line="240" w:lineRule="auto"/>
        <w:rPr>
          <w:rFonts w:ascii="Times New Roman" w:hAnsi="Times New Roman" w:cs="Times New Roman"/>
          <w:b/>
          <w:sz w:val="24"/>
          <w:szCs w:val="24"/>
        </w:rPr>
      </w:pPr>
      <w:r w:rsidRPr="00697E94">
        <w:rPr>
          <w:rFonts w:ascii="Times New Roman" w:hAnsi="Times New Roman" w:cs="Times New Roman"/>
          <w:b/>
          <w:sz w:val="24"/>
          <w:szCs w:val="24"/>
        </w:rPr>
        <w:t>Please also consider and, if relevant, comment on the role that can be played by international institutions, including the Expert Mechanism on the Rights of Indigenous Peoples, to assist states in adopting measures and implementation strategies to attain the goals of the Declaration.</w:t>
      </w:r>
    </w:p>
    <w:p w:rsidR="0005527B" w:rsidRPr="00697E94" w:rsidRDefault="0005527B" w:rsidP="0005527B">
      <w:pPr>
        <w:spacing w:after="0" w:line="240" w:lineRule="auto"/>
        <w:rPr>
          <w:rFonts w:ascii="Times New Roman" w:hAnsi="Times New Roman" w:cs="Times New Roman"/>
          <w:b/>
          <w:sz w:val="24"/>
          <w:szCs w:val="24"/>
        </w:rPr>
      </w:pPr>
    </w:p>
    <w:p w:rsidR="008C7AA1" w:rsidRDefault="008C7AA1" w:rsidP="002030F6">
      <w:pPr>
        <w:spacing w:line="240" w:lineRule="auto"/>
        <w:rPr>
          <w:rFonts w:ascii="Times New Roman" w:hAnsi="Times New Roman" w:cs="Times New Roman"/>
          <w:sz w:val="24"/>
          <w:szCs w:val="24"/>
        </w:rPr>
      </w:pPr>
      <w:r w:rsidRPr="008C7AA1">
        <w:rPr>
          <w:rFonts w:ascii="Times New Roman" w:hAnsi="Times New Roman" w:cs="Times New Roman"/>
          <w:sz w:val="24"/>
          <w:szCs w:val="24"/>
        </w:rPr>
        <w:t>The Australian Government</w:t>
      </w:r>
      <w:r>
        <w:rPr>
          <w:rFonts w:ascii="Times New Roman" w:hAnsi="Times New Roman" w:cs="Times New Roman"/>
          <w:sz w:val="24"/>
          <w:szCs w:val="24"/>
        </w:rPr>
        <w:t xml:space="preserve"> has taken the approach that</w:t>
      </w:r>
      <w:r w:rsidR="004F40C5">
        <w:rPr>
          <w:rFonts w:ascii="Times New Roman" w:hAnsi="Times New Roman" w:cs="Times New Roman"/>
          <w:sz w:val="24"/>
          <w:szCs w:val="24"/>
        </w:rPr>
        <w:t xml:space="preserve"> it is important to establish an appropriately resourced</w:t>
      </w:r>
      <w:r>
        <w:rPr>
          <w:rFonts w:ascii="Times New Roman" w:hAnsi="Times New Roman" w:cs="Times New Roman"/>
          <w:sz w:val="24"/>
          <w:szCs w:val="24"/>
        </w:rPr>
        <w:t xml:space="preserve"> </w:t>
      </w:r>
      <w:r w:rsidRPr="008C7AA1">
        <w:rPr>
          <w:rFonts w:ascii="Times New Roman" w:hAnsi="Times New Roman" w:cs="Times New Roman"/>
          <w:sz w:val="24"/>
          <w:szCs w:val="24"/>
        </w:rPr>
        <w:t>overarching approach to addressing Indigenous disadvantage</w:t>
      </w:r>
      <w:r w:rsidR="004F40C5">
        <w:rPr>
          <w:rFonts w:ascii="Times New Roman" w:hAnsi="Times New Roman" w:cs="Times New Roman"/>
          <w:sz w:val="24"/>
          <w:szCs w:val="24"/>
        </w:rPr>
        <w:t xml:space="preserve">.  Australia is doing this through its </w:t>
      </w:r>
      <w:r w:rsidRPr="008C7AA1">
        <w:rPr>
          <w:rFonts w:ascii="Times New Roman" w:hAnsi="Times New Roman" w:cs="Times New Roman"/>
          <w:sz w:val="24"/>
          <w:szCs w:val="24"/>
        </w:rPr>
        <w:t xml:space="preserve">Closing the Gap strategy.  </w:t>
      </w:r>
      <w:r w:rsidR="004F40C5">
        <w:rPr>
          <w:rFonts w:ascii="Times New Roman" w:hAnsi="Times New Roman" w:cs="Times New Roman"/>
          <w:sz w:val="24"/>
          <w:szCs w:val="24"/>
        </w:rPr>
        <w:t xml:space="preserve">This strategy guides Australia’s investment of </w:t>
      </w:r>
      <w:r w:rsidR="004F40C5" w:rsidRPr="004F40C5">
        <w:rPr>
          <w:rFonts w:ascii="Times New Roman" w:hAnsi="Times New Roman" w:cs="Times New Roman"/>
          <w:bCs/>
          <w:sz w:val="24"/>
          <w:szCs w:val="24"/>
        </w:rPr>
        <w:t>more than $5.2 billion in</w:t>
      </w:r>
      <w:r w:rsidR="004F40C5">
        <w:rPr>
          <w:rFonts w:ascii="Times New Roman" w:hAnsi="Times New Roman" w:cs="Times New Roman"/>
          <w:bCs/>
          <w:sz w:val="24"/>
          <w:szCs w:val="24"/>
        </w:rPr>
        <w:t>to</w:t>
      </w:r>
      <w:r w:rsidR="004F40C5" w:rsidRPr="004F40C5">
        <w:rPr>
          <w:rFonts w:ascii="Times New Roman" w:hAnsi="Times New Roman" w:cs="Times New Roman"/>
          <w:bCs/>
          <w:sz w:val="24"/>
          <w:szCs w:val="24"/>
        </w:rPr>
        <w:t xml:space="preserve"> </w:t>
      </w:r>
      <w:r w:rsidR="004F40C5">
        <w:rPr>
          <w:rFonts w:ascii="Times New Roman" w:hAnsi="Times New Roman" w:cs="Times New Roman"/>
          <w:bCs/>
          <w:sz w:val="24"/>
          <w:szCs w:val="24"/>
        </w:rPr>
        <w:t>the areas of</w:t>
      </w:r>
      <w:r w:rsidR="004F40C5" w:rsidRPr="004F40C5">
        <w:rPr>
          <w:rFonts w:ascii="Times New Roman" w:hAnsi="Times New Roman" w:cs="Times New Roman"/>
          <w:bCs/>
          <w:sz w:val="24"/>
          <w:szCs w:val="24"/>
        </w:rPr>
        <w:t xml:space="preserve"> employment, education, health service, community development and community safety.</w:t>
      </w:r>
    </w:p>
    <w:p w:rsidR="002030F6" w:rsidRPr="002030F6" w:rsidRDefault="004F40C5" w:rsidP="002030F6">
      <w:pPr>
        <w:spacing w:line="240" w:lineRule="auto"/>
        <w:rPr>
          <w:rFonts w:ascii="Times New Roman" w:hAnsi="Times New Roman" w:cs="Times New Roman"/>
          <w:sz w:val="24"/>
          <w:szCs w:val="24"/>
        </w:rPr>
      </w:pPr>
      <w:r>
        <w:rPr>
          <w:rFonts w:ascii="Times New Roman" w:hAnsi="Times New Roman" w:cs="Times New Roman"/>
          <w:sz w:val="24"/>
          <w:szCs w:val="24"/>
        </w:rPr>
        <w:t>The Australian Government’s approach to promoting r</w:t>
      </w:r>
      <w:r w:rsidR="002030F6" w:rsidRPr="002030F6">
        <w:rPr>
          <w:rFonts w:ascii="Times New Roman" w:hAnsi="Times New Roman" w:cs="Times New Roman"/>
          <w:sz w:val="24"/>
          <w:szCs w:val="24"/>
        </w:rPr>
        <w:t xml:space="preserve">espect </w:t>
      </w:r>
      <w:r>
        <w:rPr>
          <w:rFonts w:ascii="Times New Roman" w:hAnsi="Times New Roman" w:cs="Times New Roman"/>
          <w:sz w:val="24"/>
          <w:szCs w:val="24"/>
        </w:rPr>
        <w:t>for, and recognition of,</w:t>
      </w:r>
      <w:r w:rsidR="002030F6" w:rsidRPr="002030F6">
        <w:rPr>
          <w:rFonts w:ascii="Times New Roman" w:hAnsi="Times New Roman" w:cs="Times New Roman"/>
          <w:sz w:val="24"/>
          <w:szCs w:val="24"/>
        </w:rPr>
        <w:t xml:space="preserve"> language and culture is </w:t>
      </w:r>
      <w:r w:rsidR="002030F6">
        <w:rPr>
          <w:rFonts w:ascii="Times New Roman" w:hAnsi="Times New Roman" w:cs="Times New Roman"/>
          <w:sz w:val="24"/>
          <w:szCs w:val="24"/>
        </w:rPr>
        <w:t xml:space="preserve">a </w:t>
      </w:r>
      <w:r>
        <w:rPr>
          <w:rFonts w:ascii="Times New Roman" w:hAnsi="Times New Roman" w:cs="Times New Roman"/>
          <w:sz w:val="24"/>
          <w:szCs w:val="24"/>
        </w:rPr>
        <w:t xml:space="preserve">good example of the way the Government is pursuing the goals of the Closing the </w:t>
      </w:r>
      <w:r w:rsidR="00F27E09">
        <w:rPr>
          <w:rFonts w:ascii="Times New Roman" w:hAnsi="Times New Roman" w:cs="Times New Roman"/>
          <w:sz w:val="24"/>
          <w:szCs w:val="24"/>
        </w:rPr>
        <w:t>G</w:t>
      </w:r>
      <w:r>
        <w:rPr>
          <w:rFonts w:ascii="Times New Roman" w:hAnsi="Times New Roman" w:cs="Times New Roman"/>
          <w:sz w:val="24"/>
          <w:szCs w:val="24"/>
        </w:rPr>
        <w:t xml:space="preserve">ap strategy and </w:t>
      </w:r>
      <w:r w:rsidR="002030F6">
        <w:rPr>
          <w:rFonts w:ascii="Times New Roman" w:hAnsi="Times New Roman" w:cs="Times New Roman"/>
          <w:sz w:val="24"/>
          <w:szCs w:val="24"/>
        </w:rPr>
        <w:t xml:space="preserve">the Declaration. </w:t>
      </w:r>
      <w:r>
        <w:rPr>
          <w:rFonts w:ascii="Times New Roman" w:hAnsi="Times New Roman" w:cs="Times New Roman"/>
          <w:sz w:val="24"/>
          <w:szCs w:val="24"/>
        </w:rPr>
        <w:t>T</w:t>
      </w:r>
      <w:r w:rsidR="002030F6">
        <w:rPr>
          <w:rFonts w:ascii="Times New Roman" w:hAnsi="Times New Roman" w:cs="Times New Roman"/>
          <w:sz w:val="24"/>
          <w:szCs w:val="24"/>
        </w:rPr>
        <w:t>he preservation of Indigenous languages can be seen as a best practice measure which</w:t>
      </w:r>
      <w:r w:rsidR="00F27E09">
        <w:rPr>
          <w:rFonts w:ascii="Times New Roman" w:hAnsi="Times New Roman" w:cs="Times New Roman"/>
          <w:sz w:val="24"/>
          <w:szCs w:val="24"/>
        </w:rPr>
        <w:t>,</w:t>
      </w:r>
      <w:r w:rsidR="002030F6">
        <w:rPr>
          <w:rFonts w:ascii="Times New Roman" w:hAnsi="Times New Roman" w:cs="Times New Roman"/>
          <w:sz w:val="24"/>
          <w:szCs w:val="24"/>
        </w:rPr>
        <w:t xml:space="preserve"> in the Australian context</w:t>
      </w:r>
      <w:r w:rsidR="00F27E09">
        <w:rPr>
          <w:rFonts w:ascii="Times New Roman" w:hAnsi="Times New Roman" w:cs="Times New Roman"/>
          <w:sz w:val="24"/>
          <w:szCs w:val="24"/>
        </w:rPr>
        <w:t>,</w:t>
      </w:r>
      <w:r w:rsidR="002030F6">
        <w:rPr>
          <w:rFonts w:ascii="Times New Roman" w:hAnsi="Times New Roman" w:cs="Times New Roman"/>
          <w:sz w:val="24"/>
          <w:szCs w:val="24"/>
        </w:rPr>
        <w:t xml:space="preserve"> is also </w:t>
      </w:r>
      <w:r w:rsidR="00F27E09">
        <w:rPr>
          <w:rFonts w:ascii="Times New Roman" w:hAnsi="Times New Roman" w:cs="Times New Roman"/>
          <w:sz w:val="24"/>
          <w:szCs w:val="24"/>
        </w:rPr>
        <w:t xml:space="preserve">helping to </w:t>
      </w:r>
      <w:r w:rsidR="002030F6">
        <w:rPr>
          <w:rFonts w:ascii="Times New Roman" w:hAnsi="Times New Roman" w:cs="Times New Roman"/>
          <w:sz w:val="24"/>
          <w:szCs w:val="24"/>
        </w:rPr>
        <w:t>reset the relationship between the Government and I</w:t>
      </w:r>
      <w:r w:rsidR="002030F6" w:rsidRPr="002030F6">
        <w:rPr>
          <w:rFonts w:ascii="Times New Roman" w:hAnsi="Times New Roman" w:cs="Times New Roman"/>
          <w:sz w:val="24"/>
          <w:szCs w:val="24"/>
        </w:rPr>
        <w:t>ndigenous Australians</w:t>
      </w:r>
      <w:r w:rsidR="002030F6">
        <w:rPr>
          <w:rFonts w:ascii="Times New Roman" w:hAnsi="Times New Roman" w:cs="Times New Roman"/>
          <w:sz w:val="24"/>
          <w:szCs w:val="24"/>
        </w:rPr>
        <w:t xml:space="preserve">. </w:t>
      </w:r>
      <w:r w:rsidR="002030F6" w:rsidRPr="002030F6">
        <w:rPr>
          <w:rFonts w:ascii="Times New Roman" w:hAnsi="Times New Roman" w:cs="Times New Roman"/>
          <w:sz w:val="24"/>
          <w:szCs w:val="24"/>
        </w:rPr>
        <w:t xml:space="preserve"> </w:t>
      </w:r>
    </w:p>
    <w:p w:rsidR="002030F6" w:rsidRPr="002030F6" w:rsidRDefault="002030F6" w:rsidP="002030F6">
      <w:pPr>
        <w:spacing w:line="240" w:lineRule="auto"/>
        <w:rPr>
          <w:rFonts w:ascii="Times New Roman" w:hAnsi="Times New Roman" w:cs="Times New Roman"/>
          <w:sz w:val="24"/>
          <w:szCs w:val="24"/>
        </w:rPr>
      </w:pPr>
      <w:r w:rsidRPr="002030F6">
        <w:rPr>
          <w:rFonts w:ascii="Times New Roman" w:hAnsi="Times New Roman" w:cs="Times New Roman"/>
          <w:sz w:val="24"/>
          <w:szCs w:val="24"/>
        </w:rPr>
        <w:t xml:space="preserve">The 2011 report </w:t>
      </w:r>
      <w:r w:rsidRPr="008852FC">
        <w:rPr>
          <w:rFonts w:ascii="Times New Roman" w:hAnsi="Times New Roman" w:cs="Times New Roman"/>
          <w:i/>
          <w:sz w:val="24"/>
          <w:szCs w:val="24"/>
        </w:rPr>
        <w:t>Overcoming Indigenous Disadvantage: Key Indicators</w:t>
      </w:r>
      <w:r w:rsidRPr="002030F6">
        <w:rPr>
          <w:rFonts w:ascii="Times New Roman" w:hAnsi="Times New Roman" w:cs="Times New Roman"/>
          <w:sz w:val="24"/>
          <w:szCs w:val="24"/>
        </w:rPr>
        <w:t xml:space="preserve"> found that Indigenous language and Indigenous culture and law are associated with Indigenous wellbeing. Survey data collected by the Australian Bureau of Statistics also confirms there is evidence of a relationship between speaking an Indigenous language and wellbeing.   </w:t>
      </w:r>
    </w:p>
    <w:p w:rsidR="002030F6" w:rsidRPr="002030F6" w:rsidRDefault="008C7AA1" w:rsidP="008C7AA1">
      <w:pPr>
        <w:spacing w:line="240" w:lineRule="auto"/>
        <w:rPr>
          <w:rFonts w:ascii="Times New Roman" w:hAnsi="Times New Roman" w:cs="Times New Roman"/>
          <w:sz w:val="24"/>
          <w:szCs w:val="24"/>
        </w:rPr>
      </w:pPr>
      <w:r>
        <w:rPr>
          <w:rFonts w:ascii="Times New Roman" w:hAnsi="Times New Roman" w:cs="Times New Roman"/>
          <w:sz w:val="24"/>
          <w:szCs w:val="24"/>
        </w:rPr>
        <w:t>The Australian Government announced</w:t>
      </w:r>
      <w:r w:rsidR="002030F6" w:rsidRPr="002030F6">
        <w:rPr>
          <w:rFonts w:ascii="Times New Roman" w:hAnsi="Times New Roman" w:cs="Times New Roman"/>
          <w:sz w:val="24"/>
          <w:szCs w:val="24"/>
        </w:rPr>
        <w:t xml:space="preserve"> a National Indigenous Languages policy in 2009. Among its key aims are: bringing national attention to Indigenous languages; reinforcing the use of critically endangered Indigenous languages; restoring the use of rarely spoken or unspoken Indigenous languages; strengthening pride in identity and culture; and supporting and maintaining the teaching and learning of Indigenous languages in schools. </w:t>
      </w:r>
    </w:p>
    <w:p w:rsidR="002030F6" w:rsidRPr="002030F6" w:rsidRDefault="002030F6" w:rsidP="002030F6">
      <w:pPr>
        <w:spacing w:line="240" w:lineRule="auto"/>
        <w:rPr>
          <w:rFonts w:ascii="Times New Roman" w:hAnsi="Times New Roman" w:cs="Times New Roman"/>
          <w:sz w:val="24"/>
          <w:szCs w:val="24"/>
        </w:rPr>
      </w:pPr>
      <w:r w:rsidRPr="002030F6">
        <w:rPr>
          <w:rFonts w:ascii="Times New Roman" w:hAnsi="Times New Roman" w:cs="Times New Roman"/>
          <w:sz w:val="24"/>
          <w:szCs w:val="24"/>
        </w:rPr>
        <w:t xml:space="preserve">In further recognition of the links between the health of languages and the wellbeing of Indigenous peoples, the </w:t>
      </w:r>
      <w:r w:rsidR="00F27E09">
        <w:rPr>
          <w:rFonts w:ascii="Times New Roman" w:hAnsi="Times New Roman" w:cs="Times New Roman"/>
          <w:sz w:val="24"/>
          <w:szCs w:val="24"/>
        </w:rPr>
        <w:t>G</w:t>
      </w:r>
      <w:r w:rsidRPr="002030F6">
        <w:rPr>
          <w:rFonts w:ascii="Times New Roman" w:hAnsi="Times New Roman" w:cs="Times New Roman"/>
          <w:sz w:val="24"/>
          <w:szCs w:val="24"/>
        </w:rPr>
        <w:t xml:space="preserve">overnment funds the Indigenous languages support program which assists the maintenance and revival of Indigenous languages. The program aims to address the erosion and loss of these languages by supporting community based projects such as language groups, language research and coordination of language resources. </w:t>
      </w:r>
    </w:p>
    <w:p w:rsidR="002030F6" w:rsidRPr="002030F6" w:rsidRDefault="002030F6" w:rsidP="002030F6">
      <w:pPr>
        <w:spacing w:line="240" w:lineRule="auto"/>
        <w:rPr>
          <w:rFonts w:ascii="Times New Roman" w:hAnsi="Times New Roman" w:cs="Times New Roman"/>
          <w:sz w:val="24"/>
          <w:szCs w:val="24"/>
        </w:rPr>
      </w:pPr>
      <w:r w:rsidRPr="002030F6">
        <w:rPr>
          <w:rFonts w:ascii="Times New Roman" w:hAnsi="Times New Roman" w:cs="Times New Roman"/>
          <w:sz w:val="24"/>
          <w:szCs w:val="24"/>
        </w:rPr>
        <w:t xml:space="preserve">This program of work suggests that effort across a number of fronts is needed to address the causes of the erosion of Indigenous languages. In Australia that effort is accompanied by support for interpreter services to ensure that Indigenous Australians, particularly those who </w:t>
      </w:r>
      <w:r>
        <w:rPr>
          <w:rFonts w:ascii="Times New Roman" w:hAnsi="Times New Roman" w:cs="Times New Roman"/>
          <w:sz w:val="24"/>
          <w:szCs w:val="24"/>
        </w:rPr>
        <w:t>do not speak English fluently</w:t>
      </w:r>
      <w:r w:rsidRPr="002030F6">
        <w:rPr>
          <w:rFonts w:ascii="Times New Roman" w:hAnsi="Times New Roman" w:cs="Times New Roman"/>
          <w:sz w:val="24"/>
          <w:szCs w:val="24"/>
        </w:rPr>
        <w:t xml:space="preserve">, can access services and participate in civic life. </w:t>
      </w:r>
    </w:p>
    <w:p w:rsidR="002030F6" w:rsidRPr="002030F6" w:rsidRDefault="002030F6" w:rsidP="002030F6">
      <w:pPr>
        <w:spacing w:line="240" w:lineRule="auto"/>
        <w:rPr>
          <w:rFonts w:ascii="Times New Roman" w:hAnsi="Times New Roman" w:cs="Times New Roman"/>
          <w:sz w:val="24"/>
          <w:szCs w:val="24"/>
        </w:rPr>
      </w:pPr>
      <w:r w:rsidRPr="002030F6">
        <w:rPr>
          <w:rFonts w:ascii="Times New Roman" w:hAnsi="Times New Roman" w:cs="Times New Roman"/>
          <w:sz w:val="24"/>
          <w:szCs w:val="24"/>
        </w:rPr>
        <w:t xml:space="preserve">The Council of Australian Governments has agreed that the Commonwealth Government and State and Territory Governments should develop a national framework for the effective supply and use of Indigenous language interpreters. Governments are working with the Indigenous interpreting sector and other stakeholders to develop the framework. </w:t>
      </w:r>
    </w:p>
    <w:p w:rsidR="002030F6" w:rsidRPr="002030F6" w:rsidRDefault="002030F6" w:rsidP="002030F6">
      <w:pPr>
        <w:spacing w:line="240" w:lineRule="auto"/>
        <w:rPr>
          <w:rFonts w:ascii="Times New Roman" w:hAnsi="Times New Roman" w:cs="Times New Roman"/>
          <w:sz w:val="24"/>
          <w:szCs w:val="24"/>
        </w:rPr>
      </w:pPr>
      <w:r w:rsidRPr="002030F6">
        <w:rPr>
          <w:rFonts w:ascii="Times New Roman" w:hAnsi="Times New Roman" w:cs="Times New Roman"/>
          <w:sz w:val="24"/>
          <w:szCs w:val="24"/>
        </w:rPr>
        <w:t xml:space="preserve">In December 2010, the Government appointed an Expert Panel to consider, consult and advise the Government on possible options for recognising Indigenous Australians in the Australian Constitution. The Expert Panel, which included Indigenous Australians, reported its findings to the Government in January 2012. Those findings included a recommendation that Aboriginal and Torres Strait Islander cultures, languages and heritage be recognised in Australia’s Constitution.  </w:t>
      </w:r>
    </w:p>
    <w:p w:rsidR="0005527B" w:rsidRPr="00697E94" w:rsidRDefault="002030F6" w:rsidP="0005527B">
      <w:pPr>
        <w:spacing w:after="0" w:line="240" w:lineRule="auto"/>
        <w:rPr>
          <w:rFonts w:ascii="Times New Roman" w:hAnsi="Times New Roman" w:cs="Times New Roman"/>
          <w:b/>
          <w:sz w:val="24"/>
          <w:szCs w:val="24"/>
        </w:rPr>
      </w:pPr>
      <w:r w:rsidRPr="002030F6">
        <w:rPr>
          <w:rFonts w:ascii="Times New Roman" w:hAnsi="Times New Roman" w:cs="Times New Roman"/>
          <w:sz w:val="24"/>
          <w:szCs w:val="24"/>
        </w:rPr>
        <w:t>On the basis of its current and wide-ranging efforts to preserve Indigenous languages, Australia looks forward to making a contribution to this important work in the context of discussions at</w:t>
      </w:r>
      <w:r w:rsidR="0020463A">
        <w:rPr>
          <w:rFonts w:ascii="Times New Roman" w:hAnsi="Times New Roman" w:cs="Times New Roman"/>
          <w:sz w:val="24"/>
          <w:szCs w:val="24"/>
        </w:rPr>
        <w:t>,</w:t>
      </w:r>
      <w:r w:rsidRPr="002030F6">
        <w:rPr>
          <w:rFonts w:ascii="Times New Roman" w:hAnsi="Times New Roman" w:cs="Times New Roman"/>
          <w:sz w:val="24"/>
          <w:szCs w:val="24"/>
        </w:rPr>
        <w:t xml:space="preserve"> and leading up to</w:t>
      </w:r>
      <w:r w:rsidR="0020463A">
        <w:rPr>
          <w:rFonts w:ascii="Times New Roman" w:hAnsi="Times New Roman" w:cs="Times New Roman"/>
          <w:sz w:val="24"/>
          <w:szCs w:val="24"/>
        </w:rPr>
        <w:t>,</w:t>
      </w:r>
      <w:r w:rsidRPr="002030F6">
        <w:rPr>
          <w:rFonts w:ascii="Times New Roman" w:hAnsi="Times New Roman" w:cs="Times New Roman"/>
          <w:sz w:val="24"/>
          <w:szCs w:val="24"/>
        </w:rPr>
        <w:t xml:space="preserve"> the 2014 conference. </w:t>
      </w:r>
    </w:p>
    <w:sectPr w:rsidR="0005527B" w:rsidRPr="00697E94" w:rsidSect="00395768">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D3" w:rsidRDefault="00785BD3" w:rsidP="00785BD3">
      <w:pPr>
        <w:spacing w:after="0" w:line="240" w:lineRule="auto"/>
      </w:pPr>
      <w:r>
        <w:separator/>
      </w:r>
    </w:p>
  </w:endnote>
  <w:endnote w:type="continuationSeparator" w:id="0">
    <w:p w:rsidR="00785BD3" w:rsidRDefault="00785BD3" w:rsidP="0078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08029"/>
      <w:docPartObj>
        <w:docPartGallery w:val="Page Numbers (Bottom of Page)"/>
        <w:docPartUnique/>
      </w:docPartObj>
    </w:sdtPr>
    <w:sdtEndPr>
      <w:rPr>
        <w:noProof/>
      </w:rPr>
    </w:sdtEndPr>
    <w:sdtContent>
      <w:p w:rsidR="00785BD3" w:rsidRDefault="00785BD3">
        <w:pPr>
          <w:pStyle w:val="Footer"/>
          <w:jc w:val="center"/>
        </w:pPr>
        <w:r>
          <w:fldChar w:fldCharType="begin"/>
        </w:r>
        <w:r>
          <w:instrText xml:space="preserve"> PAGE   \* MERGEFORMAT </w:instrText>
        </w:r>
        <w:r>
          <w:fldChar w:fldCharType="separate"/>
        </w:r>
        <w:r w:rsidR="005D133A">
          <w:rPr>
            <w:noProof/>
          </w:rPr>
          <w:t>1</w:t>
        </w:r>
        <w:r>
          <w:rPr>
            <w:noProof/>
          </w:rPr>
          <w:fldChar w:fldCharType="end"/>
        </w:r>
      </w:p>
    </w:sdtContent>
  </w:sdt>
  <w:p w:rsidR="00785BD3" w:rsidRDefault="0078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D3" w:rsidRDefault="00785BD3" w:rsidP="00785BD3">
      <w:pPr>
        <w:spacing w:after="0" w:line="240" w:lineRule="auto"/>
      </w:pPr>
      <w:r>
        <w:separator/>
      </w:r>
    </w:p>
  </w:footnote>
  <w:footnote w:type="continuationSeparator" w:id="0">
    <w:p w:rsidR="00785BD3" w:rsidRDefault="00785BD3" w:rsidP="0078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6A09BE"/>
    <w:lvl w:ilvl="0">
      <w:start w:val="1"/>
      <w:numFmt w:val="bullet"/>
      <w:pStyle w:val="3Fact1stLevel"/>
      <w:lvlText w:val=""/>
      <w:lvlJc w:val="left"/>
      <w:pPr>
        <w:tabs>
          <w:tab w:val="num" w:pos="360"/>
        </w:tabs>
        <w:ind w:left="360" w:hanging="360"/>
      </w:pPr>
      <w:rPr>
        <w:rFonts w:ascii="Symbol" w:hAnsi="Symbol" w:hint="default"/>
      </w:rPr>
    </w:lvl>
  </w:abstractNum>
  <w:abstractNum w:abstractNumId="1">
    <w:nsid w:val="1C261541"/>
    <w:multiLevelType w:val="hybridMultilevel"/>
    <w:tmpl w:val="724653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8824BD5"/>
    <w:multiLevelType w:val="hybridMultilevel"/>
    <w:tmpl w:val="C76E55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51BAC4BE">
      <w:numFmt w:val="bullet"/>
      <w:lvlText w:val="•"/>
      <w:lvlJc w:val="left"/>
      <w:pPr>
        <w:ind w:left="2520" w:hanging="720"/>
      </w:pPr>
      <w:rPr>
        <w:rFonts w:ascii="Calibri" w:eastAsia="Calibri" w:hAnsi="Calibri"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6DC3837"/>
    <w:multiLevelType w:val="hybridMultilevel"/>
    <w:tmpl w:val="4FE0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A365C5"/>
    <w:multiLevelType w:val="hybridMultilevel"/>
    <w:tmpl w:val="01EAD81C"/>
    <w:lvl w:ilvl="0" w:tplc="0C090003">
      <w:start w:val="1"/>
      <w:numFmt w:val="bullet"/>
      <w:lvlText w:val="o"/>
      <w:lvlJc w:val="left"/>
      <w:pPr>
        <w:tabs>
          <w:tab w:val="num" w:pos="720"/>
        </w:tabs>
        <w:ind w:left="720" w:hanging="360"/>
      </w:pPr>
      <w:rPr>
        <w:rFonts w:ascii="Courier New" w:hAnsi="Courier New" w:cs="Times New Roman"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nsid w:val="51A207C6"/>
    <w:multiLevelType w:val="hybridMultilevel"/>
    <w:tmpl w:val="F8A46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E70C2E"/>
    <w:multiLevelType w:val="hybridMultilevel"/>
    <w:tmpl w:val="06322D8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C20EE6"/>
    <w:multiLevelType w:val="hybridMultilevel"/>
    <w:tmpl w:val="823A4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E454E9"/>
    <w:multiLevelType w:val="multilevel"/>
    <w:tmpl w:val="D1AC2A6C"/>
    <w:lvl w:ilvl="0">
      <w:start w:val="1"/>
      <w:numFmt w:val="bullet"/>
      <w:pStyle w:val="ListNumber"/>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779E4D88"/>
    <w:multiLevelType w:val="hybridMultilevel"/>
    <w:tmpl w:val="35DCA3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7D2E1DEE"/>
    <w:multiLevelType w:val="hybridMultilevel"/>
    <w:tmpl w:val="A3B023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7F035AE3"/>
    <w:multiLevelType w:val="hybridMultilevel"/>
    <w:tmpl w:val="B26A4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D6"/>
    <w:rsid w:val="0000698B"/>
    <w:rsid w:val="0001207D"/>
    <w:rsid w:val="0001769B"/>
    <w:rsid w:val="00017B68"/>
    <w:rsid w:val="00020E55"/>
    <w:rsid w:val="0004222E"/>
    <w:rsid w:val="000507CC"/>
    <w:rsid w:val="0005527B"/>
    <w:rsid w:val="00092D0A"/>
    <w:rsid w:val="000972F2"/>
    <w:rsid w:val="000F7EAD"/>
    <w:rsid w:val="001061EF"/>
    <w:rsid w:val="00123416"/>
    <w:rsid w:val="001311C8"/>
    <w:rsid w:val="001448F9"/>
    <w:rsid w:val="00150A82"/>
    <w:rsid w:val="00180CDB"/>
    <w:rsid w:val="00194816"/>
    <w:rsid w:val="001A18DD"/>
    <w:rsid w:val="001A6DEF"/>
    <w:rsid w:val="001B2EA2"/>
    <w:rsid w:val="001D6E0F"/>
    <w:rsid w:val="002030F6"/>
    <w:rsid w:val="0020343B"/>
    <w:rsid w:val="0020463A"/>
    <w:rsid w:val="002154E6"/>
    <w:rsid w:val="002213B4"/>
    <w:rsid w:val="00237560"/>
    <w:rsid w:val="002507C2"/>
    <w:rsid w:val="00271A19"/>
    <w:rsid w:val="00271FE7"/>
    <w:rsid w:val="002A19F1"/>
    <w:rsid w:val="002B16B1"/>
    <w:rsid w:val="002F0DC8"/>
    <w:rsid w:val="0030346D"/>
    <w:rsid w:val="00316009"/>
    <w:rsid w:val="003179AB"/>
    <w:rsid w:val="00324C17"/>
    <w:rsid w:val="00354F65"/>
    <w:rsid w:val="00360B59"/>
    <w:rsid w:val="003914B9"/>
    <w:rsid w:val="00395768"/>
    <w:rsid w:val="003B4FFA"/>
    <w:rsid w:val="003D36C7"/>
    <w:rsid w:val="003D616F"/>
    <w:rsid w:val="003E05FD"/>
    <w:rsid w:val="003E6183"/>
    <w:rsid w:val="003F2F33"/>
    <w:rsid w:val="004252D2"/>
    <w:rsid w:val="00464BBB"/>
    <w:rsid w:val="004714D0"/>
    <w:rsid w:val="00475E9E"/>
    <w:rsid w:val="004B2F0B"/>
    <w:rsid w:val="004B62BB"/>
    <w:rsid w:val="004E27CB"/>
    <w:rsid w:val="004F0273"/>
    <w:rsid w:val="004F40C5"/>
    <w:rsid w:val="004F7FA1"/>
    <w:rsid w:val="005067F4"/>
    <w:rsid w:val="0052412E"/>
    <w:rsid w:val="005346CD"/>
    <w:rsid w:val="005478E2"/>
    <w:rsid w:val="0057289E"/>
    <w:rsid w:val="0057784E"/>
    <w:rsid w:val="005A07AB"/>
    <w:rsid w:val="005A0FDA"/>
    <w:rsid w:val="005B10CA"/>
    <w:rsid w:val="005B3271"/>
    <w:rsid w:val="005C6230"/>
    <w:rsid w:val="005D133A"/>
    <w:rsid w:val="005D6356"/>
    <w:rsid w:val="005E2AB6"/>
    <w:rsid w:val="005F00B6"/>
    <w:rsid w:val="006069B5"/>
    <w:rsid w:val="00610AFF"/>
    <w:rsid w:val="00616003"/>
    <w:rsid w:val="00616521"/>
    <w:rsid w:val="0062494E"/>
    <w:rsid w:val="00625CB0"/>
    <w:rsid w:val="006307FF"/>
    <w:rsid w:val="00632CAB"/>
    <w:rsid w:val="00637B83"/>
    <w:rsid w:val="0065709C"/>
    <w:rsid w:val="00674709"/>
    <w:rsid w:val="00697E94"/>
    <w:rsid w:val="006A0D1A"/>
    <w:rsid w:val="006A47D8"/>
    <w:rsid w:val="006B6389"/>
    <w:rsid w:val="006C52D6"/>
    <w:rsid w:val="006F2259"/>
    <w:rsid w:val="007177F5"/>
    <w:rsid w:val="007206FF"/>
    <w:rsid w:val="0072761A"/>
    <w:rsid w:val="007466C0"/>
    <w:rsid w:val="007551B8"/>
    <w:rsid w:val="00756E1E"/>
    <w:rsid w:val="00764C4D"/>
    <w:rsid w:val="00765614"/>
    <w:rsid w:val="00782E84"/>
    <w:rsid w:val="00785BD3"/>
    <w:rsid w:val="00794C9A"/>
    <w:rsid w:val="007A69B2"/>
    <w:rsid w:val="007D365D"/>
    <w:rsid w:val="00806B82"/>
    <w:rsid w:val="0081487C"/>
    <w:rsid w:val="00816A78"/>
    <w:rsid w:val="008230E6"/>
    <w:rsid w:val="0082433E"/>
    <w:rsid w:val="00880D6D"/>
    <w:rsid w:val="008852FC"/>
    <w:rsid w:val="00886CA1"/>
    <w:rsid w:val="00893321"/>
    <w:rsid w:val="008C0B53"/>
    <w:rsid w:val="008C2836"/>
    <w:rsid w:val="008C7AA1"/>
    <w:rsid w:val="008F01FA"/>
    <w:rsid w:val="00901C4B"/>
    <w:rsid w:val="00901C52"/>
    <w:rsid w:val="0090649A"/>
    <w:rsid w:val="00910353"/>
    <w:rsid w:val="00912B82"/>
    <w:rsid w:val="009146C7"/>
    <w:rsid w:val="00946C83"/>
    <w:rsid w:val="009561B5"/>
    <w:rsid w:val="00975863"/>
    <w:rsid w:val="009A366E"/>
    <w:rsid w:val="009B4FC0"/>
    <w:rsid w:val="009C5946"/>
    <w:rsid w:val="009F4CF3"/>
    <w:rsid w:val="00A0437B"/>
    <w:rsid w:val="00A24C0A"/>
    <w:rsid w:val="00A514AB"/>
    <w:rsid w:val="00A73713"/>
    <w:rsid w:val="00A758A0"/>
    <w:rsid w:val="00A91D56"/>
    <w:rsid w:val="00AB56B9"/>
    <w:rsid w:val="00AD28DE"/>
    <w:rsid w:val="00B21D44"/>
    <w:rsid w:val="00B26D9F"/>
    <w:rsid w:val="00B960D6"/>
    <w:rsid w:val="00B966B2"/>
    <w:rsid w:val="00C0728A"/>
    <w:rsid w:val="00C36778"/>
    <w:rsid w:val="00C419DD"/>
    <w:rsid w:val="00C46E8B"/>
    <w:rsid w:val="00C55F60"/>
    <w:rsid w:val="00CA0FC2"/>
    <w:rsid w:val="00CA7B6A"/>
    <w:rsid w:val="00CB02F4"/>
    <w:rsid w:val="00CB7CC7"/>
    <w:rsid w:val="00CC7BC9"/>
    <w:rsid w:val="00CE04FA"/>
    <w:rsid w:val="00CF2D69"/>
    <w:rsid w:val="00D06718"/>
    <w:rsid w:val="00D06CDC"/>
    <w:rsid w:val="00D07227"/>
    <w:rsid w:val="00D1789A"/>
    <w:rsid w:val="00D22C85"/>
    <w:rsid w:val="00D332D2"/>
    <w:rsid w:val="00DA63C1"/>
    <w:rsid w:val="00DC5049"/>
    <w:rsid w:val="00DF4733"/>
    <w:rsid w:val="00E172F0"/>
    <w:rsid w:val="00E25160"/>
    <w:rsid w:val="00E41A2B"/>
    <w:rsid w:val="00E46282"/>
    <w:rsid w:val="00E80F64"/>
    <w:rsid w:val="00E86BB6"/>
    <w:rsid w:val="00E917CE"/>
    <w:rsid w:val="00EA4314"/>
    <w:rsid w:val="00EA7771"/>
    <w:rsid w:val="00ED2037"/>
    <w:rsid w:val="00ED44FB"/>
    <w:rsid w:val="00EF63BA"/>
    <w:rsid w:val="00EF7EB7"/>
    <w:rsid w:val="00F01F1E"/>
    <w:rsid w:val="00F02BC1"/>
    <w:rsid w:val="00F071E4"/>
    <w:rsid w:val="00F1687D"/>
    <w:rsid w:val="00F2107D"/>
    <w:rsid w:val="00F2683E"/>
    <w:rsid w:val="00F27E09"/>
    <w:rsid w:val="00F30DA6"/>
    <w:rsid w:val="00F346CB"/>
    <w:rsid w:val="00F4155D"/>
    <w:rsid w:val="00F45827"/>
    <w:rsid w:val="00F541F3"/>
    <w:rsid w:val="00F56F3C"/>
    <w:rsid w:val="00F61C18"/>
    <w:rsid w:val="00F84DBE"/>
    <w:rsid w:val="00F91543"/>
    <w:rsid w:val="00FA7761"/>
    <w:rsid w:val="00FB0EBB"/>
    <w:rsid w:val="00FB305E"/>
    <w:rsid w:val="00FB4310"/>
    <w:rsid w:val="00FB4B30"/>
    <w:rsid w:val="00FC2B91"/>
    <w:rsid w:val="00FE2342"/>
    <w:rsid w:val="00FE5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60" w:after="60"/>
        <w:ind w:left="1077" w:right="6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6"/>
    <w:pPr>
      <w:spacing w:before="0" w:after="200" w:line="276" w:lineRule="auto"/>
      <w:ind w:left="0" w:righ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D6"/>
    <w:pPr>
      <w:ind w:left="720"/>
      <w:contextualSpacing/>
    </w:pPr>
  </w:style>
  <w:style w:type="character" w:styleId="BookTitle">
    <w:name w:val="Book Title"/>
    <w:uiPriority w:val="33"/>
    <w:qFormat/>
    <w:rsid w:val="00B960D6"/>
    <w:rPr>
      <w:i/>
      <w:iCs/>
      <w:smallCaps/>
      <w:spacing w:val="5"/>
    </w:rPr>
  </w:style>
  <w:style w:type="character" w:styleId="Hyperlink">
    <w:name w:val="Hyperlink"/>
    <w:basedOn w:val="DefaultParagraphFont"/>
    <w:uiPriority w:val="99"/>
    <w:unhideWhenUsed/>
    <w:rsid w:val="0005527B"/>
    <w:rPr>
      <w:color w:val="0000FF" w:themeColor="hyperlink"/>
      <w:u w:val="single"/>
    </w:rPr>
  </w:style>
  <w:style w:type="paragraph" w:customStyle="1" w:styleId="3Fact1stLevel">
    <w:name w:val="3. Fact (1st Level)"/>
    <w:basedOn w:val="Normal"/>
    <w:uiPriority w:val="99"/>
    <w:rsid w:val="00EF63BA"/>
    <w:pPr>
      <w:numPr>
        <w:numId w:val="8"/>
      </w:numPr>
      <w:spacing w:before="180" w:after="180" w:line="240" w:lineRule="auto"/>
    </w:pPr>
    <w:rPr>
      <w:rFonts w:ascii="Verdana" w:eastAsia="Calibri" w:hAnsi="Verdana" w:cs="Times New Roman"/>
      <w:sz w:val="24"/>
      <w:szCs w:val="20"/>
      <w:lang w:eastAsia="en-AU"/>
    </w:rPr>
  </w:style>
  <w:style w:type="character" w:styleId="CommentReference">
    <w:name w:val="annotation reference"/>
    <w:basedOn w:val="DefaultParagraphFont"/>
    <w:uiPriority w:val="99"/>
    <w:semiHidden/>
    <w:unhideWhenUsed/>
    <w:rsid w:val="00764C4D"/>
    <w:rPr>
      <w:sz w:val="16"/>
      <w:szCs w:val="16"/>
    </w:rPr>
  </w:style>
  <w:style w:type="paragraph" w:styleId="CommentText">
    <w:name w:val="annotation text"/>
    <w:basedOn w:val="Normal"/>
    <w:link w:val="CommentTextChar"/>
    <w:uiPriority w:val="99"/>
    <w:semiHidden/>
    <w:unhideWhenUsed/>
    <w:rsid w:val="00764C4D"/>
    <w:pPr>
      <w:spacing w:line="240" w:lineRule="auto"/>
    </w:pPr>
    <w:rPr>
      <w:sz w:val="20"/>
      <w:szCs w:val="20"/>
    </w:rPr>
  </w:style>
  <w:style w:type="character" w:customStyle="1" w:styleId="CommentTextChar">
    <w:name w:val="Comment Text Char"/>
    <w:basedOn w:val="DefaultParagraphFont"/>
    <w:link w:val="CommentText"/>
    <w:uiPriority w:val="99"/>
    <w:semiHidden/>
    <w:rsid w:val="00764C4D"/>
    <w:rPr>
      <w:rFonts w:ascii="Arial" w:hAnsi="Arial"/>
      <w:sz w:val="20"/>
      <w:szCs w:val="20"/>
    </w:rPr>
  </w:style>
  <w:style w:type="paragraph" w:styleId="BalloonText">
    <w:name w:val="Balloon Text"/>
    <w:basedOn w:val="Normal"/>
    <w:link w:val="BalloonTextChar"/>
    <w:uiPriority w:val="99"/>
    <w:semiHidden/>
    <w:unhideWhenUsed/>
    <w:rsid w:val="0076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EBB"/>
    <w:rPr>
      <w:b/>
      <w:bCs/>
    </w:rPr>
  </w:style>
  <w:style w:type="character" w:customStyle="1" w:styleId="CommentSubjectChar">
    <w:name w:val="Comment Subject Char"/>
    <w:basedOn w:val="CommentTextChar"/>
    <w:link w:val="CommentSubject"/>
    <w:uiPriority w:val="99"/>
    <w:semiHidden/>
    <w:rsid w:val="00FB0EBB"/>
    <w:rPr>
      <w:rFonts w:ascii="Arial" w:hAnsi="Arial"/>
      <w:b/>
      <w:bCs/>
      <w:sz w:val="20"/>
      <w:szCs w:val="20"/>
    </w:rPr>
  </w:style>
  <w:style w:type="paragraph" w:styleId="NormalWeb">
    <w:name w:val="Normal (Web)"/>
    <w:basedOn w:val="Normal"/>
    <w:uiPriority w:val="99"/>
    <w:semiHidden/>
    <w:unhideWhenUsed/>
    <w:rsid w:val="00FB0E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uiPriority w:val="99"/>
    <w:rsid w:val="00CA0FC2"/>
    <w:pPr>
      <w:numPr>
        <w:numId w:val="10"/>
      </w:numPr>
      <w:tabs>
        <w:tab w:val="clear" w:pos="567"/>
        <w:tab w:val="num" w:pos="360"/>
      </w:tabs>
      <w:spacing w:after="0" w:line="360" w:lineRule="auto"/>
      <w:ind w:left="360" w:hanging="360"/>
    </w:pPr>
    <w:rPr>
      <w:rFonts w:eastAsia="Calibri" w:cs="Arial"/>
      <w:sz w:val="28"/>
      <w:szCs w:val="28"/>
      <w:lang w:eastAsia="en-AU"/>
    </w:rPr>
  </w:style>
  <w:style w:type="paragraph" w:styleId="Header">
    <w:name w:val="header"/>
    <w:basedOn w:val="Normal"/>
    <w:link w:val="HeaderChar"/>
    <w:uiPriority w:val="99"/>
    <w:unhideWhenUsed/>
    <w:rsid w:val="0078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D3"/>
    <w:rPr>
      <w:rFonts w:ascii="Arial" w:hAnsi="Arial"/>
    </w:rPr>
  </w:style>
  <w:style w:type="paragraph" w:styleId="Footer">
    <w:name w:val="footer"/>
    <w:basedOn w:val="Normal"/>
    <w:link w:val="FooterChar"/>
    <w:uiPriority w:val="99"/>
    <w:unhideWhenUsed/>
    <w:rsid w:val="0078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BD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60" w:after="60"/>
        <w:ind w:left="1077" w:right="6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6"/>
    <w:pPr>
      <w:spacing w:before="0" w:after="200" w:line="276" w:lineRule="auto"/>
      <w:ind w:left="0" w:righ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D6"/>
    <w:pPr>
      <w:ind w:left="720"/>
      <w:contextualSpacing/>
    </w:pPr>
  </w:style>
  <w:style w:type="character" w:styleId="BookTitle">
    <w:name w:val="Book Title"/>
    <w:uiPriority w:val="33"/>
    <w:qFormat/>
    <w:rsid w:val="00B960D6"/>
    <w:rPr>
      <w:i/>
      <w:iCs/>
      <w:smallCaps/>
      <w:spacing w:val="5"/>
    </w:rPr>
  </w:style>
  <w:style w:type="character" w:styleId="Hyperlink">
    <w:name w:val="Hyperlink"/>
    <w:basedOn w:val="DefaultParagraphFont"/>
    <w:uiPriority w:val="99"/>
    <w:unhideWhenUsed/>
    <w:rsid w:val="0005527B"/>
    <w:rPr>
      <w:color w:val="0000FF" w:themeColor="hyperlink"/>
      <w:u w:val="single"/>
    </w:rPr>
  </w:style>
  <w:style w:type="paragraph" w:customStyle="1" w:styleId="3Fact1stLevel">
    <w:name w:val="3. Fact (1st Level)"/>
    <w:basedOn w:val="Normal"/>
    <w:uiPriority w:val="99"/>
    <w:rsid w:val="00EF63BA"/>
    <w:pPr>
      <w:numPr>
        <w:numId w:val="8"/>
      </w:numPr>
      <w:spacing w:before="180" w:after="180" w:line="240" w:lineRule="auto"/>
    </w:pPr>
    <w:rPr>
      <w:rFonts w:ascii="Verdana" w:eastAsia="Calibri" w:hAnsi="Verdana" w:cs="Times New Roman"/>
      <w:sz w:val="24"/>
      <w:szCs w:val="20"/>
      <w:lang w:eastAsia="en-AU"/>
    </w:rPr>
  </w:style>
  <w:style w:type="character" w:styleId="CommentReference">
    <w:name w:val="annotation reference"/>
    <w:basedOn w:val="DefaultParagraphFont"/>
    <w:uiPriority w:val="99"/>
    <w:semiHidden/>
    <w:unhideWhenUsed/>
    <w:rsid w:val="00764C4D"/>
    <w:rPr>
      <w:sz w:val="16"/>
      <w:szCs w:val="16"/>
    </w:rPr>
  </w:style>
  <w:style w:type="paragraph" w:styleId="CommentText">
    <w:name w:val="annotation text"/>
    <w:basedOn w:val="Normal"/>
    <w:link w:val="CommentTextChar"/>
    <w:uiPriority w:val="99"/>
    <w:semiHidden/>
    <w:unhideWhenUsed/>
    <w:rsid w:val="00764C4D"/>
    <w:pPr>
      <w:spacing w:line="240" w:lineRule="auto"/>
    </w:pPr>
    <w:rPr>
      <w:sz w:val="20"/>
      <w:szCs w:val="20"/>
    </w:rPr>
  </w:style>
  <w:style w:type="character" w:customStyle="1" w:styleId="CommentTextChar">
    <w:name w:val="Comment Text Char"/>
    <w:basedOn w:val="DefaultParagraphFont"/>
    <w:link w:val="CommentText"/>
    <w:uiPriority w:val="99"/>
    <w:semiHidden/>
    <w:rsid w:val="00764C4D"/>
    <w:rPr>
      <w:rFonts w:ascii="Arial" w:hAnsi="Arial"/>
      <w:sz w:val="20"/>
      <w:szCs w:val="20"/>
    </w:rPr>
  </w:style>
  <w:style w:type="paragraph" w:styleId="BalloonText">
    <w:name w:val="Balloon Text"/>
    <w:basedOn w:val="Normal"/>
    <w:link w:val="BalloonTextChar"/>
    <w:uiPriority w:val="99"/>
    <w:semiHidden/>
    <w:unhideWhenUsed/>
    <w:rsid w:val="0076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EBB"/>
    <w:rPr>
      <w:b/>
      <w:bCs/>
    </w:rPr>
  </w:style>
  <w:style w:type="character" w:customStyle="1" w:styleId="CommentSubjectChar">
    <w:name w:val="Comment Subject Char"/>
    <w:basedOn w:val="CommentTextChar"/>
    <w:link w:val="CommentSubject"/>
    <w:uiPriority w:val="99"/>
    <w:semiHidden/>
    <w:rsid w:val="00FB0EBB"/>
    <w:rPr>
      <w:rFonts w:ascii="Arial" w:hAnsi="Arial"/>
      <w:b/>
      <w:bCs/>
      <w:sz w:val="20"/>
      <w:szCs w:val="20"/>
    </w:rPr>
  </w:style>
  <w:style w:type="paragraph" w:styleId="NormalWeb">
    <w:name w:val="Normal (Web)"/>
    <w:basedOn w:val="Normal"/>
    <w:uiPriority w:val="99"/>
    <w:semiHidden/>
    <w:unhideWhenUsed/>
    <w:rsid w:val="00FB0E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uiPriority w:val="99"/>
    <w:rsid w:val="00CA0FC2"/>
    <w:pPr>
      <w:numPr>
        <w:numId w:val="10"/>
      </w:numPr>
      <w:tabs>
        <w:tab w:val="clear" w:pos="567"/>
        <w:tab w:val="num" w:pos="360"/>
      </w:tabs>
      <w:spacing w:after="0" w:line="360" w:lineRule="auto"/>
      <w:ind w:left="360" w:hanging="360"/>
    </w:pPr>
    <w:rPr>
      <w:rFonts w:eastAsia="Calibri" w:cs="Arial"/>
      <w:sz w:val="28"/>
      <w:szCs w:val="28"/>
      <w:lang w:eastAsia="en-AU"/>
    </w:rPr>
  </w:style>
  <w:style w:type="paragraph" w:styleId="Header">
    <w:name w:val="header"/>
    <w:basedOn w:val="Normal"/>
    <w:link w:val="HeaderChar"/>
    <w:uiPriority w:val="99"/>
    <w:unhideWhenUsed/>
    <w:rsid w:val="0078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D3"/>
    <w:rPr>
      <w:rFonts w:ascii="Arial" w:hAnsi="Arial"/>
    </w:rPr>
  </w:style>
  <w:style w:type="paragraph" w:styleId="Footer">
    <w:name w:val="footer"/>
    <w:basedOn w:val="Normal"/>
    <w:link w:val="FooterChar"/>
    <w:uiPriority w:val="99"/>
    <w:unhideWhenUsed/>
    <w:rsid w:val="0078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B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408">
      <w:bodyDiv w:val="1"/>
      <w:marLeft w:val="0"/>
      <w:marRight w:val="0"/>
      <w:marTop w:val="0"/>
      <w:marBottom w:val="0"/>
      <w:divBdr>
        <w:top w:val="none" w:sz="0" w:space="0" w:color="auto"/>
        <w:left w:val="none" w:sz="0" w:space="0" w:color="auto"/>
        <w:bottom w:val="none" w:sz="0" w:space="0" w:color="auto"/>
        <w:right w:val="none" w:sz="0" w:space="0" w:color="auto"/>
      </w:divBdr>
    </w:div>
    <w:div w:id="613171567">
      <w:bodyDiv w:val="1"/>
      <w:marLeft w:val="0"/>
      <w:marRight w:val="0"/>
      <w:marTop w:val="0"/>
      <w:marBottom w:val="0"/>
      <w:divBdr>
        <w:top w:val="none" w:sz="0" w:space="0" w:color="auto"/>
        <w:left w:val="none" w:sz="0" w:space="0" w:color="auto"/>
        <w:bottom w:val="none" w:sz="0" w:space="0" w:color="auto"/>
        <w:right w:val="none" w:sz="0" w:space="0" w:color="auto"/>
      </w:divBdr>
      <w:divsChild>
        <w:div w:id="452596828">
          <w:marLeft w:val="0"/>
          <w:marRight w:val="0"/>
          <w:marTop w:val="0"/>
          <w:marBottom w:val="0"/>
          <w:divBdr>
            <w:top w:val="none" w:sz="0" w:space="0" w:color="auto"/>
            <w:left w:val="none" w:sz="0" w:space="0" w:color="auto"/>
            <w:bottom w:val="none" w:sz="0" w:space="0" w:color="auto"/>
            <w:right w:val="none" w:sz="0" w:space="0" w:color="auto"/>
          </w:divBdr>
          <w:divsChild>
            <w:div w:id="246619389">
              <w:marLeft w:val="0"/>
              <w:marRight w:val="0"/>
              <w:marTop w:val="0"/>
              <w:marBottom w:val="0"/>
              <w:divBdr>
                <w:top w:val="none" w:sz="0" w:space="0" w:color="auto"/>
                <w:left w:val="none" w:sz="0" w:space="0" w:color="auto"/>
                <w:bottom w:val="none" w:sz="0" w:space="0" w:color="auto"/>
                <w:right w:val="none" w:sz="0" w:space="0" w:color="auto"/>
              </w:divBdr>
              <w:divsChild>
                <w:div w:id="198058670">
                  <w:marLeft w:val="300"/>
                  <w:marRight w:val="0"/>
                  <w:marTop w:val="0"/>
                  <w:marBottom w:val="0"/>
                  <w:divBdr>
                    <w:top w:val="none" w:sz="0" w:space="0" w:color="auto"/>
                    <w:left w:val="none" w:sz="0" w:space="0" w:color="auto"/>
                    <w:bottom w:val="none" w:sz="0" w:space="0" w:color="auto"/>
                    <w:right w:val="none" w:sz="0" w:space="0" w:color="auto"/>
                  </w:divBdr>
                  <w:divsChild>
                    <w:div w:id="546068229">
                      <w:marLeft w:val="0"/>
                      <w:marRight w:val="0"/>
                      <w:marTop w:val="0"/>
                      <w:marBottom w:val="0"/>
                      <w:divBdr>
                        <w:top w:val="none" w:sz="0" w:space="0" w:color="auto"/>
                        <w:left w:val="none" w:sz="0" w:space="0" w:color="auto"/>
                        <w:bottom w:val="none" w:sz="0" w:space="0" w:color="auto"/>
                        <w:right w:val="none" w:sz="0" w:space="0" w:color="auto"/>
                      </w:divBdr>
                      <w:divsChild>
                        <w:div w:id="1683506588">
                          <w:marLeft w:val="0"/>
                          <w:marRight w:val="0"/>
                          <w:marTop w:val="0"/>
                          <w:marBottom w:val="0"/>
                          <w:divBdr>
                            <w:top w:val="none" w:sz="0" w:space="0" w:color="auto"/>
                            <w:left w:val="none" w:sz="0" w:space="0" w:color="auto"/>
                            <w:bottom w:val="none" w:sz="0" w:space="0" w:color="auto"/>
                            <w:right w:val="none" w:sz="0" w:space="0" w:color="auto"/>
                          </w:divBdr>
                          <w:divsChild>
                            <w:div w:id="10343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9227">
      <w:bodyDiv w:val="1"/>
      <w:marLeft w:val="0"/>
      <w:marRight w:val="0"/>
      <w:marTop w:val="0"/>
      <w:marBottom w:val="0"/>
      <w:divBdr>
        <w:top w:val="none" w:sz="0" w:space="0" w:color="auto"/>
        <w:left w:val="none" w:sz="0" w:space="0" w:color="auto"/>
        <w:bottom w:val="none" w:sz="0" w:space="0" w:color="auto"/>
        <w:right w:val="none" w:sz="0" w:space="0" w:color="auto"/>
      </w:divBdr>
    </w:div>
    <w:div w:id="1596746348">
      <w:bodyDiv w:val="1"/>
      <w:marLeft w:val="0"/>
      <w:marRight w:val="0"/>
      <w:marTop w:val="0"/>
      <w:marBottom w:val="0"/>
      <w:divBdr>
        <w:top w:val="none" w:sz="0" w:space="0" w:color="auto"/>
        <w:left w:val="none" w:sz="0" w:space="0" w:color="auto"/>
        <w:bottom w:val="none" w:sz="0" w:space="0" w:color="auto"/>
        <w:right w:val="none" w:sz="0" w:space="0" w:color="auto"/>
      </w:divBdr>
      <w:divsChild>
        <w:div w:id="1614088732">
          <w:marLeft w:val="0"/>
          <w:marRight w:val="0"/>
          <w:marTop w:val="0"/>
          <w:marBottom w:val="0"/>
          <w:divBdr>
            <w:top w:val="none" w:sz="0" w:space="0" w:color="auto"/>
            <w:left w:val="none" w:sz="0" w:space="0" w:color="auto"/>
            <w:bottom w:val="none" w:sz="0" w:space="0" w:color="auto"/>
            <w:right w:val="none" w:sz="0" w:space="0" w:color="auto"/>
          </w:divBdr>
          <w:divsChild>
            <w:div w:id="530724643">
              <w:marLeft w:val="0"/>
              <w:marRight w:val="0"/>
              <w:marTop w:val="0"/>
              <w:marBottom w:val="0"/>
              <w:divBdr>
                <w:top w:val="none" w:sz="0" w:space="0" w:color="auto"/>
                <w:left w:val="none" w:sz="0" w:space="0" w:color="auto"/>
                <w:bottom w:val="none" w:sz="0" w:space="0" w:color="auto"/>
                <w:right w:val="none" w:sz="0" w:space="0" w:color="auto"/>
              </w:divBdr>
              <w:divsChild>
                <w:div w:id="1537548668">
                  <w:marLeft w:val="0"/>
                  <w:marRight w:val="0"/>
                  <w:marTop w:val="0"/>
                  <w:marBottom w:val="0"/>
                  <w:divBdr>
                    <w:top w:val="none" w:sz="0" w:space="0" w:color="auto"/>
                    <w:left w:val="none" w:sz="0" w:space="0" w:color="auto"/>
                    <w:bottom w:val="none" w:sz="0" w:space="0" w:color="auto"/>
                    <w:right w:val="none" w:sz="0" w:space="0" w:color="auto"/>
                  </w:divBdr>
                  <w:divsChild>
                    <w:div w:id="1789659983">
                      <w:marLeft w:val="0"/>
                      <w:marRight w:val="0"/>
                      <w:marTop w:val="0"/>
                      <w:marBottom w:val="0"/>
                      <w:divBdr>
                        <w:top w:val="none" w:sz="0" w:space="0" w:color="auto"/>
                        <w:left w:val="none" w:sz="0" w:space="0" w:color="auto"/>
                        <w:bottom w:val="none" w:sz="0" w:space="0" w:color="auto"/>
                        <w:right w:val="none" w:sz="0" w:space="0" w:color="auto"/>
                      </w:divBdr>
                      <w:divsChild>
                        <w:div w:id="1673026979">
                          <w:marLeft w:val="0"/>
                          <w:marRight w:val="0"/>
                          <w:marTop w:val="0"/>
                          <w:marBottom w:val="0"/>
                          <w:divBdr>
                            <w:top w:val="none" w:sz="0" w:space="0" w:color="auto"/>
                            <w:left w:val="none" w:sz="0" w:space="0" w:color="auto"/>
                            <w:bottom w:val="none" w:sz="0" w:space="0" w:color="auto"/>
                            <w:right w:val="none" w:sz="0" w:space="0" w:color="auto"/>
                          </w:divBdr>
                          <w:divsChild>
                            <w:div w:id="433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6134">
      <w:bodyDiv w:val="1"/>
      <w:marLeft w:val="0"/>
      <w:marRight w:val="0"/>
      <w:marTop w:val="0"/>
      <w:marBottom w:val="0"/>
      <w:divBdr>
        <w:top w:val="none" w:sz="0" w:space="0" w:color="auto"/>
        <w:left w:val="none" w:sz="0" w:space="0" w:color="auto"/>
        <w:bottom w:val="none" w:sz="0" w:space="0" w:color="auto"/>
        <w:right w:val="none" w:sz="0" w:space="0" w:color="auto"/>
      </w:divBdr>
    </w:div>
    <w:div w:id="2079939495">
      <w:bodyDiv w:val="1"/>
      <w:marLeft w:val="0"/>
      <w:marRight w:val="0"/>
      <w:marTop w:val="0"/>
      <w:marBottom w:val="0"/>
      <w:divBdr>
        <w:top w:val="none" w:sz="0" w:space="0" w:color="auto"/>
        <w:left w:val="none" w:sz="0" w:space="0" w:color="auto"/>
        <w:bottom w:val="none" w:sz="0" w:space="0" w:color="auto"/>
        <w:right w:val="none" w:sz="0" w:space="0" w:color="auto"/>
      </w:divBdr>
      <w:divsChild>
        <w:div w:id="1793590202">
          <w:marLeft w:val="0"/>
          <w:marRight w:val="0"/>
          <w:marTop w:val="0"/>
          <w:marBottom w:val="0"/>
          <w:divBdr>
            <w:top w:val="none" w:sz="0" w:space="0" w:color="auto"/>
            <w:left w:val="none" w:sz="0" w:space="0" w:color="auto"/>
            <w:bottom w:val="none" w:sz="0" w:space="0" w:color="auto"/>
            <w:right w:val="none" w:sz="0" w:space="0" w:color="auto"/>
          </w:divBdr>
          <w:divsChild>
            <w:div w:id="1449351594">
              <w:marLeft w:val="0"/>
              <w:marRight w:val="0"/>
              <w:marTop w:val="0"/>
              <w:marBottom w:val="0"/>
              <w:divBdr>
                <w:top w:val="none" w:sz="0" w:space="0" w:color="auto"/>
                <w:left w:val="none" w:sz="0" w:space="0" w:color="auto"/>
                <w:bottom w:val="none" w:sz="0" w:space="0" w:color="auto"/>
                <w:right w:val="none" w:sz="0" w:space="0" w:color="auto"/>
              </w:divBdr>
              <w:divsChild>
                <w:div w:id="534393878">
                  <w:marLeft w:val="0"/>
                  <w:marRight w:val="0"/>
                  <w:marTop w:val="0"/>
                  <w:marBottom w:val="0"/>
                  <w:divBdr>
                    <w:top w:val="none" w:sz="0" w:space="0" w:color="auto"/>
                    <w:left w:val="none" w:sz="0" w:space="0" w:color="auto"/>
                    <w:bottom w:val="none" w:sz="0" w:space="0" w:color="auto"/>
                    <w:right w:val="none" w:sz="0" w:space="0" w:color="auto"/>
                  </w:divBdr>
                  <w:divsChild>
                    <w:div w:id="1329678659">
                      <w:marLeft w:val="0"/>
                      <w:marRight w:val="0"/>
                      <w:marTop w:val="0"/>
                      <w:marBottom w:val="0"/>
                      <w:divBdr>
                        <w:top w:val="none" w:sz="0" w:space="0" w:color="auto"/>
                        <w:left w:val="none" w:sz="0" w:space="0" w:color="auto"/>
                        <w:bottom w:val="none" w:sz="0" w:space="0" w:color="auto"/>
                        <w:right w:val="none" w:sz="0" w:space="0" w:color="auto"/>
                      </w:divBdr>
                      <w:divsChild>
                        <w:div w:id="504252056">
                          <w:marLeft w:val="0"/>
                          <w:marRight w:val="0"/>
                          <w:marTop w:val="0"/>
                          <w:marBottom w:val="0"/>
                          <w:divBdr>
                            <w:top w:val="none" w:sz="0" w:space="0" w:color="auto"/>
                            <w:left w:val="none" w:sz="0" w:space="0" w:color="auto"/>
                            <w:bottom w:val="none" w:sz="0" w:space="0" w:color="auto"/>
                            <w:right w:val="none" w:sz="0" w:space="0" w:color="auto"/>
                          </w:divBdr>
                          <w:divsChild>
                            <w:div w:id="14563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eoc.gov.au/declaration_indigenous/declaration_full.htm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hcsia.gov.au/sa/indigenous/progserv/families/Pages/indigenous_ccs_roc.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hcsia.gov.au/sa/indigenous/progserv/families/Pages/indigenous_ccs_roc.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deralfinancialrelations.gov.au/content/national_agreements.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coagreformcouncil.gov.au/faqs.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85778-CBB5-41D0-9F29-879BDBBB3EE2}"/>
</file>

<file path=customXml/itemProps2.xml><?xml version="1.0" encoding="utf-8"?>
<ds:datastoreItem xmlns:ds="http://schemas.openxmlformats.org/officeDocument/2006/customXml" ds:itemID="{AEB871BA-A188-4BA3-85A3-DB1E6D7B8778}"/>
</file>

<file path=customXml/itemProps3.xml><?xml version="1.0" encoding="utf-8"?>
<ds:datastoreItem xmlns:ds="http://schemas.openxmlformats.org/officeDocument/2006/customXml" ds:itemID="{37F10F0C-AD69-491E-9C28-29DDDE73EBA5}"/>
</file>

<file path=customXml/itemProps4.xml><?xml version="1.0" encoding="utf-8"?>
<ds:datastoreItem xmlns:ds="http://schemas.openxmlformats.org/officeDocument/2006/customXml" ds:itemID="{B52D3AA5-0549-438B-ADEA-6DE13865AFDA}"/>
</file>

<file path=docProps/app.xml><?xml version="1.0" encoding="utf-8"?>
<Properties xmlns="http://schemas.openxmlformats.org/officeDocument/2006/extended-properties" xmlns:vt="http://schemas.openxmlformats.org/officeDocument/2006/docPropsVTypes">
  <Template>Normal</Template>
  <TotalTime>1</TotalTime>
  <Pages>7</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ntan</dc:creator>
  <cp:lastModifiedBy>Charters Claire</cp:lastModifiedBy>
  <cp:revision>2</cp:revision>
  <cp:lastPrinted>2012-07-11T22:58:00Z</cp:lastPrinted>
  <dcterms:created xsi:type="dcterms:W3CDTF">2012-07-12T09:17:00Z</dcterms:created>
  <dcterms:modified xsi:type="dcterms:W3CDTF">2012-07-12T09:17:00Z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839300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