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811E80" w:rsidTr="00E806EE">
        <w:trPr>
          <w:trHeight w:val="851"/>
        </w:trPr>
        <w:tc>
          <w:tcPr>
            <w:tcW w:w="1259" w:type="dxa"/>
            <w:tcBorders>
              <w:top w:val="nil"/>
              <w:left w:val="nil"/>
              <w:bottom w:val="single" w:sz="4" w:space="0" w:color="auto"/>
              <w:right w:val="nil"/>
            </w:tcBorders>
          </w:tcPr>
          <w:p w:rsidR="00811E80" w:rsidRPr="00E806EE" w:rsidRDefault="00811E80" w:rsidP="00811E80">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811E80" w:rsidRPr="00963CBA" w:rsidRDefault="00811E80" w:rsidP="00811E80">
            <w:pPr>
              <w:spacing w:after="80" w:line="300" w:lineRule="exact"/>
              <w:rPr>
                <w:sz w:val="28"/>
                <w:szCs w:val="28"/>
              </w:rPr>
            </w:pPr>
            <w:r w:rsidRPr="00A01BB7">
              <w:rPr>
                <w:sz w:val="28"/>
                <w:szCs w:val="28"/>
              </w:rPr>
              <w:t>United Nations</w:t>
            </w:r>
          </w:p>
        </w:tc>
        <w:tc>
          <w:tcPr>
            <w:tcW w:w="6144" w:type="dxa"/>
            <w:gridSpan w:val="2"/>
            <w:tcBorders>
              <w:top w:val="nil"/>
              <w:left w:val="nil"/>
              <w:bottom w:val="single" w:sz="4" w:space="0" w:color="auto"/>
              <w:right w:val="nil"/>
            </w:tcBorders>
            <w:vAlign w:val="bottom"/>
          </w:tcPr>
          <w:p w:rsidR="00811E80" w:rsidRPr="00DE3EC0" w:rsidRDefault="00811E80" w:rsidP="00811E80">
            <w:pPr>
              <w:jc w:val="right"/>
            </w:pPr>
            <w:r w:rsidRPr="00A01BB7">
              <w:rPr>
                <w:sz w:val="40"/>
              </w:rPr>
              <w:t>A</w:t>
            </w:r>
            <w:r w:rsidRPr="00A01BB7">
              <w:t>/HRC/30/44</w:t>
            </w:r>
            <w:r>
              <w:t>/Corr.1</w:t>
            </w:r>
          </w:p>
        </w:tc>
      </w:tr>
      <w:tr w:rsidR="00811E80" w:rsidTr="00E806EE">
        <w:trPr>
          <w:trHeight w:val="2835"/>
        </w:trPr>
        <w:tc>
          <w:tcPr>
            <w:tcW w:w="1259" w:type="dxa"/>
            <w:tcBorders>
              <w:top w:val="single" w:sz="4" w:space="0" w:color="auto"/>
              <w:left w:val="nil"/>
              <w:bottom w:val="single" w:sz="12" w:space="0" w:color="auto"/>
              <w:right w:val="nil"/>
            </w:tcBorders>
          </w:tcPr>
          <w:p w:rsidR="00811E80" w:rsidRDefault="00A87A80" w:rsidP="00811E80">
            <w:pPr>
              <w:spacing w:before="120"/>
              <w:jc w:val="center"/>
            </w:pPr>
            <w:r>
              <w:rPr>
                <w:noProof/>
                <w:lang w:eastAsia="en-GB"/>
              </w:rPr>
              <w:drawing>
                <wp:inline distT="0" distB="0" distL="0" distR="0" wp14:anchorId="3FE5D78A" wp14:editId="6F8A9A3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811E80" w:rsidRPr="00B3317B" w:rsidRDefault="00811E80" w:rsidP="00811E80">
            <w:pPr>
              <w:spacing w:before="120" w:line="420" w:lineRule="exact"/>
              <w:rPr>
                <w:b/>
                <w:sz w:val="40"/>
                <w:szCs w:val="40"/>
              </w:rPr>
            </w:pPr>
            <w:r w:rsidRPr="00A01BB7">
              <w:rPr>
                <w:b/>
                <w:sz w:val="40"/>
                <w:szCs w:val="40"/>
              </w:rPr>
              <w:t>General Assembly</w:t>
            </w:r>
          </w:p>
        </w:tc>
        <w:tc>
          <w:tcPr>
            <w:tcW w:w="2930" w:type="dxa"/>
            <w:tcBorders>
              <w:top w:val="single" w:sz="4" w:space="0" w:color="auto"/>
              <w:left w:val="nil"/>
              <w:bottom w:val="single" w:sz="12" w:space="0" w:color="auto"/>
              <w:right w:val="nil"/>
            </w:tcBorders>
          </w:tcPr>
          <w:p w:rsidR="00811E80" w:rsidRPr="00A01BB7" w:rsidRDefault="00811E80" w:rsidP="00811E80">
            <w:pPr>
              <w:spacing w:before="240" w:line="240" w:lineRule="exact"/>
            </w:pPr>
            <w:r w:rsidRPr="00A01BB7">
              <w:t>Distr.: General</w:t>
            </w:r>
          </w:p>
          <w:p w:rsidR="00811E80" w:rsidRPr="00A01BB7" w:rsidRDefault="000C3E7D" w:rsidP="000C3E7D">
            <w:pPr>
              <w:spacing w:line="240" w:lineRule="exact"/>
            </w:pPr>
            <w:r>
              <w:t>2</w:t>
            </w:r>
            <w:r w:rsidR="0021477B">
              <w:t xml:space="preserve"> December</w:t>
            </w:r>
            <w:r w:rsidR="00811E80" w:rsidRPr="00A01BB7">
              <w:t xml:space="preserve"> 2015</w:t>
            </w:r>
          </w:p>
          <w:p w:rsidR="00811E80" w:rsidRPr="002B39C1" w:rsidRDefault="00811E80" w:rsidP="00811E80">
            <w:pPr>
              <w:spacing w:line="240" w:lineRule="exact"/>
            </w:pPr>
          </w:p>
          <w:p w:rsidR="00811E80" w:rsidRDefault="00811E80" w:rsidP="00811E80">
            <w:pPr>
              <w:spacing w:line="240" w:lineRule="exact"/>
            </w:pPr>
            <w:r w:rsidRPr="002B39C1">
              <w:t>Original: English</w:t>
            </w:r>
          </w:p>
        </w:tc>
      </w:tr>
    </w:tbl>
    <w:p w:rsidR="009F70F4" w:rsidRPr="0095228B" w:rsidRDefault="009F70F4" w:rsidP="009F70F4">
      <w:pPr>
        <w:tabs>
          <w:tab w:val="left" w:pos="2268"/>
        </w:tabs>
        <w:spacing w:line="240" w:lineRule="auto"/>
        <w:jc w:val="both"/>
        <w:rPr>
          <w:b/>
        </w:rPr>
      </w:pPr>
      <w:r w:rsidRPr="0095228B">
        <w:rPr>
          <w:b/>
        </w:rPr>
        <w:t>Human Rights Council</w:t>
      </w:r>
    </w:p>
    <w:p w:rsidR="009F70F4" w:rsidRPr="0095228B" w:rsidRDefault="00FC3381" w:rsidP="009F70F4">
      <w:pPr>
        <w:spacing w:line="240" w:lineRule="auto"/>
        <w:rPr>
          <w:b/>
        </w:rPr>
      </w:pPr>
      <w:r>
        <w:rPr>
          <w:b/>
        </w:rPr>
        <w:t>Thirtieth</w:t>
      </w:r>
      <w:r w:rsidR="009F70F4" w:rsidRPr="0095228B">
        <w:rPr>
          <w:b/>
        </w:rPr>
        <w:t xml:space="preserve"> session</w:t>
      </w:r>
    </w:p>
    <w:p w:rsidR="009F70F4" w:rsidRPr="0095228B" w:rsidRDefault="009F70F4" w:rsidP="009F70F4">
      <w:pPr>
        <w:tabs>
          <w:tab w:val="left" w:pos="2268"/>
        </w:tabs>
        <w:spacing w:line="240" w:lineRule="auto"/>
        <w:jc w:val="both"/>
      </w:pPr>
      <w:r w:rsidRPr="0095228B">
        <w:t>Agenda item 3</w:t>
      </w:r>
    </w:p>
    <w:p w:rsidR="009F70F4" w:rsidRPr="0095228B" w:rsidRDefault="009F70F4" w:rsidP="009F70F4">
      <w:pPr>
        <w:tabs>
          <w:tab w:val="left" w:pos="2268"/>
        </w:tabs>
        <w:spacing w:line="240" w:lineRule="auto"/>
        <w:rPr>
          <w:b/>
        </w:rPr>
      </w:pPr>
      <w:r w:rsidRPr="0095228B">
        <w:rPr>
          <w:b/>
        </w:rPr>
        <w:t xml:space="preserve">Promotion and protection of all human rights, civil, </w:t>
      </w:r>
      <w:r w:rsidRPr="0095228B">
        <w:rPr>
          <w:b/>
        </w:rPr>
        <w:br/>
        <w:t xml:space="preserve">political, economic, social and cultural rights, </w:t>
      </w:r>
      <w:r w:rsidRPr="0095228B">
        <w:rPr>
          <w:b/>
        </w:rPr>
        <w:br/>
        <w:t>including the right to development</w:t>
      </w:r>
    </w:p>
    <w:p w:rsidR="000472B6" w:rsidRDefault="000472B6" w:rsidP="000472B6">
      <w:pPr>
        <w:pStyle w:val="HChG"/>
      </w:pPr>
      <w:r>
        <w:tab/>
      </w:r>
      <w:r>
        <w:tab/>
      </w:r>
      <w:r w:rsidRPr="000472B6">
        <w:t xml:space="preserve">Report of the Independent Expert on the promotion </w:t>
      </w:r>
      <w:r w:rsidRPr="000472B6">
        <w:br/>
        <w:t xml:space="preserve">of a democratic and equitable international order, </w:t>
      </w:r>
      <w:r w:rsidRPr="000472B6">
        <w:br/>
        <w:t xml:space="preserve">Alfred-Maurice de </w:t>
      </w:r>
      <w:proofErr w:type="spellStart"/>
      <w:r w:rsidRPr="000472B6">
        <w:t>Zayas</w:t>
      </w:r>
      <w:proofErr w:type="spellEnd"/>
    </w:p>
    <w:p w:rsidR="000472B6" w:rsidRPr="00A87A80" w:rsidRDefault="000472B6" w:rsidP="000472B6">
      <w:pPr>
        <w:pStyle w:val="H1G"/>
        <w:rPr>
          <w:sz w:val="20"/>
        </w:rPr>
      </w:pPr>
      <w:r w:rsidRPr="00A87A80">
        <w:rPr>
          <w:sz w:val="20"/>
        </w:rPr>
        <w:tab/>
      </w:r>
      <w:r w:rsidRPr="00A87A80">
        <w:rPr>
          <w:sz w:val="20"/>
        </w:rPr>
        <w:tab/>
        <w:t>Corrigendum</w:t>
      </w:r>
    </w:p>
    <w:p w:rsidR="000472B6" w:rsidRPr="00811E80" w:rsidRDefault="00935DBE" w:rsidP="00D967E6">
      <w:pPr>
        <w:pStyle w:val="H23G"/>
        <w:tabs>
          <w:tab w:val="left" w:pos="1560"/>
        </w:tabs>
        <w:spacing w:before="200"/>
        <w:rPr>
          <w:i/>
        </w:rPr>
      </w:pPr>
      <w:r>
        <w:rPr>
          <w:bCs/>
          <w:color w:val="000000"/>
        </w:rPr>
        <w:tab/>
      </w:r>
      <w:r w:rsidR="000472B6">
        <w:rPr>
          <w:bCs/>
          <w:color w:val="000000"/>
        </w:rPr>
        <w:tab/>
      </w:r>
      <w:r>
        <w:rPr>
          <w:bCs/>
          <w:color w:val="000000"/>
        </w:rPr>
        <w:t>1.</w:t>
      </w:r>
      <w:r>
        <w:rPr>
          <w:bCs/>
          <w:color w:val="000000"/>
        </w:rPr>
        <w:tab/>
      </w:r>
      <w:r w:rsidR="005757CC" w:rsidRPr="00A87A80">
        <w:t>Paragraph 17</w:t>
      </w:r>
    </w:p>
    <w:p w:rsidR="00935DBE" w:rsidRDefault="00935DBE" w:rsidP="00811E80">
      <w:pPr>
        <w:pStyle w:val="SingleTxtG"/>
        <w:rPr>
          <w:rStyle w:val="Emphasis"/>
          <w:lang w:val="en-US"/>
        </w:rPr>
      </w:pPr>
      <w:r w:rsidRPr="00935DBE">
        <w:t>For</w:t>
      </w:r>
      <w:r>
        <w:t xml:space="preserve"> the existing text </w:t>
      </w:r>
      <w:r>
        <w:rPr>
          <w:rStyle w:val="Emphasis"/>
        </w:rPr>
        <w:t>substitute</w:t>
      </w:r>
    </w:p>
    <w:p w:rsidR="005757CC" w:rsidRPr="00E8108F" w:rsidRDefault="00935DBE" w:rsidP="003B20E4">
      <w:pPr>
        <w:pStyle w:val="SingleTxtG"/>
        <w:rPr>
          <w:lang w:val="en-GB"/>
        </w:rPr>
      </w:pPr>
      <w:r>
        <w:rPr>
          <w:lang w:val="en-US"/>
        </w:rPr>
        <w:t>17.</w:t>
      </w:r>
      <w:r>
        <w:rPr>
          <w:lang w:val="en-US"/>
        </w:rPr>
        <w:tab/>
      </w:r>
      <w:r w:rsidR="005757CC">
        <w:t xml:space="preserve">Spanish arbitrator </w:t>
      </w:r>
      <w:proofErr w:type="spellStart"/>
      <w:r w:rsidR="005757CC">
        <w:t>Fernández-Armesto</w:t>
      </w:r>
      <w:proofErr w:type="spellEnd"/>
      <w:r w:rsidR="005757CC">
        <w:t xml:space="preserve"> notes: “When I wake up at night and think about arbitration, it never ceases to amaze me that sovereign states have agreed to investment arbitration at all … Three private individuals are entrusted with the power to review, without any restriction or appeal procedure, all actions of the government, all decisions of the courts, and all laws and regulations emanating from parliament.”</w:t>
      </w:r>
      <w:r w:rsidR="005757CC">
        <w:rPr>
          <w:rStyle w:val="FootnoteReference"/>
        </w:rPr>
        <w:footnoteReference w:id="2"/>
      </w:r>
      <w:r w:rsidR="005757CC">
        <w:t xml:space="preserve"> Indeed, it is disturbing that arbitrators can disregard basic principles such as respect for the “margin of discretion” of States, State legislation and even the judicial pronouncements of the highest domestic courts. The one-way street of investor protection has not contributed to a culture of investor–State cooperation but fuelled an aggressive tendency to litigate and demonstrably generated a “regulatory chill”. Arbitration may take place in Washington under the auspices of the World Bank’s ICSID, but there is a worrisome degree of forum-shopping, and tribunals may meet before the </w:t>
      </w:r>
      <w:hyperlink r:id="rId10" w:tooltip="London Court of International Arbitration" w:history="1">
        <w:r w:rsidR="005757CC">
          <w:rPr>
            <w:rStyle w:val="Hyperlink"/>
          </w:rPr>
          <w:t>London Court of International Arbitration</w:t>
        </w:r>
      </w:hyperlink>
      <w:r w:rsidR="005757CC">
        <w:t xml:space="preserve">, the </w:t>
      </w:r>
      <w:hyperlink r:id="rId11" w:tooltip="International Chamber of Commerce" w:history="1">
        <w:r w:rsidR="005757CC">
          <w:rPr>
            <w:rStyle w:val="Hyperlink"/>
          </w:rPr>
          <w:t>International Chamber of Commerce</w:t>
        </w:r>
      </w:hyperlink>
      <w:r w:rsidR="005757CC">
        <w:t>, the Stockholm Chamber of Commerce</w:t>
      </w:r>
      <w:r w:rsidR="00DB6674">
        <w:t xml:space="preserve"> or</w:t>
      </w:r>
      <w:r w:rsidR="005757CC">
        <w:t xml:space="preserve"> the </w:t>
      </w:r>
      <w:hyperlink r:id="rId12" w:tooltip="Hong Kong International Arbitration Centre" w:history="1">
        <w:r w:rsidR="005757CC">
          <w:rPr>
            <w:rStyle w:val="Hyperlink"/>
          </w:rPr>
          <w:t>Hong Kong International Arbitration Centre</w:t>
        </w:r>
      </w:hyperlink>
      <w:r w:rsidR="005757CC">
        <w:t>. There is a growing number of arbitrations that privilege profit over human rights.</w:t>
      </w:r>
      <w:r w:rsidR="005757CC">
        <w:rPr>
          <w:rStyle w:val="FootnoteReference"/>
        </w:rPr>
        <w:footnoteReference w:id="3"/>
      </w:r>
      <w:r w:rsidR="005757CC">
        <w:t xml:space="preserve"> According to UNCTAD, many investor–State dispute settlement arbitrations are completely confidential and information is available only regarding some 608 awards.</w:t>
      </w:r>
      <w:r w:rsidR="005757CC">
        <w:rPr>
          <w:rStyle w:val="FootnoteReference"/>
        </w:rPr>
        <w:footnoteReference w:id="4"/>
      </w:r>
      <w:r w:rsidR="005757CC">
        <w:t xml:space="preserve"> The Independent Expert refers to his forthcoming report to </w:t>
      </w:r>
      <w:r w:rsidR="005757CC">
        <w:lastRenderedPageBreak/>
        <w:t>the General Assembly and flags a few cases in order to illustrate litigation practices and their human rights implications.</w:t>
      </w:r>
    </w:p>
    <w:p w:rsidR="005757CC" w:rsidRDefault="00935DBE" w:rsidP="00D967E6">
      <w:pPr>
        <w:pStyle w:val="H23G"/>
        <w:tabs>
          <w:tab w:val="left" w:pos="1560"/>
        </w:tabs>
        <w:spacing w:before="200"/>
        <w:rPr>
          <w:bCs/>
          <w:i/>
          <w:color w:val="000000"/>
        </w:rPr>
      </w:pPr>
      <w:r>
        <w:rPr>
          <w:bCs/>
          <w:color w:val="000000"/>
        </w:rPr>
        <w:tab/>
      </w:r>
      <w:r w:rsidR="00A87A80">
        <w:rPr>
          <w:bCs/>
          <w:color w:val="000000"/>
        </w:rPr>
        <w:tab/>
      </w:r>
      <w:r>
        <w:rPr>
          <w:bCs/>
          <w:color w:val="000000"/>
        </w:rPr>
        <w:t>2.</w:t>
      </w:r>
      <w:r w:rsidR="00A87A80">
        <w:rPr>
          <w:bCs/>
          <w:color w:val="000000"/>
        </w:rPr>
        <w:tab/>
      </w:r>
      <w:r w:rsidR="005757CC" w:rsidRPr="00A87A80">
        <w:rPr>
          <w:bCs/>
          <w:color w:val="000000"/>
        </w:rPr>
        <w:t>Paragraph 26</w:t>
      </w:r>
    </w:p>
    <w:p w:rsidR="00935DBE" w:rsidRPr="00D967E6" w:rsidRDefault="00935DBE" w:rsidP="00D967E6">
      <w:pPr>
        <w:pStyle w:val="SingleTxtG"/>
      </w:pPr>
      <w:r w:rsidRPr="005A3C03">
        <w:t>For</w:t>
      </w:r>
      <w:r>
        <w:t xml:space="preserve"> the existing text </w:t>
      </w:r>
      <w:r>
        <w:rPr>
          <w:rStyle w:val="Emphasis"/>
        </w:rPr>
        <w:t>substitute</w:t>
      </w:r>
    </w:p>
    <w:p w:rsidR="005757CC" w:rsidRDefault="00935DBE" w:rsidP="00D967E6">
      <w:pPr>
        <w:pStyle w:val="SingleTxtG"/>
        <w:tabs>
          <w:tab w:val="left" w:pos="1701"/>
          <w:tab w:val="left" w:pos="5529"/>
        </w:tabs>
        <w:rPr>
          <w:lang w:val="en-GB"/>
        </w:rPr>
      </w:pPr>
      <w:r>
        <w:rPr>
          <w:lang w:val="en-US"/>
        </w:rPr>
        <w:t>26.</w:t>
      </w:r>
      <w:r>
        <w:rPr>
          <w:lang w:val="en-US"/>
        </w:rPr>
        <w:tab/>
      </w:r>
      <w:r w:rsidR="005757CC" w:rsidRPr="00811E80">
        <w:t>In 2009, an Ecuadorian court fined Chevron for environmental damage caused by its activities. Chevron refused to pay and sought damages from Ecuador for lost profits</w:t>
      </w:r>
      <w:r w:rsidR="00DB6674" w:rsidRPr="00811E80">
        <w:t xml:space="preserve"> in the arbitration proceeding </w:t>
      </w:r>
      <w:r w:rsidR="00CA2E39" w:rsidRPr="00811E80">
        <w:t xml:space="preserve">instituted </w:t>
      </w:r>
      <w:r w:rsidR="00DB6674" w:rsidRPr="00811E80">
        <w:t xml:space="preserve">under the </w:t>
      </w:r>
      <w:r w:rsidR="003B20E4" w:rsidRPr="00A01BB7">
        <w:t xml:space="preserve">United Nations Commission on International Trade Law </w:t>
      </w:r>
      <w:r w:rsidR="003B20E4">
        <w:rPr>
          <w:lang w:val="en-US"/>
        </w:rPr>
        <w:t>(</w:t>
      </w:r>
      <w:r w:rsidR="00DB6674" w:rsidRPr="00811E80">
        <w:t>UNCITRAL</w:t>
      </w:r>
      <w:r w:rsidR="003B20E4">
        <w:rPr>
          <w:lang w:val="en-US"/>
        </w:rPr>
        <w:t>)</w:t>
      </w:r>
      <w:r w:rsidR="00DB6674" w:rsidRPr="00811E80">
        <w:t xml:space="preserve"> Arbitration Rules</w:t>
      </w:r>
      <w:r w:rsidR="005757CC" w:rsidRPr="00811E80">
        <w:t>.</w:t>
      </w:r>
      <w:r w:rsidR="004B6862">
        <w:rPr>
          <w:rStyle w:val="FootnoteReference"/>
        </w:rPr>
        <w:footnoteReference w:customMarkFollows="1" w:id="5"/>
        <w:t>44</w:t>
      </w:r>
      <w:r w:rsidR="005757CC" w:rsidRPr="00811E80">
        <w:t xml:space="preserve"> </w:t>
      </w:r>
      <w:r w:rsidR="007E1AAE" w:rsidRPr="00811E80">
        <w:t xml:space="preserve">Arbitration </w:t>
      </w:r>
      <w:r w:rsidR="005757CC" w:rsidRPr="00811E80">
        <w:t xml:space="preserve">is </w:t>
      </w:r>
      <w:r w:rsidR="007E1AAE" w:rsidRPr="00811E80">
        <w:t>ongo</w:t>
      </w:r>
      <w:r w:rsidR="00A87A80">
        <w:t>ing.</w:t>
      </w:r>
    </w:p>
    <w:p w:rsidR="00A87A80" w:rsidRPr="00A87A80" w:rsidRDefault="00A87A80" w:rsidP="00A87A80">
      <w:pPr>
        <w:pStyle w:val="SingleTxtG"/>
        <w:spacing w:before="240" w:after="0"/>
        <w:jc w:val="center"/>
        <w:rPr>
          <w:rFonts w:ascii="Verdana" w:hAnsi="Verdana"/>
          <w:u w:val="single"/>
          <w:lang w:val="en-GB"/>
        </w:rPr>
      </w:pPr>
      <w:r>
        <w:rPr>
          <w:u w:val="single"/>
          <w:lang w:val="en-GB"/>
        </w:rPr>
        <w:tab/>
      </w:r>
      <w:r>
        <w:rPr>
          <w:u w:val="single"/>
          <w:lang w:val="en-GB"/>
        </w:rPr>
        <w:tab/>
      </w:r>
      <w:r>
        <w:rPr>
          <w:u w:val="single"/>
          <w:lang w:val="en-GB"/>
        </w:rPr>
        <w:tab/>
      </w:r>
    </w:p>
    <w:sectPr w:rsidR="00A87A80" w:rsidRPr="00A87A80" w:rsidSect="00827BD4">
      <w:headerReference w:type="even" r:id="rId13"/>
      <w:headerReference w:type="default" r:id="rId14"/>
      <w:footerReference w:type="even" r:id="rId15"/>
      <w:footerReference w:type="default" r:id="rId16"/>
      <w:footnotePr>
        <w:numStart w:val="32"/>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9E" w:rsidRDefault="009D159E"/>
  </w:endnote>
  <w:endnote w:type="continuationSeparator" w:id="0">
    <w:p w:rsidR="009D159E" w:rsidRDefault="009D159E"/>
  </w:endnote>
  <w:endnote w:type="continuationNotice" w:id="1">
    <w:p w:rsidR="009D159E" w:rsidRDefault="009D1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D4" w:rsidRPr="00827BD4" w:rsidRDefault="00827BD4" w:rsidP="00827BD4">
    <w:pPr>
      <w:pStyle w:val="Footer"/>
      <w:tabs>
        <w:tab w:val="right" w:pos="9638"/>
      </w:tabs>
    </w:pPr>
    <w:r w:rsidRPr="00827BD4">
      <w:rPr>
        <w:b/>
        <w:sz w:val="18"/>
      </w:rPr>
      <w:fldChar w:fldCharType="begin"/>
    </w:r>
    <w:r w:rsidRPr="00827BD4">
      <w:rPr>
        <w:b/>
        <w:sz w:val="18"/>
      </w:rPr>
      <w:instrText xml:space="preserve"> PAGE  \* MERGEFORMAT </w:instrText>
    </w:r>
    <w:r w:rsidRPr="00827BD4">
      <w:rPr>
        <w:b/>
        <w:sz w:val="18"/>
      </w:rPr>
      <w:fldChar w:fldCharType="separate"/>
    </w:r>
    <w:r w:rsidR="00D967E6">
      <w:rPr>
        <w:b/>
        <w:noProof/>
        <w:sz w:val="18"/>
      </w:rPr>
      <w:t>2</w:t>
    </w:r>
    <w:r w:rsidRPr="00827B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D4" w:rsidRPr="00827BD4" w:rsidRDefault="00827BD4" w:rsidP="00827BD4">
    <w:pPr>
      <w:pStyle w:val="Footer"/>
      <w:tabs>
        <w:tab w:val="right" w:pos="9638"/>
      </w:tabs>
      <w:rPr>
        <w:b/>
        <w:sz w:val="18"/>
      </w:rPr>
    </w:pPr>
    <w:r>
      <w:tab/>
    </w:r>
    <w:r w:rsidRPr="00827BD4">
      <w:rPr>
        <w:b/>
        <w:sz w:val="18"/>
      </w:rPr>
      <w:fldChar w:fldCharType="begin"/>
    </w:r>
    <w:r w:rsidRPr="00827BD4">
      <w:rPr>
        <w:b/>
        <w:sz w:val="18"/>
      </w:rPr>
      <w:instrText xml:space="preserve"> PAGE  \* MERGEFORMAT </w:instrText>
    </w:r>
    <w:r w:rsidRPr="00827BD4">
      <w:rPr>
        <w:b/>
        <w:sz w:val="18"/>
      </w:rPr>
      <w:fldChar w:fldCharType="separate"/>
    </w:r>
    <w:r w:rsidR="00693433">
      <w:rPr>
        <w:b/>
        <w:noProof/>
        <w:sz w:val="18"/>
      </w:rPr>
      <w:t>3</w:t>
    </w:r>
    <w:r w:rsidRPr="00827BD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9E" w:rsidRPr="000B175B" w:rsidRDefault="009D159E" w:rsidP="000B175B">
      <w:pPr>
        <w:tabs>
          <w:tab w:val="right" w:pos="2155"/>
        </w:tabs>
        <w:spacing w:after="80"/>
        <w:ind w:left="680"/>
        <w:rPr>
          <w:u w:val="single"/>
        </w:rPr>
      </w:pPr>
      <w:r>
        <w:rPr>
          <w:u w:val="single"/>
        </w:rPr>
        <w:tab/>
      </w:r>
    </w:p>
  </w:footnote>
  <w:footnote w:type="continuationSeparator" w:id="0">
    <w:p w:rsidR="009D159E" w:rsidRPr="00FC68B7" w:rsidRDefault="009D159E" w:rsidP="00FC68B7">
      <w:pPr>
        <w:tabs>
          <w:tab w:val="left" w:pos="2155"/>
        </w:tabs>
        <w:spacing w:after="80"/>
        <w:ind w:left="680"/>
        <w:rPr>
          <w:u w:val="single"/>
        </w:rPr>
      </w:pPr>
      <w:r>
        <w:rPr>
          <w:u w:val="single"/>
        </w:rPr>
        <w:tab/>
      </w:r>
    </w:p>
  </w:footnote>
  <w:footnote w:type="continuationNotice" w:id="1">
    <w:p w:rsidR="009D159E" w:rsidRDefault="009D159E"/>
  </w:footnote>
  <w:footnote w:id="2">
    <w:p w:rsidR="005757CC" w:rsidRDefault="005757CC" w:rsidP="005757CC">
      <w:pPr>
        <w:pStyle w:val="FootnoteText"/>
      </w:pPr>
      <w:r>
        <w:tab/>
      </w:r>
      <w:r>
        <w:rPr>
          <w:rStyle w:val="FootnoteReference"/>
        </w:rPr>
        <w:footnoteRef/>
      </w:r>
      <w:r>
        <w:tab/>
        <w:t>www.theguardian.com/commentisfree/2013/nov/04/us-trade-deal-full-frontal-assault-on-democracy.</w:t>
      </w:r>
    </w:p>
  </w:footnote>
  <w:footnote w:id="3">
    <w:p w:rsidR="005757CC" w:rsidRDefault="005757CC" w:rsidP="005757CC">
      <w:pPr>
        <w:pStyle w:val="FootnoteText"/>
      </w:pPr>
      <w:r>
        <w:tab/>
      </w:r>
      <w:r>
        <w:rPr>
          <w:rStyle w:val="FootnoteReference"/>
        </w:rPr>
        <w:footnoteRef/>
      </w:r>
      <w:r>
        <w:tab/>
      </w:r>
      <w:r>
        <w:t>European Center for Constitutional and Human Rights, “Human rights inapplicable in international investment arbitration?”, available from www.ecchr.de/worldbank/articles/human-rights-inapplicable-in-international-investment-arbitration.html.</w:t>
      </w:r>
    </w:p>
  </w:footnote>
  <w:footnote w:id="4">
    <w:p w:rsidR="005757CC" w:rsidRDefault="005757CC" w:rsidP="005757CC">
      <w:pPr>
        <w:pStyle w:val="FootnoteText"/>
      </w:pPr>
      <w:r>
        <w:tab/>
      </w:r>
      <w:r>
        <w:rPr>
          <w:rStyle w:val="FootnoteReference"/>
        </w:rPr>
        <w:footnoteRef/>
      </w:r>
      <w:r>
        <w:tab/>
      </w:r>
      <w:r>
        <w:t xml:space="preserve">UNCTAD, </w:t>
      </w:r>
      <w:r>
        <w:rPr>
          <w:i/>
          <w:iCs/>
        </w:rPr>
        <w:t>IIA Issues Note</w:t>
      </w:r>
      <w:r>
        <w:t xml:space="preserve">, No. 1 (February 2015), available from </w:t>
      </w:r>
      <w:hyperlink r:id="rId1" w:history="1">
        <w:r>
          <w:rPr>
            <w:rStyle w:val="Hyperlink"/>
          </w:rPr>
          <w:t>unctad.org/en/</w:t>
        </w:r>
        <w:proofErr w:type="spellStart"/>
        <w:r>
          <w:rPr>
            <w:rStyle w:val="Hyperlink"/>
          </w:rPr>
          <w:t>PublicationsLibrary</w:t>
        </w:r>
        <w:proofErr w:type="spellEnd"/>
        <w:r>
          <w:rPr>
            <w:rStyle w:val="Hyperlink"/>
          </w:rPr>
          <w:t>/webdiaepcb2015d1_en.pdf</w:t>
        </w:r>
      </w:hyperlink>
      <w:r>
        <w:rPr>
          <w:rStyle w:val="Hyperlink"/>
        </w:rPr>
        <w:t>.</w:t>
      </w:r>
    </w:p>
  </w:footnote>
  <w:footnote w:id="5">
    <w:p w:rsidR="004B6862" w:rsidRPr="00D967E6" w:rsidRDefault="004B6862" w:rsidP="004B6862">
      <w:pPr>
        <w:pStyle w:val="FootnoteText"/>
        <w:rPr>
          <w:lang w:val="en-US"/>
        </w:rPr>
      </w:pPr>
      <w:r>
        <w:rPr>
          <w:lang w:val="en-US"/>
        </w:rPr>
        <w:tab/>
      </w:r>
      <w:r>
        <w:rPr>
          <w:rStyle w:val="FootnoteReference"/>
        </w:rPr>
        <w:t>44</w:t>
      </w:r>
      <w:r>
        <w:rPr>
          <w:lang w:val="en-US"/>
        </w:rPr>
        <w:tab/>
      </w:r>
      <w:hyperlink r:id="rId2" w:history="1">
        <w:r>
          <w:rPr>
            <w:rStyle w:val="Hyperlink"/>
          </w:rPr>
          <w:t>www.italaw.com/cases/257</w:t>
        </w:r>
      </w:hyperlink>
      <w:r>
        <w:rPr>
          <w:rStyle w:val="Hyperlink"/>
        </w:rPr>
        <w:t xml:space="preserve">. </w:t>
      </w:r>
      <w:r>
        <w:t xml:space="preserve">See also </w:t>
      </w:r>
      <w:hyperlink r:id="rId3" w:history="1">
        <w:r>
          <w:rPr>
            <w:rStyle w:val="Hyperlink"/>
          </w:rPr>
          <w:t>truth-out.org/news/item/23788</w:t>
        </w:r>
      </w:hyperlink>
      <w:r>
        <w:rPr>
          <w:rStyle w:val="Hyperlink"/>
        </w:rPr>
        <w:t xml:space="preserve">, </w:t>
      </w:r>
      <w:hyperlink r:id="rId4" w:history="1">
        <w:r>
          <w:rPr>
            <w:rStyle w:val="Hyperlink"/>
          </w:rPr>
          <w:t>fpif.org/nafta-20-model-corporate-rule/</w:t>
        </w:r>
      </w:hyperlink>
      <w:r>
        <w:rPr>
          <w:rStyle w:val="Hyperlink"/>
        </w:rPr>
        <w:t>,</w:t>
      </w:r>
      <w:r>
        <w:t xml:space="preserve"> and content.time.com/time/world/article/0,8599,2053075,00.html.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D4" w:rsidRPr="00827BD4" w:rsidRDefault="005757CC">
    <w:pPr>
      <w:pStyle w:val="Header"/>
    </w:pPr>
    <w:r>
      <w:t>A/HRC/30/44</w:t>
    </w:r>
    <w:r w:rsidR="00827BD4">
      <w:t>/Corr.1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D4" w:rsidRPr="00827BD4" w:rsidRDefault="00827BD4" w:rsidP="00827BD4">
    <w:pPr>
      <w:pStyle w:val="Header"/>
      <w:jc w:val="right"/>
    </w:pPr>
    <w:r>
      <w:t>A/HRC/29/51/Corr.1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A77E2A"/>
    <w:multiLevelType w:val="hybridMultilevel"/>
    <w:tmpl w:val="A14A14C8"/>
    <w:lvl w:ilvl="0" w:tplc="55588422">
      <w:start w:val="5"/>
      <w:numFmt w:val="decimal"/>
      <w:lvlText w:val="%1."/>
      <w:lvlJc w:val="left"/>
      <w:pPr>
        <w:ind w:left="2487" w:hanging="360"/>
      </w:pPr>
      <w:rPr>
        <w:rFonts w:hint="default"/>
        <w:b w:val="0"/>
        <w:i w:val="0"/>
        <w:iCs/>
        <w:lang w:val="en-GB"/>
      </w:rPr>
    </w:lvl>
    <w:lvl w:ilvl="1" w:tplc="6806180E">
      <w:start w:val="1"/>
      <w:numFmt w:val="lowerLetter"/>
      <w:lvlText w:val="(%2)"/>
      <w:lvlJc w:val="left"/>
      <w:pPr>
        <w:ind w:left="3602" w:hanging="396"/>
      </w:pPr>
      <w:rPr>
        <w:rFonts w:hint="default"/>
      </w:r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Start w:val="3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D4"/>
    <w:rsid w:val="00000504"/>
    <w:rsid w:val="00007F7F"/>
    <w:rsid w:val="00022DB5"/>
    <w:rsid w:val="000403D1"/>
    <w:rsid w:val="000449AA"/>
    <w:rsid w:val="000472B6"/>
    <w:rsid w:val="00050F6B"/>
    <w:rsid w:val="000643A2"/>
    <w:rsid w:val="00072C8C"/>
    <w:rsid w:val="00073E70"/>
    <w:rsid w:val="000876EB"/>
    <w:rsid w:val="00091419"/>
    <w:rsid w:val="000931C0"/>
    <w:rsid w:val="00095867"/>
    <w:rsid w:val="000B175B"/>
    <w:rsid w:val="000B3A0F"/>
    <w:rsid w:val="000B4A3B"/>
    <w:rsid w:val="000C3E7D"/>
    <w:rsid w:val="000D1851"/>
    <w:rsid w:val="000E0415"/>
    <w:rsid w:val="000F7717"/>
    <w:rsid w:val="00146D32"/>
    <w:rsid w:val="001509BA"/>
    <w:rsid w:val="00170207"/>
    <w:rsid w:val="00192B1B"/>
    <w:rsid w:val="001B4B04"/>
    <w:rsid w:val="001C6663"/>
    <w:rsid w:val="001C7895"/>
    <w:rsid w:val="001D26DF"/>
    <w:rsid w:val="001E2790"/>
    <w:rsid w:val="00211E0B"/>
    <w:rsid w:val="00211E72"/>
    <w:rsid w:val="00214047"/>
    <w:rsid w:val="0021477B"/>
    <w:rsid w:val="0022130F"/>
    <w:rsid w:val="00237785"/>
    <w:rsid w:val="002410DD"/>
    <w:rsid w:val="00241466"/>
    <w:rsid w:val="00253D58"/>
    <w:rsid w:val="0027725F"/>
    <w:rsid w:val="002B4565"/>
    <w:rsid w:val="002C21F0"/>
    <w:rsid w:val="003107FA"/>
    <w:rsid w:val="003177DF"/>
    <w:rsid w:val="00317977"/>
    <w:rsid w:val="003229D8"/>
    <w:rsid w:val="003314D1"/>
    <w:rsid w:val="00335A2F"/>
    <w:rsid w:val="00341937"/>
    <w:rsid w:val="00382D82"/>
    <w:rsid w:val="0039277A"/>
    <w:rsid w:val="003972E0"/>
    <w:rsid w:val="003975ED"/>
    <w:rsid w:val="003B20E4"/>
    <w:rsid w:val="003C2CC4"/>
    <w:rsid w:val="003D3F29"/>
    <w:rsid w:val="003D4B23"/>
    <w:rsid w:val="004152AF"/>
    <w:rsid w:val="00424C80"/>
    <w:rsid w:val="004325CB"/>
    <w:rsid w:val="0044503A"/>
    <w:rsid w:val="00446DE4"/>
    <w:rsid w:val="00447761"/>
    <w:rsid w:val="00451EC3"/>
    <w:rsid w:val="00454F48"/>
    <w:rsid w:val="004721B1"/>
    <w:rsid w:val="004859EC"/>
    <w:rsid w:val="00493EA8"/>
    <w:rsid w:val="00496A15"/>
    <w:rsid w:val="004B6862"/>
    <w:rsid w:val="004B75D2"/>
    <w:rsid w:val="004D1140"/>
    <w:rsid w:val="004E5C71"/>
    <w:rsid w:val="004F55ED"/>
    <w:rsid w:val="0052176C"/>
    <w:rsid w:val="005261E5"/>
    <w:rsid w:val="005420F2"/>
    <w:rsid w:val="00542574"/>
    <w:rsid w:val="005436AB"/>
    <w:rsid w:val="00546DBF"/>
    <w:rsid w:val="00553D76"/>
    <w:rsid w:val="005552B5"/>
    <w:rsid w:val="0056117B"/>
    <w:rsid w:val="00566C60"/>
    <w:rsid w:val="00571365"/>
    <w:rsid w:val="005757CC"/>
    <w:rsid w:val="0058169E"/>
    <w:rsid w:val="005A3C03"/>
    <w:rsid w:val="005B3DB3"/>
    <w:rsid w:val="005B6E48"/>
    <w:rsid w:val="005E1712"/>
    <w:rsid w:val="0061024D"/>
    <w:rsid w:val="00611FC4"/>
    <w:rsid w:val="006176FB"/>
    <w:rsid w:val="00640B26"/>
    <w:rsid w:val="00670741"/>
    <w:rsid w:val="00693433"/>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D69CD"/>
    <w:rsid w:val="007E1AAE"/>
    <w:rsid w:val="007F6611"/>
    <w:rsid w:val="00805D9A"/>
    <w:rsid w:val="00811E80"/>
    <w:rsid w:val="008155C3"/>
    <w:rsid w:val="00816A71"/>
    <w:rsid w:val="008175E9"/>
    <w:rsid w:val="0082243E"/>
    <w:rsid w:val="008242D7"/>
    <w:rsid w:val="00827BD4"/>
    <w:rsid w:val="00856CD2"/>
    <w:rsid w:val="00861BC6"/>
    <w:rsid w:val="00871FD5"/>
    <w:rsid w:val="008979B1"/>
    <w:rsid w:val="008A6B25"/>
    <w:rsid w:val="008A6C4F"/>
    <w:rsid w:val="008C1E4D"/>
    <w:rsid w:val="008E0E46"/>
    <w:rsid w:val="0090452C"/>
    <w:rsid w:val="00907C3F"/>
    <w:rsid w:val="0092237C"/>
    <w:rsid w:val="00935DBE"/>
    <w:rsid w:val="0093707B"/>
    <w:rsid w:val="009400EB"/>
    <w:rsid w:val="009427E3"/>
    <w:rsid w:val="00956D9B"/>
    <w:rsid w:val="00963CBA"/>
    <w:rsid w:val="009654B7"/>
    <w:rsid w:val="009731E8"/>
    <w:rsid w:val="00991261"/>
    <w:rsid w:val="009A0B83"/>
    <w:rsid w:val="009B3800"/>
    <w:rsid w:val="009C61B4"/>
    <w:rsid w:val="009D159E"/>
    <w:rsid w:val="009D22AC"/>
    <w:rsid w:val="009D50DB"/>
    <w:rsid w:val="009E1C4E"/>
    <w:rsid w:val="009E2D5F"/>
    <w:rsid w:val="009F70F4"/>
    <w:rsid w:val="00A05E0B"/>
    <w:rsid w:val="00A06410"/>
    <w:rsid w:val="00A1427D"/>
    <w:rsid w:val="00A4634F"/>
    <w:rsid w:val="00A51CF3"/>
    <w:rsid w:val="00A63DD9"/>
    <w:rsid w:val="00A72F22"/>
    <w:rsid w:val="00A748A6"/>
    <w:rsid w:val="00A879A4"/>
    <w:rsid w:val="00A87A80"/>
    <w:rsid w:val="00A87E95"/>
    <w:rsid w:val="00A92E29"/>
    <w:rsid w:val="00AA3BC6"/>
    <w:rsid w:val="00AD09E9"/>
    <w:rsid w:val="00AF0576"/>
    <w:rsid w:val="00AF1B39"/>
    <w:rsid w:val="00AF3829"/>
    <w:rsid w:val="00B037F0"/>
    <w:rsid w:val="00B2244B"/>
    <w:rsid w:val="00B2327D"/>
    <w:rsid w:val="00B2718F"/>
    <w:rsid w:val="00B30179"/>
    <w:rsid w:val="00B3317B"/>
    <w:rsid w:val="00B334DC"/>
    <w:rsid w:val="00B3631A"/>
    <w:rsid w:val="00B4643C"/>
    <w:rsid w:val="00B53013"/>
    <w:rsid w:val="00B67F5E"/>
    <w:rsid w:val="00B73E65"/>
    <w:rsid w:val="00B763FD"/>
    <w:rsid w:val="00B81E12"/>
    <w:rsid w:val="00B87110"/>
    <w:rsid w:val="00B97FA8"/>
    <w:rsid w:val="00BC1385"/>
    <w:rsid w:val="00BC43C2"/>
    <w:rsid w:val="00BC74E9"/>
    <w:rsid w:val="00BE618E"/>
    <w:rsid w:val="00C24693"/>
    <w:rsid w:val="00C35F0B"/>
    <w:rsid w:val="00C463DD"/>
    <w:rsid w:val="00C50840"/>
    <w:rsid w:val="00C64458"/>
    <w:rsid w:val="00C745C3"/>
    <w:rsid w:val="00CA2A58"/>
    <w:rsid w:val="00CA2E39"/>
    <w:rsid w:val="00CC0B55"/>
    <w:rsid w:val="00CD6995"/>
    <w:rsid w:val="00CE0982"/>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67E6"/>
    <w:rsid w:val="00D978C6"/>
    <w:rsid w:val="00DA67AD"/>
    <w:rsid w:val="00DB18CE"/>
    <w:rsid w:val="00DB6674"/>
    <w:rsid w:val="00DB6E51"/>
    <w:rsid w:val="00DE3EC0"/>
    <w:rsid w:val="00E11593"/>
    <w:rsid w:val="00E12B6B"/>
    <w:rsid w:val="00E130AB"/>
    <w:rsid w:val="00E438D9"/>
    <w:rsid w:val="00E5644E"/>
    <w:rsid w:val="00E7260F"/>
    <w:rsid w:val="00E806EE"/>
    <w:rsid w:val="00E8108F"/>
    <w:rsid w:val="00E96630"/>
    <w:rsid w:val="00EB0FB9"/>
    <w:rsid w:val="00ED0CA9"/>
    <w:rsid w:val="00ED7A2A"/>
    <w:rsid w:val="00EF1D7F"/>
    <w:rsid w:val="00EF5BDB"/>
    <w:rsid w:val="00F07FD9"/>
    <w:rsid w:val="00F23933"/>
    <w:rsid w:val="00F24119"/>
    <w:rsid w:val="00F2780B"/>
    <w:rsid w:val="00F40E75"/>
    <w:rsid w:val="00F42CD9"/>
    <w:rsid w:val="00F52936"/>
    <w:rsid w:val="00F6341A"/>
    <w:rsid w:val="00F677CB"/>
    <w:rsid w:val="00F72D33"/>
    <w:rsid w:val="00F732EC"/>
    <w:rsid w:val="00FA059A"/>
    <w:rsid w:val="00FA2773"/>
    <w:rsid w:val="00FA7DF3"/>
    <w:rsid w:val="00FC3381"/>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Footnote Text Char Char Char,Footnote Text Char Char Char Char Char Char Char Char,Footnote Text Char Char Ch Char,Footnote Text Char Char Ch Char Char Char Char,Footnote Text Char Char Char Ch,FA Fu,f,nota,pie"/>
    <w:basedOn w:val="Normal"/>
    <w:link w:val="FootnoteTextChar1"/>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0472B6"/>
    <w:rPr>
      <w:lang w:eastAsia="en-US"/>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ink w:val="FootnoteText"/>
    <w:rsid w:val="000472B6"/>
    <w:rPr>
      <w:sz w:val="18"/>
      <w:lang w:eastAsia="en-US"/>
    </w:rPr>
  </w:style>
  <w:style w:type="paragraph" w:styleId="BalloonText">
    <w:name w:val="Balloon Text"/>
    <w:basedOn w:val="Normal"/>
    <w:link w:val="BalloonTextChar"/>
    <w:rsid w:val="00DB6674"/>
    <w:pPr>
      <w:spacing w:line="240" w:lineRule="auto"/>
    </w:pPr>
    <w:rPr>
      <w:rFonts w:ascii="Tahoma" w:hAnsi="Tahoma"/>
      <w:sz w:val="16"/>
      <w:szCs w:val="16"/>
      <w:lang w:val="x-none"/>
    </w:rPr>
  </w:style>
  <w:style w:type="character" w:customStyle="1" w:styleId="BalloonTextChar">
    <w:name w:val="Balloon Text Char"/>
    <w:link w:val="BalloonText"/>
    <w:rsid w:val="00DB6674"/>
    <w:rPr>
      <w:rFonts w:ascii="Tahoma" w:hAnsi="Tahoma" w:cs="Tahoma"/>
      <w:sz w:val="16"/>
      <w:szCs w:val="16"/>
      <w:lang w:eastAsia="en-US"/>
    </w:rPr>
  </w:style>
  <w:style w:type="character" w:styleId="CommentReference">
    <w:name w:val="annotation reference"/>
    <w:rsid w:val="00DB6E51"/>
    <w:rPr>
      <w:sz w:val="16"/>
      <w:szCs w:val="16"/>
    </w:rPr>
  </w:style>
  <w:style w:type="paragraph" w:styleId="CommentText">
    <w:name w:val="annotation text"/>
    <w:basedOn w:val="Normal"/>
    <w:link w:val="CommentTextChar"/>
    <w:rsid w:val="00DB6E51"/>
    <w:rPr>
      <w:lang w:val="x-none"/>
    </w:rPr>
  </w:style>
  <w:style w:type="character" w:customStyle="1" w:styleId="CommentTextChar">
    <w:name w:val="Comment Text Char"/>
    <w:link w:val="CommentText"/>
    <w:rsid w:val="00DB6E51"/>
    <w:rPr>
      <w:lang w:eastAsia="en-US"/>
    </w:rPr>
  </w:style>
  <w:style w:type="paragraph" w:styleId="CommentSubject">
    <w:name w:val="annotation subject"/>
    <w:basedOn w:val="CommentText"/>
    <w:next w:val="CommentText"/>
    <w:link w:val="CommentSubjectChar"/>
    <w:rsid w:val="00DB6E51"/>
    <w:rPr>
      <w:b/>
      <w:bCs/>
    </w:rPr>
  </w:style>
  <w:style w:type="character" w:customStyle="1" w:styleId="CommentSubjectChar">
    <w:name w:val="Comment Subject Char"/>
    <w:link w:val="CommentSubject"/>
    <w:rsid w:val="00DB6E51"/>
    <w:rPr>
      <w:b/>
      <w:bCs/>
      <w:lang w:eastAsia="en-US"/>
    </w:rPr>
  </w:style>
  <w:style w:type="character" w:styleId="Emphasis">
    <w:name w:val="Emphasis"/>
    <w:basedOn w:val="DefaultParagraphFont"/>
    <w:uiPriority w:val="20"/>
    <w:qFormat/>
    <w:rsid w:val="00935D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Footnote Text Char Char Char,Footnote Text Char Char Char Char Char Char Char Char,Footnote Text Char Char Ch Char,Footnote Text Char Char Ch Char Char Char Char,Footnote Text Char Char Char Ch,FA Fu,f,nota,pie"/>
    <w:basedOn w:val="Normal"/>
    <w:link w:val="FootnoteTextChar1"/>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0472B6"/>
    <w:rPr>
      <w:lang w:eastAsia="en-US"/>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ink w:val="FootnoteText"/>
    <w:rsid w:val="000472B6"/>
    <w:rPr>
      <w:sz w:val="18"/>
      <w:lang w:eastAsia="en-US"/>
    </w:rPr>
  </w:style>
  <w:style w:type="paragraph" w:styleId="BalloonText">
    <w:name w:val="Balloon Text"/>
    <w:basedOn w:val="Normal"/>
    <w:link w:val="BalloonTextChar"/>
    <w:rsid w:val="00DB6674"/>
    <w:pPr>
      <w:spacing w:line="240" w:lineRule="auto"/>
    </w:pPr>
    <w:rPr>
      <w:rFonts w:ascii="Tahoma" w:hAnsi="Tahoma"/>
      <w:sz w:val="16"/>
      <w:szCs w:val="16"/>
      <w:lang w:val="x-none"/>
    </w:rPr>
  </w:style>
  <w:style w:type="character" w:customStyle="1" w:styleId="BalloonTextChar">
    <w:name w:val="Balloon Text Char"/>
    <w:link w:val="BalloonText"/>
    <w:rsid w:val="00DB6674"/>
    <w:rPr>
      <w:rFonts w:ascii="Tahoma" w:hAnsi="Tahoma" w:cs="Tahoma"/>
      <w:sz w:val="16"/>
      <w:szCs w:val="16"/>
      <w:lang w:eastAsia="en-US"/>
    </w:rPr>
  </w:style>
  <w:style w:type="character" w:styleId="CommentReference">
    <w:name w:val="annotation reference"/>
    <w:rsid w:val="00DB6E51"/>
    <w:rPr>
      <w:sz w:val="16"/>
      <w:szCs w:val="16"/>
    </w:rPr>
  </w:style>
  <w:style w:type="paragraph" w:styleId="CommentText">
    <w:name w:val="annotation text"/>
    <w:basedOn w:val="Normal"/>
    <w:link w:val="CommentTextChar"/>
    <w:rsid w:val="00DB6E51"/>
    <w:rPr>
      <w:lang w:val="x-none"/>
    </w:rPr>
  </w:style>
  <w:style w:type="character" w:customStyle="1" w:styleId="CommentTextChar">
    <w:name w:val="Comment Text Char"/>
    <w:link w:val="CommentText"/>
    <w:rsid w:val="00DB6E51"/>
    <w:rPr>
      <w:lang w:eastAsia="en-US"/>
    </w:rPr>
  </w:style>
  <w:style w:type="paragraph" w:styleId="CommentSubject">
    <w:name w:val="annotation subject"/>
    <w:basedOn w:val="CommentText"/>
    <w:next w:val="CommentText"/>
    <w:link w:val="CommentSubjectChar"/>
    <w:rsid w:val="00DB6E51"/>
    <w:rPr>
      <w:b/>
      <w:bCs/>
    </w:rPr>
  </w:style>
  <w:style w:type="character" w:customStyle="1" w:styleId="CommentSubjectChar">
    <w:name w:val="Comment Subject Char"/>
    <w:link w:val="CommentSubject"/>
    <w:rsid w:val="00DB6E51"/>
    <w:rPr>
      <w:b/>
      <w:bCs/>
      <w:lang w:eastAsia="en-US"/>
    </w:rPr>
  </w:style>
  <w:style w:type="character" w:styleId="Emphasis">
    <w:name w:val="Emphasis"/>
    <w:basedOn w:val="DefaultParagraphFont"/>
    <w:uiPriority w:val="20"/>
    <w:qFormat/>
    <w:rsid w:val="00935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641">
      <w:bodyDiv w:val="1"/>
      <w:marLeft w:val="0"/>
      <w:marRight w:val="0"/>
      <w:marTop w:val="0"/>
      <w:marBottom w:val="0"/>
      <w:divBdr>
        <w:top w:val="none" w:sz="0" w:space="0" w:color="auto"/>
        <w:left w:val="none" w:sz="0" w:space="0" w:color="auto"/>
        <w:bottom w:val="none" w:sz="0" w:space="0" w:color="auto"/>
        <w:right w:val="none" w:sz="0" w:space="0" w:color="auto"/>
      </w:divBdr>
    </w:div>
    <w:div w:id="3635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en.wikipedia.org/wiki/Hong_Kong_International_Arbitration_Cent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International_Chamber_of_Commer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n.wikipedia.org/wiki/London_Court_of_International_Arbitration"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file:///C:/Users/ISomova/AppData/Local/Temp/AppData/Local/ISomova/AppData/Local/Temp/AppData/Local/Maio/AppData/Local/Temp/notes644D56/truth-out.org/news/item/23788" TargetMode="External"/><Relationship Id="rId2" Type="http://schemas.openxmlformats.org/officeDocument/2006/relationships/hyperlink" Target="file:///C:/Users/ISomova/AppData/Local/Temp/AppData/Local/ISomova/AppData/Local/Temp/AppData/Local/Maio/AppData/Local/Temp/notes644D56/www.italaw.com/cases/257" TargetMode="External"/><Relationship Id="rId1" Type="http://schemas.openxmlformats.org/officeDocument/2006/relationships/hyperlink" Target="http://unctad.org/en/PublicationsLibrary/webdiaepcb2015d1_en.pdf" TargetMode="External"/><Relationship Id="rId4" Type="http://schemas.openxmlformats.org/officeDocument/2006/relationships/hyperlink" Target="file:///C:/Users/ISomova/AppData/Local/Temp/AppData/Local/ISomova/AppData/Local/Temp/AppData/Local/Maio/AppData/Local/Temp/notes644D56/fpif.org/nafta-20-model-corporate-ru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3EE07C-1D2B-44A2-9B3D-51207B1A5BB6}"/>
</file>

<file path=customXml/itemProps2.xml><?xml version="1.0" encoding="utf-8"?>
<ds:datastoreItem xmlns:ds="http://schemas.openxmlformats.org/officeDocument/2006/customXml" ds:itemID="{01E8301D-F3FC-4562-8F68-CDB625D9FBAC}"/>
</file>

<file path=customXml/itemProps3.xml><?xml version="1.0" encoding="utf-8"?>
<ds:datastoreItem xmlns:ds="http://schemas.openxmlformats.org/officeDocument/2006/customXml" ds:itemID="{71D6EB71-83D2-4A72-92F1-3C1136EC606E}"/>
</file>

<file path=customXml/itemProps4.xml><?xml version="1.0" encoding="utf-8"?>
<ds:datastoreItem xmlns:ds="http://schemas.openxmlformats.org/officeDocument/2006/customXml" ds:itemID="{43E6E90D-33B8-46B9-87C8-3D0886DF30C4}"/>
</file>

<file path=docProps/app.xml><?xml version="1.0" encoding="utf-8"?>
<Properties xmlns="http://schemas.openxmlformats.org/officeDocument/2006/extended-properties" xmlns:vt="http://schemas.openxmlformats.org/officeDocument/2006/docPropsVTypes">
  <Template>A_E.dotm</Template>
  <TotalTime>1</TotalTime>
  <Pages>1</Pages>
  <Words>430</Words>
  <Characters>2452</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2877</CharactersWithSpaces>
  <SharedDoc>false</SharedDoc>
  <HLinks>
    <vt:vector size="42" baseType="variant">
      <vt:variant>
        <vt:i4>4522011</vt:i4>
      </vt:variant>
      <vt:variant>
        <vt:i4>6</vt:i4>
      </vt:variant>
      <vt:variant>
        <vt:i4>0</vt:i4>
      </vt:variant>
      <vt:variant>
        <vt:i4>5</vt:i4>
      </vt:variant>
      <vt:variant>
        <vt:lpwstr>http://en.wikipedia.org/wiki/Hong_Kong_International_Arbitration_Centre</vt:lpwstr>
      </vt:variant>
      <vt:variant>
        <vt:lpwstr/>
      </vt:variant>
      <vt:variant>
        <vt:i4>5046308</vt:i4>
      </vt:variant>
      <vt:variant>
        <vt:i4>3</vt:i4>
      </vt:variant>
      <vt:variant>
        <vt:i4>0</vt:i4>
      </vt:variant>
      <vt:variant>
        <vt:i4>5</vt:i4>
      </vt:variant>
      <vt:variant>
        <vt:lpwstr>http://en.wikipedia.org/wiki/International_Chamber_of_Commerce</vt:lpwstr>
      </vt:variant>
      <vt:variant>
        <vt:lpwstr/>
      </vt:variant>
      <vt:variant>
        <vt:i4>8192048</vt:i4>
      </vt:variant>
      <vt:variant>
        <vt:i4>0</vt:i4>
      </vt:variant>
      <vt:variant>
        <vt:i4>0</vt:i4>
      </vt:variant>
      <vt:variant>
        <vt:i4>5</vt:i4>
      </vt:variant>
      <vt:variant>
        <vt:lpwstr>http://en.wikipedia.org/wiki/London_Court_of_International_Arbitration</vt:lpwstr>
      </vt:variant>
      <vt:variant>
        <vt:lpwstr/>
      </vt:variant>
      <vt:variant>
        <vt:i4>5046283</vt:i4>
      </vt:variant>
      <vt:variant>
        <vt:i4>9</vt:i4>
      </vt:variant>
      <vt:variant>
        <vt:i4>0</vt:i4>
      </vt:variant>
      <vt:variant>
        <vt:i4>5</vt:i4>
      </vt:variant>
      <vt:variant>
        <vt:lpwstr>../AppData/Local/ISomova/AppData/Local/Temp/AppData/Local/Maio/AppData/Local/Temp/notes644D56/fpif.org/nafta-20-model-corporate-rule/</vt:lpwstr>
      </vt:variant>
      <vt:variant>
        <vt:lpwstr/>
      </vt:variant>
      <vt:variant>
        <vt:i4>3473454</vt:i4>
      </vt:variant>
      <vt:variant>
        <vt:i4>6</vt:i4>
      </vt:variant>
      <vt:variant>
        <vt:i4>0</vt:i4>
      </vt:variant>
      <vt:variant>
        <vt:i4>5</vt:i4>
      </vt:variant>
      <vt:variant>
        <vt:lpwstr>../AppData/Local/ISomova/AppData/Local/Temp/AppData/Local/Maio/AppData/Local/Temp/notes644D56/truth-out.org/news/item/23788</vt:lpwstr>
      </vt:variant>
      <vt:variant>
        <vt:lpwstr/>
      </vt:variant>
      <vt:variant>
        <vt:i4>7864423</vt:i4>
      </vt:variant>
      <vt:variant>
        <vt:i4>3</vt:i4>
      </vt:variant>
      <vt:variant>
        <vt:i4>0</vt:i4>
      </vt:variant>
      <vt:variant>
        <vt:i4>5</vt:i4>
      </vt:variant>
      <vt:variant>
        <vt:lpwstr>../AppData/Local/ISomova/AppData/Local/Temp/AppData/Local/Maio/AppData/Local/Temp/notes644D56/www.italaw.com/cases/257</vt:lpwstr>
      </vt:variant>
      <vt:variant>
        <vt:lpwstr/>
      </vt:variant>
      <vt:variant>
        <vt:i4>7340040</vt:i4>
      </vt:variant>
      <vt:variant>
        <vt:i4>0</vt:i4>
      </vt:variant>
      <vt:variant>
        <vt:i4>0</vt:i4>
      </vt:variant>
      <vt:variant>
        <vt:i4>5</vt:i4>
      </vt:variant>
      <vt:variant>
        <vt:lpwstr>http://unctad.org/en/PublicationsLibrary/webdiaepcb2015d1_en.pdf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Hassam Tarik Kurdi</dc:creator>
  <cp:lastModifiedBy>Thibaut Guillet</cp:lastModifiedBy>
  <cp:revision>4</cp:revision>
  <cp:lastPrinted>2008-01-29T08:30:00Z</cp:lastPrinted>
  <dcterms:created xsi:type="dcterms:W3CDTF">2015-12-16T17:02:00Z</dcterms:created>
  <dcterms:modified xsi:type="dcterms:W3CDTF">2015-12-16T17:02:00Z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3293500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