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CB" w:rsidRPr="007C6BCB" w:rsidRDefault="007C6BCB" w:rsidP="00EE185B">
      <w:pPr>
        <w:pStyle w:val="Heading1"/>
        <w:shd w:val="clear" w:color="auto" w:fill="DBE5F1" w:themeFill="accent1" w:themeFillTint="33"/>
        <w:spacing w:before="360" w:line="240" w:lineRule="atLeast"/>
        <w:jc w:val="center"/>
        <w:rPr>
          <w:sz w:val="24"/>
          <w:szCs w:val="24"/>
        </w:rPr>
      </w:pPr>
      <w:r w:rsidRPr="007C6BCB">
        <w:rPr>
          <w:sz w:val="24"/>
          <w:szCs w:val="24"/>
        </w:rPr>
        <w:t>Human Rights Council Resolution on the Protection of the human rights of migrants: study on the situation of migrants in transit</w:t>
      </w:r>
    </w:p>
    <w:p w:rsidR="00C80E7B" w:rsidRPr="00C80E7B" w:rsidRDefault="007C6BCB" w:rsidP="00EE185B">
      <w:pPr>
        <w:pStyle w:val="Heading1"/>
        <w:shd w:val="clear" w:color="auto" w:fill="DBE5F1" w:themeFill="accent1" w:themeFillTint="33"/>
        <w:spacing w:before="360" w:line="240" w:lineRule="atLeast"/>
        <w:jc w:val="center"/>
        <w:rPr>
          <w:sz w:val="24"/>
          <w:szCs w:val="24"/>
        </w:rPr>
      </w:pPr>
      <w:r w:rsidRPr="00C80E7B">
        <w:rPr>
          <w:sz w:val="24"/>
          <w:szCs w:val="24"/>
        </w:rPr>
        <w:t>Contribution made by UNODC/HTMSS</w:t>
      </w:r>
    </w:p>
    <w:p w:rsidR="00C80E7B" w:rsidRDefault="00C80E7B" w:rsidP="00EE185B">
      <w:pPr>
        <w:pStyle w:val="Heading1"/>
        <w:shd w:val="clear" w:color="auto" w:fill="DBE5F1" w:themeFill="accent1" w:themeFillTint="33"/>
        <w:spacing w:before="360" w:line="240" w:lineRule="atLeast"/>
        <w:jc w:val="center"/>
        <w:rPr>
          <w:sz w:val="24"/>
          <w:szCs w:val="24"/>
        </w:rPr>
      </w:pPr>
      <w:r w:rsidRPr="00C80E7B">
        <w:rPr>
          <w:sz w:val="24"/>
          <w:szCs w:val="24"/>
        </w:rPr>
        <w:t>November 2015</w:t>
      </w:r>
    </w:p>
    <w:p w:rsidR="0005041F" w:rsidRDefault="0005041F" w:rsidP="00EE185B">
      <w:pPr>
        <w:shd w:val="clear" w:color="auto" w:fill="DBE5F1" w:themeFill="accent1" w:themeFillTint="33"/>
        <w:autoSpaceDE w:val="0"/>
        <w:autoSpaceDN w:val="0"/>
        <w:adjustRightInd w:val="0"/>
        <w:spacing w:after="0" w:line="240" w:lineRule="auto"/>
        <w:jc w:val="both"/>
        <w:rPr>
          <w:rFonts w:ascii="Times New Roman" w:hAnsi="Times New Roman" w:cs="Times New Roman"/>
          <w:sz w:val="20"/>
          <w:szCs w:val="20"/>
        </w:rPr>
      </w:pPr>
    </w:p>
    <w:p w:rsidR="0005041F" w:rsidRDefault="0005041F" w:rsidP="00EC3879">
      <w:pPr>
        <w:autoSpaceDE w:val="0"/>
        <w:autoSpaceDN w:val="0"/>
        <w:adjustRightInd w:val="0"/>
        <w:spacing w:after="0" w:line="240" w:lineRule="auto"/>
        <w:jc w:val="both"/>
        <w:rPr>
          <w:rFonts w:ascii="Times New Roman" w:hAnsi="Times New Roman" w:cs="Times New Roman"/>
          <w:sz w:val="20"/>
          <w:szCs w:val="20"/>
        </w:rPr>
      </w:pPr>
    </w:p>
    <w:p w:rsidR="0005041F" w:rsidRDefault="0005041F" w:rsidP="00EC3879">
      <w:pPr>
        <w:autoSpaceDE w:val="0"/>
        <w:autoSpaceDN w:val="0"/>
        <w:adjustRightInd w:val="0"/>
        <w:spacing w:after="0" w:line="240" w:lineRule="auto"/>
        <w:jc w:val="both"/>
        <w:rPr>
          <w:rFonts w:ascii="Times New Roman" w:hAnsi="Times New Roman" w:cs="Times New Roman"/>
          <w:sz w:val="20"/>
          <w:szCs w:val="20"/>
        </w:rPr>
      </w:pPr>
    </w:p>
    <w:p w:rsidR="00995053" w:rsidRPr="00904315" w:rsidRDefault="00995053" w:rsidP="00EC3879">
      <w:pPr>
        <w:pStyle w:val="Heading2"/>
        <w:jc w:val="both"/>
        <w:rPr>
          <w:sz w:val="22"/>
          <w:szCs w:val="22"/>
        </w:rPr>
      </w:pPr>
      <w:r w:rsidRPr="00904315">
        <w:rPr>
          <w:sz w:val="22"/>
          <w:szCs w:val="22"/>
        </w:rPr>
        <w:t>Introduction</w:t>
      </w:r>
    </w:p>
    <w:p w:rsidR="00995053" w:rsidRDefault="00995053" w:rsidP="00EC3879">
      <w:pPr>
        <w:autoSpaceDE w:val="0"/>
        <w:autoSpaceDN w:val="0"/>
        <w:adjustRightInd w:val="0"/>
        <w:spacing w:after="0" w:line="240" w:lineRule="auto"/>
        <w:jc w:val="both"/>
        <w:rPr>
          <w:rFonts w:ascii="Times New Roman" w:hAnsi="Times New Roman" w:cs="Times New Roman"/>
          <w:sz w:val="20"/>
          <w:szCs w:val="20"/>
        </w:rPr>
      </w:pPr>
    </w:p>
    <w:p w:rsidR="00533023" w:rsidRDefault="005B6364" w:rsidP="00EC387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In the</w:t>
      </w:r>
      <w:r w:rsidR="00AE0FC1">
        <w:rPr>
          <w:rFonts w:ascii="Times New Roman" w:hAnsi="Times New Roman" w:cs="Times New Roman"/>
          <w:sz w:val="20"/>
          <w:szCs w:val="20"/>
        </w:rPr>
        <w:t>ir</w:t>
      </w:r>
      <w:r w:rsidR="00533023">
        <w:rPr>
          <w:rFonts w:ascii="Times New Roman" w:hAnsi="Times New Roman" w:cs="Times New Roman"/>
          <w:sz w:val="20"/>
          <w:szCs w:val="20"/>
        </w:rPr>
        <w:t xml:space="preserve"> </w:t>
      </w:r>
      <w:r w:rsidR="00AE0FC1">
        <w:rPr>
          <w:rFonts w:ascii="Times New Roman" w:hAnsi="Times New Roman" w:cs="Times New Roman"/>
          <w:sz w:val="20"/>
          <w:szCs w:val="20"/>
        </w:rPr>
        <w:t xml:space="preserve">journey towards </w:t>
      </w:r>
      <w:r w:rsidR="00533023">
        <w:rPr>
          <w:rFonts w:ascii="Times New Roman" w:hAnsi="Times New Roman" w:cs="Times New Roman"/>
          <w:sz w:val="20"/>
          <w:szCs w:val="20"/>
        </w:rPr>
        <w:t xml:space="preserve">peace, security and a safe livelihood, </w:t>
      </w:r>
      <w:r>
        <w:rPr>
          <w:rFonts w:ascii="Times New Roman" w:hAnsi="Times New Roman" w:cs="Times New Roman"/>
          <w:sz w:val="20"/>
          <w:szCs w:val="20"/>
        </w:rPr>
        <w:t>many migrants become victims of serious crimes such as trafficking in persons and other</w:t>
      </w:r>
      <w:r w:rsidR="00533023">
        <w:rPr>
          <w:rFonts w:ascii="Times New Roman" w:hAnsi="Times New Roman" w:cs="Times New Roman"/>
          <w:sz w:val="20"/>
          <w:szCs w:val="20"/>
        </w:rPr>
        <w:t xml:space="preserve"> hum</w:t>
      </w:r>
      <w:r>
        <w:rPr>
          <w:rFonts w:ascii="Times New Roman" w:hAnsi="Times New Roman" w:cs="Times New Roman"/>
          <w:sz w:val="20"/>
          <w:szCs w:val="20"/>
        </w:rPr>
        <w:t>an rights violations and abuses</w:t>
      </w:r>
      <w:r w:rsidR="00AE0FC1">
        <w:rPr>
          <w:rFonts w:ascii="Times New Roman" w:hAnsi="Times New Roman" w:cs="Times New Roman"/>
          <w:sz w:val="20"/>
          <w:szCs w:val="20"/>
        </w:rPr>
        <w:t>, including in the transit country</w:t>
      </w:r>
      <w:r w:rsidR="00533023">
        <w:rPr>
          <w:rFonts w:ascii="Times New Roman" w:hAnsi="Times New Roman" w:cs="Times New Roman"/>
          <w:sz w:val="20"/>
          <w:szCs w:val="20"/>
        </w:rPr>
        <w:t xml:space="preserve">. </w:t>
      </w:r>
      <w:r w:rsidR="00AE0FC1">
        <w:rPr>
          <w:rFonts w:ascii="Times New Roman" w:hAnsi="Times New Roman" w:cs="Times New Roman"/>
          <w:sz w:val="20"/>
          <w:szCs w:val="20"/>
        </w:rPr>
        <w:t xml:space="preserve">Data show that these crimes impact disproportionately on migrant children and women. </w:t>
      </w:r>
    </w:p>
    <w:p w:rsidR="00533023" w:rsidRDefault="00533023" w:rsidP="00EC3879">
      <w:pPr>
        <w:autoSpaceDE w:val="0"/>
        <w:autoSpaceDN w:val="0"/>
        <w:adjustRightInd w:val="0"/>
        <w:spacing w:after="0" w:line="240" w:lineRule="auto"/>
        <w:jc w:val="both"/>
        <w:rPr>
          <w:rFonts w:ascii="Times New Roman" w:hAnsi="Times New Roman" w:cs="Times New Roman"/>
          <w:sz w:val="20"/>
          <w:szCs w:val="20"/>
        </w:rPr>
      </w:pPr>
    </w:p>
    <w:p w:rsidR="00EC5043" w:rsidRDefault="00662F40" w:rsidP="00EC3879">
      <w:pPr>
        <w:autoSpaceDE w:val="0"/>
        <w:autoSpaceDN w:val="0"/>
        <w:adjustRightInd w:val="0"/>
        <w:spacing w:after="0" w:line="240" w:lineRule="auto"/>
        <w:jc w:val="both"/>
        <w:rPr>
          <w:rFonts w:ascii="Times New Roman" w:hAnsi="Times New Roman" w:cs="Times New Roman"/>
          <w:sz w:val="20"/>
          <w:szCs w:val="20"/>
        </w:rPr>
      </w:pPr>
      <w:r w:rsidRPr="00662F40">
        <w:rPr>
          <w:rFonts w:ascii="Times New Roman" w:hAnsi="Times New Roman" w:cs="Times New Roman"/>
          <w:sz w:val="20"/>
          <w:szCs w:val="20"/>
        </w:rPr>
        <w:t xml:space="preserve">The United Nations </w:t>
      </w:r>
      <w:r w:rsidR="00606FDF" w:rsidRPr="00606FDF">
        <w:rPr>
          <w:rFonts w:ascii="Times New Roman" w:hAnsi="Times New Roman" w:cs="Times New Roman"/>
          <w:sz w:val="20"/>
          <w:szCs w:val="20"/>
        </w:rPr>
        <w:t>Protocol to Prevent, Suppress and Punish Trafficki</w:t>
      </w:r>
      <w:bookmarkStart w:id="0" w:name="_GoBack"/>
      <w:bookmarkEnd w:id="0"/>
      <w:r w:rsidR="00606FDF" w:rsidRPr="00606FDF">
        <w:rPr>
          <w:rFonts w:ascii="Times New Roman" w:hAnsi="Times New Roman" w:cs="Times New Roman"/>
          <w:sz w:val="20"/>
          <w:szCs w:val="20"/>
        </w:rPr>
        <w:t xml:space="preserve">ng in Persons, Especially Women and Children (hereafter the Trafficking Protocol) </w:t>
      </w:r>
      <w:r w:rsidR="00606FDF">
        <w:rPr>
          <w:rFonts w:ascii="Times New Roman" w:hAnsi="Times New Roman" w:cs="Times New Roman"/>
          <w:sz w:val="20"/>
          <w:szCs w:val="20"/>
        </w:rPr>
        <w:t xml:space="preserve">and </w:t>
      </w:r>
      <w:r>
        <w:rPr>
          <w:rFonts w:ascii="Times New Roman" w:hAnsi="Times New Roman" w:cs="Times New Roman"/>
          <w:sz w:val="20"/>
          <w:szCs w:val="20"/>
        </w:rPr>
        <w:t xml:space="preserve">the </w:t>
      </w:r>
      <w:r w:rsidR="00606FDF">
        <w:rPr>
          <w:rFonts w:ascii="Times New Roman" w:hAnsi="Times New Roman" w:cs="Times New Roman"/>
          <w:sz w:val="20"/>
          <w:szCs w:val="20"/>
        </w:rPr>
        <w:t xml:space="preserve">Protocols </w:t>
      </w:r>
      <w:r w:rsidR="00606FDF" w:rsidRPr="00662F40">
        <w:rPr>
          <w:rFonts w:ascii="Times New Roman" w:hAnsi="Times New Roman" w:cs="Times New Roman"/>
          <w:sz w:val="20"/>
          <w:szCs w:val="20"/>
        </w:rPr>
        <w:t xml:space="preserve">against the Smuggling of Migrants by Land, Sea and Air (hereafter the </w:t>
      </w:r>
      <w:r w:rsidR="00606FDF">
        <w:rPr>
          <w:rFonts w:ascii="Times New Roman" w:hAnsi="Times New Roman" w:cs="Times New Roman"/>
          <w:sz w:val="20"/>
          <w:szCs w:val="20"/>
        </w:rPr>
        <w:t xml:space="preserve">Smuggling of Migrants Protocol), </w:t>
      </w:r>
      <w:r w:rsidR="004A4CAA">
        <w:rPr>
          <w:rFonts w:ascii="Times New Roman" w:hAnsi="Times New Roman" w:cs="Times New Roman"/>
          <w:sz w:val="20"/>
          <w:szCs w:val="20"/>
        </w:rPr>
        <w:t>both supplementing</w:t>
      </w:r>
      <w:r w:rsidRPr="00662F40">
        <w:rPr>
          <w:rFonts w:ascii="Times New Roman" w:hAnsi="Times New Roman" w:cs="Times New Roman"/>
          <w:sz w:val="20"/>
          <w:szCs w:val="20"/>
        </w:rPr>
        <w:t xml:space="preserve"> the U</w:t>
      </w:r>
      <w:r w:rsidR="004A4CAA">
        <w:rPr>
          <w:rFonts w:ascii="Times New Roman" w:hAnsi="Times New Roman" w:cs="Times New Roman"/>
          <w:sz w:val="20"/>
          <w:szCs w:val="20"/>
        </w:rPr>
        <w:t xml:space="preserve">nited </w:t>
      </w:r>
      <w:r w:rsidRPr="00662F40">
        <w:rPr>
          <w:rFonts w:ascii="Times New Roman" w:hAnsi="Times New Roman" w:cs="Times New Roman"/>
          <w:sz w:val="20"/>
          <w:szCs w:val="20"/>
        </w:rPr>
        <w:t>N</w:t>
      </w:r>
      <w:r w:rsidR="004A4CAA">
        <w:rPr>
          <w:rFonts w:ascii="Times New Roman" w:hAnsi="Times New Roman" w:cs="Times New Roman"/>
          <w:sz w:val="20"/>
          <w:szCs w:val="20"/>
        </w:rPr>
        <w:t>ations</w:t>
      </w:r>
      <w:r w:rsidRPr="00662F40">
        <w:rPr>
          <w:rFonts w:ascii="Times New Roman" w:hAnsi="Times New Roman" w:cs="Times New Roman"/>
          <w:sz w:val="20"/>
          <w:szCs w:val="20"/>
        </w:rPr>
        <w:t xml:space="preserve"> Convention against Transnational Organized Crime</w:t>
      </w:r>
      <w:r w:rsidR="00A6670A">
        <w:rPr>
          <w:rFonts w:ascii="Times New Roman" w:hAnsi="Times New Roman" w:cs="Times New Roman"/>
          <w:sz w:val="20"/>
          <w:szCs w:val="20"/>
        </w:rPr>
        <w:t xml:space="preserve">, </w:t>
      </w:r>
      <w:r w:rsidR="009523ED">
        <w:rPr>
          <w:rFonts w:ascii="Times New Roman" w:hAnsi="Times New Roman" w:cs="Times New Roman"/>
          <w:sz w:val="20"/>
          <w:szCs w:val="20"/>
        </w:rPr>
        <w:t xml:space="preserve">contain provisions to protect the human rights </w:t>
      </w:r>
      <w:r w:rsidR="008C0B33" w:rsidRPr="008C0B33">
        <w:rPr>
          <w:rFonts w:ascii="Times New Roman" w:hAnsi="Times New Roman" w:cs="Times New Roman"/>
          <w:sz w:val="20"/>
          <w:szCs w:val="20"/>
        </w:rPr>
        <w:t xml:space="preserve">of </w:t>
      </w:r>
      <w:r w:rsidR="003632F8">
        <w:rPr>
          <w:rFonts w:ascii="Times New Roman" w:hAnsi="Times New Roman" w:cs="Times New Roman"/>
          <w:sz w:val="20"/>
          <w:szCs w:val="20"/>
        </w:rPr>
        <w:t xml:space="preserve">trafficked persons and smuggled migrants </w:t>
      </w:r>
      <w:r w:rsidR="008C0B33" w:rsidRPr="008C0B33">
        <w:rPr>
          <w:rFonts w:ascii="Times New Roman" w:hAnsi="Times New Roman" w:cs="Times New Roman"/>
          <w:sz w:val="20"/>
          <w:szCs w:val="20"/>
        </w:rPr>
        <w:t>within their territories</w:t>
      </w:r>
      <w:r w:rsidR="005373E9">
        <w:rPr>
          <w:rFonts w:ascii="Times New Roman" w:hAnsi="Times New Roman" w:cs="Times New Roman"/>
          <w:sz w:val="20"/>
          <w:szCs w:val="20"/>
        </w:rPr>
        <w:t>, whether this is a country of origin, transit or destination</w:t>
      </w:r>
      <w:r w:rsidR="008C0B33" w:rsidRPr="008C0B33">
        <w:rPr>
          <w:rFonts w:ascii="Times New Roman" w:hAnsi="Times New Roman" w:cs="Times New Roman"/>
          <w:sz w:val="20"/>
          <w:szCs w:val="20"/>
        </w:rPr>
        <w:t xml:space="preserve">. </w:t>
      </w:r>
    </w:p>
    <w:p w:rsidR="00EC5043" w:rsidRDefault="00EC5043" w:rsidP="00EC3879">
      <w:pPr>
        <w:autoSpaceDE w:val="0"/>
        <w:autoSpaceDN w:val="0"/>
        <w:adjustRightInd w:val="0"/>
        <w:spacing w:after="0" w:line="240" w:lineRule="auto"/>
        <w:jc w:val="both"/>
        <w:rPr>
          <w:rFonts w:ascii="Times New Roman" w:hAnsi="Times New Roman" w:cs="Times New Roman"/>
          <w:sz w:val="20"/>
          <w:szCs w:val="20"/>
        </w:rPr>
      </w:pPr>
    </w:p>
    <w:p w:rsidR="009523ED" w:rsidRDefault="009523ED" w:rsidP="00EC387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As victims of a serious crime, trafficked pe</w:t>
      </w:r>
      <w:r w:rsidR="00533023">
        <w:rPr>
          <w:rFonts w:ascii="Times New Roman" w:hAnsi="Times New Roman" w:cs="Times New Roman"/>
          <w:sz w:val="20"/>
          <w:szCs w:val="20"/>
        </w:rPr>
        <w:t>rsons</w:t>
      </w:r>
      <w:r>
        <w:rPr>
          <w:rFonts w:ascii="Times New Roman" w:hAnsi="Times New Roman" w:cs="Times New Roman"/>
          <w:sz w:val="20"/>
          <w:szCs w:val="20"/>
        </w:rPr>
        <w:t xml:space="preserve"> are entitled to</w:t>
      </w:r>
      <w:r w:rsidR="00533023">
        <w:rPr>
          <w:rFonts w:ascii="Times New Roman" w:hAnsi="Times New Roman" w:cs="Times New Roman"/>
          <w:sz w:val="20"/>
          <w:szCs w:val="20"/>
        </w:rPr>
        <w:t xml:space="preserve"> special assistance and protection</w:t>
      </w:r>
      <w:r w:rsidR="00EC5043">
        <w:rPr>
          <w:rFonts w:ascii="Times New Roman" w:hAnsi="Times New Roman" w:cs="Times New Roman"/>
          <w:sz w:val="20"/>
          <w:szCs w:val="20"/>
        </w:rPr>
        <w:t xml:space="preserve"> measures</w:t>
      </w:r>
      <w:r w:rsidR="00533023">
        <w:rPr>
          <w:rFonts w:ascii="Times New Roman" w:hAnsi="Times New Roman" w:cs="Times New Roman"/>
          <w:sz w:val="20"/>
          <w:szCs w:val="20"/>
        </w:rPr>
        <w:t xml:space="preserve">. </w:t>
      </w:r>
      <w:r>
        <w:rPr>
          <w:rFonts w:ascii="Times New Roman" w:hAnsi="Times New Roman" w:cs="Times New Roman"/>
          <w:sz w:val="20"/>
          <w:szCs w:val="20"/>
        </w:rPr>
        <w:t>On th</w:t>
      </w:r>
      <w:r w:rsidR="00020B87">
        <w:rPr>
          <w:rFonts w:ascii="Times New Roman" w:hAnsi="Times New Roman" w:cs="Times New Roman"/>
          <w:sz w:val="20"/>
          <w:szCs w:val="20"/>
        </w:rPr>
        <w:t xml:space="preserve">e other hand, smuggled migrants </w:t>
      </w:r>
      <w:r w:rsidR="00EC5043" w:rsidRPr="00EC5043">
        <w:rPr>
          <w:rFonts w:ascii="Times New Roman" w:hAnsi="Times New Roman" w:cs="Times New Roman"/>
          <w:sz w:val="20"/>
          <w:szCs w:val="20"/>
        </w:rPr>
        <w:t xml:space="preserve">shall not become liable to criminal prosecution for the fact of having been the object of </w:t>
      </w:r>
      <w:r w:rsidR="00EC5043">
        <w:rPr>
          <w:rFonts w:ascii="Times New Roman" w:hAnsi="Times New Roman" w:cs="Times New Roman"/>
          <w:sz w:val="20"/>
          <w:szCs w:val="20"/>
        </w:rPr>
        <w:t xml:space="preserve">the crime of smuggling and their </w:t>
      </w:r>
      <w:r w:rsidR="0093263F">
        <w:rPr>
          <w:rFonts w:ascii="Times New Roman" w:hAnsi="Times New Roman" w:cs="Times New Roman"/>
          <w:sz w:val="20"/>
          <w:szCs w:val="20"/>
        </w:rPr>
        <w:t xml:space="preserve">rights </w:t>
      </w:r>
      <w:r w:rsidR="00EC5043">
        <w:rPr>
          <w:rFonts w:ascii="Times New Roman" w:hAnsi="Times New Roman" w:cs="Times New Roman"/>
          <w:sz w:val="20"/>
          <w:szCs w:val="20"/>
        </w:rPr>
        <w:t xml:space="preserve">shall be protected. </w:t>
      </w:r>
    </w:p>
    <w:p w:rsidR="00606FDF" w:rsidRDefault="00606FDF" w:rsidP="00EC3879">
      <w:pPr>
        <w:autoSpaceDE w:val="0"/>
        <w:autoSpaceDN w:val="0"/>
        <w:adjustRightInd w:val="0"/>
        <w:spacing w:after="0" w:line="240" w:lineRule="auto"/>
        <w:jc w:val="both"/>
        <w:rPr>
          <w:rFonts w:ascii="Times New Roman" w:hAnsi="Times New Roman" w:cs="Times New Roman"/>
          <w:sz w:val="20"/>
          <w:szCs w:val="20"/>
        </w:rPr>
      </w:pPr>
    </w:p>
    <w:p w:rsidR="00F57C91" w:rsidRDefault="00EC5043" w:rsidP="00EC3879">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Following</w:t>
      </w:r>
      <w:r w:rsidR="00020B87">
        <w:rPr>
          <w:rFonts w:ascii="Times New Roman" w:hAnsi="Times New Roman" w:cs="Times New Roman"/>
          <w:sz w:val="20"/>
          <w:szCs w:val="20"/>
        </w:rPr>
        <w:t xml:space="preserve"> in this paper</w:t>
      </w:r>
      <w:r>
        <w:rPr>
          <w:rFonts w:ascii="Times New Roman" w:hAnsi="Times New Roman" w:cs="Times New Roman"/>
          <w:sz w:val="20"/>
          <w:szCs w:val="20"/>
        </w:rPr>
        <w:t xml:space="preserve">, </w:t>
      </w:r>
      <w:r w:rsidR="00020B87">
        <w:rPr>
          <w:rFonts w:ascii="Times New Roman" w:hAnsi="Times New Roman" w:cs="Times New Roman"/>
          <w:sz w:val="20"/>
          <w:szCs w:val="20"/>
        </w:rPr>
        <w:t xml:space="preserve">the relevant </w:t>
      </w:r>
      <w:r>
        <w:rPr>
          <w:rFonts w:ascii="Times New Roman" w:hAnsi="Times New Roman" w:cs="Times New Roman"/>
          <w:sz w:val="20"/>
          <w:szCs w:val="20"/>
        </w:rPr>
        <w:t xml:space="preserve">provisions contained in the Trafficking in Persons </w:t>
      </w:r>
      <w:r w:rsidRPr="005373E9">
        <w:rPr>
          <w:rFonts w:ascii="Times New Roman" w:hAnsi="Times New Roman" w:cs="Times New Roman"/>
          <w:color w:val="000000" w:themeColor="text1"/>
          <w:sz w:val="20"/>
          <w:szCs w:val="20"/>
        </w:rPr>
        <w:t>and Smuggling of Migrants Protocols will be presented.</w:t>
      </w:r>
      <w:r w:rsidR="00F24472" w:rsidRPr="005373E9">
        <w:rPr>
          <w:rFonts w:ascii="Times New Roman" w:hAnsi="Times New Roman" w:cs="Times New Roman"/>
          <w:color w:val="000000" w:themeColor="text1"/>
          <w:sz w:val="20"/>
          <w:szCs w:val="20"/>
        </w:rPr>
        <w:t xml:space="preserve"> </w:t>
      </w:r>
    </w:p>
    <w:p w:rsidR="00F20036" w:rsidRPr="00667325" w:rsidRDefault="00F20036" w:rsidP="00EC3879">
      <w:pPr>
        <w:autoSpaceDE w:val="0"/>
        <w:autoSpaceDN w:val="0"/>
        <w:adjustRightInd w:val="0"/>
        <w:spacing w:after="0" w:line="240" w:lineRule="auto"/>
        <w:jc w:val="both"/>
        <w:rPr>
          <w:rFonts w:ascii="Times New Roman" w:hAnsi="Times New Roman" w:cs="Times New Roman"/>
          <w:color w:val="000000" w:themeColor="text1"/>
          <w:sz w:val="20"/>
          <w:szCs w:val="20"/>
        </w:rPr>
      </w:pPr>
    </w:p>
    <w:p w:rsidR="000E3889" w:rsidRDefault="00E45033" w:rsidP="00EC3879">
      <w:pPr>
        <w:pStyle w:val="Heading2"/>
        <w:jc w:val="both"/>
        <w:rPr>
          <w:sz w:val="22"/>
          <w:szCs w:val="22"/>
        </w:rPr>
      </w:pPr>
      <w:r w:rsidRPr="00904315">
        <w:rPr>
          <w:sz w:val="22"/>
          <w:szCs w:val="22"/>
        </w:rPr>
        <w:t>Trafficking in Persons</w:t>
      </w:r>
    </w:p>
    <w:p w:rsidR="000E3889" w:rsidRPr="000E3889" w:rsidRDefault="000E3889" w:rsidP="00EC3879">
      <w:pPr>
        <w:autoSpaceDE w:val="0"/>
        <w:autoSpaceDN w:val="0"/>
        <w:adjustRightInd w:val="0"/>
        <w:spacing w:after="0" w:line="240" w:lineRule="auto"/>
        <w:jc w:val="both"/>
        <w:rPr>
          <w:rFonts w:ascii="Times New Roman" w:hAnsi="Times New Roman" w:cs="Times New Roman"/>
          <w:sz w:val="20"/>
          <w:szCs w:val="20"/>
        </w:rPr>
      </w:pPr>
    </w:p>
    <w:p w:rsidR="004353D4" w:rsidRDefault="00BE3292" w:rsidP="00EC387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the Trafficking in persons Protocol, as defined in Article 2, </w:t>
      </w:r>
      <w:r w:rsidR="00667325">
        <w:rPr>
          <w:rFonts w:ascii="Times New Roman" w:hAnsi="Times New Roman" w:cs="Times New Roman"/>
          <w:sz w:val="20"/>
          <w:szCs w:val="20"/>
        </w:rPr>
        <w:t>is t</w:t>
      </w:r>
      <w:r w:rsidR="000E3889" w:rsidRPr="000E3889">
        <w:rPr>
          <w:rFonts w:ascii="Times New Roman" w:hAnsi="Times New Roman" w:cs="Times New Roman"/>
          <w:sz w:val="20"/>
          <w:szCs w:val="20"/>
        </w:rPr>
        <w:t>o prevent and combat trafficking in persons, paying particular at</w:t>
      </w:r>
      <w:r w:rsidR="00667325">
        <w:rPr>
          <w:rFonts w:ascii="Times New Roman" w:hAnsi="Times New Roman" w:cs="Times New Roman"/>
          <w:sz w:val="20"/>
          <w:szCs w:val="20"/>
        </w:rPr>
        <w:t xml:space="preserve">tention to women and children; to </w:t>
      </w:r>
      <w:r w:rsidR="000E3889" w:rsidRPr="000E3889">
        <w:rPr>
          <w:rFonts w:ascii="Times New Roman" w:hAnsi="Times New Roman" w:cs="Times New Roman"/>
          <w:sz w:val="20"/>
          <w:szCs w:val="20"/>
        </w:rPr>
        <w:t>protect and assist the victims of such trafficking, with full resp</w:t>
      </w:r>
      <w:r w:rsidR="00667325">
        <w:rPr>
          <w:rFonts w:ascii="Times New Roman" w:hAnsi="Times New Roman" w:cs="Times New Roman"/>
          <w:sz w:val="20"/>
          <w:szCs w:val="20"/>
        </w:rPr>
        <w:t xml:space="preserve">ect for their human rights; and to </w:t>
      </w:r>
      <w:r w:rsidR="000E3889" w:rsidRPr="000E3889">
        <w:rPr>
          <w:rFonts w:ascii="Times New Roman" w:hAnsi="Times New Roman" w:cs="Times New Roman"/>
          <w:sz w:val="20"/>
          <w:szCs w:val="20"/>
        </w:rPr>
        <w:t>promote cooperation among States Parties in order to meet those objectives</w:t>
      </w:r>
      <w:r w:rsidR="00667325">
        <w:rPr>
          <w:rStyle w:val="FootnoteReference"/>
          <w:rFonts w:ascii="Times New Roman" w:hAnsi="Times New Roman" w:cs="Times New Roman"/>
          <w:sz w:val="20"/>
          <w:szCs w:val="20"/>
        </w:rPr>
        <w:footnoteReference w:id="1"/>
      </w:r>
      <w:r w:rsidR="000E3889" w:rsidRPr="000E3889">
        <w:rPr>
          <w:rFonts w:ascii="Times New Roman" w:hAnsi="Times New Roman" w:cs="Times New Roman"/>
          <w:sz w:val="20"/>
          <w:szCs w:val="20"/>
        </w:rPr>
        <w:t>.</w:t>
      </w:r>
      <w:r w:rsidR="00667325">
        <w:rPr>
          <w:rFonts w:ascii="Times New Roman" w:hAnsi="Times New Roman" w:cs="Times New Roman"/>
          <w:sz w:val="20"/>
          <w:szCs w:val="20"/>
        </w:rPr>
        <w:t xml:space="preserve"> </w:t>
      </w:r>
    </w:p>
    <w:p w:rsidR="004353D4" w:rsidRDefault="004353D4" w:rsidP="00EC3879">
      <w:pPr>
        <w:autoSpaceDE w:val="0"/>
        <w:autoSpaceDN w:val="0"/>
        <w:adjustRightInd w:val="0"/>
        <w:spacing w:after="0" w:line="240" w:lineRule="auto"/>
        <w:jc w:val="both"/>
        <w:rPr>
          <w:rFonts w:ascii="Times New Roman" w:hAnsi="Times New Roman" w:cs="Times New Roman"/>
          <w:sz w:val="20"/>
          <w:szCs w:val="20"/>
        </w:rPr>
      </w:pPr>
    </w:p>
    <w:p w:rsidR="00BE4548" w:rsidRDefault="00122557" w:rsidP="00EC387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key pillars of intervention needed to ensure effective and comprehensive anti-trafficking response are: </w:t>
      </w:r>
      <w:r w:rsidRPr="00EC3879">
        <w:rPr>
          <w:rFonts w:ascii="Times New Roman" w:hAnsi="Times New Roman" w:cs="Times New Roman"/>
          <w:b/>
          <w:sz w:val="20"/>
          <w:szCs w:val="20"/>
        </w:rPr>
        <w:t>prosecution, protection, prevention, nation</w:t>
      </w:r>
      <w:r w:rsidR="00EC3879" w:rsidRPr="00EC3879">
        <w:rPr>
          <w:rFonts w:ascii="Times New Roman" w:hAnsi="Times New Roman" w:cs="Times New Roman"/>
          <w:b/>
          <w:sz w:val="20"/>
          <w:szCs w:val="20"/>
        </w:rPr>
        <w:t>al coordination and cooperation</w:t>
      </w:r>
      <w:r w:rsidRPr="00EC3879">
        <w:rPr>
          <w:rFonts w:ascii="Times New Roman" w:hAnsi="Times New Roman" w:cs="Times New Roman"/>
          <w:b/>
          <w:sz w:val="20"/>
          <w:szCs w:val="20"/>
        </w:rPr>
        <w:t>, and international cooperation and coordination</w:t>
      </w:r>
      <w:r w:rsidRPr="00BC507C">
        <w:rPr>
          <w:rStyle w:val="FootnoteReference"/>
          <w:rFonts w:ascii="Times New Roman" w:hAnsi="Times New Roman" w:cs="Times New Roman"/>
          <w:sz w:val="20"/>
          <w:szCs w:val="20"/>
        </w:rPr>
        <w:footnoteReference w:id="2"/>
      </w:r>
      <w:r w:rsidRPr="00BC507C">
        <w:rPr>
          <w:rFonts w:ascii="Times New Roman" w:hAnsi="Times New Roman" w:cs="Times New Roman"/>
          <w:sz w:val="20"/>
          <w:szCs w:val="20"/>
        </w:rPr>
        <w:t>.</w:t>
      </w:r>
      <w:r w:rsidR="004353D4">
        <w:rPr>
          <w:rFonts w:ascii="Times New Roman" w:hAnsi="Times New Roman" w:cs="Times New Roman"/>
          <w:sz w:val="20"/>
          <w:szCs w:val="20"/>
        </w:rPr>
        <w:t xml:space="preserve"> </w:t>
      </w:r>
      <w:r w:rsidR="00BC507C" w:rsidRPr="00BC507C">
        <w:rPr>
          <w:rFonts w:ascii="Times New Roman" w:hAnsi="Times New Roman" w:cs="Times New Roman"/>
          <w:sz w:val="20"/>
          <w:szCs w:val="20"/>
        </w:rPr>
        <w:t xml:space="preserve">For each </w:t>
      </w:r>
      <w:r w:rsidR="00021CED">
        <w:rPr>
          <w:rFonts w:ascii="Times New Roman" w:hAnsi="Times New Roman" w:cs="Times New Roman"/>
          <w:sz w:val="20"/>
          <w:szCs w:val="20"/>
        </w:rPr>
        <w:t>of this pillar</w:t>
      </w:r>
      <w:r w:rsidR="00BC507C">
        <w:rPr>
          <w:rFonts w:ascii="Times New Roman" w:hAnsi="Times New Roman" w:cs="Times New Roman"/>
          <w:sz w:val="20"/>
          <w:szCs w:val="20"/>
        </w:rPr>
        <w:t xml:space="preserve"> there are set of obligations that fall upon States and apply</w:t>
      </w:r>
      <w:r w:rsidR="00754282">
        <w:rPr>
          <w:rFonts w:ascii="Times New Roman" w:hAnsi="Times New Roman" w:cs="Times New Roman"/>
          <w:sz w:val="20"/>
          <w:szCs w:val="20"/>
        </w:rPr>
        <w:t xml:space="preserve"> to all </w:t>
      </w:r>
      <w:r w:rsidR="00021CED">
        <w:rPr>
          <w:rFonts w:ascii="Times New Roman" w:hAnsi="Times New Roman" w:cs="Times New Roman"/>
          <w:sz w:val="20"/>
          <w:szCs w:val="20"/>
        </w:rPr>
        <w:t>victims or potential victims of trafficking within their territory</w:t>
      </w:r>
      <w:r w:rsidR="006A3600">
        <w:rPr>
          <w:rFonts w:ascii="Times New Roman" w:hAnsi="Times New Roman" w:cs="Times New Roman"/>
          <w:sz w:val="20"/>
          <w:szCs w:val="20"/>
        </w:rPr>
        <w:t>, including migrants in transit who are actual or potential victims of trafficking</w:t>
      </w:r>
      <w:r w:rsidR="00021CED">
        <w:rPr>
          <w:rFonts w:ascii="Times New Roman" w:hAnsi="Times New Roman" w:cs="Times New Roman"/>
          <w:sz w:val="20"/>
          <w:szCs w:val="20"/>
        </w:rPr>
        <w:t xml:space="preserve">. </w:t>
      </w:r>
      <w:r w:rsidR="000B744F">
        <w:rPr>
          <w:rFonts w:ascii="Times New Roman" w:hAnsi="Times New Roman" w:cs="Times New Roman"/>
          <w:sz w:val="20"/>
          <w:szCs w:val="20"/>
        </w:rPr>
        <w:t xml:space="preserve">This include: </w:t>
      </w:r>
    </w:p>
    <w:p w:rsidR="004353D4" w:rsidRDefault="004353D4" w:rsidP="00EC3879">
      <w:pPr>
        <w:autoSpaceDE w:val="0"/>
        <w:autoSpaceDN w:val="0"/>
        <w:adjustRightInd w:val="0"/>
        <w:spacing w:after="0" w:line="240" w:lineRule="auto"/>
        <w:jc w:val="both"/>
        <w:rPr>
          <w:rFonts w:ascii="Times New Roman" w:hAnsi="Times New Roman" w:cs="Times New Roman"/>
          <w:sz w:val="20"/>
          <w:szCs w:val="20"/>
        </w:rPr>
      </w:pPr>
    </w:p>
    <w:p w:rsidR="00FD5BD8" w:rsidRDefault="00BE4548" w:rsidP="00EC3879">
      <w:pPr>
        <w:jc w:val="both"/>
        <w:rPr>
          <w:rFonts w:ascii="Times New Roman" w:hAnsi="Times New Roman" w:cs="Times New Roman"/>
          <w:sz w:val="20"/>
          <w:szCs w:val="20"/>
        </w:rPr>
      </w:pPr>
      <w:r>
        <w:rPr>
          <w:rFonts w:ascii="Times New Roman" w:hAnsi="Times New Roman" w:cs="Times New Roman"/>
          <w:sz w:val="20"/>
          <w:szCs w:val="20"/>
        </w:rPr>
        <w:t xml:space="preserve">-  </w:t>
      </w:r>
      <w:r w:rsidR="00ED1A6C">
        <w:rPr>
          <w:rFonts w:ascii="Times New Roman" w:hAnsi="Times New Roman" w:cs="Times New Roman"/>
          <w:sz w:val="20"/>
          <w:szCs w:val="20"/>
        </w:rPr>
        <w:t>to ensure that trafficking in person is criminalised according to the Trafficking in Persons Protocol, including with appropriate sanctions;</w:t>
      </w:r>
      <w:r w:rsidR="00FD5BD8">
        <w:rPr>
          <w:rFonts w:ascii="Times New Roman" w:hAnsi="Times New Roman" w:cs="Times New Roman"/>
          <w:sz w:val="20"/>
          <w:szCs w:val="20"/>
        </w:rPr>
        <w:t xml:space="preserve"> </w:t>
      </w:r>
    </w:p>
    <w:p w:rsidR="000420DD" w:rsidRDefault="00FD5BD8" w:rsidP="00EC3879">
      <w:pPr>
        <w:jc w:val="both"/>
        <w:rPr>
          <w:rFonts w:ascii="Times New Roman" w:hAnsi="Times New Roman" w:cs="Times New Roman"/>
          <w:sz w:val="20"/>
          <w:szCs w:val="20"/>
        </w:rPr>
      </w:pPr>
      <w:r>
        <w:rPr>
          <w:rFonts w:ascii="Times New Roman" w:hAnsi="Times New Roman" w:cs="Times New Roman"/>
          <w:sz w:val="20"/>
          <w:szCs w:val="20"/>
        </w:rPr>
        <w:t xml:space="preserve">- </w:t>
      </w:r>
      <w:r w:rsidR="000420DD">
        <w:rPr>
          <w:rFonts w:ascii="Times New Roman" w:hAnsi="Times New Roman" w:cs="Times New Roman"/>
          <w:sz w:val="20"/>
          <w:szCs w:val="20"/>
        </w:rPr>
        <w:t>to ensure the rights of victims, including the rights of victims and witness to protection before, during and after the prosecution of the crime, as well as effective collaboration between law enforcement and social welfare and civil society</w:t>
      </w:r>
    </w:p>
    <w:p w:rsidR="00FD5BD8" w:rsidRDefault="00FD5BD8" w:rsidP="00EC3879">
      <w:pPr>
        <w:jc w:val="both"/>
        <w:rPr>
          <w:rFonts w:ascii="Times New Roman" w:hAnsi="Times New Roman" w:cs="Times New Roman"/>
          <w:sz w:val="20"/>
          <w:szCs w:val="20"/>
        </w:rPr>
      </w:pPr>
      <w:r>
        <w:rPr>
          <w:rFonts w:ascii="Times New Roman" w:hAnsi="Times New Roman" w:cs="Times New Roman"/>
          <w:sz w:val="20"/>
          <w:szCs w:val="20"/>
        </w:rPr>
        <w:t xml:space="preserve">- </w:t>
      </w:r>
      <w:r w:rsidRPr="00FD5BD8">
        <w:rPr>
          <w:rFonts w:ascii="Times New Roman" w:hAnsi="Times New Roman" w:cs="Times New Roman"/>
          <w:sz w:val="20"/>
          <w:szCs w:val="20"/>
        </w:rPr>
        <w:t xml:space="preserve">implementing measures to provide for the physical, psychological and social recovery of victims of trafficking in persons, including, in appropriate cases, in cooperation with non-governmental organizations, other relevant </w:t>
      </w:r>
      <w:r w:rsidRPr="00FD5BD8">
        <w:rPr>
          <w:rFonts w:ascii="Times New Roman" w:hAnsi="Times New Roman" w:cs="Times New Roman"/>
          <w:sz w:val="20"/>
          <w:szCs w:val="20"/>
        </w:rPr>
        <w:lastRenderedPageBreak/>
        <w:t>organizations and other elements of civil society, in particular,</w:t>
      </w:r>
      <w:r w:rsidR="000420DD">
        <w:rPr>
          <w:rFonts w:ascii="Times New Roman" w:hAnsi="Times New Roman" w:cs="Times New Roman"/>
          <w:sz w:val="20"/>
          <w:szCs w:val="20"/>
        </w:rPr>
        <w:t xml:space="preserve"> the provision of </w:t>
      </w:r>
      <w:r w:rsidRPr="00FD5BD8">
        <w:rPr>
          <w:rFonts w:ascii="Times New Roman" w:hAnsi="Times New Roman" w:cs="Times New Roman"/>
          <w:sz w:val="20"/>
          <w:szCs w:val="20"/>
        </w:rPr>
        <w:t>appropriate housing; counselling and information, in particular as regards their legal rights, in a language that the victims of trafficking in persons can understand; medical, psychological and material assistance; and employment, educational and training opportunities</w:t>
      </w:r>
      <w:r w:rsidRPr="00FD5BD8">
        <w:rPr>
          <w:rStyle w:val="FootnoteReference"/>
          <w:rFonts w:ascii="Times" w:hAnsi="Times"/>
        </w:rPr>
        <w:footnoteReference w:id="3"/>
      </w:r>
      <w:r w:rsidR="000420DD">
        <w:rPr>
          <w:rStyle w:val="FootnoteReference"/>
          <w:rFonts w:ascii="Times" w:hAnsi="Times"/>
        </w:rPr>
        <w:t xml:space="preserve">. </w:t>
      </w:r>
    </w:p>
    <w:p w:rsidR="000420DD" w:rsidRDefault="000420DD" w:rsidP="00EC3879">
      <w:pPr>
        <w:jc w:val="both"/>
        <w:rPr>
          <w:rFonts w:ascii="Times New Roman" w:hAnsi="Times New Roman" w:cs="Times New Roman"/>
          <w:sz w:val="20"/>
          <w:szCs w:val="20"/>
        </w:rPr>
      </w:pPr>
      <w:r>
        <w:rPr>
          <w:rFonts w:ascii="Times New Roman" w:hAnsi="Times New Roman" w:cs="Times New Roman"/>
          <w:sz w:val="20"/>
          <w:szCs w:val="20"/>
        </w:rPr>
        <w:t xml:space="preserve">The </w:t>
      </w:r>
      <w:r w:rsidRPr="00EC3879">
        <w:rPr>
          <w:rFonts w:ascii="Times New Roman" w:hAnsi="Times New Roman" w:cs="Times New Roman"/>
          <w:b/>
          <w:sz w:val="20"/>
          <w:szCs w:val="20"/>
        </w:rPr>
        <w:t>identification</w:t>
      </w:r>
      <w:r>
        <w:rPr>
          <w:rFonts w:ascii="Times New Roman" w:hAnsi="Times New Roman" w:cs="Times New Roman"/>
          <w:sz w:val="20"/>
          <w:szCs w:val="20"/>
        </w:rPr>
        <w:t xml:space="preserve"> of trafficked person is a prerequisite for their access to assistance and protection</w:t>
      </w:r>
      <w:r w:rsidR="001A3857">
        <w:rPr>
          <w:rFonts w:ascii="Times New Roman" w:hAnsi="Times New Roman" w:cs="Times New Roman"/>
          <w:sz w:val="20"/>
          <w:szCs w:val="20"/>
        </w:rPr>
        <w:t xml:space="preserve">. It is therefore crucial for States to establish or improve victim identification processes and the corresponding referral mechanisms. </w:t>
      </w:r>
    </w:p>
    <w:p w:rsidR="000B744F" w:rsidRPr="000B744F" w:rsidRDefault="00BB110B" w:rsidP="00EC3879">
      <w:pPr>
        <w:jc w:val="both"/>
        <w:rPr>
          <w:rFonts w:ascii="Times New Roman" w:hAnsi="Times New Roman" w:cs="Times New Roman"/>
          <w:sz w:val="20"/>
          <w:szCs w:val="20"/>
        </w:rPr>
      </w:pPr>
      <w:r>
        <w:rPr>
          <w:rFonts w:ascii="Times New Roman" w:hAnsi="Times New Roman" w:cs="Times New Roman"/>
          <w:sz w:val="20"/>
          <w:szCs w:val="20"/>
        </w:rPr>
        <w:t xml:space="preserve">Furthermore, </w:t>
      </w:r>
      <w:r w:rsidR="000B744F" w:rsidRPr="000B744F">
        <w:rPr>
          <w:rFonts w:ascii="Times New Roman" w:hAnsi="Times New Roman" w:cs="Times New Roman"/>
          <w:sz w:val="20"/>
          <w:szCs w:val="20"/>
        </w:rPr>
        <w:t xml:space="preserve">State have a </w:t>
      </w:r>
      <w:r w:rsidR="000B744F" w:rsidRPr="00EC3879">
        <w:rPr>
          <w:rFonts w:ascii="Times New Roman" w:hAnsi="Times New Roman" w:cs="Times New Roman"/>
          <w:b/>
          <w:sz w:val="20"/>
          <w:szCs w:val="20"/>
        </w:rPr>
        <w:t>legal obligation to provide remedies to victims of trafficking</w:t>
      </w:r>
      <w:r w:rsidR="000B744F" w:rsidRPr="000B744F">
        <w:rPr>
          <w:rFonts w:ascii="Times New Roman" w:hAnsi="Times New Roman" w:cs="Times New Roman"/>
          <w:sz w:val="20"/>
          <w:szCs w:val="20"/>
        </w:rPr>
        <w:t xml:space="preserve"> in situations where the State is responsible – either directly or indirectly – for their victimization</w:t>
      </w:r>
      <w:r w:rsidR="00CC68BC">
        <w:rPr>
          <w:rFonts w:ascii="Times New Roman" w:hAnsi="Times New Roman" w:cs="Times New Roman"/>
          <w:sz w:val="20"/>
          <w:szCs w:val="20"/>
        </w:rPr>
        <w:t xml:space="preserve">. </w:t>
      </w:r>
      <w:r w:rsidR="000B744F" w:rsidRPr="000B744F">
        <w:rPr>
          <w:rFonts w:ascii="Times New Roman" w:hAnsi="Times New Roman" w:cs="Times New Roman"/>
          <w:sz w:val="20"/>
          <w:szCs w:val="20"/>
        </w:rPr>
        <w:t>Even if the State is not directly involved in the trafficking process, States are bound by due diligence obligations and are required to provide remedies to victims of trafficking if they fail to take reasonable steps to prevent human trafficking, to investigate and prosecute traffickers and to assist and protect victims of trafficking</w:t>
      </w:r>
      <w:r w:rsidR="000B744F" w:rsidRPr="00117DC0">
        <w:rPr>
          <w:rFonts w:ascii="Times" w:hAnsi="Times"/>
        </w:rPr>
        <w:t>.</w:t>
      </w:r>
      <w:r w:rsidR="000B744F" w:rsidRPr="0060171A">
        <w:rPr>
          <w:rStyle w:val="FootnoteReference"/>
          <w:rFonts w:ascii="Times" w:hAnsi="Times"/>
        </w:rPr>
        <w:footnoteReference w:id="4"/>
      </w:r>
      <w:r w:rsidR="000B744F" w:rsidRPr="000B744F">
        <w:rPr>
          <w:rFonts w:ascii="Times New Roman" w:hAnsi="Times New Roman" w:cs="Times New Roman"/>
          <w:sz w:val="20"/>
          <w:szCs w:val="20"/>
        </w:rPr>
        <w:t xml:space="preserve"> </w:t>
      </w:r>
    </w:p>
    <w:p w:rsidR="004353D4" w:rsidRDefault="000B744F" w:rsidP="00EC3879">
      <w:pPr>
        <w:jc w:val="both"/>
        <w:rPr>
          <w:rFonts w:ascii="Times New Roman" w:hAnsi="Times New Roman" w:cs="Times New Roman"/>
          <w:sz w:val="20"/>
          <w:szCs w:val="20"/>
          <w:lang w:val="en-AU"/>
        </w:rPr>
      </w:pPr>
      <w:r w:rsidRPr="000B744F">
        <w:rPr>
          <w:rFonts w:ascii="Times New Roman" w:hAnsi="Times New Roman" w:cs="Times New Roman"/>
          <w:sz w:val="20"/>
          <w:szCs w:val="20"/>
        </w:rPr>
        <w:t xml:space="preserve">Finally, States </w:t>
      </w:r>
      <w:r w:rsidR="006A7EA8">
        <w:rPr>
          <w:rFonts w:ascii="Times New Roman" w:hAnsi="Times New Roman" w:cs="Times New Roman"/>
          <w:sz w:val="20"/>
          <w:szCs w:val="20"/>
        </w:rPr>
        <w:t>have a duty to protect</w:t>
      </w:r>
      <w:r w:rsidRPr="000B744F">
        <w:rPr>
          <w:rFonts w:ascii="Times New Roman" w:hAnsi="Times New Roman" w:cs="Times New Roman"/>
          <w:sz w:val="20"/>
          <w:szCs w:val="20"/>
        </w:rPr>
        <w:t xml:space="preserve"> victim</w:t>
      </w:r>
      <w:r w:rsidR="006A7EA8">
        <w:rPr>
          <w:rFonts w:ascii="Times New Roman" w:hAnsi="Times New Roman" w:cs="Times New Roman"/>
          <w:sz w:val="20"/>
          <w:szCs w:val="20"/>
        </w:rPr>
        <w:t>s</w:t>
      </w:r>
      <w:r w:rsidRPr="000B744F">
        <w:rPr>
          <w:rFonts w:ascii="Times New Roman" w:hAnsi="Times New Roman" w:cs="Times New Roman"/>
          <w:sz w:val="20"/>
          <w:szCs w:val="20"/>
        </w:rPr>
        <w:t xml:space="preserve"> of trafficking from further harm. </w:t>
      </w:r>
      <w:r w:rsidR="006A7EA8">
        <w:rPr>
          <w:rFonts w:ascii="Times New Roman" w:hAnsi="Times New Roman" w:cs="Times New Roman"/>
          <w:sz w:val="20"/>
          <w:szCs w:val="20"/>
        </w:rPr>
        <w:t>This include</w:t>
      </w:r>
      <w:r w:rsidRPr="000B744F">
        <w:rPr>
          <w:rFonts w:ascii="Times New Roman" w:hAnsi="Times New Roman" w:cs="Times New Roman"/>
          <w:sz w:val="20"/>
          <w:szCs w:val="20"/>
        </w:rPr>
        <w:t xml:space="preserve"> </w:t>
      </w:r>
      <w:r w:rsidR="006A7EA8">
        <w:rPr>
          <w:rFonts w:ascii="Times New Roman" w:hAnsi="Times New Roman" w:cs="Times New Roman"/>
          <w:sz w:val="20"/>
          <w:szCs w:val="20"/>
        </w:rPr>
        <w:t>upholding</w:t>
      </w:r>
      <w:r w:rsidRPr="000B744F">
        <w:rPr>
          <w:rFonts w:ascii="Times New Roman" w:hAnsi="Times New Roman" w:cs="Times New Roman"/>
          <w:sz w:val="20"/>
          <w:szCs w:val="20"/>
        </w:rPr>
        <w:t xml:space="preserve"> the</w:t>
      </w:r>
      <w:r w:rsidR="005C31EC">
        <w:rPr>
          <w:rFonts w:ascii="Times New Roman" w:hAnsi="Times New Roman" w:cs="Times New Roman"/>
          <w:sz w:val="20"/>
          <w:szCs w:val="20"/>
        </w:rPr>
        <w:t xml:space="preserve"> principle of </w:t>
      </w:r>
      <w:r w:rsidR="005C31EC" w:rsidRPr="00BB110B">
        <w:rPr>
          <w:rFonts w:ascii="Times New Roman" w:hAnsi="Times New Roman" w:cs="Times New Roman"/>
          <w:i/>
          <w:sz w:val="20"/>
          <w:szCs w:val="20"/>
        </w:rPr>
        <w:t>non-</w:t>
      </w:r>
      <w:proofErr w:type="spellStart"/>
      <w:r w:rsidR="005C31EC" w:rsidRPr="00BB110B">
        <w:rPr>
          <w:rFonts w:ascii="Times New Roman" w:hAnsi="Times New Roman" w:cs="Times New Roman"/>
          <w:i/>
          <w:sz w:val="20"/>
          <w:szCs w:val="20"/>
        </w:rPr>
        <w:t>refoulement</w:t>
      </w:r>
      <w:proofErr w:type="spellEnd"/>
      <w:r w:rsidR="005C31EC">
        <w:rPr>
          <w:rFonts w:ascii="Times New Roman" w:hAnsi="Times New Roman" w:cs="Times New Roman"/>
          <w:sz w:val="20"/>
          <w:szCs w:val="20"/>
        </w:rPr>
        <w:t xml:space="preserve">, </w:t>
      </w:r>
      <w:r w:rsidRPr="000B744F">
        <w:rPr>
          <w:rFonts w:ascii="Times New Roman" w:hAnsi="Times New Roman" w:cs="Times New Roman"/>
          <w:sz w:val="20"/>
          <w:szCs w:val="20"/>
        </w:rPr>
        <w:t>which is an essential element of refugee law and a norm of customary international law, States must ensure that trafficked persons have access to fair and efficient asylum procedures and that they are not returned to States where they are at risk of persecution, torture, or other forms of ill-treatment</w:t>
      </w:r>
      <w:r w:rsidR="006A7EA8">
        <w:rPr>
          <w:rStyle w:val="FootnoteReference"/>
          <w:rFonts w:ascii="Times New Roman" w:hAnsi="Times New Roman" w:cs="Times New Roman"/>
          <w:sz w:val="20"/>
          <w:szCs w:val="20"/>
        </w:rPr>
        <w:footnoteReference w:id="5"/>
      </w:r>
      <w:r w:rsidRPr="000B744F">
        <w:rPr>
          <w:rFonts w:ascii="Times New Roman" w:hAnsi="Times New Roman" w:cs="Times New Roman"/>
          <w:sz w:val="20"/>
          <w:szCs w:val="20"/>
        </w:rPr>
        <w:t>.</w:t>
      </w:r>
      <w:r w:rsidR="004353D4">
        <w:rPr>
          <w:rFonts w:ascii="Times New Roman" w:hAnsi="Times New Roman" w:cs="Times New Roman"/>
          <w:sz w:val="20"/>
          <w:szCs w:val="20"/>
        </w:rPr>
        <w:t xml:space="preserve"> </w:t>
      </w:r>
      <w:r w:rsidR="004353D4" w:rsidRPr="004353D4">
        <w:rPr>
          <w:rFonts w:ascii="Times New Roman" w:hAnsi="Times New Roman" w:cs="Times New Roman"/>
          <w:sz w:val="20"/>
          <w:szCs w:val="20"/>
        </w:rPr>
        <w:t xml:space="preserve">If the decision to return a person who has been trafficked to their country exposes that person to re-victimisation or reprisals from traffickers then this may also violate the principle of </w:t>
      </w:r>
      <w:r w:rsidR="004353D4" w:rsidRPr="004353D4">
        <w:rPr>
          <w:rFonts w:ascii="Times New Roman" w:hAnsi="Times New Roman" w:cs="Times New Roman"/>
          <w:i/>
          <w:sz w:val="20"/>
          <w:szCs w:val="20"/>
        </w:rPr>
        <w:t>non-</w:t>
      </w:r>
      <w:proofErr w:type="spellStart"/>
      <w:r w:rsidR="004353D4" w:rsidRPr="004353D4">
        <w:rPr>
          <w:rFonts w:ascii="Times New Roman" w:hAnsi="Times New Roman" w:cs="Times New Roman"/>
          <w:i/>
          <w:sz w:val="20"/>
          <w:szCs w:val="20"/>
        </w:rPr>
        <w:t>refoulemen</w:t>
      </w:r>
      <w:proofErr w:type="spellEnd"/>
      <w:r w:rsidR="004848FD">
        <w:rPr>
          <w:rStyle w:val="FootnoteReference"/>
          <w:rFonts w:ascii="Times New Roman" w:hAnsi="Times New Roman" w:cs="Times New Roman"/>
          <w:i/>
          <w:sz w:val="20"/>
          <w:szCs w:val="20"/>
        </w:rPr>
        <w:footnoteReference w:id="6"/>
      </w:r>
      <w:r w:rsidR="004353D4" w:rsidRPr="004353D4">
        <w:rPr>
          <w:rFonts w:ascii="Times New Roman" w:hAnsi="Times New Roman" w:cs="Times New Roman"/>
          <w:i/>
          <w:sz w:val="20"/>
          <w:szCs w:val="20"/>
        </w:rPr>
        <w:t>t</w:t>
      </w:r>
      <w:r w:rsidR="004353D4" w:rsidRPr="004353D4">
        <w:rPr>
          <w:rFonts w:ascii="Times New Roman" w:hAnsi="Times New Roman" w:cs="Times New Roman"/>
          <w:sz w:val="20"/>
          <w:szCs w:val="20"/>
        </w:rPr>
        <w:t>.</w:t>
      </w:r>
    </w:p>
    <w:p w:rsidR="00AA5454" w:rsidRPr="00AA5454" w:rsidRDefault="00AA5454" w:rsidP="00EC3879">
      <w:pPr>
        <w:jc w:val="both"/>
        <w:rPr>
          <w:rFonts w:ascii="Times New Roman" w:hAnsi="Times New Roman" w:cs="Times New Roman"/>
          <w:sz w:val="20"/>
          <w:szCs w:val="20"/>
          <w:lang w:val="en-AU"/>
        </w:rPr>
      </w:pPr>
    </w:p>
    <w:p w:rsidR="004353D4" w:rsidRDefault="004353D4" w:rsidP="00EC3879">
      <w:pPr>
        <w:pStyle w:val="Heading2"/>
        <w:jc w:val="both"/>
        <w:rPr>
          <w:sz w:val="22"/>
          <w:szCs w:val="22"/>
        </w:rPr>
      </w:pPr>
      <w:r w:rsidRPr="00122557">
        <w:rPr>
          <w:sz w:val="22"/>
          <w:szCs w:val="22"/>
        </w:rPr>
        <w:t xml:space="preserve">Smuggling of Migrants </w:t>
      </w:r>
    </w:p>
    <w:p w:rsidR="00AF02AC" w:rsidRPr="00BC507C" w:rsidRDefault="00AF02AC" w:rsidP="00EC3879">
      <w:pPr>
        <w:autoSpaceDE w:val="0"/>
        <w:autoSpaceDN w:val="0"/>
        <w:adjustRightInd w:val="0"/>
        <w:spacing w:after="0" w:line="240" w:lineRule="auto"/>
        <w:jc w:val="both"/>
        <w:rPr>
          <w:rFonts w:ascii="Times New Roman" w:hAnsi="Times New Roman" w:cs="Times New Roman"/>
          <w:sz w:val="20"/>
          <w:szCs w:val="20"/>
        </w:rPr>
      </w:pPr>
    </w:p>
    <w:p w:rsidR="00954D7F" w:rsidRDefault="00954D7F" w:rsidP="00EC3879">
      <w:pPr>
        <w:tabs>
          <w:tab w:val="left" w:pos="-1843"/>
        </w:tabs>
        <w:jc w:val="both"/>
        <w:rPr>
          <w:rFonts w:ascii="Times New Roman" w:hAnsi="Times New Roman" w:cs="Times New Roman"/>
          <w:sz w:val="20"/>
          <w:szCs w:val="20"/>
        </w:rPr>
      </w:pPr>
      <w:r>
        <w:rPr>
          <w:rFonts w:ascii="Times New Roman" w:hAnsi="Times New Roman" w:cs="Times New Roman"/>
          <w:sz w:val="20"/>
          <w:szCs w:val="20"/>
        </w:rPr>
        <w:t xml:space="preserve">The purpose of the Smuggling of Migrants </w:t>
      </w:r>
      <w:r w:rsidRPr="00954D7F">
        <w:rPr>
          <w:rFonts w:ascii="Times New Roman" w:hAnsi="Times New Roman" w:cs="Times New Roman"/>
          <w:sz w:val="20"/>
          <w:szCs w:val="20"/>
        </w:rPr>
        <w:t xml:space="preserve">Protocol is to prevent and combat the smuggling of migrants, as well as to promote cooperation among State Parties to that end, while </w:t>
      </w:r>
      <w:r w:rsidRPr="00954D7F">
        <w:rPr>
          <w:rFonts w:ascii="Times New Roman" w:hAnsi="Times New Roman" w:cs="Times New Roman"/>
          <w:b/>
          <w:sz w:val="20"/>
          <w:szCs w:val="20"/>
        </w:rPr>
        <w:t>protecting the rights of smuggled migrants</w:t>
      </w:r>
      <w:r>
        <w:rPr>
          <w:rStyle w:val="FootnoteReference"/>
          <w:rFonts w:ascii="Times New Roman" w:hAnsi="Times New Roman" w:cs="Times New Roman"/>
          <w:sz w:val="20"/>
          <w:szCs w:val="20"/>
        </w:rPr>
        <w:footnoteReference w:id="7"/>
      </w:r>
      <w:r w:rsidRPr="00954D7F">
        <w:rPr>
          <w:rFonts w:ascii="Times New Roman" w:hAnsi="Times New Roman" w:cs="Times New Roman"/>
          <w:sz w:val="20"/>
          <w:szCs w:val="20"/>
        </w:rPr>
        <w:t xml:space="preserve">. </w:t>
      </w:r>
    </w:p>
    <w:p w:rsidR="00954D7F" w:rsidRPr="00954D7F" w:rsidRDefault="00954D7F" w:rsidP="00EC3879">
      <w:pPr>
        <w:tabs>
          <w:tab w:val="left" w:pos="-1843"/>
        </w:tabs>
        <w:jc w:val="both"/>
        <w:rPr>
          <w:rFonts w:ascii="Times New Roman" w:hAnsi="Times New Roman" w:cs="Times New Roman"/>
          <w:sz w:val="20"/>
          <w:szCs w:val="20"/>
        </w:rPr>
      </w:pPr>
      <w:r w:rsidRPr="00954D7F">
        <w:rPr>
          <w:rFonts w:ascii="Times New Roman" w:hAnsi="Times New Roman" w:cs="Times New Roman"/>
          <w:sz w:val="20"/>
          <w:szCs w:val="20"/>
        </w:rPr>
        <w:t xml:space="preserve">The Protocol does not intend to criminalise persons who merely assist others in their </w:t>
      </w:r>
      <w:r w:rsidR="00C945CD">
        <w:rPr>
          <w:rFonts w:ascii="Times New Roman" w:hAnsi="Times New Roman" w:cs="Times New Roman"/>
          <w:sz w:val="20"/>
          <w:szCs w:val="20"/>
        </w:rPr>
        <w:t>search</w:t>
      </w:r>
      <w:r w:rsidRPr="00954D7F">
        <w:rPr>
          <w:rFonts w:ascii="Times New Roman" w:hAnsi="Times New Roman" w:cs="Times New Roman"/>
          <w:sz w:val="20"/>
          <w:szCs w:val="20"/>
        </w:rPr>
        <w:t xml:space="preserve"> to safety and a better life abroad. </w:t>
      </w:r>
      <w:r w:rsidR="00251809">
        <w:rPr>
          <w:rFonts w:ascii="Times New Roman" w:hAnsi="Times New Roman" w:cs="Times New Roman"/>
          <w:sz w:val="20"/>
          <w:szCs w:val="20"/>
        </w:rPr>
        <w:t>The i</w:t>
      </w:r>
      <w:r w:rsidR="00251809" w:rsidRPr="00954D7F">
        <w:rPr>
          <w:rFonts w:ascii="Times New Roman" w:hAnsi="Times New Roman" w:cs="Times New Roman"/>
          <w:sz w:val="20"/>
          <w:szCs w:val="20"/>
        </w:rPr>
        <w:t>nterpretative Notes to the Protocol stress that the intention of the drafters of the Protocol was to include the activities of organised criminal groups acting for profit, but to exclude the activities of those who provided support to migrants for humanitarian reasons or on the basis of close family ties. It was not the intention of the Protocol to criminalise the activities of family members or support groups such as religious or non-governmental organisations.</w:t>
      </w:r>
      <w:r w:rsidR="00251809">
        <w:rPr>
          <w:rFonts w:ascii="Times New Roman" w:hAnsi="Times New Roman" w:cs="Times New Roman"/>
          <w:sz w:val="20"/>
          <w:szCs w:val="20"/>
        </w:rPr>
        <w:t xml:space="preserve"> </w:t>
      </w:r>
      <w:r w:rsidRPr="00954D7F">
        <w:rPr>
          <w:rFonts w:ascii="Times New Roman" w:hAnsi="Times New Roman" w:cs="Times New Roman"/>
          <w:sz w:val="20"/>
          <w:szCs w:val="20"/>
        </w:rPr>
        <w:t xml:space="preserve">It is for this reason, that the Protocol limits the definition of smuggling migrants and the criminalisation requirement under Article 6(1) to instances in which the offender seeks to obtain, directly or indirectly, a </w:t>
      </w:r>
      <w:r w:rsidRPr="00954D7F">
        <w:rPr>
          <w:rFonts w:ascii="Times New Roman" w:hAnsi="Times New Roman" w:cs="Times New Roman"/>
          <w:b/>
          <w:sz w:val="20"/>
          <w:szCs w:val="20"/>
        </w:rPr>
        <w:t>financial or other material benefit</w:t>
      </w:r>
      <w:r w:rsidRPr="00954D7F">
        <w:rPr>
          <w:rFonts w:ascii="Times New Roman" w:hAnsi="Times New Roman" w:cs="Times New Roman"/>
          <w:sz w:val="20"/>
          <w:szCs w:val="20"/>
        </w:rPr>
        <w:t xml:space="preserve">. Any act that facilitates the illegal entry or stay of another that is not done for that purpose does not fall within the scope of the Protocol. </w:t>
      </w:r>
    </w:p>
    <w:p w:rsidR="00B82052" w:rsidRPr="001B0803" w:rsidRDefault="00954D7F" w:rsidP="001B0803">
      <w:pPr>
        <w:tabs>
          <w:tab w:val="left" w:pos="-1843"/>
        </w:tabs>
        <w:jc w:val="both"/>
        <w:rPr>
          <w:rFonts w:ascii="Times New Roman" w:hAnsi="Times New Roman" w:cs="Times New Roman"/>
          <w:sz w:val="20"/>
          <w:szCs w:val="20"/>
        </w:rPr>
      </w:pPr>
      <w:r w:rsidRPr="00954D7F">
        <w:rPr>
          <w:rFonts w:ascii="Times New Roman" w:hAnsi="Times New Roman" w:cs="Times New Roman"/>
          <w:sz w:val="20"/>
          <w:szCs w:val="20"/>
        </w:rPr>
        <w:t xml:space="preserve">Article 5 of the Protocol stipulates the principle of </w:t>
      </w:r>
      <w:r w:rsidRPr="00251809">
        <w:rPr>
          <w:rFonts w:ascii="Times New Roman" w:hAnsi="Times New Roman" w:cs="Times New Roman"/>
          <w:b/>
          <w:sz w:val="20"/>
          <w:szCs w:val="20"/>
        </w:rPr>
        <w:t>non-criminalisation of smuggled migrants</w:t>
      </w:r>
      <w:r w:rsidRPr="00954D7F">
        <w:rPr>
          <w:rFonts w:ascii="Times New Roman" w:hAnsi="Times New Roman" w:cs="Times New Roman"/>
          <w:sz w:val="20"/>
          <w:szCs w:val="20"/>
        </w:rPr>
        <w:t xml:space="preserve">, stating that “migrants shall not become liable to criminal prosecution under this Protocol for the fact of having been the object of conduct set forth in Article 6 of this Protocol”.  </w:t>
      </w:r>
    </w:p>
    <w:p w:rsidR="00B82052" w:rsidRDefault="00B82052" w:rsidP="00EC387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Smuggled migrants who are victims of human rights violation and have right to access remedies, regardless of their immigration status.</w:t>
      </w:r>
    </w:p>
    <w:p w:rsidR="00B82052" w:rsidRDefault="00B82052" w:rsidP="00EC3879">
      <w:pPr>
        <w:spacing w:after="0" w:line="240" w:lineRule="auto"/>
        <w:jc w:val="both"/>
        <w:rPr>
          <w:rFonts w:ascii="Times New Roman" w:eastAsia="SimSun" w:hAnsi="Times New Roman" w:cs="Times New Roman"/>
          <w:sz w:val="20"/>
          <w:szCs w:val="20"/>
          <w:lang w:eastAsia="zh-CN"/>
        </w:rPr>
      </w:pPr>
    </w:p>
    <w:p w:rsidR="00F010D2" w:rsidRPr="00F010D2" w:rsidRDefault="00F010D2" w:rsidP="00EC3879">
      <w:pPr>
        <w:spacing w:after="0" w:line="240" w:lineRule="auto"/>
        <w:jc w:val="both"/>
        <w:rPr>
          <w:rFonts w:ascii="Times New Roman" w:eastAsia="SimSun" w:hAnsi="Times New Roman" w:cs="Times New Roman"/>
          <w:sz w:val="20"/>
          <w:szCs w:val="20"/>
          <w:lang w:eastAsia="zh-CN"/>
        </w:rPr>
      </w:pPr>
      <w:r w:rsidRPr="00F010D2">
        <w:rPr>
          <w:rFonts w:ascii="Times New Roman" w:eastAsia="SimSun" w:hAnsi="Times New Roman" w:cs="Times New Roman"/>
          <w:sz w:val="20"/>
          <w:szCs w:val="20"/>
          <w:lang w:eastAsia="zh-CN"/>
        </w:rPr>
        <w:lastRenderedPageBreak/>
        <w:t xml:space="preserve">In implementing this Protocol, each State Party shall take, consistent with its obligations under international law, all appropriate measures, including legislation if necessary, to </w:t>
      </w:r>
      <w:r w:rsidRPr="00F010D2">
        <w:rPr>
          <w:rFonts w:ascii="Times New Roman" w:eastAsia="SimSun" w:hAnsi="Times New Roman" w:cs="Times New Roman"/>
          <w:b/>
          <w:sz w:val="20"/>
          <w:szCs w:val="20"/>
          <w:lang w:eastAsia="zh-CN"/>
        </w:rPr>
        <w:t>preserve and protect the rights of persons</w:t>
      </w:r>
      <w:r w:rsidRPr="00F010D2">
        <w:rPr>
          <w:rFonts w:ascii="Times New Roman" w:eastAsia="SimSun" w:hAnsi="Times New Roman" w:cs="Times New Roman"/>
          <w:sz w:val="20"/>
          <w:szCs w:val="20"/>
          <w:lang w:eastAsia="zh-CN"/>
        </w:rPr>
        <w:t xml:space="preserve"> who have been the object of conduct set forth in article 6 of this Protocol as accorded under applicable international law, in particular the </w:t>
      </w:r>
      <w:r w:rsidRPr="00F010D2">
        <w:rPr>
          <w:rFonts w:ascii="Times New Roman" w:eastAsia="SimSun" w:hAnsi="Times New Roman" w:cs="Times New Roman"/>
          <w:b/>
          <w:sz w:val="20"/>
          <w:szCs w:val="20"/>
          <w:lang w:eastAsia="zh-CN"/>
        </w:rPr>
        <w:t>right to life</w:t>
      </w:r>
      <w:r w:rsidRPr="00F010D2">
        <w:rPr>
          <w:rFonts w:ascii="Times New Roman" w:eastAsia="SimSun" w:hAnsi="Times New Roman" w:cs="Times New Roman"/>
          <w:sz w:val="20"/>
          <w:szCs w:val="20"/>
          <w:lang w:eastAsia="zh-CN"/>
        </w:rPr>
        <w:t xml:space="preserve"> and the </w:t>
      </w:r>
      <w:r w:rsidRPr="00F010D2">
        <w:rPr>
          <w:rFonts w:ascii="Times New Roman" w:eastAsia="SimSun" w:hAnsi="Times New Roman" w:cs="Times New Roman"/>
          <w:b/>
          <w:sz w:val="20"/>
          <w:szCs w:val="20"/>
          <w:lang w:eastAsia="zh-CN"/>
        </w:rPr>
        <w:t>right not to be subjected to torture or other cruel, inhuman or degrading treatment or punishment</w:t>
      </w:r>
      <w:r w:rsidRPr="00F010D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This</w:t>
      </w:r>
      <w:r w:rsidR="00975521">
        <w:rPr>
          <w:rFonts w:ascii="Times New Roman" w:eastAsia="SimSun" w:hAnsi="Times New Roman" w:cs="Times New Roman"/>
          <w:sz w:val="20"/>
          <w:szCs w:val="20"/>
          <w:lang w:eastAsia="zh-CN"/>
        </w:rPr>
        <w:t xml:space="preserve"> includes upholding the principle of </w:t>
      </w:r>
      <w:r w:rsidR="00975521" w:rsidRPr="00975521">
        <w:rPr>
          <w:rFonts w:ascii="Times New Roman" w:eastAsia="SimSun" w:hAnsi="Times New Roman" w:cs="Times New Roman"/>
          <w:i/>
          <w:sz w:val="20"/>
          <w:szCs w:val="20"/>
          <w:lang w:eastAsia="zh-CN"/>
        </w:rPr>
        <w:t>non-</w:t>
      </w:r>
      <w:proofErr w:type="spellStart"/>
      <w:r w:rsidR="00975521" w:rsidRPr="00975521">
        <w:rPr>
          <w:rFonts w:ascii="Times New Roman" w:eastAsia="SimSun" w:hAnsi="Times New Roman" w:cs="Times New Roman"/>
          <w:i/>
          <w:sz w:val="20"/>
          <w:szCs w:val="20"/>
          <w:lang w:eastAsia="zh-CN"/>
        </w:rPr>
        <w:t>refoulment</w:t>
      </w:r>
      <w:proofErr w:type="spellEnd"/>
      <w:r w:rsidR="006C1BFF">
        <w:rPr>
          <w:rFonts w:ascii="Times New Roman" w:eastAsia="SimSun" w:hAnsi="Times New Roman" w:cs="Times New Roman"/>
          <w:sz w:val="20"/>
          <w:szCs w:val="20"/>
          <w:lang w:eastAsia="zh-CN"/>
        </w:rPr>
        <w:t xml:space="preserve"> which can only be guaranteed by ensuring access to fair and efficient asylum procedures. </w:t>
      </w:r>
    </w:p>
    <w:p w:rsidR="00F010D2" w:rsidRPr="00F010D2" w:rsidRDefault="00F010D2" w:rsidP="00EC3879">
      <w:pPr>
        <w:spacing w:after="0" w:line="240" w:lineRule="auto"/>
        <w:jc w:val="both"/>
        <w:rPr>
          <w:rFonts w:ascii="Times New Roman" w:eastAsia="SimSun" w:hAnsi="Times New Roman" w:cs="Times New Roman"/>
          <w:sz w:val="20"/>
          <w:szCs w:val="20"/>
          <w:lang w:eastAsia="zh-CN"/>
        </w:rPr>
      </w:pPr>
    </w:p>
    <w:p w:rsidR="00F010D2" w:rsidRPr="00F010D2" w:rsidRDefault="00F010D2" w:rsidP="00EC387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States should also</w:t>
      </w:r>
      <w:r w:rsidRPr="00F010D2">
        <w:rPr>
          <w:rFonts w:ascii="Times New Roman" w:eastAsia="SimSun" w:hAnsi="Times New Roman" w:cs="Times New Roman"/>
          <w:sz w:val="20"/>
          <w:szCs w:val="20"/>
          <w:lang w:eastAsia="zh-CN"/>
        </w:rPr>
        <w:t xml:space="preserve"> take appropriate measures to afford migrants </w:t>
      </w:r>
      <w:r w:rsidRPr="00F010D2">
        <w:rPr>
          <w:rFonts w:ascii="Times New Roman" w:eastAsia="SimSun" w:hAnsi="Times New Roman" w:cs="Times New Roman"/>
          <w:b/>
          <w:sz w:val="20"/>
          <w:szCs w:val="20"/>
          <w:lang w:eastAsia="zh-CN"/>
        </w:rPr>
        <w:t>appropriate</w:t>
      </w:r>
      <w:r w:rsidR="005C00C2">
        <w:rPr>
          <w:rFonts w:ascii="Times New Roman" w:eastAsia="SimSun" w:hAnsi="Times New Roman" w:cs="Times New Roman"/>
          <w:b/>
          <w:sz w:val="20"/>
          <w:szCs w:val="20"/>
          <w:lang w:eastAsia="zh-CN"/>
        </w:rPr>
        <w:t xml:space="preserve"> assistance and</w:t>
      </w:r>
      <w:r w:rsidRPr="00F010D2">
        <w:rPr>
          <w:rFonts w:ascii="Times New Roman" w:eastAsia="SimSun" w:hAnsi="Times New Roman" w:cs="Times New Roman"/>
          <w:b/>
          <w:sz w:val="20"/>
          <w:szCs w:val="20"/>
          <w:lang w:eastAsia="zh-CN"/>
        </w:rPr>
        <w:t xml:space="preserve"> protection against violence</w:t>
      </w:r>
      <w:r w:rsidRPr="00F010D2">
        <w:rPr>
          <w:rFonts w:ascii="Times New Roman" w:eastAsia="SimSun" w:hAnsi="Times New Roman" w:cs="Times New Roman"/>
          <w:sz w:val="20"/>
          <w:szCs w:val="20"/>
          <w:lang w:eastAsia="zh-CN"/>
        </w:rPr>
        <w:t xml:space="preserve"> that may be inflicted upon them, whether by individuals or groups, by reason of being the object of </w:t>
      </w:r>
      <w:r w:rsidR="006C1BFF">
        <w:rPr>
          <w:rFonts w:ascii="Times New Roman" w:eastAsia="SimSun" w:hAnsi="Times New Roman" w:cs="Times New Roman"/>
          <w:sz w:val="20"/>
          <w:szCs w:val="20"/>
          <w:lang w:eastAsia="zh-CN"/>
        </w:rPr>
        <w:t xml:space="preserve">the crime of smuggling of migrants. </w:t>
      </w:r>
      <w:r w:rsidR="005C00C2">
        <w:rPr>
          <w:rFonts w:ascii="Times New Roman" w:eastAsia="SimSun" w:hAnsi="Times New Roman" w:cs="Times New Roman"/>
          <w:sz w:val="20"/>
          <w:szCs w:val="20"/>
          <w:lang w:eastAsia="zh-CN"/>
        </w:rPr>
        <w:t xml:space="preserve">This includes special protection of witness in criminal procedures involving organised crime, including taking into </w:t>
      </w:r>
      <w:r w:rsidRPr="00F010D2">
        <w:rPr>
          <w:rFonts w:ascii="Times New Roman" w:eastAsia="SimSun" w:hAnsi="Times New Roman" w:cs="Times New Roman"/>
          <w:sz w:val="20"/>
          <w:szCs w:val="20"/>
          <w:lang w:eastAsia="zh-CN"/>
        </w:rPr>
        <w:t>account the special needs of women and children</w:t>
      </w:r>
      <w:r w:rsidR="005C00C2">
        <w:rPr>
          <w:rFonts w:ascii="Times New Roman" w:eastAsia="SimSun" w:hAnsi="Times New Roman" w:cs="Times New Roman"/>
          <w:sz w:val="20"/>
          <w:szCs w:val="20"/>
          <w:lang w:eastAsia="zh-CN"/>
        </w:rPr>
        <w:t xml:space="preserve">. </w:t>
      </w:r>
    </w:p>
    <w:p w:rsidR="004848FD" w:rsidRPr="00234667" w:rsidRDefault="004848FD" w:rsidP="00EC3879">
      <w:pPr>
        <w:jc w:val="both"/>
        <w:rPr>
          <w:rFonts w:ascii="Times New Roman" w:hAnsi="Times New Roman" w:cs="Times New Roman"/>
          <w:sz w:val="20"/>
          <w:szCs w:val="20"/>
        </w:rPr>
      </w:pPr>
    </w:p>
    <w:p w:rsidR="00234667" w:rsidRDefault="009145AE" w:rsidP="001B0803">
      <w:pPr>
        <w:pStyle w:val="Heading2"/>
        <w:jc w:val="both"/>
        <w:rPr>
          <w:sz w:val="22"/>
          <w:szCs w:val="22"/>
        </w:rPr>
      </w:pPr>
      <w:r w:rsidRPr="00234667">
        <w:rPr>
          <w:sz w:val="22"/>
          <w:szCs w:val="22"/>
        </w:rPr>
        <w:t>Conclusions</w:t>
      </w:r>
    </w:p>
    <w:p w:rsidR="001B0803" w:rsidRPr="001B0803" w:rsidRDefault="001B0803" w:rsidP="001B0803"/>
    <w:p w:rsidR="009145AE" w:rsidRDefault="00234667" w:rsidP="00EC3879">
      <w:pPr>
        <w:jc w:val="both"/>
        <w:rPr>
          <w:rFonts w:ascii="Times New Roman" w:hAnsi="Times New Roman" w:cs="Times New Roman"/>
          <w:sz w:val="20"/>
          <w:szCs w:val="20"/>
        </w:rPr>
      </w:pPr>
      <w:r>
        <w:rPr>
          <w:rFonts w:ascii="Times New Roman" w:hAnsi="Times New Roman" w:cs="Times New Roman"/>
          <w:sz w:val="20"/>
          <w:szCs w:val="20"/>
        </w:rPr>
        <w:t xml:space="preserve">The Trafficking in Persons and Smuggling of Migrants Protocols are criminal justice responses to organised crimes and their scope is </w:t>
      </w:r>
      <w:r w:rsidR="00D30F2C">
        <w:rPr>
          <w:rFonts w:ascii="Times New Roman" w:hAnsi="Times New Roman" w:cs="Times New Roman"/>
          <w:sz w:val="20"/>
          <w:szCs w:val="20"/>
        </w:rPr>
        <w:t xml:space="preserve">to </w:t>
      </w:r>
      <w:r>
        <w:rPr>
          <w:rFonts w:ascii="Times New Roman" w:hAnsi="Times New Roman" w:cs="Times New Roman"/>
          <w:sz w:val="20"/>
          <w:szCs w:val="20"/>
        </w:rPr>
        <w:t xml:space="preserve">prosecute criminals while restoring, to the extent possible, the </w:t>
      </w:r>
      <w:r w:rsidRPr="00EE185B">
        <w:rPr>
          <w:rFonts w:ascii="Times New Roman" w:hAnsi="Times New Roman" w:cs="Times New Roman"/>
          <w:i/>
          <w:sz w:val="20"/>
          <w:szCs w:val="20"/>
        </w:rPr>
        <w:t>status quo ante</w:t>
      </w:r>
      <w:r>
        <w:rPr>
          <w:rFonts w:ascii="Times New Roman" w:hAnsi="Times New Roman" w:cs="Times New Roman"/>
          <w:sz w:val="20"/>
          <w:szCs w:val="20"/>
        </w:rPr>
        <w:t xml:space="preserve"> for the </w:t>
      </w:r>
      <w:r w:rsidR="00D30F2C">
        <w:rPr>
          <w:rFonts w:ascii="Times New Roman" w:hAnsi="Times New Roman" w:cs="Times New Roman"/>
          <w:sz w:val="20"/>
          <w:szCs w:val="20"/>
        </w:rPr>
        <w:t>people object of the crimes. Both instruments contain a “saving clause” reiterating that</w:t>
      </w:r>
      <w:r w:rsidR="00D30F2C" w:rsidRPr="00D30F2C">
        <w:rPr>
          <w:rFonts w:ascii="Times New Roman" w:hAnsi="Times New Roman" w:cs="Times New Roman"/>
          <w:sz w:val="20"/>
          <w:szCs w:val="20"/>
        </w:rPr>
        <w:t xml:space="preserve"> States and individuals </w:t>
      </w:r>
      <w:r w:rsidR="00D30F2C">
        <w:rPr>
          <w:rFonts w:ascii="Times New Roman" w:hAnsi="Times New Roman" w:cs="Times New Roman"/>
          <w:sz w:val="20"/>
          <w:szCs w:val="20"/>
        </w:rPr>
        <w:t xml:space="preserve">are still bound by their rights and obligations </w:t>
      </w:r>
      <w:r w:rsidR="00D30F2C" w:rsidRPr="00D30F2C">
        <w:rPr>
          <w:rFonts w:ascii="Times New Roman" w:hAnsi="Times New Roman" w:cs="Times New Roman"/>
          <w:sz w:val="20"/>
          <w:szCs w:val="20"/>
        </w:rPr>
        <w:t xml:space="preserve">under international law, including international humanitarian law and international human rights law and, in particular, where applicable, the 1951 Convention and the 1967 Protocol relating to the Status of Refugees and the principle of </w:t>
      </w:r>
      <w:r w:rsidR="00D30F2C" w:rsidRPr="00D30F2C">
        <w:rPr>
          <w:rFonts w:ascii="Times New Roman" w:hAnsi="Times New Roman" w:cs="Times New Roman"/>
          <w:i/>
          <w:sz w:val="20"/>
          <w:szCs w:val="20"/>
        </w:rPr>
        <w:t>non-</w:t>
      </w:r>
      <w:proofErr w:type="spellStart"/>
      <w:r w:rsidR="00D30F2C" w:rsidRPr="00D30F2C">
        <w:rPr>
          <w:rFonts w:ascii="Times New Roman" w:hAnsi="Times New Roman" w:cs="Times New Roman"/>
          <w:i/>
          <w:sz w:val="20"/>
          <w:szCs w:val="20"/>
        </w:rPr>
        <w:t>refoulement</w:t>
      </w:r>
      <w:proofErr w:type="spellEnd"/>
      <w:r w:rsidR="00D30F2C">
        <w:rPr>
          <w:rFonts w:ascii="Times New Roman" w:hAnsi="Times New Roman" w:cs="Times New Roman"/>
          <w:sz w:val="20"/>
          <w:szCs w:val="20"/>
        </w:rPr>
        <w:t xml:space="preserve"> as contained therein. </w:t>
      </w:r>
    </w:p>
    <w:p w:rsidR="00837507" w:rsidRDefault="00D30F2C" w:rsidP="00EC3879">
      <w:pPr>
        <w:jc w:val="both"/>
        <w:rPr>
          <w:rFonts w:ascii="Times New Roman" w:hAnsi="Times New Roman" w:cs="Times New Roman"/>
          <w:sz w:val="20"/>
          <w:szCs w:val="20"/>
        </w:rPr>
      </w:pPr>
      <w:r>
        <w:rPr>
          <w:rFonts w:ascii="Times New Roman" w:hAnsi="Times New Roman" w:cs="Times New Roman"/>
          <w:sz w:val="20"/>
          <w:szCs w:val="20"/>
        </w:rPr>
        <w:t>States are bound by International Human Rights Law to respect, protect and fulfil the human rights of people within their territory</w:t>
      </w:r>
      <w:r w:rsidR="00B82052">
        <w:rPr>
          <w:rFonts w:ascii="Times New Roman" w:hAnsi="Times New Roman" w:cs="Times New Roman"/>
          <w:sz w:val="20"/>
          <w:szCs w:val="20"/>
        </w:rPr>
        <w:t xml:space="preserve"> </w:t>
      </w:r>
      <w:r w:rsidR="00B82052" w:rsidRPr="00B82052">
        <w:rPr>
          <w:rFonts w:ascii="Times New Roman" w:hAnsi="Times New Roman" w:cs="Times New Roman"/>
          <w:i/>
          <w:sz w:val="20"/>
          <w:szCs w:val="20"/>
        </w:rPr>
        <w:t>without discrimination</w:t>
      </w:r>
      <w:r>
        <w:rPr>
          <w:rFonts w:ascii="Times New Roman" w:hAnsi="Times New Roman" w:cs="Times New Roman"/>
          <w:sz w:val="20"/>
          <w:szCs w:val="20"/>
        </w:rPr>
        <w:t xml:space="preserve">. </w:t>
      </w:r>
      <w:r w:rsidR="00BF6F6A">
        <w:rPr>
          <w:rFonts w:ascii="Times New Roman" w:hAnsi="Times New Roman" w:cs="Times New Roman"/>
          <w:sz w:val="20"/>
          <w:szCs w:val="20"/>
        </w:rPr>
        <w:t>V</w:t>
      </w:r>
      <w:r w:rsidR="00B82052">
        <w:rPr>
          <w:rFonts w:ascii="Times New Roman" w:hAnsi="Times New Roman" w:cs="Times New Roman"/>
          <w:sz w:val="20"/>
          <w:szCs w:val="20"/>
        </w:rPr>
        <w:t>ictims of tr</w:t>
      </w:r>
      <w:r w:rsidR="00BF6F6A">
        <w:rPr>
          <w:rFonts w:ascii="Times New Roman" w:hAnsi="Times New Roman" w:cs="Times New Roman"/>
          <w:sz w:val="20"/>
          <w:szCs w:val="20"/>
        </w:rPr>
        <w:t xml:space="preserve">afficking and smuggled migrants, especially those who have been strained by a life-risking journey, are often vulnerable to abuses and violence and therefore in </w:t>
      </w:r>
      <w:r w:rsidR="00DD4763">
        <w:rPr>
          <w:rFonts w:ascii="Times New Roman" w:hAnsi="Times New Roman" w:cs="Times New Roman"/>
          <w:sz w:val="20"/>
          <w:szCs w:val="20"/>
        </w:rPr>
        <w:t xml:space="preserve">more urgent </w:t>
      </w:r>
      <w:r w:rsidR="00BF6F6A">
        <w:rPr>
          <w:rFonts w:ascii="Times New Roman" w:hAnsi="Times New Roman" w:cs="Times New Roman"/>
          <w:sz w:val="20"/>
          <w:szCs w:val="20"/>
        </w:rPr>
        <w:t>need of protection and assistance.</w:t>
      </w:r>
      <w:r w:rsidR="00837507">
        <w:rPr>
          <w:rFonts w:ascii="Times New Roman" w:hAnsi="Times New Roman" w:cs="Times New Roman"/>
          <w:sz w:val="20"/>
          <w:szCs w:val="20"/>
        </w:rPr>
        <w:t xml:space="preserve"> </w:t>
      </w:r>
    </w:p>
    <w:p w:rsidR="00DB597B" w:rsidRDefault="000A1932" w:rsidP="00EC3879">
      <w:pPr>
        <w:jc w:val="both"/>
        <w:rPr>
          <w:rFonts w:ascii="Times New Roman" w:hAnsi="Times New Roman" w:cs="Times New Roman"/>
          <w:sz w:val="20"/>
          <w:szCs w:val="20"/>
        </w:rPr>
      </w:pPr>
      <w:r>
        <w:rPr>
          <w:rFonts w:ascii="Times New Roman" w:hAnsi="Times New Roman" w:cs="Times New Roman"/>
          <w:sz w:val="20"/>
          <w:szCs w:val="20"/>
        </w:rPr>
        <w:t>Migrants face different types of</w:t>
      </w:r>
      <w:r w:rsidR="00DB597B">
        <w:rPr>
          <w:rFonts w:ascii="Times New Roman" w:hAnsi="Times New Roman" w:cs="Times New Roman"/>
          <w:sz w:val="20"/>
          <w:szCs w:val="20"/>
        </w:rPr>
        <w:t xml:space="preserve"> violence in countries of transit</w:t>
      </w:r>
      <w:r>
        <w:rPr>
          <w:rFonts w:ascii="Times New Roman" w:hAnsi="Times New Roman" w:cs="Times New Roman"/>
          <w:sz w:val="20"/>
          <w:szCs w:val="20"/>
        </w:rPr>
        <w:t xml:space="preserve">. </w:t>
      </w:r>
      <w:r w:rsidR="00DB597B">
        <w:rPr>
          <w:rFonts w:ascii="Times New Roman" w:hAnsi="Times New Roman" w:cs="Times New Roman"/>
          <w:sz w:val="20"/>
          <w:szCs w:val="20"/>
        </w:rPr>
        <w:t xml:space="preserve"> </w:t>
      </w:r>
      <w:r w:rsidR="00DB597B" w:rsidRPr="00DB597B">
        <w:rPr>
          <w:rFonts w:ascii="Times New Roman" w:hAnsi="Times New Roman" w:cs="Times New Roman"/>
          <w:sz w:val="20"/>
          <w:szCs w:val="20"/>
        </w:rPr>
        <w:t>Migrants in regular or irregular situations, may experience violence in different contexts. Lack of avenues for migrants to undertake safe work makes many vulnerable to exploitative work conditions even including violence in the workplace, which they have little recourse to escape from. Furthermore, where migrants are not effectively integrated into communities, racism, discrimination and intolerance may flourish and manifest in violence against minority groups including migrants and their families. Xenophobia may result in hate crimes perpetrated against marginalized groups</w:t>
      </w:r>
      <w:r>
        <w:rPr>
          <w:rFonts w:ascii="Times New Roman" w:hAnsi="Times New Roman" w:cs="Times New Roman"/>
          <w:sz w:val="20"/>
          <w:szCs w:val="20"/>
        </w:rPr>
        <w:t>.</w:t>
      </w:r>
      <w:r w:rsidR="00DB597B">
        <w:rPr>
          <w:rStyle w:val="FootnoteReference"/>
          <w:rFonts w:ascii="Times New Roman" w:hAnsi="Times New Roman" w:cs="Times New Roman"/>
          <w:sz w:val="20"/>
          <w:szCs w:val="20"/>
        </w:rPr>
        <w:footnoteReference w:id="8"/>
      </w:r>
    </w:p>
    <w:p w:rsidR="00D30F2C" w:rsidRPr="00AC7601" w:rsidRDefault="00010CCB" w:rsidP="00EC3879">
      <w:pPr>
        <w:jc w:val="both"/>
        <w:rPr>
          <w:rFonts w:ascii="Times New Roman" w:hAnsi="Times New Roman" w:cs="Times New Roman"/>
          <w:sz w:val="20"/>
          <w:szCs w:val="20"/>
        </w:rPr>
      </w:pPr>
      <w:r w:rsidRPr="00AC7601">
        <w:rPr>
          <w:rFonts w:ascii="Times New Roman" w:hAnsi="Times New Roman" w:cs="Times New Roman"/>
          <w:sz w:val="20"/>
          <w:szCs w:val="20"/>
        </w:rPr>
        <w:t>A human rights based approach that puts emphasis to protection measures could also enhance the criminal justice response to the crimes</w:t>
      </w:r>
      <w:r w:rsidR="00AC7601" w:rsidRPr="00AC7601">
        <w:rPr>
          <w:rFonts w:ascii="Times New Roman" w:hAnsi="Times New Roman" w:cs="Times New Roman"/>
          <w:sz w:val="20"/>
          <w:szCs w:val="20"/>
        </w:rPr>
        <w:t xml:space="preserve"> </w:t>
      </w:r>
      <w:r w:rsidR="00837507">
        <w:rPr>
          <w:rFonts w:ascii="Times New Roman" w:hAnsi="Times New Roman" w:cs="Times New Roman"/>
          <w:sz w:val="20"/>
          <w:szCs w:val="20"/>
        </w:rPr>
        <w:t xml:space="preserve">of trafficking in persons and smuggling of migrants </w:t>
      </w:r>
      <w:r w:rsidR="00AC7601" w:rsidRPr="00AC7601">
        <w:rPr>
          <w:rFonts w:ascii="Times New Roman" w:hAnsi="Times New Roman" w:cs="Times New Roman"/>
          <w:sz w:val="20"/>
          <w:szCs w:val="20"/>
        </w:rPr>
        <w:t>by</w:t>
      </w:r>
      <w:r w:rsidRPr="00AC7601">
        <w:rPr>
          <w:rFonts w:ascii="Times New Roman" w:hAnsi="Times New Roman" w:cs="Times New Roman"/>
          <w:sz w:val="20"/>
          <w:szCs w:val="20"/>
        </w:rPr>
        <w:t xml:space="preserve"> </w:t>
      </w:r>
      <w:r w:rsidR="00AC7601" w:rsidRPr="00AC7601">
        <w:rPr>
          <w:rFonts w:ascii="Times New Roman" w:hAnsi="Times New Roman" w:cs="Times New Roman"/>
          <w:sz w:val="20"/>
          <w:szCs w:val="20"/>
        </w:rPr>
        <w:t xml:space="preserve">for example, encouraging </w:t>
      </w:r>
      <w:r w:rsidR="00BF6F6A" w:rsidRPr="00AC7601">
        <w:rPr>
          <w:rFonts w:ascii="Times New Roman" w:hAnsi="Times New Roman" w:cs="Times New Roman"/>
          <w:sz w:val="20"/>
          <w:szCs w:val="20"/>
        </w:rPr>
        <w:t xml:space="preserve">co-operation of the </w:t>
      </w:r>
      <w:r w:rsidRPr="00AC7601">
        <w:rPr>
          <w:rFonts w:ascii="Times New Roman" w:hAnsi="Times New Roman" w:cs="Times New Roman"/>
          <w:sz w:val="20"/>
          <w:szCs w:val="20"/>
        </w:rPr>
        <w:t>smuggled migrants with regard to the detection, investigation and prosecution of smugglers.</w:t>
      </w:r>
    </w:p>
    <w:p w:rsidR="009145AE" w:rsidRPr="00234667" w:rsidRDefault="009145AE" w:rsidP="00EC3879">
      <w:pPr>
        <w:jc w:val="both"/>
        <w:rPr>
          <w:rFonts w:ascii="Times New Roman" w:hAnsi="Times New Roman" w:cs="Times New Roman"/>
          <w:sz w:val="20"/>
          <w:szCs w:val="20"/>
        </w:rPr>
      </w:pPr>
    </w:p>
    <w:p w:rsidR="009145AE" w:rsidRDefault="009145AE" w:rsidP="00EC3879">
      <w:pPr>
        <w:jc w:val="both"/>
      </w:pPr>
    </w:p>
    <w:p w:rsidR="004848FD" w:rsidRDefault="004848FD" w:rsidP="00EC3879">
      <w:pPr>
        <w:jc w:val="both"/>
      </w:pPr>
    </w:p>
    <w:p w:rsidR="004848FD" w:rsidRDefault="004848FD" w:rsidP="00EC3879">
      <w:pPr>
        <w:jc w:val="both"/>
      </w:pPr>
    </w:p>
    <w:p w:rsidR="004848FD" w:rsidRDefault="004848FD" w:rsidP="00EC3879">
      <w:pPr>
        <w:jc w:val="both"/>
      </w:pPr>
    </w:p>
    <w:sectPr w:rsidR="004848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AC" w:rsidRDefault="00AF02AC" w:rsidP="00AF02AC">
      <w:pPr>
        <w:spacing w:after="0" w:line="240" w:lineRule="auto"/>
      </w:pPr>
      <w:r>
        <w:separator/>
      </w:r>
    </w:p>
  </w:endnote>
  <w:endnote w:type="continuationSeparator" w:id="0">
    <w:p w:rsidR="00AF02AC" w:rsidRDefault="00AF02AC" w:rsidP="00AF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62557"/>
      <w:docPartObj>
        <w:docPartGallery w:val="Page Numbers (Bottom of Page)"/>
        <w:docPartUnique/>
      </w:docPartObj>
    </w:sdtPr>
    <w:sdtEndPr>
      <w:rPr>
        <w:noProof/>
      </w:rPr>
    </w:sdtEndPr>
    <w:sdtContent>
      <w:p w:rsidR="00AF02AC" w:rsidRDefault="00AF02AC">
        <w:pPr>
          <w:pStyle w:val="Footer"/>
          <w:jc w:val="right"/>
        </w:pPr>
        <w:r>
          <w:fldChar w:fldCharType="begin"/>
        </w:r>
        <w:r>
          <w:instrText xml:space="preserve"> PAGE   \* MERGEFORMAT </w:instrText>
        </w:r>
        <w:r>
          <w:fldChar w:fldCharType="separate"/>
        </w:r>
        <w:r w:rsidR="00EE185B">
          <w:rPr>
            <w:noProof/>
          </w:rPr>
          <w:t>3</w:t>
        </w:r>
        <w:r>
          <w:rPr>
            <w:noProof/>
          </w:rPr>
          <w:fldChar w:fldCharType="end"/>
        </w:r>
      </w:p>
    </w:sdtContent>
  </w:sdt>
  <w:p w:rsidR="00AF02AC" w:rsidRDefault="00AF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AC" w:rsidRDefault="00AF02AC" w:rsidP="00AF02AC">
      <w:pPr>
        <w:spacing w:after="0" w:line="240" w:lineRule="auto"/>
      </w:pPr>
      <w:r>
        <w:separator/>
      </w:r>
    </w:p>
  </w:footnote>
  <w:footnote w:type="continuationSeparator" w:id="0">
    <w:p w:rsidR="00AF02AC" w:rsidRDefault="00AF02AC" w:rsidP="00AF02AC">
      <w:pPr>
        <w:spacing w:after="0" w:line="240" w:lineRule="auto"/>
      </w:pPr>
      <w:r>
        <w:continuationSeparator/>
      </w:r>
    </w:p>
  </w:footnote>
  <w:footnote w:id="1">
    <w:p w:rsidR="00667325" w:rsidRPr="00BC507C" w:rsidRDefault="00667325">
      <w:pPr>
        <w:pStyle w:val="FootnoteText"/>
        <w:rPr>
          <w:rFonts w:ascii="Times New Roman" w:hAnsi="Times New Roman" w:cs="Times New Roman"/>
          <w:sz w:val="16"/>
          <w:szCs w:val="16"/>
        </w:rPr>
      </w:pPr>
      <w:r w:rsidRPr="00667325">
        <w:rPr>
          <w:rStyle w:val="FootnoteReference"/>
          <w:sz w:val="16"/>
          <w:szCs w:val="16"/>
        </w:rPr>
        <w:footnoteRef/>
      </w:r>
      <w:r w:rsidRPr="00667325">
        <w:rPr>
          <w:sz w:val="16"/>
          <w:szCs w:val="16"/>
        </w:rPr>
        <w:t xml:space="preserve"> </w:t>
      </w:r>
      <w:r w:rsidRPr="00667325">
        <w:rPr>
          <w:rFonts w:ascii="Times New Roman" w:hAnsi="Times New Roman" w:cs="Times New Roman"/>
          <w:sz w:val="16"/>
          <w:szCs w:val="16"/>
        </w:rPr>
        <w:t>United Nations Protocol to Prevent, Suppress and Punish Trafficking in Persons, Especially Women and Children (hereafter the Trafficking Protocol), Article 2</w:t>
      </w:r>
    </w:p>
  </w:footnote>
  <w:footnote w:id="2">
    <w:p w:rsidR="00122557" w:rsidRDefault="00122557">
      <w:pPr>
        <w:pStyle w:val="FootnoteText"/>
      </w:pPr>
      <w:r w:rsidRPr="00754282">
        <w:rPr>
          <w:rStyle w:val="FootnoteReference"/>
          <w:sz w:val="16"/>
          <w:szCs w:val="16"/>
        </w:rPr>
        <w:footnoteRef/>
      </w:r>
      <w:r w:rsidRPr="00754282">
        <w:rPr>
          <w:rStyle w:val="FootnoteReference"/>
        </w:rPr>
        <w:t xml:space="preserve"> </w:t>
      </w:r>
      <w:r w:rsidRPr="00BC507C">
        <w:rPr>
          <w:rFonts w:ascii="Times New Roman" w:hAnsi="Times New Roman" w:cs="Times New Roman"/>
          <w:sz w:val="16"/>
          <w:szCs w:val="16"/>
        </w:rPr>
        <w:t>UNODC International Framework for Action to Implement the Trafficking in Persons Protocol</w:t>
      </w:r>
    </w:p>
  </w:footnote>
  <w:footnote w:id="3">
    <w:p w:rsidR="00FD5BD8" w:rsidRDefault="00FD5BD8">
      <w:pPr>
        <w:pStyle w:val="FootnoteText"/>
      </w:pPr>
      <w:r>
        <w:rPr>
          <w:rStyle w:val="FootnoteReference"/>
        </w:rPr>
        <w:footnoteRef/>
      </w:r>
      <w:r>
        <w:t xml:space="preserve"> </w:t>
      </w:r>
      <w:r w:rsidRPr="00FD5BD8">
        <w:rPr>
          <w:rFonts w:ascii="Times New Roman" w:eastAsia="Calibri" w:hAnsi="Times New Roman" w:cs="Times New Roman"/>
          <w:sz w:val="18"/>
          <w:szCs w:val="18"/>
          <w:lang w:val="en-US" w:eastAsia="en-AU"/>
        </w:rPr>
        <w:t>Article 6.3, Trafficking Protocol</w:t>
      </w:r>
      <w:r w:rsidR="00DB597B">
        <w:rPr>
          <w:rFonts w:ascii="Times New Roman" w:eastAsia="Calibri" w:hAnsi="Times New Roman" w:cs="Times New Roman"/>
          <w:sz w:val="18"/>
          <w:szCs w:val="18"/>
          <w:lang w:val="en-US" w:eastAsia="en-AU"/>
        </w:rPr>
        <w:t>.</w:t>
      </w:r>
    </w:p>
  </w:footnote>
  <w:footnote w:id="4">
    <w:p w:rsidR="000B744F" w:rsidRPr="00DA6DCA" w:rsidRDefault="000B744F" w:rsidP="00954D7F">
      <w:pPr>
        <w:pStyle w:val="Footnotetxt"/>
        <w:tabs>
          <w:tab w:val="clear" w:pos="284"/>
          <w:tab w:val="left" w:pos="0"/>
        </w:tabs>
        <w:ind w:left="0" w:firstLine="0"/>
        <w:rPr>
          <w:lang w:val="en-AU"/>
        </w:rPr>
      </w:pPr>
      <w:r w:rsidRPr="009534E6">
        <w:rPr>
          <w:rStyle w:val="FootnoteReference"/>
          <w:rFonts w:ascii="Times" w:hAnsi="Times" w:cs="Arial"/>
        </w:rPr>
        <w:footnoteRef/>
      </w:r>
      <w:r w:rsidRPr="009534E6">
        <w:t xml:space="preserve"> </w:t>
      </w:r>
      <w:r w:rsidR="00FD5BD8">
        <w:t xml:space="preserve"> </w:t>
      </w:r>
      <w:r w:rsidRPr="00985074">
        <w:t xml:space="preserve">While recourse to such remedies is rarely had, the European Court of Human Rights has repeatedly held that article 4 of the European Convention on Human Rights, which proscribes slavery, servitude and forced </w:t>
      </w:r>
      <w:proofErr w:type="spellStart"/>
      <w:r w:rsidRPr="00985074">
        <w:t>labour</w:t>
      </w:r>
      <w:proofErr w:type="spellEnd"/>
      <w:r w:rsidRPr="00985074">
        <w:t>, gives rise to a positive obligation to protect victims, or potential victims, of human trafficking</w:t>
      </w:r>
      <w:r>
        <w:t xml:space="preserve">: </w:t>
      </w:r>
      <w:proofErr w:type="spellStart"/>
      <w:r w:rsidRPr="009534E6">
        <w:rPr>
          <w:i/>
          <w:iCs/>
          <w:lang w:val="en-AU"/>
        </w:rPr>
        <w:t>Rantsev</w:t>
      </w:r>
      <w:proofErr w:type="spellEnd"/>
      <w:r w:rsidRPr="009534E6">
        <w:rPr>
          <w:i/>
          <w:iCs/>
          <w:lang w:val="en-AU"/>
        </w:rPr>
        <w:t xml:space="preserve"> v. Cyprus and Russia</w:t>
      </w:r>
      <w:r w:rsidRPr="009534E6">
        <w:rPr>
          <w:lang w:val="en-AU"/>
        </w:rPr>
        <w:t>, Application no. 25965/04, Council of Europe: E</w:t>
      </w:r>
      <w:r>
        <w:rPr>
          <w:lang w:val="en-AU"/>
        </w:rPr>
        <w:t>CtHR</w:t>
      </w:r>
      <w:r w:rsidRPr="009534E6">
        <w:rPr>
          <w:lang w:val="en-AU"/>
        </w:rPr>
        <w:t>, 7 January 2010</w:t>
      </w:r>
      <w:r w:rsidRPr="00551D70">
        <w:rPr>
          <w:i/>
        </w:rPr>
        <w:t>;</w:t>
      </w:r>
      <w:r w:rsidRPr="00551D70">
        <w:t xml:space="preserve"> </w:t>
      </w:r>
      <w:r w:rsidRPr="00551D70">
        <w:rPr>
          <w:i/>
          <w:iCs/>
          <w:lang w:val="en-AU"/>
        </w:rPr>
        <w:t>C.N. v. the United Kingdom</w:t>
      </w:r>
      <w:r w:rsidRPr="00551D70">
        <w:rPr>
          <w:lang w:val="en-AU"/>
        </w:rPr>
        <w:t>, Application no. 4239/08, Council of Europe: E</w:t>
      </w:r>
      <w:r>
        <w:rPr>
          <w:lang w:val="en-AU"/>
        </w:rPr>
        <w:t>CtHR</w:t>
      </w:r>
      <w:r w:rsidRPr="00551D70">
        <w:rPr>
          <w:lang w:val="en-AU"/>
        </w:rPr>
        <w:t>, 13 November 2012</w:t>
      </w:r>
      <w:r>
        <w:rPr>
          <w:lang w:val="en-AU"/>
        </w:rPr>
        <w:t>.</w:t>
      </w:r>
    </w:p>
  </w:footnote>
  <w:footnote w:id="5">
    <w:p w:rsidR="006A7EA8" w:rsidRDefault="006A7EA8">
      <w:pPr>
        <w:pStyle w:val="FootnoteText"/>
      </w:pPr>
      <w:r>
        <w:rPr>
          <w:rStyle w:val="FootnoteReference"/>
        </w:rPr>
        <w:footnoteRef/>
      </w:r>
      <w:r>
        <w:t xml:space="preserve"> </w:t>
      </w:r>
      <w:r w:rsidR="004848FD" w:rsidRPr="004848FD">
        <w:rPr>
          <w:rFonts w:ascii="Times New Roman" w:eastAsia="Calibri" w:hAnsi="Times New Roman" w:cs="Times New Roman"/>
          <w:sz w:val="18"/>
          <w:szCs w:val="18"/>
          <w:lang w:val="en-US" w:eastAsia="en-AU"/>
        </w:rPr>
        <w:t>Article 14, Trafficking Protocol</w:t>
      </w:r>
      <w:r w:rsidR="00DB597B">
        <w:rPr>
          <w:rFonts w:ascii="Times New Roman" w:eastAsia="Calibri" w:hAnsi="Times New Roman" w:cs="Times New Roman"/>
          <w:sz w:val="18"/>
          <w:szCs w:val="18"/>
          <w:lang w:val="en-US" w:eastAsia="en-AU"/>
        </w:rPr>
        <w:t>.</w:t>
      </w:r>
    </w:p>
  </w:footnote>
  <w:footnote w:id="6">
    <w:p w:rsidR="004848FD" w:rsidRPr="004848FD" w:rsidRDefault="004848FD">
      <w:pPr>
        <w:pStyle w:val="FootnoteText"/>
        <w:rPr>
          <w:rFonts w:ascii="Times New Roman" w:eastAsia="Calibri" w:hAnsi="Times New Roman" w:cs="Times New Roman"/>
          <w:sz w:val="18"/>
          <w:szCs w:val="18"/>
          <w:lang w:val="en-US" w:eastAsia="en-AU"/>
        </w:rPr>
      </w:pPr>
      <w:r>
        <w:rPr>
          <w:rStyle w:val="FootnoteReference"/>
        </w:rPr>
        <w:footnoteRef/>
      </w:r>
      <w:r>
        <w:t xml:space="preserve"> </w:t>
      </w:r>
      <w:r w:rsidRPr="004848FD">
        <w:rPr>
          <w:rFonts w:ascii="Times New Roman" w:eastAsia="Calibri" w:hAnsi="Times New Roman" w:cs="Times New Roman"/>
          <w:sz w:val="18"/>
          <w:szCs w:val="18"/>
          <w:lang w:val="en-US" w:eastAsia="en-AU"/>
        </w:rPr>
        <w:t xml:space="preserve">See UNODC </w:t>
      </w:r>
      <w:r w:rsidR="00DB597B">
        <w:rPr>
          <w:rFonts w:ascii="Times New Roman" w:eastAsia="Calibri" w:hAnsi="Times New Roman" w:cs="Times New Roman"/>
          <w:sz w:val="18"/>
          <w:szCs w:val="18"/>
          <w:lang w:val="en-US" w:eastAsia="en-AU"/>
        </w:rPr>
        <w:t xml:space="preserve">Trafficking in Persons </w:t>
      </w:r>
      <w:r w:rsidRPr="004848FD">
        <w:rPr>
          <w:rFonts w:ascii="Times New Roman" w:eastAsia="Calibri" w:hAnsi="Times New Roman" w:cs="Times New Roman"/>
          <w:sz w:val="18"/>
          <w:szCs w:val="18"/>
          <w:lang w:val="en-US" w:eastAsia="en-AU"/>
        </w:rPr>
        <w:t>Case Law Database</w:t>
      </w:r>
      <w:r w:rsidR="00DB597B">
        <w:rPr>
          <w:rFonts w:ascii="Times New Roman" w:eastAsia="Calibri" w:hAnsi="Times New Roman" w:cs="Times New Roman"/>
          <w:sz w:val="18"/>
          <w:szCs w:val="18"/>
          <w:lang w:val="en-US" w:eastAsia="en-AU"/>
        </w:rPr>
        <w:t xml:space="preserve">, </w:t>
      </w:r>
      <w:hyperlink r:id="rId1" w:history="1">
        <w:r w:rsidR="00DB597B" w:rsidRPr="00031530">
          <w:rPr>
            <w:rStyle w:val="Hyperlink"/>
            <w:rFonts w:ascii="Times New Roman" w:eastAsia="Calibri" w:hAnsi="Times New Roman" w:cs="Times New Roman"/>
            <w:sz w:val="18"/>
            <w:szCs w:val="18"/>
            <w:lang w:val="en-US" w:eastAsia="en-AU"/>
          </w:rPr>
          <w:t>https://www.unodc.org/cld/index.jspx</w:t>
        </w:r>
      </w:hyperlink>
      <w:r w:rsidR="00DB597B">
        <w:rPr>
          <w:rFonts w:ascii="Times New Roman" w:eastAsia="Calibri" w:hAnsi="Times New Roman" w:cs="Times New Roman"/>
          <w:sz w:val="18"/>
          <w:szCs w:val="18"/>
          <w:lang w:val="en-US" w:eastAsia="en-AU"/>
        </w:rPr>
        <w:t xml:space="preserve">. </w:t>
      </w:r>
    </w:p>
  </w:footnote>
  <w:footnote w:id="7">
    <w:p w:rsidR="00954D7F" w:rsidRDefault="00954D7F">
      <w:pPr>
        <w:pStyle w:val="FootnoteText"/>
      </w:pPr>
      <w:r>
        <w:rPr>
          <w:rStyle w:val="FootnoteReference"/>
        </w:rPr>
        <w:footnoteRef/>
      </w:r>
      <w:r>
        <w:t xml:space="preserve"> </w:t>
      </w:r>
      <w:r w:rsidRPr="00954D7F">
        <w:rPr>
          <w:rFonts w:ascii="Times New Roman" w:eastAsia="Calibri" w:hAnsi="Times New Roman" w:cs="Times New Roman"/>
          <w:sz w:val="18"/>
          <w:szCs w:val="18"/>
          <w:lang w:val="en-US" w:eastAsia="en-AU"/>
        </w:rPr>
        <w:t>Article 2 Smuggling of Migrants Protocol</w:t>
      </w:r>
      <w:r w:rsidR="00DB597B">
        <w:rPr>
          <w:rFonts w:ascii="Times New Roman" w:eastAsia="Calibri" w:hAnsi="Times New Roman" w:cs="Times New Roman"/>
          <w:sz w:val="18"/>
          <w:szCs w:val="18"/>
          <w:lang w:val="en-US" w:eastAsia="en-AU"/>
        </w:rPr>
        <w:t>.</w:t>
      </w:r>
    </w:p>
  </w:footnote>
  <w:footnote w:id="8">
    <w:p w:rsidR="00DB597B" w:rsidRDefault="00DB597B">
      <w:pPr>
        <w:pStyle w:val="FootnoteText"/>
      </w:pPr>
      <w:r>
        <w:rPr>
          <w:rStyle w:val="FootnoteReference"/>
        </w:rPr>
        <w:footnoteRef/>
      </w:r>
      <w:r>
        <w:t xml:space="preserve"> </w:t>
      </w:r>
      <w:r w:rsidRPr="00DB597B">
        <w:rPr>
          <w:rFonts w:ascii="Times New Roman" w:eastAsia="Calibri" w:hAnsi="Times New Roman" w:cs="Times New Roman"/>
          <w:sz w:val="18"/>
          <w:szCs w:val="18"/>
          <w:lang w:val="en-US" w:eastAsia="en-AU"/>
        </w:rPr>
        <w:t xml:space="preserve">UNODC, </w:t>
      </w:r>
      <w:r w:rsidRPr="00DB597B">
        <w:rPr>
          <w:rFonts w:ascii="Times New Roman" w:eastAsia="Calibri" w:hAnsi="Times New Roman" w:cs="Times New Roman"/>
          <w:sz w:val="18"/>
          <w:szCs w:val="18"/>
          <w:lang w:val="en-US" w:eastAsia="en-AU"/>
        </w:rPr>
        <w:t>Combating violence against migrants Criminal justice measures to prevent, investigate, prosecute and punish violence against migrants, migrant workers and their families and to protect victims</w:t>
      </w:r>
      <w:r>
        <w:rPr>
          <w:rFonts w:ascii="Times New Roman" w:eastAsia="Calibri" w:hAnsi="Times New Roman" w:cs="Times New Roman"/>
          <w:sz w:val="18"/>
          <w:szCs w:val="18"/>
          <w:lang w:val="en-US" w:eastAsia="en-A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CB"/>
    <w:rsid w:val="00010CCB"/>
    <w:rsid w:val="00020B87"/>
    <w:rsid w:val="00021CED"/>
    <w:rsid w:val="000420DD"/>
    <w:rsid w:val="0005041F"/>
    <w:rsid w:val="000504F0"/>
    <w:rsid w:val="00062A17"/>
    <w:rsid w:val="000A1932"/>
    <w:rsid w:val="000B744F"/>
    <w:rsid w:val="000E3889"/>
    <w:rsid w:val="00122557"/>
    <w:rsid w:val="001A3857"/>
    <w:rsid w:val="001B0803"/>
    <w:rsid w:val="00234667"/>
    <w:rsid w:val="00251809"/>
    <w:rsid w:val="00257F99"/>
    <w:rsid w:val="002B41C1"/>
    <w:rsid w:val="003632F8"/>
    <w:rsid w:val="00406142"/>
    <w:rsid w:val="004353D4"/>
    <w:rsid w:val="004848FD"/>
    <w:rsid w:val="004A4CAA"/>
    <w:rsid w:val="00533023"/>
    <w:rsid w:val="005373E9"/>
    <w:rsid w:val="005A5D25"/>
    <w:rsid w:val="005B6364"/>
    <w:rsid w:val="005C00C2"/>
    <w:rsid w:val="005C2AEC"/>
    <w:rsid w:val="005C31EC"/>
    <w:rsid w:val="00606FDF"/>
    <w:rsid w:val="00662F40"/>
    <w:rsid w:val="006663A5"/>
    <w:rsid w:val="00667325"/>
    <w:rsid w:val="006A3600"/>
    <w:rsid w:val="006A7EA8"/>
    <w:rsid w:val="006C1BFF"/>
    <w:rsid w:val="00723248"/>
    <w:rsid w:val="00754282"/>
    <w:rsid w:val="007C6BCB"/>
    <w:rsid w:val="00837507"/>
    <w:rsid w:val="008C0B33"/>
    <w:rsid w:val="00904315"/>
    <w:rsid w:val="009145AE"/>
    <w:rsid w:val="0093263F"/>
    <w:rsid w:val="009523ED"/>
    <w:rsid w:val="00954D7F"/>
    <w:rsid w:val="00975521"/>
    <w:rsid w:val="00995053"/>
    <w:rsid w:val="009A0B2E"/>
    <w:rsid w:val="00A0266A"/>
    <w:rsid w:val="00A3049A"/>
    <w:rsid w:val="00A6670A"/>
    <w:rsid w:val="00AA5454"/>
    <w:rsid w:val="00AC7601"/>
    <w:rsid w:val="00AE0FC1"/>
    <w:rsid w:val="00AF02AC"/>
    <w:rsid w:val="00B82052"/>
    <w:rsid w:val="00BB110B"/>
    <w:rsid w:val="00BC507C"/>
    <w:rsid w:val="00BE3292"/>
    <w:rsid w:val="00BE4548"/>
    <w:rsid w:val="00BF6F6A"/>
    <w:rsid w:val="00C80E7B"/>
    <w:rsid w:val="00C8476D"/>
    <w:rsid w:val="00C945CD"/>
    <w:rsid w:val="00CC68BC"/>
    <w:rsid w:val="00D30F2C"/>
    <w:rsid w:val="00DB597B"/>
    <w:rsid w:val="00DC03FC"/>
    <w:rsid w:val="00DD1138"/>
    <w:rsid w:val="00DD4763"/>
    <w:rsid w:val="00E45033"/>
    <w:rsid w:val="00EC3879"/>
    <w:rsid w:val="00EC5043"/>
    <w:rsid w:val="00ED1A6C"/>
    <w:rsid w:val="00EE185B"/>
    <w:rsid w:val="00F010D2"/>
    <w:rsid w:val="00F20036"/>
    <w:rsid w:val="00F24472"/>
    <w:rsid w:val="00F57C91"/>
    <w:rsid w:val="00F61B16"/>
    <w:rsid w:val="00FD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5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0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AC"/>
  </w:style>
  <w:style w:type="paragraph" w:styleId="Footer">
    <w:name w:val="footer"/>
    <w:basedOn w:val="Normal"/>
    <w:link w:val="FooterChar"/>
    <w:uiPriority w:val="99"/>
    <w:unhideWhenUsed/>
    <w:rsid w:val="00AF0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AC"/>
  </w:style>
  <w:style w:type="character" w:customStyle="1" w:styleId="Heading2Char">
    <w:name w:val="Heading 2 Char"/>
    <w:basedOn w:val="DefaultParagraphFont"/>
    <w:link w:val="Heading2"/>
    <w:uiPriority w:val="9"/>
    <w:rsid w:val="00995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5033"/>
    <w:rPr>
      <w:rFonts w:asciiTheme="majorHAnsi" w:eastAsiaTheme="majorEastAsia" w:hAnsiTheme="majorHAnsi" w:cstheme="majorBidi"/>
      <w:b/>
      <w:bCs/>
      <w:color w:val="4F81BD" w:themeColor="accent1"/>
    </w:rPr>
  </w:style>
  <w:style w:type="character" w:customStyle="1" w:styleId="left">
    <w:name w:val="left"/>
    <w:basedOn w:val="DefaultParagraphFont"/>
    <w:rsid w:val="005C2AEC"/>
  </w:style>
  <w:style w:type="paragraph" w:styleId="FootnoteText">
    <w:name w:val="footnote text"/>
    <w:basedOn w:val="Normal"/>
    <w:link w:val="FootnoteTextChar"/>
    <w:uiPriority w:val="99"/>
    <w:semiHidden/>
    <w:unhideWhenUsed/>
    <w:rsid w:val="0066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25"/>
    <w:rPr>
      <w:sz w:val="20"/>
      <w:szCs w:val="20"/>
    </w:rPr>
  </w:style>
  <w:style w:type="character" w:styleId="FootnoteReference">
    <w:name w:val="footnote reference"/>
    <w:aliases w:val="footnote ref,Footnotes refss,Footnote,4_G,Appel note de bas de p.,Fus note,NO,[0]"/>
    <w:basedOn w:val="DefaultParagraphFont"/>
    <w:unhideWhenUsed/>
    <w:rsid w:val="00667325"/>
    <w:rPr>
      <w:vertAlign w:val="superscript"/>
    </w:rPr>
  </w:style>
  <w:style w:type="paragraph" w:customStyle="1" w:styleId="Footnotetxt">
    <w:name w:val="Footnote txt"/>
    <w:basedOn w:val="FootnoteText"/>
    <w:uiPriority w:val="99"/>
    <w:qFormat/>
    <w:rsid w:val="000B744F"/>
    <w:pPr>
      <w:tabs>
        <w:tab w:val="left" w:pos="284"/>
      </w:tabs>
      <w:ind w:left="284" w:hanging="284"/>
    </w:pPr>
    <w:rPr>
      <w:rFonts w:ascii="Times New Roman" w:eastAsia="Calibri" w:hAnsi="Times New Roman" w:cs="Times New Roman"/>
      <w:sz w:val="18"/>
      <w:szCs w:val="18"/>
      <w:lang w:val="en-US" w:eastAsia="en-AU"/>
    </w:rPr>
  </w:style>
  <w:style w:type="character" w:styleId="Hyperlink">
    <w:name w:val="Hyperlink"/>
    <w:uiPriority w:val="99"/>
    <w:unhideWhenUsed/>
    <w:rsid w:val="00484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5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0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AC"/>
  </w:style>
  <w:style w:type="paragraph" w:styleId="Footer">
    <w:name w:val="footer"/>
    <w:basedOn w:val="Normal"/>
    <w:link w:val="FooterChar"/>
    <w:uiPriority w:val="99"/>
    <w:unhideWhenUsed/>
    <w:rsid w:val="00AF0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AC"/>
  </w:style>
  <w:style w:type="character" w:customStyle="1" w:styleId="Heading2Char">
    <w:name w:val="Heading 2 Char"/>
    <w:basedOn w:val="DefaultParagraphFont"/>
    <w:link w:val="Heading2"/>
    <w:uiPriority w:val="9"/>
    <w:rsid w:val="009950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5033"/>
    <w:rPr>
      <w:rFonts w:asciiTheme="majorHAnsi" w:eastAsiaTheme="majorEastAsia" w:hAnsiTheme="majorHAnsi" w:cstheme="majorBidi"/>
      <w:b/>
      <w:bCs/>
      <w:color w:val="4F81BD" w:themeColor="accent1"/>
    </w:rPr>
  </w:style>
  <w:style w:type="character" w:customStyle="1" w:styleId="left">
    <w:name w:val="left"/>
    <w:basedOn w:val="DefaultParagraphFont"/>
    <w:rsid w:val="005C2AEC"/>
  </w:style>
  <w:style w:type="paragraph" w:styleId="FootnoteText">
    <w:name w:val="footnote text"/>
    <w:basedOn w:val="Normal"/>
    <w:link w:val="FootnoteTextChar"/>
    <w:uiPriority w:val="99"/>
    <w:semiHidden/>
    <w:unhideWhenUsed/>
    <w:rsid w:val="0066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25"/>
    <w:rPr>
      <w:sz w:val="20"/>
      <w:szCs w:val="20"/>
    </w:rPr>
  </w:style>
  <w:style w:type="character" w:styleId="FootnoteReference">
    <w:name w:val="footnote reference"/>
    <w:aliases w:val="footnote ref,Footnotes refss,Footnote,4_G,Appel note de bas de p.,Fus note,NO,[0]"/>
    <w:basedOn w:val="DefaultParagraphFont"/>
    <w:unhideWhenUsed/>
    <w:rsid w:val="00667325"/>
    <w:rPr>
      <w:vertAlign w:val="superscript"/>
    </w:rPr>
  </w:style>
  <w:style w:type="paragraph" w:customStyle="1" w:styleId="Footnotetxt">
    <w:name w:val="Footnote txt"/>
    <w:basedOn w:val="FootnoteText"/>
    <w:uiPriority w:val="99"/>
    <w:qFormat/>
    <w:rsid w:val="000B744F"/>
    <w:pPr>
      <w:tabs>
        <w:tab w:val="left" w:pos="284"/>
      </w:tabs>
      <w:ind w:left="284" w:hanging="284"/>
    </w:pPr>
    <w:rPr>
      <w:rFonts w:ascii="Times New Roman" w:eastAsia="Calibri" w:hAnsi="Times New Roman" w:cs="Times New Roman"/>
      <w:sz w:val="18"/>
      <w:szCs w:val="18"/>
      <w:lang w:val="en-US" w:eastAsia="en-AU"/>
    </w:rPr>
  </w:style>
  <w:style w:type="character" w:styleId="Hyperlink">
    <w:name w:val="Hyperlink"/>
    <w:uiPriority w:val="99"/>
    <w:unhideWhenUsed/>
    <w:rsid w:val="00484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469">
      <w:bodyDiv w:val="1"/>
      <w:marLeft w:val="0"/>
      <w:marRight w:val="0"/>
      <w:marTop w:val="0"/>
      <w:marBottom w:val="0"/>
      <w:divBdr>
        <w:top w:val="none" w:sz="0" w:space="0" w:color="auto"/>
        <w:left w:val="none" w:sz="0" w:space="0" w:color="auto"/>
        <w:bottom w:val="none" w:sz="0" w:space="0" w:color="auto"/>
        <w:right w:val="none" w:sz="0" w:space="0" w:color="auto"/>
      </w:divBdr>
    </w:div>
    <w:div w:id="13177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cld/index.j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41674C-BBF4-4DB9-9331-1935453FCAD6}"/>
</file>

<file path=customXml/itemProps2.xml><?xml version="1.0" encoding="utf-8"?>
<ds:datastoreItem xmlns:ds="http://schemas.openxmlformats.org/officeDocument/2006/customXml" ds:itemID="{6C944D2F-778A-40CB-A989-ECC7E8112A09}"/>
</file>

<file path=customXml/itemProps3.xml><?xml version="1.0" encoding="utf-8"?>
<ds:datastoreItem xmlns:ds="http://schemas.openxmlformats.org/officeDocument/2006/customXml" ds:itemID="{A46168BA-7EEF-4A6D-826D-5E7BC3427E4A}"/>
</file>

<file path=customXml/itemProps4.xml><?xml version="1.0" encoding="utf-8"?>
<ds:datastoreItem xmlns:ds="http://schemas.openxmlformats.org/officeDocument/2006/customXml" ds:itemID="{2C155B86-77C5-486A-8D9F-03C134467EF7}"/>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Pauciullo</dc:creator>
  <cp:lastModifiedBy>Annalisa Pauciullo</cp:lastModifiedBy>
  <cp:revision>10</cp:revision>
  <dcterms:created xsi:type="dcterms:W3CDTF">2015-11-11T20:42:00Z</dcterms:created>
  <dcterms:modified xsi:type="dcterms:W3CDTF">2015-11-17T09:51:00Z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