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6C" w:rsidRPr="00E6106C" w:rsidRDefault="00E6106C" w:rsidP="003C3AF3">
      <w:pPr>
        <w:pStyle w:val="ListParagraph"/>
        <w:ind w:left="0"/>
        <w:jc w:val="center"/>
        <w:rPr>
          <w:rFonts w:ascii="Verdana" w:hAnsi="Verdana" w:cs="Arial"/>
          <w:b/>
          <w:sz w:val="24"/>
          <w:szCs w:val="24"/>
        </w:rPr>
      </w:pPr>
      <w:bookmarkStart w:id="0" w:name="_GoBack"/>
      <w:bookmarkEnd w:id="0"/>
    </w:p>
    <w:p w:rsidR="00E6106C" w:rsidRPr="00E6106C" w:rsidRDefault="00E6106C" w:rsidP="003C3AF3">
      <w:pPr>
        <w:pStyle w:val="ListParagraph"/>
        <w:ind w:left="0"/>
        <w:jc w:val="center"/>
        <w:rPr>
          <w:rFonts w:ascii="Verdana" w:hAnsi="Verdana" w:cs="Arial"/>
          <w:b/>
          <w:sz w:val="24"/>
          <w:szCs w:val="24"/>
        </w:rPr>
      </w:pPr>
      <w:r w:rsidRPr="00E6106C">
        <w:rPr>
          <w:rFonts w:ascii="Verdana" w:hAnsi="Verdana" w:cs="Arial"/>
          <w:b/>
          <w:sz w:val="24"/>
          <w:szCs w:val="24"/>
        </w:rPr>
        <w:t>Apertura e Institucionalización de los Centros de Orientación Socio Legal a Adultos/as Mayores (COSLAM)</w:t>
      </w:r>
    </w:p>
    <w:p w:rsidR="00E6106C" w:rsidRPr="00E6106C" w:rsidRDefault="00E6106C" w:rsidP="003C3AF3">
      <w:pPr>
        <w:pStyle w:val="NoSpacing"/>
        <w:spacing w:line="276" w:lineRule="auto"/>
        <w:rPr>
          <w:rFonts w:ascii="Verdana" w:hAnsi="Verdana" w:cs="Arial"/>
          <w:b/>
          <w:sz w:val="24"/>
          <w:szCs w:val="24"/>
        </w:rPr>
      </w:pPr>
    </w:p>
    <w:p w:rsidR="00E6106C" w:rsidRPr="00E6106C" w:rsidRDefault="00E6106C" w:rsidP="003C3AF3">
      <w:pPr>
        <w:pStyle w:val="NoSpacing"/>
        <w:spacing w:line="276" w:lineRule="auto"/>
        <w:jc w:val="center"/>
        <w:rPr>
          <w:rFonts w:ascii="Verdana" w:hAnsi="Verdana" w:cs="Arial"/>
          <w:b/>
          <w:sz w:val="24"/>
          <w:szCs w:val="24"/>
        </w:rPr>
      </w:pPr>
      <w:r w:rsidRPr="00E6106C">
        <w:rPr>
          <w:rFonts w:ascii="Verdana" w:hAnsi="Verdana" w:cs="Arial"/>
          <w:b/>
          <w:sz w:val="24"/>
          <w:szCs w:val="24"/>
        </w:rPr>
        <w:t>Buenas Prácticas en Orientación Jurídica.</w:t>
      </w:r>
    </w:p>
    <w:p w:rsidR="00E6106C" w:rsidRPr="00E6106C" w:rsidRDefault="00E6106C" w:rsidP="003C3AF3">
      <w:pPr>
        <w:pStyle w:val="NoSpacing"/>
        <w:spacing w:line="276" w:lineRule="auto"/>
        <w:rPr>
          <w:rFonts w:ascii="Verdana" w:hAnsi="Verdana" w:cs="Arial"/>
          <w:sz w:val="24"/>
          <w:szCs w:val="24"/>
        </w:rPr>
      </w:pPr>
    </w:p>
    <w:p w:rsidR="00E6106C" w:rsidRPr="00E6106C" w:rsidRDefault="00E6106C" w:rsidP="003C3AF3">
      <w:pPr>
        <w:pStyle w:val="NoSpacing"/>
        <w:spacing w:line="276" w:lineRule="auto"/>
        <w:jc w:val="both"/>
        <w:rPr>
          <w:rFonts w:ascii="Verdana" w:hAnsi="Verdana" w:cs="Arial"/>
          <w:sz w:val="24"/>
          <w:szCs w:val="24"/>
        </w:rPr>
      </w:pPr>
      <w:r w:rsidRPr="00E6106C">
        <w:rPr>
          <w:rFonts w:ascii="Verdana" w:hAnsi="Verdana" w:cs="Arial"/>
          <w:sz w:val="24"/>
          <w:szCs w:val="24"/>
        </w:rPr>
        <w:t xml:space="preserve">Como plataformas de atención Legal, muchos COSLAM, intervienen de manera directa en asuntos legales, especialmente en la tramitación de documentos de Identidad, la anulación de doble partida, corrección de datos, problemas entre herederos, despojo, etc. constituyéndose en instancias defensoras de las Personas Adultas Mayores (PAM), en cuestiones legales inherentes a la normativa de protección de sus derechos. </w:t>
      </w:r>
    </w:p>
    <w:p w:rsidR="00E6106C" w:rsidRPr="00E6106C" w:rsidRDefault="00E6106C" w:rsidP="003C3AF3">
      <w:pPr>
        <w:pStyle w:val="NoSpacing"/>
        <w:spacing w:line="276" w:lineRule="auto"/>
        <w:jc w:val="both"/>
        <w:rPr>
          <w:rFonts w:ascii="Verdana" w:hAnsi="Verdana" w:cs="Arial"/>
          <w:sz w:val="24"/>
          <w:szCs w:val="24"/>
        </w:rPr>
      </w:pPr>
    </w:p>
    <w:p w:rsidR="00E6106C" w:rsidRPr="00E6106C" w:rsidRDefault="00E6106C" w:rsidP="003C3AF3">
      <w:pPr>
        <w:pStyle w:val="NoSpacing"/>
        <w:spacing w:line="276" w:lineRule="auto"/>
        <w:jc w:val="both"/>
        <w:rPr>
          <w:rFonts w:ascii="Verdana" w:hAnsi="Verdana" w:cs="Arial"/>
          <w:sz w:val="24"/>
          <w:szCs w:val="24"/>
        </w:rPr>
      </w:pPr>
      <w:r w:rsidRPr="00E6106C">
        <w:rPr>
          <w:rFonts w:ascii="Verdana" w:hAnsi="Verdana" w:cs="Arial"/>
          <w:sz w:val="24"/>
          <w:szCs w:val="24"/>
        </w:rPr>
        <w:t xml:space="preserve">El pago oneroso que demandan los abogados, impiden el acceso a sus servicios por parte de las PAM porque generalmente no cuentan con recursos para ello, razón por la que contar con una oficina gratuita de atención legal, fue un gran alivio para muchos de ellos. </w:t>
      </w:r>
    </w:p>
    <w:p w:rsidR="00E6106C" w:rsidRPr="00E6106C" w:rsidRDefault="00E6106C" w:rsidP="003C3AF3">
      <w:pPr>
        <w:pStyle w:val="NoSpacing"/>
        <w:spacing w:line="276" w:lineRule="auto"/>
        <w:jc w:val="both"/>
        <w:rPr>
          <w:rFonts w:ascii="Verdana" w:hAnsi="Verdana" w:cs="Arial"/>
          <w:sz w:val="24"/>
          <w:szCs w:val="24"/>
        </w:rPr>
      </w:pPr>
    </w:p>
    <w:p w:rsidR="00E6106C" w:rsidRPr="00E6106C" w:rsidRDefault="00E6106C" w:rsidP="003C3AF3">
      <w:pPr>
        <w:pStyle w:val="NoSpacing"/>
        <w:spacing w:line="276" w:lineRule="auto"/>
        <w:jc w:val="both"/>
        <w:rPr>
          <w:rFonts w:ascii="Verdana" w:hAnsi="Verdana" w:cs="Arial"/>
          <w:sz w:val="24"/>
          <w:szCs w:val="24"/>
        </w:rPr>
      </w:pPr>
      <w:r w:rsidRPr="00E6106C">
        <w:rPr>
          <w:rFonts w:ascii="Verdana" w:hAnsi="Verdana" w:cs="Arial"/>
          <w:sz w:val="24"/>
          <w:szCs w:val="24"/>
        </w:rPr>
        <w:t xml:space="preserve">En algunas Plataformas de sociedad civil de atención a esta población, se avanzó más allá de la simple orientación legal, porque se propició conciliaciones familiares, firma de documentos, elaboración de memoriales para asuntos varios, </w:t>
      </w:r>
      <w:proofErr w:type="spellStart"/>
      <w:r w:rsidRPr="00E6106C">
        <w:rPr>
          <w:rFonts w:ascii="Verdana" w:hAnsi="Verdana" w:cs="Arial"/>
          <w:sz w:val="24"/>
          <w:szCs w:val="24"/>
        </w:rPr>
        <w:t>etc</w:t>
      </w:r>
      <w:proofErr w:type="spellEnd"/>
      <w:r w:rsidRPr="00E6106C">
        <w:rPr>
          <w:rFonts w:ascii="Verdana" w:hAnsi="Verdana" w:cs="Arial"/>
          <w:sz w:val="24"/>
          <w:szCs w:val="24"/>
        </w:rPr>
        <w:t xml:space="preserve">, con el fin de ofrecer una atención eficiente a las y los beneficiarios por lo que la atención jurídica que prestaron fue realmente un pilar fundamental de dichas Plataformas. </w:t>
      </w:r>
    </w:p>
    <w:p w:rsidR="00E6106C" w:rsidRPr="00E6106C" w:rsidRDefault="00E6106C" w:rsidP="003C3AF3">
      <w:pPr>
        <w:pStyle w:val="NoSpacing"/>
        <w:spacing w:line="276" w:lineRule="auto"/>
        <w:jc w:val="both"/>
        <w:rPr>
          <w:rFonts w:ascii="Verdana" w:hAnsi="Verdana" w:cs="Arial"/>
          <w:sz w:val="24"/>
          <w:szCs w:val="24"/>
        </w:rPr>
      </w:pPr>
      <w:r w:rsidRPr="00E6106C">
        <w:rPr>
          <w:rFonts w:ascii="Verdana" w:hAnsi="Verdana" w:cs="Arial"/>
          <w:sz w:val="24"/>
          <w:szCs w:val="24"/>
        </w:rPr>
        <w:t>En algunos casos, estos COSLAM, lograron que los sindicatos de transportistas firmen actas para rebajar el costo de los pasajes –en caso de PAM- del 25%.</w:t>
      </w:r>
    </w:p>
    <w:p w:rsidR="00E6106C" w:rsidRPr="00E6106C" w:rsidRDefault="00E6106C" w:rsidP="003C3AF3">
      <w:pPr>
        <w:pStyle w:val="NoSpacing"/>
        <w:spacing w:line="276" w:lineRule="auto"/>
        <w:jc w:val="both"/>
        <w:rPr>
          <w:rFonts w:ascii="Verdana" w:hAnsi="Verdana" w:cs="Arial"/>
          <w:sz w:val="24"/>
          <w:szCs w:val="24"/>
        </w:rPr>
      </w:pPr>
      <w:r w:rsidRPr="00E6106C">
        <w:rPr>
          <w:rFonts w:ascii="Verdana" w:hAnsi="Verdana" w:cs="Arial"/>
          <w:sz w:val="24"/>
          <w:szCs w:val="24"/>
        </w:rPr>
        <w:t>Finalmente, también incidieron para que algunos de estos servicios sean institucionalizados en entidades públicas descentralizadas.</w:t>
      </w:r>
    </w:p>
    <w:p w:rsidR="00E6106C" w:rsidRPr="00E6106C" w:rsidRDefault="00E6106C" w:rsidP="003C3AF3">
      <w:pPr>
        <w:pStyle w:val="NoSpacing"/>
        <w:spacing w:line="276" w:lineRule="auto"/>
        <w:jc w:val="both"/>
        <w:rPr>
          <w:rFonts w:ascii="Verdana" w:hAnsi="Verdana" w:cs="Arial"/>
          <w:sz w:val="24"/>
          <w:szCs w:val="24"/>
        </w:rPr>
      </w:pPr>
    </w:p>
    <w:p w:rsidR="00E6106C" w:rsidRPr="00E6106C" w:rsidRDefault="00E6106C" w:rsidP="003C3AF3">
      <w:pPr>
        <w:jc w:val="both"/>
        <w:rPr>
          <w:rFonts w:ascii="Verdana" w:hAnsi="Verdana" w:cs="Arial"/>
          <w:sz w:val="24"/>
          <w:szCs w:val="24"/>
        </w:rPr>
      </w:pPr>
      <w:r w:rsidRPr="00E6106C">
        <w:rPr>
          <w:rFonts w:ascii="Verdana" w:hAnsi="Verdana" w:cs="Arial"/>
          <w:sz w:val="24"/>
          <w:szCs w:val="24"/>
        </w:rPr>
        <w:t xml:space="preserve">La Ley General de las Personas Adultas Mayores Ley Nº 369 de 1° de mayo de 2013, en su artículo 10, establece que el </w:t>
      </w:r>
      <w:r w:rsidRPr="00E6106C">
        <w:rPr>
          <w:rFonts w:ascii="Verdana" w:hAnsi="Verdana" w:cs="Arial"/>
          <w:b/>
          <w:sz w:val="24"/>
          <w:szCs w:val="24"/>
        </w:rPr>
        <w:t>Ministerio de Justicia</w:t>
      </w:r>
      <w:r w:rsidRPr="00E6106C">
        <w:rPr>
          <w:rFonts w:ascii="Verdana" w:hAnsi="Verdana" w:cs="Arial"/>
          <w:sz w:val="24"/>
          <w:szCs w:val="24"/>
        </w:rPr>
        <w:t xml:space="preserve"> brindará asistencia jurídica preferencial a las personas adultas mayores, garantizando los beneficios de:</w:t>
      </w:r>
    </w:p>
    <w:p w:rsidR="00E6106C" w:rsidRPr="00E6106C" w:rsidRDefault="00E6106C" w:rsidP="003C3AF3">
      <w:pPr>
        <w:numPr>
          <w:ilvl w:val="0"/>
          <w:numId w:val="1"/>
        </w:numPr>
        <w:spacing w:after="0"/>
        <w:jc w:val="both"/>
        <w:rPr>
          <w:rFonts w:ascii="Verdana" w:hAnsi="Verdana" w:cs="Arial"/>
          <w:sz w:val="24"/>
          <w:szCs w:val="24"/>
        </w:rPr>
      </w:pPr>
      <w:r w:rsidRPr="00E6106C">
        <w:rPr>
          <w:rFonts w:ascii="Verdana" w:hAnsi="Verdana" w:cs="Arial"/>
          <w:sz w:val="24"/>
          <w:szCs w:val="24"/>
        </w:rPr>
        <w:lastRenderedPageBreak/>
        <w:t>Información y orientación legal.</w:t>
      </w:r>
    </w:p>
    <w:p w:rsidR="00E6106C" w:rsidRPr="00E6106C" w:rsidRDefault="00E6106C" w:rsidP="003C3AF3">
      <w:pPr>
        <w:numPr>
          <w:ilvl w:val="0"/>
          <w:numId w:val="1"/>
        </w:numPr>
        <w:spacing w:after="0"/>
        <w:jc w:val="both"/>
        <w:rPr>
          <w:rFonts w:ascii="Verdana" w:hAnsi="Verdana" w:cs="Arial"/>
          <w:sz w:val="24"/>
          <w:szCs w:val="24"/>
        </w:rPr>
      </w:pPr>
      <w:r w:rsidRPr="00E6106C">
        <w:rPr>
          <w:rFonts w:ascii="Verdana" w:hAnsi="Verdana" w:cs="Arial"/>
          <w:sz w:val="24"/>
          <w:szCs w:val="24"/>
        </w:rPr>
        <w:t>Representación y patrocinio judicial.</w:t>
      </w:r>
    </w:p>
    <w:p w:rsidR="00E6106C" w:rsidRPr="00E6106C" w:rsidRDefault="00E6106C" w:rsidP="003C3AF3">
      <w:pPr>
        <w:numPr>
          <w:ilvl w:val="0"/>
          <w:numId w:val="1"/>
        </w:numPr>
        <w:spacing w:after="0"/>
        <w:jc w:val="both"/>
        <w:rPr>
          <w:rFonts w:ascii="Verdana" w:hAnsi="Verdana" w:cs="Arial"/>
          <w:sz w:val="24"/>
          <w:szCs w:val="24"/>
        </w:rPr>
      </w:pPr>
      <w:r w:rsidRPr="00E6106C">
        <w:rPr>
          <w:rFonts w:ascii="Verdana" w:hAnsi="Verdana" w:cs="Arial"/>
          <w:sz w:val="24"/>
          <w:szCs w:val="24"/>
        </w:rPr>
        <w:t>Mediación para la resolución de conflictos.</w:t>
      </w:r>
    </w:p>
    <w:p w:rsidR="00E6106C" w:rsidRPr="00E6106C" w:rsidRDefault="00E6106C" w:rsidP="003C3AF3">
      <w:pPr>
        <w:numPr>
          <w:ilvl w:val="0"/>
          <w:numId w:val="1"/>
        </w:numPr>
        <w:spacing w:after="0"/>
        <w:jc w:val="both"/>
        <w:rPr>
          <w:rFonts w:ascii="Verdana" w:hAnsi="Verdana" w:cs="Arial"/>
          <w:sz w:val="24"/>
          <w:szCs w:val="24"/>
        </w:rPr>
      </w:pPr>
      <w:r w:rsidRPr="00E6106C">
        <w:rPr>
          <w:rFonts w:ascii="Verdana" w:hAnsi="Verdana" w:cs="Arial"/>
          <w:sz w:val="24"/>
          <w:szCs w:val="24"/>
        </w:rPr>
        <w:t>Promoción de los derechos y garantías constitucionales establecidas a favor de la persona adulta mayor.</w:t>
      </w:r>
    </w:p>
    <w:p w:rsidR="00E6106C" w:rsidRPr="00E6106C" w:rsidRDefault="00E6106C" w:rsidP="003C3AF3">
      <w:pPr>
        <w:pStyle w:val="NoSpacing"/>
        <w:spacing w:line="276" w:lineRule="auto"/>
        <w:jc w:val="both"/>
        <w:rPr>
          <w:rFonts w:ascii="Verdana" w:hAnsi="Verdana" w:cs="Arial"/>
          <w:sz w:val="24"/>
          <w:szCs w:val="24"/>
        </w:rPr>
      </w:pPr>
    </w:p>
    <w:p w:rsidR="002E6F71" w:rsidRPr="00E6106C" w:rsidRDefault="00E6106C" w:rsidP="003C3AF3">
      <w:pPr>
        <w:jc w:val="both"/>
        <w:rPr>
          <w:rFonts w:ascii="Verdana" w:hAnsi="Verdana"/>
          <w:sz w:val="24"/>
          <w:szCs w:val="24"/>
        </w:rPr>
      </w:pPr>
      <w:r w:rsidRPr="00E6106C">
        <w:rPr>
          <w:rFonts w:ascii="Verdana" w:hAnsi="Verdana" w:cs="Arial"/>
          <w:sz w:val="24"/>
          <w:szCs w:val="24"/>
        </w:rPr>
        <w:t xml:space="preserve">Se deja en claro que es el Ministerio de Justicia, la única entidad del gobierno como la autorizada para realizar acciones pertinentes a favor de las </w:t>
      </w:r>
      <w:proofErr w:type="spellStart"/>
      <w:r w:rsidRPr="00E6106C">
        <w:rPr>
          <w:rFonts w:ascii="Verdana" w:hAnsi="Verdana" w:cs="Arial"/>
          <w:sz w:val="24"/>
          <w:szCs w:val="24"/>
        </w:rPr>
        <w:t>PAMs</w:t>
      </w:r>
      <w:proofErr w:type="spellEnd"/>
      <w:r w:rsidRPr="00E6106C">
        <w:rPr>
          <w:rFonts w:ascii="Verdana" w:hAnsi="Verdana" w:cs="Arial"/>
          <w:sz w:val="24"/>
          <w:szCs w:val="24"/>
        </w:rPr>
        <w:t xml:space="preserve"> en lo concerniente a asuntos de patrocinio legal.</w:t>
      </w:r>
    </w:p>
    <w:sectPr w:rsidR="002E6F71" w:rsidRPr="00E6106C" w:rsidSect="00A6277E">
      <w:headerReference w:type="default" r:id="rId9"/>
      <w:footerReference w:type="default" r:id="rId10"/>
      <w:type w:val="continuous"/>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8B" w:rsidRDefault="0064118B" w:rsidP="0077584F">
      <w:pPr>
        <w:spacing w:after="0" w:line="240" w:lineRule="auto"/>
      </w:pPr>
      <w:r>
        <w:separator/>
      </w:r>
    </w:p>
  </w:endnote>
  <w:endnote w:type="continuationSeparator" w:id="0">
    <w:p w:rsidR="0064118B" w:rsidRDefault="0064118B" w:rsidP="0077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2032"/>
      <w:docPartObj>
        <w:docPartGallery w:val="Page Numbers (Bottom of Page)"/>
        <w:docPartUnique/>
      </w:docPartObj>
    </w:sdtPr>
    <w:sdtEndPr/>
    <w:sdtContent>
      <w:p w:rsidR="00D57791" w:rsidRDefault="0064118B">
        <w:pPr>
          <w:pStyle w:val="Footer"/>
          <w:jc w:val="right"/>
        </w:pPr>
        <w:r>
          <w:fldChar w:fldCharType="begin"/>
        </w:r>
        <w:r>
          <w:instrText xml:space="preserve"> PAGE   \* MERGEFORMAT </w:instrText>
        </w:r>
        <w:r>
          <w:fldChar w:fldCharType="separate"/>
        </w:r>
        <w:r w:rsidR="00AC43F9">
          <w:rPr>
            <w:noProof/>
          </w:rPr>
          <w:t>1</w:t>
        </w:r>
        <w:r>
          <w:rPr>
            <w:noProof/>
          </w:rPr>
          <w:fldChar w:fldCharType="end"/>
        </w:r>
      </w:p>
    </w:sdtContent>
  </w:sdt>
  <w:p w:rsidR="00D57791" w:rsidRDefault="00D5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8B" w:rsidRDefault="0064118B" w:rsidP="0077584F">
      <w:pPr>
        <w:spacing w:after="0" w:line="240" w:lineRule="auto"/>
      </w:pPr>
      <w:r>
        <w:separator/>
      </w:r>
    </w:p>
  </w:footnote>
  <w:footnote w:type="continuationSeparator" w:id="0">
    <w:p w:rsidR="0064118B" w:rsidRDefault="0064118B" w:rsidP="0077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4F" w:rsidRDefault="0077584F">
    <w:pPr>
      <w:pStyle w:val="Header"/>
    </w:pPr>
    <w:r>
      <w:rPr>
        <w:noProof/>
        <w:lang w:val="en-GB" w:eastAsia="en-GB"/>
      </w:rPr>
      <w:drawing>
        <wp:inline distT="0" distB="0" distL="0" distR="0">
          <wp:extent cx="3075940" cy="942340"/>
          <wp:effectExtent l="19050" t="0" r="0" b="0"/>
          <wp:docPr id="1" name="img_logo" descr="http://www.media-scope.info/mediascope/app_logos/l_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 descr="http://www.media-scope.info/mediascope/app_logos/l_dp.gif"/>
                  <pic:cNvPicPr>
                    <a:picLocks noChangeAspect="1" noChangeArrowheads="1"/>
                  </pic:cNvPicPr>
                </pic:nvPicPr>
                <pic:blipFill>
                  <a:blip r:embed="rId1"/>
                  <a:srcRect/>
                  <a:stretch>
                    <a:fillRect/>
                  </a:stretch>
                </pic:blipFill>
                <pic:spPr bwMode="auto">
                  <a:xfrm>
                    <a:off x="0" y="0"/>
                    <a:ext cx="3075940" cy="9423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37"/>
    <w:multiLevelType w:val="hybridMultilevel"/>
    <w:tmpl w:val="4C4EA7B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04851F0"/>
    <w:multiLevelType w:val="hybridMultilevel"/>
    <w:tmpl w:val="50A8D294"/>
    <w:lvl w:ilvl="0" w:tplc="400A0001">
      <w:start w:val="3"/>
      <w:numFmt w:val="bullet"/>
      <w:lvlText w:val=""/>
      <w:lvlJc w:val="left"/>
      <w:pPr>
        <w:ind w:left="819"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513306D"/>
    <w:multiLevelType w:val="hybridMultilevel"/>
    <w:tmpl w:val="17ECF79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982ACB"/>
    <w:multiLevelType w:val="hybridMultilevel"/>
    <w:tmpl w:val="786E865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7A55900"/>
    <w:multiLevelType w:val="hybridMultilevel"/>
    <w:tmpl w:val="2D44DCD0"/>
    <w:lvl w:ilvl="0" w:tplc="0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8FE76D9"/>
    <w:multiLevelType w:val="hybridMultilevel"/>
    <w:tmpl w:val="68C0F06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316823BE"/>
    <w:multiLevelType w:val="hybridMultilevel"/>
    <w:tmpl w:val="BD6C73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A51975"/>
    <w:multiLevelType w:val="hybridMultilevel"/>
    <w:tmpl w:val="C14289DC"/>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5F80E70"/>
    <w:multiLevelType w:val="hybridMultilevel"/>
    <w:tmpl w:val="FD148D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8884BFD"/>
    <w:multiLevelType w:val="hybridMultilevel"/>
    <w:tmpl w:val="48CAD1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9456D05"/>
    <w:multiLevelType w:val="hybridMultilevel"/>
    <w:tmpl w:val="53A658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9F43062"/>
    <w:multiLevelType w:val="hybridMultilevel"/>
    <w:tmpl w:val="9672081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62EB1FDC"/>
    <w:multiLevelType w:val="hybridMultilevel"/>
    <w:tmpl w:val="06122462"/>
    <w:lvl w:ilvl="0" w:tplc="0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6D7A4035"/>
    <w:multiLevelType w:val="hybridMultilevel"/>
    <w:tmpl w:val="3880EBD6"/>
    <w:lvl w:ilvl="0" w:tplc="3ABE0B78">
      <w:start w:val="4"/>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736F461B"/>
    <w:multiLevelType w:val="hybridMultilevel"/>
    <w:tmpl w:val="84F2B9C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75A33E92"/>
    <w:multiLevelType w:val="hybridMultilevel"/>
    <w:tmpl w:val="388EE914"/>
    <w:lvl w:ilvl="0" w:tplc="0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78A3EFA"/>
    <w:multiLevelType w:val="hybridMultilevel"/>
    <w:tmpl w:val="A3100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9C30286"/>
    <w:multiLevelType w:val="hybridMultilevel"/>
    <w:tmpl w:val="E2E288D2"/>
    <w:lvl w:ilvl="0" w:tplc="0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7AE45E8C"/>
    <w:multiLevelType w:val="hybridMultilevel"/>
    <w:tmpl w:val="ED5214B4"/>
    <w:lvl w:ilvl="0" w:tplc="0C0A0003">
      <w:start w:val="1"/>
      <w:numFmt w:val="bullet"/>
      <w:lvlText w:val="o"/>
      <w:lvlJc w:val="left"/>
      <w:pPr>
        <w:ind w:left="360" w:hanging="360"/>
      </w:pPr>
      <w:rPr>
        <w:rFonts w:ascii="Courier New" w:hAnsi="Courier New" w:cs="Courier New"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7F1F20A7"/>
    <w:multiLevelType w:val="hybridMultilevel"/>
    <w:tmpl w:val="7DC8CC0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9"/>
  </w:num>
  <w:num w:numId="2">
    <w:abstractNumId w:val="8"/>
  </w:num>
  <w:num w:numId="3">
    <w:abstractNumId w:val="14"/>
  </w:num>
  <w:num w:numId="4">
    <w:abstractNumId w:val="1"/>
  </w:num>
  <w:num w:numId="5">
    <w:abstractNumId w:val="19"/>
  </w:num>
  <w:num w:numId="6">
    <w:abstractNumId w:val="16"/>
  </w:num>
  <w:num w:numId="7">
    <w:abstractNumId w:val="6"/>
  </w:num>
  <w:num w:numId="8">
    <w:abstractNumId w:val="2"/>
  </w:num>
  <w:num w:numId="9">
    <w:abstractNumId w:val="11"/>
  </w:num>
  <w:num w:numId="10">
    <w:abstractNumId w:val="12"/>
  </w:num>
  <w:num w:numId="11">
    <w:abstractNumId w:val="18"/>
  </w:num>
  <w:num w:numId="12">
    <w:abstractNumId w:val="15"/>
  </w:num>
  <w:num w:numId="13">
    <w:abstractNumId w:val="4"/>
  </w:num>
  <w:num w:numId="14">
    <w:abstractNumId w:val="13"/>
  </w:num>
  <w:num w:numId="15">
    <w:abstractNumId w:val="17"/>
  </w:num>
  <w:num w:numId="16">
    <w:abstractNumId w:val="5"/>
  </w:num>
  <w:num w:numId="17">
    <w:abstractNumId w:val="3"/>
  </w:num>
  <w:num w:numId="18">
    <w:abstractNumId w:val="10"/>
  </w:num>
  <w:num w:numId="19">
    <w:abstractNumId w:val="0"/>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D0"/>
    <w:rsid w:val="00127EBA"/>
    <w:rsid w:val="0016592C"/>
    <w:rsid w:val="0019382B"/>
    <w:rsid w:val="002176A5"/>
    <w:rsid w:val="002455BA"/>
    <w:rsid w:val="002A6570"/>
    <w:rsid w:val="002E4466"/>
    <w:rsid w:val="002E6F71"/>
    <w:rsid w:val="003129C7"/>
    <w:rsid w:val="003C3AF3"/>
    <w:rsid w:val="003F1613"/>
    <w:rsid w:val="00422CD6"/>
    <w:rsid w:val="004406E7"/>
    <w:rsid w:val="00496C66"/>
    <w:rsid w:val="004D0069"/>
    <w:rsid w:val="004F7BB0"/>
    <w:rsid w:val="005F09B0"/>
    <w:rsid w:val="0064118B"/>
    <w:rsid w:val="006C2413"/>
    <w:rsid w:val="006C58F8"/>
    <w:rsid w:val="006D4021"/>
    <w:rsid w:val="006E5B06"/>
    <w:rsid w:val="00732A83"/>
    <w:rsid w:val="00743055"/>
    <w:rsid w:val="00762AA6"/>
    <w:rsid w:val="0077584F"/>
    <w:rsid w:val="00775D60"/>
    <w:rsid w:val="007B4D14"/>
    <w:rsid w:val="007D0BE3"/>
    <w:rsid w:val="007F5CF1"/>
    <w:rsid w:val="00826A03"/>
    <w:rsid w:val="008F4CD2"/>
    <w:rsid w:val="00A43930"/>
    <w:rsid w:val="00A622B8"/>
    <w:rsid w:val="00A6277E"/>
    <w:rsid w:val="00A65960"/>
    <w:rsid w:val="00A8696E"/>
    <w:rsid w:val="00AA501B"/>
    <w:rsid w:val="00AC43F9"/>
    <w:rsid w:val="00AD40D2"/>
    <w:rsid w:val="00B17E25"/>
    <w:rsid w:val="00B42A7C"/>
    <w:rsid w:val="00C566B7"/>
    <w:rsid w:val="00CC768A"/>
    <w:rsid w:val="00D4174C"/>
    <w:rsid w:val="00D57791"/>
    <w:rsid w:val="00D6247D"/>
    <w:rsid w:val="00D76B82"/>
    <w:rsid w:val="00D84A8A"/>
    <w:rsid w:val="00E47AD0"/>
    <w:rsid w:val="00E47F46"/>
    <w:rsid w:val="00E5257E"/>
    <w:rsid w:val="00E6106C"/>
    <w:rsid w:val="00E76435"/>
    <w:rsid w:val="00EC042A"/>
    <w:rsid w:val="00ED4FC6"/>
    <w:rsid w:val="00FB53D6"/>
    <w:rsid w:val="00FC783D"/>
    <w:rsid w:val="00FD1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D0"/>
    <w:rPr>
      <w:rFonts w:ascii="Calibri" w:eastAsia="Calibri" w:hAnsi="Calibri" w:cs="Times New Roman"/>
      <w:lang w:val="es-BO"/>
    </w:rPr>
  </w:style>
  <w:style w:type="paragraph" w:styleId="Heading1">
    <w:name w:val="heading 1"/>
    <w:basedOn w:val="Normal"/>
    <w:next w:val="Normal"/>
    <w:link w:val="Heading1Char"/>
    <w:qFormat/>
    <w:rsid w:val="00A6277E"/>
    <w:pPr>
      <w:keepNext/>
      <w:spacing w:after="0" w:line="240" w:lineRule="auto"/>
      <w:jc w:val="both"/>
      <w:outlineLvl w:val="0"/>
    </w:pPr>
    <w:rPr>
      <w:rFonts w:ascii="Times New Roman" w:eastAsia="Times New Roman" w:hAnsi="Times New Roman"/>
      <w:b/>
      <w:bCs/>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AD0"/>
    <w:pPr>
      <w:spacing w:after="0" w:line="240" w:lineRule="auto"/>
    </w:pPr>
    <w:rPr>
      <w:lang w:val="es-BO"/>
    </w:rPr>
  </w:style>
  <w:style w:type="paragraph" w:styleId="Header">
    <w:name w:val="header"/>
    <w:basedOn w:val="Normal"/>
    <w:link w:val="HeaderChar"/>
    <w:uiPriority w:val="99"/>
    <w:semiHidden/>
    <w:unhideWhenUsed/>
    <w:rsid w:val="0077584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77584F"/>
    <w:rPr>
      <w:rFonts w:ascii="Calibri" w:eastAsia="Calibri" w:hAnsi="Calibri" w:cs="Times New Roman"/>
      <w:lang w:val="es-BO"/>
    </w:rPr>
  </w:style>
  <w:style w:type="paragraph" w:styleId="Footer">
    <w:name w:val="footer"/>
    <w:basedOn w:val="Normal"/>
    <w:link w:val="FooterChar"/>
    <w:uiPriority w:val="99"/>
    <w:unhideWhenUsed/>
    <w:rsid w:val="007758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584F"/>
    <w:rPr>
      <w:rFonts w:ascii="Calibri" w:eastAsia="Calibri" w:hAnsi="Calibri" w:cs="Times New Roman"/>
      <w:lang w:val="es-BO"/>
    </w:rPr>
  </w:style>
  <w:style w:type="paragraph" w:styleId="BalloonText">
    <w:name w:val="Balloon Text"/>
    <w:basedOn w:val="Normal"/>
    <w:link w:val="BalloonTextChar"/>
    <w:uiPriority w:val="99"/>
    <w:semiHidden/>
    <w:unhideWhenUsed/>
    <w:rsid w:val="0077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4F"/>
    <w:rPr>
      <w:rFonts w:ascii="Tahoma" w:eastAsia="Calibri" w:hAnsi="Tahoma" w:cs="Tahoma"/>
      <w:sz w:val="16"/>
      <w:szCs w:val="16"/>
      <w:lang w:val="es-BO"/>
    </w:rPr>
  </w:style>
  <w:style w:type="paragraph" w:styleId="ListParagraph">
    <w:name w:val="List Paragraph"/>
    <w:basedOn w:val="Normal"/>
    <w:uiPriority w:val="34"/>
    <w:qFormat/>
    <w:rsid w:val="004406E7"/>
    <w:pPr>
      <w:ind w:left="720"/>
      <w:contextualSpacing/>
    </w:pPr>
    <w:rPr>
      <w:lang w:val="es-ES"/>
    </w:rPr>
  </w:style>
  <w:style w:type="character" w:customStyle="1" w:styleId="Heading1Char">
    <w:name w:val="Heading 1 Char"/>
    <w:basedOn w:val="DefaultParagraphFont"/>
    <w:link w:val="Heading1"/>
    <w:rsid w:val="00A6277E"/>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A6277E"/>
    <w:rPr>
      <w:sz w:val="20"/>
      <w:szCs w:val="20"/>
    </w:rPr>
  </w:style>
  <w:style w:type="character" w:customStyle="1" w:styleId="FootnoteTextChar">
    <w:name w:val="Footnote Text Char"/>
    <w:basedOn w:val="DefaultParagraphFont"/>
    <w:link w:val="FootnoteText"/>
    <w:semiHidden/>
    <w:rsid w:val="00A6277E"/>
    <w:rPr>
      <w:rFonts w:ascii="Calibri" w:eastAsia="Calibri" w:hAnsi="Calibri" w:cs="Times New Roman"/>
      <w:sz w:val="20"/>
      <w:szCs w:val="20"/>
      <w:lang w:val="es-BO"/>
    </w:rPr>
  </w:style>
  <w:style w:type="character" w:styleId="FootnoteReference">
    <w:name w:val="footnote reference"/>
    <w:basedOn w:val="DefaultParagraphFont"/>
    <w:semiHidden/>
    <w:rsid w:val="00A6277E"/>
    <w:rPr>
      <w:vertAlign w:val="superscript"/>
    </w:rPr>
  </w:style>
  <w:style w:type="table" w:styleId="TableGrid">
    <w:name w:val="Table Grid"/>
    <w:basedOn w:val="TableNormal"/>
    <w:uiPriority w:val="59"/>
    <w:rsid w:val="00A6277E"/>
    <w:pPr>
      <w:spacing w:after="0" w:line="240" w:lineRule="auto"/>
    </w:pPr>
    <w:rPr>
      <w:rFonts w:ascii="Calibri" w:eastAsia="Calibri" w:hAnsi="Calibri"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A6277E"/>
    <w:pPr>
      <w:ind w:left="720"/>
    </w:pPr>
    <w:rPr>
      <w:rFonts w:eastAsia="Times New Roman"/>
      <w:lang w:val="es-ES"/>
    </w:rPr>
  </w:style>
  <w:style w:type="paragraph" w:styleId="BodyTextIndent2">
    <w:name w:val="Body Text Indent 2"/>
    <w:basedOn w:val="Normal"/>
    <w:link w:val="BodyTextIndent2Char"/>
    <w:semiHidden/>
    <w:unhideWhenUsed/>
    <w:rsid w:val="00A6277E"/>
    <w:pPr>
      <w:spacing w:after="120" w:line="480" w:lineRule="auto"/>
      <w:ind w:left="283"/>
    </w:pPr>
    <w:rPr>
      <w:rFonts w:ascii="Times New Roman" w:eastAsia="Times New Roman" w:hAnsi="Times New Roman"/>
      <w:sz w:val="20"/>
      <w:szCs w:val="20"/>
      <w:lang w:eastAsia="es-ES"/>
    </w:rPr>
  </w:style>
  <w:style w:type="character" w:customStyle="1" w:styleId="BodyTextIndent2Char">
    <w:name w:val="Body Text Indent 2 Char"/>
    <w:basedOn w:val="DefaultParagraphFont"/>
    <w:link w:val="BodyTextIndent2"/>
    <w:semiHidden/>
    <w:rsid w:val="00A6277E"/>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D0"/>
    <w:rPr>
      <w:rFonts w:ascii="Calibri" w:eastAsia="Calibri" w:hAnsi="Calibri" w:cs="Times New Roman"/>
      <w:lang w:val="es-BO"/>
    </w:rPr>
  </w:style>
  <w:style w:type="paragraph" w:styleId="Heading1">
    <w:name w:val="heading 1"/>
    <w:basedOn w:val="Normal"/>
    <w:next w:val="Normal"/>
    <w:link w:val="Heading1Char"/>
    <w:qFormat/>
    <w:rsid w:val="00A6277E"/>
    <w:pPr>
      <w:keepNext/>
      <w:spacing w:after="0" w:line="240" w:lineRule="auto"/>
      <w:jc w:val="both"/>
      <w:outlineLvl w:val="0"/>
    </w:pPr>
    <w:rPr>
      <w:rFonts w:ascii="Times New Roman" w:eastAsia="Times New Roman" w:hAnsi="Times New Roman"/>
      <w:b/>
      <w:bCs/>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AD0"/>
    <w:pPr>
      <w:spacing w:after="0" w:line="240" w:lineRule="auto"/>
    </w:pPr>
    <w:rPr>
      <w:lang w:val="es-BO"/>
    </w:rPr>
  </w:style>
  <w:style w:type="paragraph" w:styleId="Header">
    <w:name w:val="header"/>
    <w:basedOn w:val="Normal"/>
    <w:link w:val="HeaderChar"/>
    <w:uiPriority w:val="99"/>
    <w:semiHidden/>
    <w:unhideWhenUsed/>
    <w:rsid w:val="0077584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77584F"/>
    <w:rPr>
      <w:rFonts w:ascii="Calibri" w:eastAsia="Calibri" w:hAnsi="Calibri" w:cs="Times New Roman"/>
      <w:lang w:val="es-BO"/>
    </w:rPr>
  </w:style>
  <w:style w:type="paragraph" w:styleId="Footer">
    <w:name w:val="footer"/>
    <w:basedOn w:val="Normal"/>
    <w:link w:val="FooterChar"/>
    <w:uiPriority w:val="99"/>
    <w:unhideWhenUsed/>
    <w:rsid w:val="0077584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7584F"/>
    <w:rPr>
      <w:rFonts w:ascii="Calibri" w:eastAsia="Calibri" w:hAnsi="Calibri" w:cs="Times New Roman"/>
      <w:lang w:val="es-BO"/>
    </w:rPr>
  </w:style>
  <w:style w:type="paragraph" w:styleId="BalloonText">
    <w:name w:val="Balloon Text"/>
    <w:basedOn w:val="Normal"/>
    <w:link w:val="BalloonTextChar"/>
    <w:uiPriority w:val="99"/>
    <w:semiHidden/>
    <w:unhideWhenUsed/>
    <w:rsid w:val="0077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4F"/>
    <w:rPr>
      <w:rFonts w:ascii="Tahoma" w:eastAsia="Calibri" w:hAnsi="Tahoma" w:cs="Tahoma"/>
      <w:sz w:val="16"/>
      <w:szCs w:val="16"/>
      <w:lang w:val="es-BO"/>
    </w:rPr>
  </w:style>
  <w:style w:type="paragraph" w:styleId="ListParagraph">
    <w:name w:val="List Paragraph"/>
    <w:basedOn w:val="Normal"/>
    <w:uiPriority w:val="34"/>
    <w:qFormat/>
    <w:rsid w:val="004406E7"/>
    <w:pPr>
      <w:ind w:left="720"/>
      <w:contextualSpacing/>
    </w:pPr>
    <w:rPr>
      <w:lang w:val="es-ES"/>
    </w:rPr>
  </w:style>
  <w:style w:type="character" w:customStyle="1" w:styleId="Heading1Char">
    <w:name w:val="Heading 1 Char"/>
    <w:basedOn w:val="DefaultParagraphFont"/>
    <w:link w:val="Heading1"/>
    <w:rsid w:val="00A6277E"/>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A6277E"/>
    <w:rPr>
      <w:sz w:val="20"/>
      <w:szCs w:val="20"/>
    </w:rPr>
  </w:style>
  <w:style w:type="character" w:customStyle="1" w:styleId="FootnoteTextChar">
    <w:name w:val="Footnote Text Char"/>
    <w:basedOn w:val="DefaultParagraphFont"/>
    <w:link w:val="FootnoteText"/>
    <w:semiHidden/>
    <w:rsid w:val="00A6277E"/>
    <w:rPr>
      <w:rFonts w:ascii="Calibri" w:eastAsia="Calibri" w:hAnsi="Calibri" w:cs="Times New Roman"/>
      <w:sz w:val="20"/>
      <w:szCs w:val="20"/>
      <w:lang w:val="es-BO"/>
    </w:rPr>
  </w:style>
  <w:style w:type="character" w:styleId="FootnoteReference">
    <w:name w:val="footnote reference"/>
    <w:basedOn w:val="DefaultParagraphFont"/>
    <w:semiHidden/>
    <w:rsid w:val="00A6277E"/>
    <w:rPr>
      <w:vertAlign w:val="superscript"/>
    </w:rPr>
  </w:style>
  <w:style w:type="table" w:styleId="TableGrid">
    <w:name w:val="Table Grid"/>
    <w:basedOn w:val="TableNormal"/>
    <w:uiPriority w:val="59"/>
    <w:rsid w:val="00A6277E"/>
    <w:pPr>
      <w:spacing w:after="0" w:line="240" w:lineRule="auto"/>
    </w:pPr>
    <w:rPr>
      <w:rFonts w:ascii="Calibri" w:eastAsia="Calibri" w:hAnsi="Calibri"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A6277E"/>
    <w:pPr>
      <w:ind w:left="720"/>
    </w:pPr>
    <w:rPr>
      <w:rFonts w:eastAsia="Times New Roman"/>
      <w:lang w:val="es-ES"/>
    </w:rPr>
  </w:style>
  <w:style w:type="paragraph" w:styleId="BodyTextIndent2">
    <w:name w:val="Body Text Indent 2"/>
    <w:basedOn w:val="Normal"/>
    <w:link w:val="BodyTextIndent2Char"/>
    <w:semiHidden/>
    <w:unhideWhenUsed/>
    <w:rsid w:val="00A6277E"/>
    <w:pPr>
      <w:spacing w:after="120" w:line="480" w:lineRule="auto"/>
      <w:ind w:left="283"/>
    </w:pPr>
    <w:rPr>
      <w:rFonts w:ascii="Times New Roman" w:eastAsia="Times New Roman" w:hAnsi="Times New Roman"/>
      <w:sz w:val="20"/>
      <w:szCs w:val="20"/>
      <w:lang w:eastAsia="es-ES"/>
    </w:rPr>
  </w:style>
  <w:style w:type="character" w:customStyle="1" w:styleId="BodyTextIndent2Char">
    <w:name w:val="Body Text Indent 2 Char"/>
    <w:basedOn w:val="DefaultParagraphFont"/>
    <w:link w:val="BodyTextIndent2"/>
    <w:semiHidden/>
    <w:rsid w:val="00A6277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F07EF-7AD6-4990-9D48-C908C0CF9F91}"/>
</file>

<file path=customXml/itemProps2.xml><?xml version="1.0" encoding="utf-8"?>
<ds:datastoreItem xmlns:ds="http://schemas.openxmlformats.org/officeDocument/2006/customXml" ds:itemID="{DD22EB16-B9CB-412B-BE53-ECDD4F1158A8}"/>
</file>

<file path=customXml/itemProps3.xml><?xml version="1.0" encoding="utf-8"?>
<ds:datastoreItem xmlns:ds="http://schemas.openxmlformats.org/officeDocument/2006/customXml" ds:itemID="{4C5FA75E-EABE-4D03-8DA8-34F98919383D}"/>
</file>

<file path=customXml/itemProps4.xml><?xml version="1.0" encoding="utf-8"?>
<ds:datastoreItem xmlns:ds="http://schemas.openxmlformats.org/officeDocument/2006/customXml" ds:itemID="{938087BE-925D-4C9A-A83F-7A861CE169BA}"/>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1875</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DP</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ncarazas</dc:creator>
  <cp:lastModifiedBy>SPB Consultant4</cp:lastModifiedBy>
  <cp:revision>2</cp:revision>
  <cp:lastPrinted>2013-08-26T13:46:00Z</cp:lastPrinted>
  <dcterms:created xsi:type="dcterms:W3CDTF">2015-08-03T10:21:00Z</dcterms:created>
  <dcterms:modified xsi:type="dcterms:W3CDTF">2015-08-03T10:21:00Z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3177200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