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436" w:rsidRPr="009D25E2" w:rsidRDefault="00121436" w:rsidP="009D25E2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b/>
          <w:bCs/>
          <w:color w:val="222222"/>
          <w:sz w:val="22"/>
          <w:szCs w:val="22"/>
          <w:shd w:val="clear" w:color="auto" w:fill="FFFFFF"/>
        </w:rPr>
      </w:pPr>
    </w:p>
    <w:p w:rsidR="00035D1D" w:rsidRPr="009D25E2" w:rsidRDefault="00035D1D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D25E2">
        <w:rPr>
          <w:rFonts w:asciiTheme="minorHAnsi" w:hAnsiTheme="minorHAnsi"/>
          <w:sz w:val="22"/>
          <w:szCs w:val="22"/>
          <w:lang w:eastAsia="en-US"/>
        </w:rPr>
        <w:t xml:space="preserve">Hoy </w:t>
      </w:r>
      <w:r w:rsidR="000274DC">
        <w:rPr>
          <w:rFonts w:asciiTheme="minorHAnsi" w:hAnsiTheme="minorHAnsi"/>
          <w:sz w:val="22"/>
          <w:szCs w:val="22"/>
          <w:lang w:eastAsia="en-US"/>
        </w:rPr>
        <w:t>vengo en representación de</w:t>
      </w:r>
      <w:r w:rsidRPr="009D25E2">
        <w:rPr>
          <w:rFonts w:asciiTheme="minorHAnsi" w:hAnsiTheme="minorHAnsi"/>
          <w:sz w:val="22"/>
          <w:szCs w:val="22"/>
          <w:lang w:eastAsia="en-US"/>
        </w:rPr>
        <w:t>l Centro de Derechos Reproductivos, una ONG que promueve mundialmente el reconocimiento de los derechos reproductivos como derechos humanos</w:t>
      </w:r>
      <w:r w:rsidR="006A1288">
        <w:rPr>
          <w:rFonts w:asciiTheme="minorHAnsi" w:hAnsiTheme="minorHAnsi"/>
          <w:sz w:val="22"/>
          <w:szCs w:val="22"/>
          <w:lang w:eastAsia="en-US"/>
        </w:rPr>
        <w:t>.</w:t>
      </w:r>
    </w:p>
    <w:p w:rsidR="002934AF" w:rsidRDefault="00035D1D" w:rsidP="00E6087B">
      <w:pPr>
        <w:spacing w:after="160" w:line="360" w:lineRule="auto"/>
        <w:jc w:val="both"/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</w:pPr>
      <w:r w:rsidRPr="009D25E2">
        <w:rPr>
          <w:rFonts w:asciiTheme="minorHAnsi" w:hAnsiTheme="minorHAnsi"/>
          <w:sz w:val="22"/>
          <w:szCs w:val="22"/>
          <w:lang w:eastAsia="en-US"/>
        </w:rPr>
        <w:t>V</w:t>
      </w:r>
      <w:r w:rsidR="000274DC">
        <w:rPr>
          <w:rFonts w:asciiTheme="minorHAnsi" w:hAnsiTheme="minorHAnsi"/>
          <w:sz w:val="22"/>
          <w:szCs w:val="22"/>
          <w:lang w:eastAsia="en-US"/>
        </w:rPr>
        <w:t>engo a hablar</w:t>
      </w:r>
      <w:r w:rsidRPr="009D25E2">
        <w:rPr>
          <w:rFonts w:asciiTheme="minorHAnsi" w:hAnsiTheme="minorHAnsi"/>
          <w:sz w:val="22"/>
          <w:szCs w:val="22"/>
          <w:lang w:eastAsia="en-US"/>
        </w:rPr>
        <w:t xml:space="preserve"> sobre Zika</w:t>
      </w:r>
      <w:r w:rsidR="002353BA" w:rsidRPr="009D25E2">
        <w:rPr>
          <w:rFonts w:asciiTheme="minorHAnsi" w:hAnsiTheme="minorHAnsi"/>
          <w:sz w:val="22"/>
          <w:szCs w:val="22"/>
          <w:lang w:eastAsia="en-US"/>
        </w:rPr>
        <w:t>, una epidemia de la que todavía tenemos mucho que aprender</w:t>
      </w:r>
      <w:r w:rsidR="00562097" w:rsidRPr="009D25E2">
        <w:rPr>
          <w:rFonts w:asciiTheme="minorHAnsi" w:hAnsiTheme="minorHAnsi"/>
          <w:sz w:val="22"/>
          <w:szCs w:val="22"/>
          <w:lang w:eastAsia="en-US"/>
        </w:rPr>
        <w:t xml:space="preserve"> y </w:t>
      </w:r>
      <w:r w:rsidR="001470D9">
        <w:rPr>
          <w:rFonts w:asciiTheme="minorHAnsi" w:hAnsiTheme="minorHAnsi"/>
          <w:sz w:val="22"/>
          <w:szCs w:val="22"/>
          <w:lang w:eastAsia="en-US"/>
        </w:rPr>
        <w:t xml:space="preserve">que </w:t>
      </w:r>
      <w:r w:rsidR="002353BA" w:rsidRPr="009D25E2">
        <w:rPr>
          <w:rFonts w:asciiTheme="minorHAnsi" w:hAnsiTheme="minorHAnsi"/>
          <w:sz w:val="22"/>
          <w:szCs w:val="22"/>
          <w:lang w:eastAsia="en-US"/>
        </w:rPr>
        <w:t>ha afectado de manera</w:t>
      </w:r>
      <w:r w:rsidR="006A1288">
        <w:rPr>
          <w:rFonts w:asciiTheme="minorHAnsi" w:hAnsiTheme="minorHAnsi"/>
          <w:sz w:val="22"/>
          <w:szCs w:val="22"/>
          <w:lang w:eastAsia="en-US"/>
        </w:rPr>
        <w:t xml:space="preserve"> desproporcional a las mujeres </w:t>
      </w:r>
      <w:r w:rsidR="002353BA" w:rsidRPr="009D25E2">
        <w:rPr>
          <w:rFonts w:asciiTheme="minorHAnsi" w:hAnsiTheme="minorHAnsi"/>
          <w:sz w:val="22"/>
          <w:szCs w:val="22"/>
          <w:lang w:eastAsia="en-US"/>
        </w:rPr>
        <w:t xml:space="preserve">en </w:t>
      </w:r>
      <w:r w:rsidR="00562097" w:rsidRPr="009D25E2">
        <w:rPr>
          <w:rFonts w:asciiTheme="minorHAnsi" w:hAnsiTheme="minorHAnsi"/>
          <w:sz w:val="22"/>
          <w:szCs w:val="22"/>
          <w:lang w:eastAsia="en-US"/>
        </w:rPr>
        <w:t>América Latina y el Caribe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 xml:space="preserve"> (LAC)</w:t>
      </w:r>
      <w:r w:rsidR="001470D9">
        <w:rPr>
          <w:rFonts w:asciiTheme="minorHAnsi" w:hAnsiTheme="minorHAnsi"/>
          <w:sz w:val="22"/>
          <w:szCs w:val="22"/>
          <w:lang w:eastAsia="en-US"/>
        </w:rPr>
        <w:t>. E</w:t>
      </w:r>
      <w:r w:rsidR="00E6087B">
        <w:rPr>
          <w:rFonts w:asciiTheme="minorHAnsi" w:hAnsiTheme="minorHAnsi"/>
          <w:sz w:val="22"/>
          <w:szCs w:val="22"/>
          <w:lang w:eastAsia="en-US"/>
        </w:rPr>
        <w:t xml:space="preserve">sta epidemia 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>estalló en LAC</w:t>
      </w:r>
      <w:r w:rsidRPr="009D25E2">
        <w:rPr>
          <w:rFonts w:asciiTheme="minorHAnsi" w:hAnsiTheme="minorHAnsi"/>
          <w:sz w:val="22"/>
          <w:szCs w:val="22"/>
          <w:lang w:eastAsia="en-US"/>
        </w:rPr>
        <w:t xml:space="preserve"> en </w:t>
      </w:r>
      <w:r w:rsidR="005B6AD2" w:rsidRPr="009D25E2">
        <w:rPr>
          <w:rFonts w:asciiTheme="minorHAnsi" w:hAnsiTheme="minorHAnsi"/>
          <w:sz w:val="22"/>
          <w:szCs w:val="22"/>
          <w:lang w:eastAsia="en-US"/>
        </w:rPr>
        <w:t>el año 2015, cuando apareció en el noroeste de Bras</w:t>
      </w:r>
      <w:r w:rsidR="001470D9">
        <w:rPr>
          <w:rFonts w:asciiTheme="minorHAnsi" w:hAnsiTheme="minorHAnsi"/>
          <w:sz w:val="22"/>
          <w:szCs w:val="22"/>
          <w:lang w:eastAsia="en-US"/>
        </w:rPr>
        <w:t xml:space="preserve">il. </w:t>
      </w:r>
      <w:r w:rsidR="00043451" w:rsidRPr="009D25E2">
        <w:rPr>
          <w:rFonts w:asciiTheme="minorHAnsi" w:hAnsiTheme="minorHAnsi"/>
          <w:sz w:val="22"/>
          <w:szCs w:val="22"/>
          <w:lang w:eastAsia="en-US"/>
        </w:rPr>
        <w:t>S</w:t>
      </w:r>
      <w:r w:rsidR="00043451" w:rsidRPr="005B6AD2">
        <w:rPr>
          <w:rFonts w:asciiTheme="minorHAnsi" w:hAnsiTheme="minorHAnsi"/>
          <w:sz w:val="22"/>
          <w:szCs w:val="22"/>
          <w:lang w:val="uz-Cyrl-UZ" w:eastAsia="en-US"/>
        </w:rPr>
        <w:t>egún la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>Organización Panamericana de la Salud (PAHO)</w:t>
      </w:r>
      <w:r w:rsidR="00043451" w:rsidRPr="005B6AD2">
        <w:rPr>
          <w:rFonts w:asciiTheme="minorHAnsi" w:hAnsiTheme="minorHAnsi"/>
          <w:sz w:val="22"/>
          <w:szCs w:val="22"/>
          <w:lang w:val="uz-Cyrl-UZ" w:eastAsia="en-US"/>
        </w:rPr>
        <w:t xml:space="preserve">, al menos </w:t>
      </w:r>
      <w:r w:rsidR="00043451" w:rsidRPr="005B6AD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20 países </w:t>
      </w:r>
      <w:r w:rsidR="000274DC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>de la región</w:t>
      </w:r>
      <w:r w:rsidR="006857A7" w:rsidRPr="009D25E2">
        <w:rPr>
          <w:rStyle w:val="FootnoteReference"/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footnoteReference w:id="1"/>
      </w:r>
      <w:r w:rsidRPr="009D25E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 </w:t>
      </w:r>
      <w:r w:rsidR="001470D9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ya </w:t>
      </w:r>
      <w:r w:rsidR="00043451" w:rsidRPr="005B6AD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han reportado </w:t>
      </w:r>
      <w:r w:rsidR="00043451" w:rsidRPr="009D25E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>casos de</w:t>
      </w:r>
      <w:r w:rsidR="00043451" w:rsidRPr="005B6AD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 Zika</w:t>
      </w:r>
      <w:r w:rsidRPr="009D25E2">
        <w:rPr>
          <w:rStyle w:val="FootnoteReference"/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footnoteReference w:id="2"/>
      </w:r>
      <w:r w:rsidR="002D3735" w:rsidRPr="009D25E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. </w:t>
      </w:r>
    </w:p>
    <w:p w:rsidR="002D3735" w:rsidRPr="002934AF" w:rsidRDefault="000274DC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uz-Cyrl-UZ" w:eastAsia="en-US"/>
        </w:rPr>
      </w:pPr>
      <w:r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>A</w:t>
      </w:r>
      <w:r w:rsidR="001470D9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 principios de 2016, l</w:t>
      </w:r>
      <w:r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>La Organización Mundial de la Salud (OMS) declaró</w:t>
      </w:r>
      <w:r w:rsidR="005A1762">
        <w:rPr>
          <w:rFonts w:asciiTheme="minorHAnsi" w:hAnsiTheme="minorHAnsi"/>
          <w:sz w:val="22"/>
          <w:szCs w:val="22"/>
          <w:shd w:val="clear" w:color="auto" w:fill="FFFFFF"/>
          <w:lang w:val="pt-BR" w:eastAsia="en-US"/>
        </w:rPr>
        <w:t xml:space="preserve"> el Zika como una</w:t>
      </w:r>
      <w:r w:rsidR="001470D9" w:rsidRPr="009D25E2">
        <w:rPr>
          <w:rFonts w:asciiTheme="minorHAnsi" w:hAnsiTheme="minorHAnsi"/>
          <w:sz w:val="22"/>
          <w:szCs w:val="22"/>
          <w:lang w:eastAsia="en-US"/>
        </w:rPr>
        <w:t xml:space="preserve"> “emergencia de salud pública de preocupación internacional”</w:t>
      </w:r>
      <w:r w:rsidR="005A1762">
        <w:rPr>
          <w:rFonts w:asciiTheme="minorHAnsi" w:hAnsiTheme="minorHAnsi"/>
          <w:sz w:val="22"/>
          <w:szCs w:val="22"/>
          <w:lang w:eastAsia="en-US"/>
        </w:rPr>
        <w:t xml:space="preserve">, teniendo en cuenta </w:t>
      </w:r>
      <w:r w:rsidR="002D3735" w:rsidRPr="009D25E2">
        <w:rPr>
          <w:rFonts w:asciiTheme="minorHAnsi" w:hAnsiTheme="minorHAnsi"/>
          <w:sz w:val="22"/>
          <w:szCs w:val="22"/>
          <w:lang w:eastAsia="en-US"/>
        </w:rPr>
        <w:t xml:space="preserve">los </w:t>
      </w:r>
      <w:r w:rsidR="00043451" w:rsidRPr="009D25E2">
        <w:rPr>
          <w:rFonts w:asciiTheme="minorHAnsi" w:hAnsiTheme="minorHAnsi"/>
          <w:sz w:val="22"/>
          <w:szCs w:val="22"/>
          <w:lang w:eastAsia="en-US"/>
        </w:rPr>
        <w:t>graves</w:t>
      </w:r>
      <w:r w:rsidR="00043451" w:rsidRPr="005B6AD2">
        <w:rPr>
          <w:rFonts w:asciiTheme="minorHAnsi" w:hAnsiTheme="minorHAnsi"/>
          <w:sz w:val="22"/>
          <w:szCs w:val="22"/>
          <w:lang w:val="uz-Cyrl-UZ" w:eastAsia="en-US"/>
        </w:rPr>
        <w:t xml:space="preserve"> efectos 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 xml:space="preserve">que tiene </w:t>
      </w:r>
      <w:r w:rsidR="00043451" w:rsidRPr="005B6AD2">
        <w:rPr>
          <w:rFonts w:asciiTheme="minorHAnsi" w:hAnsiTheme="minorHAnsi"/>
          <w:sz w:val="22"/>
          <w:szCs w:val="22"/>
          <w:lang w:val="uz-Cyrl-UZ" w:eastAsia="en-US"/>
        </w:rPr>
        <w:t>en la salud de las mu</w:t>
      </w:r>
      <w:r w:rsidR="00043451" w:rsidRPr="009D25E2">
        <w:rPr>
          <w:rFonts w:asciiTheme="minorHAnsi" w:hAnsiTheme="minorHAnsi"/>
          <w:sz w:val="22"/>
          <w:szCs w:val="22"/>
          <w:lang w:val="uz-Cyrl-UZ" w:eastAsia="en-US"/>
        </w:rPr>
        <w:t>jeres en estado de embarazo</w:t>
      </w:r>
      <w:r w:rsidR="002D3735" w:rsidRPr="009D25E2">
        <w:rPr>
          <w:rFonts w:asciiTheme="minorHAnsi" w:hAnsiTheme="minorHAnsi"/>
          <w:sz w:val="22"/>
          <w:szCs w:val="22"/>
          <w:lang w:val="uz-Cyrl-UZ" w:eastAsia="en-US"/>
        </w:rPr>
        <w:t xml:space="preserve">, 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>ya que puede provocar</w:t>
      </w:r>
      <w:r w:rsidR="002D3735" w:rsidRPr="009D25E2">
        <w:rPr>
          <w:rFonts w:asciiTheme="minorHAnsi" w:hAnsiTheme="minorHAnsi"/>
          <w:sz w:val="22"/>
          <w:szCs w:val="22"/>
          <w:lang w:val="uz-Cyrl-UZ" w:eastAsia="en-US"/>
        </w:rPr>
        <w:t xml:space="preserve"> abortos y muertes fetales </w:t>
      </w:r>
      <w:r w:rsidR="00043451" w:rsidRPr="009D25E2">
        <w:rPr>
          <w:rFonts w:asciiTheme="minorHAnsi" w:hAnsiTheme="minorHAnsi"/>
          <w:sz w:val="22"/>
          <w:szCs w:val="22"/>
          <w:lang w:val="uz-Cyrl-UZ" w:eastAsia="en-US"/>
        </w:rPr>
        <w:t>y el aumento de nacimientos de ninos con microcefalia</w:t>
      </w:r>
      <w:r w:rsidR="002D3735" w:rsidRPr="009D25E2">
        <w:rPr>
          <w:rFonts w:asciiTheme="minorHAnsi" w:hAnsiTheme="minorHAnsi"/>
          <w:sz w:val="22"/>
          <w:szCs w:val="22"/>
          <w:lang w:eastAsia="en-US"/>
        </w:rPr>
        <w:t>,</w:t>
      </w:r>
      <w:r w:rsidR="002D3735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2D3735" w:rsidRPr="000138B0">
        <w:rPr>
          <w:rFonts w:asciiTheme="minorHAnsi" w:hAnsiTheme="minorHAnsi"/>
          <w:sz w:val="22"/>
          <w:szCs w:val="22"/>
          <w:lang w:val="es-UY" w:eastAsia="en-US"/>
        </w:rPr>
        <w:t>desestructuración del sistema nervioso central</w:t>
      </w:r>
      <w:r w:rsidR="002D3735" w:rsidRPr="009D25E2">
        <w:rPr>
          <w:rFonts w:asciiTheme="minorHAnsi" w:hAnsiTheme="minorHAnsi"/>
          <w:sz w:val="22"/>
          <w:szCs w:val="22"/>
          <w:lang w:val="es-UY" w:eastAsia="en-US"/>
        </w:rPr>
        <w:t/>
      </w:r>
      <w:r w:rsidR="002D3735" w:rsidRPr="009D25E2">
        <w:rPr>
          <w:rFonts w:asciiTheme="minorHAnsi" w:hAnsiTheme="minorHAnsi"/>
          <w:sz w:val="22"/>
          <w:szCs w:val="22"/>
          <w:lang w:eastAsia="en-US"/>
        </w:rPr>
        <w:t xml:space="preserve"> y otras complicaciones 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 xml:space="preserve">como afectaciones neurológicas </w:t>
      </w:r>
      <w:r w:rsidR="00485290">
        <w:rPr>
          <w:rFonts w:asciiTheme="minorHAnsi" w:hAnsiTheme="minorHAnsi"/>
          <w:sz w:val="22"/>
          <w:szCs w:val="22"/>
          <w:lang w:eastAsia="en-US"/>
        </w:rPr>
        <w:t>y de desarrollo</w:t>
      </w:r>
      <w:r w:rsidR="00485290">
        <w:rPr>
          <w:rStyle w:val="FootnoteReference"/>
          <w:rFonts w:asciiTheme="minorHAnsi" w:hAnsiTheme="minorHAnsi"/>
          <w:sz w:val="22"/>
          <w:szCs w:val="22"/>
          <w:lang w:eastAsia="en-US"/>
        </w:rPr>
        <w:footnoteReference w:id="3"/>
      </w:r>
      <w:r w:rsidR="002D3735" w:rsidRPr="009D25E2">
        <w:rPr>
          <w:rFonts w:asciiTheme="minorHAnsi" w:hAnsiTheme="minorHAnsi"/>
          <w:sz w:val="22"/>
          <w:szCs w:val="22"/>
          <w:lang w:eastAsia="en-US"/>
        </w:rPr>
        <w:t xml:space="preserve">. </w:t>
      </w:r>
    </w:p>
    <w:p w:rsidR="002D3735" w:rsidRPr="000138B0" w:rsidRDefault="002D3735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uz-Cyrl-UZ" w:eastAsia="en-US"/>
        </w:rPr>
      </w:pPr>
      <w:r w:rsidRPr="009D25E2">
        <w:rPr>
          <w:rFonts w:asciiTheme="minorHAnsi" w:hAnsiTheme="minorHAnsi"/>
          <w:sz w:val="22"/>
          <w:szCs w:val="22"/>
          <w:lang w:eastAsia="en-US"/>
        </w:rPr>
        <w:t xml:space="preserve">Conscientes del </w:t>
      </w:r>
      <w:r w:rsidR="00AB2A6A" w:rsidRPr="009D25E2">
        <w:rPr>
          <w:rFonts w:asciiTheme="minorHAnsi" w:hAnsiTheme="minorHAnsi"/>
          <w:sz w:val="22"/>
          <w:szCs w:val="22"/>
          <w:lang w:eastAsia="en-US"/>
        </w:rPr>
        <w:t xml:space="preserve">alto y desproporcionado </w:t>
      </w:r>
      <w:r w:rsidRPr="009D25E2">
        <w:rPr>
          <w:rFonts w:asciiTheme="minorHAnsi" w:hAnsiTheme="minorHAnsi"/>
          <w:sz w:val="22"/>
          <w:szCs w:val="22"/>
          <w:lang w:eastAsia="en-US"/>
        </w:rPr>
        <w:t>impacto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AB2A6A" w:rsidRPr="009D25E2">
        <w:rPr>
          <w:rFonts w:asciiTheme="minorHAnsi" w:hAnsiTheme="minorHAnsi"/>
          <w:sz w:val="22"/>
          <w:szCs w:val="22"/>
          <w:lang w:val="es-UY" w:eastAsia="en-US"/>
        </w:rPr>
        <w:t xml:space="preserve">que el virus Zika tiene sobre 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>la salud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 reproductiva de las mujeres,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Pr="000138B0">
        <w:rPr>
          <w:rFonts w:asciiTheme="minorHAnsi" w:hAnsiTheme="minorHAnsi"/>
          <w:sz w:val="22"/>
          <w:szCs w:val="22"/>
          <w:lang w:val="es-UY" w:eastAsia="en-US"/>
        </w:rPr>
        <w:t>organizaciones internacionales y regionales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6A1288">
        <w:rPr>
          <w:rFonts w:asciiTheme="minorHAnsi" w:hAnsiTheme="minorHAnsi"/>
          <w:sz w:val="22"/>
          <w:szCs w:val="22"/>
          <w:lang w:val="es-UY" w:eastAsia="en-US"/>
        </w:rPr>
        <w:t>de</w:t>
      </w:r>
      <w:r w:rsidRPr="000138B0">
        <w:rPr>
          <w:rFonts w:asciiTheme="minorHAnsi" w:hAnsiTheme="minorHAnsi"/>
          <w:sz w:val="22"/>
          <w:szCs w:val="22"/>
          <w:lang w:val="es-UY" w:eastAsia="en-US"/>
        </w:rPr>
        <w:t xml:space="preserve"> derechos humanos, </w:t>
      </w:r>
      <w:r w:rsidR="00AB2A6A" w:rsidRPr="009D25E2">
        <w:rPr>
          <w:rFonts w:asciiTheme="minorHAnsi" w:hAnsiTheme="minorHAnsi"/>
          <w:sz w:val="22"/>
          <w:szCs w:val="22"/>
          <w:lang w:val="es-UY" w:eastAsia="en-US"/>
        </w:rPr>
        <w:t>se pronunciaron</w:t>
      </w:r>
      <w:r w:rsidRPr="000138B0">
        <w:rPr>
          <w:rFonts w:asciiTheme="minorHAnsi" w:hAnsiTheme="minorHAnsi"/>
          <w:sz w:val="22"/>
          <w:szCs w:val="22"/>
          <w:lang w:val="es-UY" w:eastAsia="en-US"/>
        </w:rPr>
        <w:t xml:space="preserve"> resaltando la</w:t>
      </w:r>
      <w:r w:rsidR="006857A7" w:rsidRPr="009D25E2">
        <w:rPr>
          <w:rFonts w:asciiTheme="minorHAnsi" w:hAnsiTheme="minorHAnsi"/>
          <w:sz w:val="22"/>
          <w:szCs w:val="22"/>
          <w:lang w:val="es-UY" w:eastAsia="en-US"/>
        </w:rPr>
        <w:t xml:space="preserve"> obligación internacional que recae sobre los Estados de garantizar sin discriminación el acceso de las mujeres a toda la gama de salud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sexual y reproductiva</w:t>
      </w:r>
      <w:r w:rsidR="00F334DA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Pr="000138B0">
        <w:rPr>
          <w:rFonts w:asciiTheme="minorHAnsi" w:hAnsiTheme="minorHAnsi"/>
          <w:sz w:val="22"/>
          <w:szCs w:val="22"/>
          <w:lang w:val="es-UY" w:eastAsia="en-US"/>
        </w:rPr>
        <w:t>como una respuesta efectiva a esta crisis de salud pública</w:t>
      </w:r>
      <w:r w:rsidR="00AB2A6A" w:rsidRPr="009D25E2">
        <w:rPr>
          <w:rStyle w:val="FootnoteReference"/>
          <w:rFonts w:asciiTheme="minorHAnsi" w:hAnsiTheme="minorHAnsi"/>
          <w:sz w:val="22"/>
          <w:szCs w:val="22"/>
          <w:lang w:val="es-UY" w:eastAsia="en-US"/>
        </w:rPr>
        <w:footnoteReference w:id="4"/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>.</w:t>
      </w:r>
    </w:p>
    <w:p w:rsidR="00B3507B" w:rsidRPr="009D25E2" w:rsidRDefault="00F334DA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 w:rsidRPr="009D25E2">
        <w:rPr>
          <w:rFonts w:asciiTheme="minorHAnsi" w:hAnsiTheme="minorHAnsi"/>
          <w:sz w:val="22"/>
          <w:szCs w:val="22"/>
          <w:lang w:eastAsia="en-US"/>
        </w:rPr>
        <w:t>Desafortunadamente, l</w:t>
      </w:r>
      <w:r w:rsidR="00562097" w:rsidRPr="009D25E2">
        <w:rPr>
          <w:rFonts w:asciiTheme="minorHAnsi" w:hAnsiTheme="minorHAnsi"/>
          <w:sz w:val="22"/>
          <w:szCs w:val="22"/>
          <w:lang w:eastAsia="en-US"/>
        </w:rPr>
        <w:t>a misma respuesta no fue dada</w:t>
      </w:r>
      <w:r w:rsidR="00AB2A6A" w:rsidRPr="009D25E2">
        <w:rPr>
          <w:rFonts w:asciiTheme="minorHAnsi" w:hAnsiTheme="minorHAnsi"/>
          <w:sz w:val="22"/>
          <w:szCs w:val="22"/>
          <w:lang w:eastAsia="en-US"/>
        </w:rPr>
        <w:t xml:space="preserve"> por algunos de los países más afectados por el Zika, que se limitaron</w:t>
      </w:r>
      <w:r w:rsidR="00E6087B">
        <w:rPr>
          <w:rFonts w:asciiTheme="minorHAnsi" w:hAnsiTheme="minorHAnsi"/>
          <w:sz w:val="22"/>
          <w:szCs w:val="22"/>
          <w:lang w:eastAsia="en-US"/>
        </w:rPr>
        <w:t xml:space="preserve"> a controlar el vector y</w:t>
      </w:r>
      <w:r w:rsidR="00AB2A6A" w:rsidRPr="009D25E2">
        <w:rPr>
          <w:rFonts w:asciiTheme="minorHAnsi" w:hAnsiTheme="minorHAnsi"/>
          <w:sz w:val="22"/>
          <w:szCs w:val="22"/>
          <w:lang w:eastAsia="en-US"/>
        </w:rPr>
        <w:t xml:space="preserve"> a urgir a las</w:t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 xml:space="preserve"> mujeres 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 xml:space="preserve">a </w:t>
      </w:r>
      <w:r w:rsidR="007C6AEA" w:rsidRPr="009D25E2">
        <w:rPr>
          <w:rFonts w:asciiTheme="minorHAnsi" w:hAnsiTheme="minorHAnsi"/>
          <w:sz w:val="22"/>
          <w:szCs w:val="22"/>
          <w:lang w:eastAsia="en-US"/>
        </w:rPr>
        <w:t>que pospusieran</w:t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 xml:space="preserve"> sus embarazos. Est</w:t>
      </w:r>
      <w:r w:rsidR="00FE4ED5" w:rsidRPr="009D25E2">
        <w:rPr>
          <w:rFonts w:asciiTheme="minorHAnsi" w:hAnsiTheme="minorHAnsi"/>
          <w:sz w:val="22"/>
          <w:szCs w:val="22"/>
          <w:lang w:eastAsia="en-US"/>
        </w:rPr>
        <w:t>a</w:t>
      </w:r>
      <w:r w:rsidR="00AB2A6A" w:rsidRPr="009D25E2">
        <w:rPr>
          <w:rFonts w:asciiTheme="minorHAnsi" w:hAnsiTheme="minorHAnsi"/>
          <w:sz w:val="22"/>
          <w:szCs w:val="22"/>
          <w:lang w:eastAsia="en-US"/>
        </w:rPr>
        <w:t xml:space="preserve"> recomendación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 xml:space="preserve"> es inoperable en una región en donde</w:t>
      </w:r>
      <w:r w:rsidR="000824E4" w:rsidRPr="009D25E2">
        <w:rPr>
          <w:rFonts w:asciiTheme="minorHAnsi" w:hAnsiTheme="minorHAnsi"/>
          <w:sz w:val="22"/>
          <w:szCs w:val="22"/>
          <w:lang w:eastAsia="en-US"/>
        </w:rPr>
        <w:t xml:space="preserve"> aprox. </w:t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 xml:space="preserve">un 55% </w:t>
      </w:r>
      <w:r w:rsidR="006857A7" w:rsidRPr="009D25E2">
        <w:rPr>
          <w:rFonts w:asciiTheme="minorHAnsi" w:hAnsiTheme="minorHAnsi"/>
          <w:sz w:val="22"/>
          <w:szCs w:val="22"/>
          <w:lang w:eastAsia="en-US"/>
        </w:rPr>
        <w:t xml:space="preserve">de los embarazos </w:t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>no son deseados</w:t>
      </w:r>
      <w:r w:rsidRPr="009D25E2">
        <w:rPr>
          <w:rStyle w:val="FootnoteReference"/>
          <w:rFonts w:asciiTheme="minorHAnsi" w:hAnsiTheme="minorHAnsi"/>
          <w:sz w:val="22"/>
          <w:szCs w:val="22"/>
          <w:lang w:eastAsia="en-US"/>
        </w:rPr>
        <w:footnoteReference w:id="5"/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 xml:space="preserve">, el acceso a información veraz y completa sobre salud sexual y reproductiva es escaza, la disponibilidad de anticonceptivos es limitada, las cifras de violencia sexual altas </w:t>
      </w:r>
      <w:r w:rsidR="00AB2A6A" w:rsidRPr="009D25E2">
        <w:rPr>
          <w:rStyle w:val="FootnoteReference"/>
          <w:rFonts w:asciiTheme="minorHAnsi" w:hAnsiTheme="minorHAnsi"/>
          <w:sz w:val="22"/>
          <w:szCs w:val="22"/>
          <w:lang w:eastAsia="en-US"/>
        </w:rPr>
        <w:footnoteReference w:id="6"/>
      </w:r>
      <w:r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>y las legislaciones en cuestión de aborto restrictivas</w:t>
      </w:r>
      <w:r w:rsidRPr="009D25E2">
        <w:rPr>
          <w:rStyle w:val="FootnoteReference"/>
          <w:rFonts w:asciiTheme="minorHAnsi" w:hAnsiTheme="minorHAnsi"/>
          <w:sz w:val="22"/>
          <w:szCs w:val="22"/>
          <w:lang w:eastAsia="en-US"/>
        </w:rPr>
        <w:footnoteReference w:id="7"/>
      </w:r>
      <w:r w:rsidR="002B18D8" w:rsidRPr="002B18D8">
        <w:rPr>
          <w:rFonts w:asciiTheme="minorHAnsi" w:hAnsiTheme="minorHAnsi"/>
          <w:sz w:val="22"/>
          <w:szCs w:val="22"/>
          <w:lang w:eastAsia="en-US"/>
        </w:rPr>
        <w:t>.</w:t>
      </w:r>
      <w:r w:rsidR="000824E4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B3507B" w:rsidRPr="009D25E2">
        <w:rPr>
          <w:rFonts w:asciiTheme="minorHAnsi" w:hAnsiTheme="minorHAnsi"/>
          <w:sz w:val="22"/>
          <w:szCs w:val="22"/>
          <w:lang w:eastAsia="en-US"/>
        </w:rPr>
        <w:t xml:space="preserve">A lo anterior agreguemos que </w:t>
      </w:r>
      <w:r w:rsidR="00B3507B" w:rsidRPr="009D25E2">
        <w:rPr>
          <w:rFonts w:asciiTheme="minorHAnsi" w:hAnsiTheme="minorHAnsi"/>
          <w:sz w:val="22"/>
          <w:szCs w:val="22"/>
        </w:rPr>
        <w:t>en el contexto de Zika</w:t>
      </w:r>
      <w:r w:rsidR="00B3507B" w:rsidRPr="002B18D8">
        <w:rPr>
          <w:rFonts w:asciiTheme="minorHAnsi" w:hAnsiTheme="minorHAnsi"/>
          <w:sz w:val="22"/>
          <w:szCs w:val="22"/>
          <w:lang w:val="es-UY" w:eastAsia="en-US"/>
        </w:rPr>
        <w:t xml:space="preserve"> -como tantas otras veces</w:t>
      </w:r>
      <w:r w:rsidR="00B3507B" w:rsidRPr="009D25E2">
        <w:rPr>
          <w:rStyle w:val="FootnoteReference"/>
          <w:rFonts w:asciiTheme="minorHAnsi" w:hAnsiTheme="minorHAnsi"/>
          <w:sz w:val="22"/>
          <w:szCs w:val="22"/>
          <w:lang w:val="es-UY" w:eastAsia="en-US"/>
        </w:rPr>
        <w:footnoteReference w:id="8"/>
      </w:r>
      <w:r w:rsidR="00B3507B" w:rsidRPr="009D25E2">
        <w:rPr>
          <w:rFonts w:asciiTheme="minorHAnsi" w:hAnsiTheme="minorHAnsi"/>
          <w:sz w:val="22"/>
          <w:szCs w:val="22"/>
          <w:lang w:val="es-UY" w:eastAsia="en-US"/>
        </w:rPr>
        <w:t>–  las mujeres de bajos ingresos, aquellas que viven en zonas rurales o las</w:t>
      </w:r>
      <w:r w:rsidR="00B3507B" w:rsidRPr="002B18D8">
        <w:rPr>
          <w:rFonts w:asciiTheme="minorHAnsi" w:hAnsiTheme="minorHAnsi"/>
          <w:sz w:val="22"/>
          <w:szCs w:val="22"/>
          <w:lang w:val="es-UY" w:eastAsia="en-US"/>
        </w:rPr>
        <w:t xml:space="preserve"> pertenecientes a grupos vulnerables</w:t>
      </w:r>
      <w:r w:rsidR="00B3507B" w:rsidRPr="009D25E2">
        <w:rPr>
          <w:rFonts w:asciiTheme="minorHAnsi" w:hAnsiTheme="minorHAnsi"/>
          <w:sz w:val="22"/>
          <w:szCs w:val="22"/>
          <w:lang w:val="es-UY" w:eastAsia="en-US"/>
        </w:rPr>
        <w:t>,</w:t>
      </w:r>
      <w:r w:rsidR="00B3507B" w:rsidRPr="002B18D8">
        <w:rPr>
          <w:rFonts w:asciiTheme="minorHAnsi" w:hAnsiTheme="minorHAnsi"/>
          <w:sz w:val="22"/>
          <w:szCs w:val="22"/>
        </w:rPr>
        <w:t xml:space="preserve"> </w:t>
      </w:r>
      <w:r w:rsidR="007C6AEA" w:rsidRPr="009D25E2">
        <w:rPr>
          <w:rFonts w:asciiTheme="minorHAnsi" w:hAnsiTheme="minorHAnsi"/>
          <w:sz w:val="22"/>
          <w:szCs w:val="22"/>
        </w:rPr>
        <w:t>han sido</w:t>
      </w:r>
      <w:r w:rsidR="00B3507B" w:rsidRPr="009D25E2">
        <w:rPr>
          <w:rFonts w:asciiTheme="minorHAnsi" w:hAnsiTheme="minorHAnsi"/>
          <w:sz w:val="22"/>
          <w:szCs w:val="22"/>
        </w:rPr>
        <w:t xml:space="preserve"> </w:t>
      </w:r>
      <w:r w:rsidR="00B3507B" w:rsidRPr="002B18D8">
        <w:rPr>
          <w:rFonts w:asciiTheme="minorHAnsi" w:hAnsiTheme="minorHAnsi"/>
          <w:sz w:val="22"/>
          <w:szCs w:val="22"/>
        </w:rPr>
        <w:t>las más afectadas</w:t>
      </w:r>
      <w:r w:rsidR="00B3507B" w:rsidRPr="009D25E2">
        <w:rPr>
          <w:rStyle w:val="FootnoteReference"/>
          <w:rFonts w:asciiTheme="minorHAnsi" w:hAnsiTheme="minorHAnsi"/>
          <w:sz w:val="22"/>
          <w:szCs w:val="22"/>
        </w:rPr>
        <w:footnoteReference w:id="9"/>
      </w:r>
      <w:r w:rsidR="00B3507B" w:rsidRPr="009D25E2">
        <w:rPr>
          <w:rFonts w:asciiTheme="minorHAnsi" w:hAnsiTheme="minorHAnsi"/>
          <w:sz w:val="22"/>
          <w:szCs w:val="22"/>
          <w:lang w:val="es-UY" w:eastAsia="en-US"/>
        </w:rPr>
        <w:t>.</w:t>
      </w:r>
    </w:p>
    <w:p w:rsidR="00D1683F" w:rsidRPr="009D25E2" w:rsidRDefault="00E6087B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val="es-UY" w:eastAsia="en-US"/>
        </w:rPr>
        <w:t>Lo anterior evidenció algunos vacíos</w:t>
      </w:r>
      <w:r w:rsidR="00CF3349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AB2A6A" w:rsidRPr="009D25E2">
        <w:rPr>
          <w:rFonts w:asciiTheme="minorHAnsi" w:hAnsiTheme="minorHAnsi"/>
          <w:sz w:val="22"/>
          <w:szCs w:val="22"/>
          <w:lang w:eastAsia="en-US"/>
        </w:rPr>
        <w:t xml:space="preserve">legislativos y de políticas públicas </w:t>
      </w:r>
      <w:r>
        <w:rPr>
          <w:rFonts w:asciiTheme="minorHAnsi" w:hAnsiTheme="minorHAnsi"/>
          <w:sz w:val="22"/>
          <w:szCs w:val="22"/>
          <w:lang w:eastAsia="en-US"/>
        </w:rPr>
        <w:t>en materia de</w:t>
      </w:r>
      <w:r w:rsidR="004A75DB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CF3349" w:rsidRPr="009D25E2">
        <w:rPr>
          <w:rFonts w:asciiTheme="minorHAnsi" w:hAnsiTheme="minorHAnsi"/>
          <w:sz w:val="22"/>
          <w:szCs w:val="22"/>
          <w:lang w:eastAsia="en-US"/>
        </w:rPr>
        <w:t>salud sexual y reproductiva</w:t>
      </w:r>
      <w:r w:rsidR="00B3507B" w:rsidRPr="009D25E2">
        <w:rPr>
          <w:rFonts w:asciiTheme="minorHAnsi" w:hAnsiTheme="minorHAnsi"/>
          <w:sz w:val="22"/>
          <w:szCs w:val="22"/>
          <w:lang w:eastAsia="en-US"/>
        </w:rPr>
        <w:t>,</w:t>
      </w:r>
      <w:r>
        <w:rPr>
          <w:rFonts w:asciiTheme="minorHAnsi" w:hAnsiTheme="minorHAnsi"/>
          <w:sz w:val="22"/>
          <w:szCs w:val="22"/>
          <w:lang w:eastAsia="en-US"/>
        </w:rPr>
        <w:t xml:space="preserve"> y la falta de una respuesta eficaz incrementó las</w:t>
      </w:r>
      <w:r w:rsidR="004A75DB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F334DA" w:rsidRPr="009D25E2">
        <w:rPr>
          <w:rStyle w:val="CommentReference"/>
          <w:rFonts w:asciiTheme="minorHAnsi" w:hAnsiTheme="minorHAnsi"/>
          <w:sz w:val="22"/>
          <w:szCs w:val="22"/>
        </w:rPr>
        <w:t/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 xml:space="preserve">desigualdades 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>de acceso a la salud</w:t>
      </w:r>
      <w:r w:rsidR="004A75DB" w:rsidRPr="009D25E2">
        <w:rPr>
          <w:rFonts w:asciiTheme="minorHAnsi" w:hAnsiTheme="minorHAnsi"/>
          <w:sz w:val="22"/>
          <w:szCs w:val="22"/>
          <w:lang w:eastAsia="en-US"/>
        </w:rPr>
        <w:t>.</w:t>
      </w:r>
      <w:r w:rsidR="00F334DA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</w:p>
    <w:p w:rsidR="004A75DB" w:rsidRPr="009D25E2" w:rsidRDefault="005F4262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es-UY" w:eastAsia="en-US"/>
        </w:rPr>
      </w:pP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El Centro de Derechos Reproductivos está elaborando un informe sobre los efectos de Zika en 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los países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má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s afectados</w:t>
      </w:r>
      <w:r w:rsidR="00C43CC4" w:rsidRPr="009D25E2">
        <w:rPr>
          <w:rStyle w:val="FootnoteReference"/>
          <w:rFonts w:asciiTheme="minorHAnsi" w:hAnsiTheme="minorHAnsi"/>
          <w:sz w:val="22"/>
          <w:szCs w:val="22"/>
          <w:lang w:val="es-UY" w:eastAsia="en-US"/>
        </w:rPr>
        <w:footnoteReference w:id="10"/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. 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Entrando en</w:t>
      </w:r>
      <w:r w:rsidR="00B3507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mayor detalle, hemos encontrado otras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 xml:space="preserve"> barreras</w:t>
      </w:r>
      <w:r w:rsidR="007C6AEA" w:rsidRPr="009D25E2">
        <w:rPr>
          <w:rFonts w:asciiTheme="minorHAnsi" w:hAnsiTheme="minorHAnsi"/>
          <w:sz w:val="22"/>
          <w:szCs w:val="22"/>
          <w:lang w:val="es-UY" w:eastAsia="en-US"/>
        </w:rPr>
        <w:t>,</w:t>
      </w:r>
      <w:r w:rsidR="00B3507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como a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>ltos costos de métodos anticonceptivos, falta de disponibilidad de la pastilla de anticoncepción de emergencia, distancias largas para acceder a las clínicas,</w:t>
      </w:r>
      <w:r w:rsidR="00E053D0">
        <w:rPr>
          <w:rFonts w:asciiTheme="minorHAnsi" w:hAnsiTheme="minorHAnsi"/>
          <w:sz w:val="22"/>
          <w:szCs w:val="22"/>
          <w:lang w:val="es-UY" w:eastAsia="en-US"/>
        </w:rPr>
        <w:t xml:space="preserve"> información deficiente sobre el virus y su control.</w:t>
      </w:r>
    </w:p>
    <w:p w:rsidR="004A75DB" w:rsidRPr="009D25E2" w:rsidRDefault="007C6AEA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es-UY" w:eastAsia="en-US"/>
        </w:rPr>
      </w:pPr>
      <w:r w:rsidRPr="009D25E2">
        <w:rPr>
          <w:rFonts w:asciiTheme="minorHAnsi" w:hAnsiTheme="minorHAnsi"/>
          <w:sz w:val="22"/>
          <w:szCs w:val="22"/>
          <w:lang w:val="es-UY" w:eastAsia="en-US"/>
        </w:rPr>
        <w:t>E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n aquellos países en donde las mujeres 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>pueden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acceder a un aborto para salvaguardar su salud, como Colombia, los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y las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profesionales de la salud 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están 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 xml:space="preserve">fallando en 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>facilita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r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 información sobre las opciones existentes o 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en prestar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 los servicios solicitados por las mujeres,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>muchas veces a causa de ausencia de protocolos en la materia.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</w:p>
    <w:p w:rsidR="004A75DB" w:rsidRPr="009D25E2" w:rsidRDefault="005F4262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es-UY" w:eastAsia="en-US"/>
        </w:rPr>
      </w:pPr>
      <w:r w:rsidRPr="009D25E2">
        <w:rPr>
          <w:rFonts w:asciiTheme="minorHAnsi" w:hAnsiTheme="minorHAnsi"/>
          <w:sz w:val="22"/>
          <w:szCs w:val="22"/>
          <w:lang w:val="es-UY" w:eastAsia="en-US"/>
        </w:rPr>
        <w:t>En aquellos países en donde existen prohibiciones absolutas al aborto,</w:t>
      </w:r>
      <w:r w:rsidR="00496CC3" w:rsidRPr="009D25E2">
        <w:rPr>
          <w:rFonts w:asciiTheme="minorHAnsi" w:hAnsiTheme="minorHAnsi"/>
          <w:sz w:val="22"/>
          <w:szCs w:val="22"/>
          <w:lang w:val="es-UY" w:eastAsia="en-US"/>
        </w:rPr>
        <w:t xml:space="preserve"> las mujeres 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>no pueden acceder a este servicio de salud, sin enfrentar el riesgo de ser c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 xml:space="preserve">ondenadas </w:t>
      </w:r>
      <w:r w:rsidR="00496CC3" w:rsidRPr="009D25E2">
        <w:rPr>
          <w:rFonts w:asciiTheme="minorHAnsi" w:hAnsiTheme="minorHAnsi"/>
          <w:sz w:val="22"/>
          <w:szCs w:val="22"/>
          <w:lang w:val="es-UY" w:eastAsia="en-US"/>
        </w:rPr>
        <w:t xml:space="preserve">hasta 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a </w:t>
      </w:r>
      <w:r w:rsidR="00496CC3" w:rsidRPr="009D25E2">
        <w:rPr>
          <w:rFonts w:asciiTheme="minorHAnsi" w:hAnsiTheme="minorHAnsi"/>
          <w:sz w:val="22"/>
          <w:szCs w:val="22"/>
          <w:lang w:val="es-UY" w:eastAsia="en-US"/>
        </w:rPr>
        <w:t>30 años de cárcel</w:t>
      </w:r>
      <w:r w:rsidR="00E6087B">
        <w:rPr>
          <w:rFonts w:asciiTheme="minorHAnsi" w:hAnsiTheme="minorHAnsi"/>
          <w:sz w:val="22"/>
          <w:szCs w:val="22"/>
          <w:lang w:val="es-UY" w:eastAsia="en-US"/>
        </w:rPr>
        <w:t>, como en El Salvador</w:t>
      </w:r>
      <w:r w:rsidR="00496BB8">
        <w:rPr>
          <w:rFonts w:asciiTheme="minorHAnsi" w:hAnsiTheme="minorHAnsi"/>
          <w:sz w:val="22"/>
          <w:szCs w:val="22"/>
          <w:lang w:val="es-UY" w:eastAsia="en-US"/>
        </w:rPr>
        <w:t xml:space="preserve">. La </w:t>
      </w:r>
      <w:r w:rsidR="002934AF">
        <w:rPr>
          <w:rFonts w:asciiTheme="minorHAnsi" w:hAnsiTheme="minorHAnsi"/>
          <w:sz w:val="22"/>
          <w:szCs w:val="22"/>
          <w:lang w:val="es-UY" w:eastAsia="en-US"/>
        </w:rPr>
        <w:t xml:space="preserve">posibilidad de que los abortos clandestinos aumenten en este contexto es sumamente grave para la vida de las mujeres, ya que </w:t>
      </w:r>
      <w:r w:rsidR="00496CC3" w:rsidRPr="002B18D8">
        <w:rPr>
          <w:rFonts w:asciiTheme="minorHAnsi" w:hAnsiTheme="minorHAnsi"/>
          <w:sz w:val="22"/>
          <w:szCs w:val="22"/>
          <w:lang w:val="es-UY" w:eastAsia="en-US"/>
        </w:rPr>
        <w:t>las tasas de muerte en LAC por consecuencia de ello son de las más altas del mundo</w:t>
      </w:r>
      <w:r w:rsidR="00B3507B" w:rsidRPr="009D25E2">
        <w:rPr>
          <w:rStyle w:val="FootnoteReference"/>
          <w:rFonts w:asciiTheme="minorHAnsi" w:hAnsiTheme="minorHAnsi"/>
          <w:sz w:val="22"/>
          <w:szCs w:val="22"/>
          <w:lang w:val="es-UY" w:eastAsia="en-US"/>
        </w:rPr>
        <w:footnoteReference w:id="11"/>
      </w:r>
      <w:r w:rsidR="00496CC3" w:rsidRPr="002B18D8">
        <w:rPr>
          <w:rFonts w:asciiTheme="minorHAnsi" w:hAnsiTheme="minorHAnsi"/>
          <w:sz w:val="22"/>
          <w:szCs w:val="22"/>
          <w:lang w:val="es-UY" w:eastAsia="en-US"/>
        </w:rPr>
        <w:t>.</w:t>
      </w:r>
      <w:r w:rsidR="00F77DBF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</w:p>
    <w:p w:rsidR="004A75DB" w:rsidRPr="009D25E2" w:rsidRDefault="00F77DBF" w:rsidP="009D25E2">
      <w:pPr>
        <w:spacing w:after="160" w:line="360" w:lineRule="auto"/>
        <w:jc w:val="both"/>
        <w:rPr>
          <w:rFonts w:asciiTheme="minorHAnsi" w:hAnsiTheme="minorHAnsi"/>
          <w:sz w:val="22"/>
          <w:szCs w:val="22"/>
          <w:lang w:val="es-UY" w:eastAsia="en-US"/>
        </w:rPr>
      </w:pPr>
      <w:r w:rsidRPr="009D25E2">
        <w:rPr>
          <w:rFonts w:asciiTheme="minorHAnsi" w:hAnsiTheme="minorHAnsi"/>
          <w:sz w:val="22"/>
          <w:szCs w:val="22"/>
          <w:lang w:val="es-UY" w:eastAsia="en-US"/>
        </w:rPr>
        <w:t>D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>ebo agregar que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>,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inclusive,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aquellas mujeres que decidieron autónomamente 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 xml:space="preserve">continuar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con sus embarazos bajo estas circunstancias, tampoco </w:t>
      </w:r>
      <w:r w:rsidR="00496BB8">
        <w:rPr>
          <w:rFonts w:asciiTheme="minorHAnsi" w:hAnsiTheme="minorHAnsi"/>
          <w:sz w:val="22"/>
          <w:szCs w:val="22"/>
          <w:lang w:val="es-UY" w:eastAsia="en-US"/>
        </w:rPr>
        <w:t>han recibido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información completa sobre los ri</w:t>
      </w:r>
      <w:r w:rsidR="00E053D0">
        <w:rPr>
          <w:rFonts w:asciiTheme="minorHAnsi" w:hAnsiTheme="minorHAnsi"/>
          <w:sz w:val="22"/>
          <w:szCs w:val="22"/>
          <w:lang w:val="es-UY" w:eastAsia="en-US"/>
        </w:rPr>
        <w:t xml:space="preserve">esgos, </w:t>
      </w:r>
      <w:r w:rsidR="00485290">
        <w:rPr>
          <w:rFonts w:asciiTheme="minorHAnsi" w:hAnsiTheme="minorHAnsi"/>
          <w:sz w:val="22"/>
          <w:szCs w:val="22"/>
          <w:lang w:val="es-UY" w:eastAsia="en-US"/>
        </w:rPr>
        <w:t xml:space="preserve">implicaciones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o </w:t>
      </w:r>
      <w:r w:rsidR="00496BB8">
        <w:rPr>
          <w:rFonts w:asciiTheme="minorHAnsi" w:hAnsiTheme="minorHAnsi"/>
          <w:sz w:val="22"/>
          <w:szCs w:val="22"/>
          <w:lang w:val="es-UY" w:eastAsia="en-US"/>
        </w:rPr>
        <w:t xml:space="preserve">prestaciones médicas </w:t>
      </w:r>
      <w:r w:rsidR="003C268E">
        <w:rPr>
          <w:rFonts w:asciiTheme="minorHAnsi" w:hAnsiTheme="minorHAnsi"/>
          <w:sz w:val="22"/>
          <w:szCs w:val="22"/>
          <w:lang w:val="es-UY" w:eastAsia="en-US"/>
        </w:rPr>
        <w:t xml:space="preserve">especializadas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>para que tanto ellas durante su maternidad y sus hijos</w:t>
      </w:r>
      <w:r w:rsidR="007C6AEA" w:rsidRPr="009D25E2">
        <w:rPr>
          <w:rFonts w:asciiTheme="minorHAnsi" w:hAnsiTheme="minorHAnsi"/>
          <w:sz w:val="22"/>
          <w:szCs w:val="22"/>
          <w:lang w:val="es-UY" w:eastAsia="en-US"/>
        </w:rPr>
        <w:t xml:space="preserve"> una vez nacidos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496BB8">
        <w:rPr>
          <w:rFonts w:asciiTheme="minorHAnsi" w:hAnsiTheme="minorHAnsi"/>
          <w:sz w:val="22"/>
          <w:szCs w:val="22"/>
          <w:lang w:val="es-UY" w:eastAsia="en-US"/>
        </w:rPr>
        <w:t>puedan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 xml:space="preserve"> acceder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a la</w:t>
      </w:r>
      <w:r w:rsidR="0050480C" w:rsidRPr="009D25E2">
        <w:rPr>
          <w:rFonts w:asciiTheme="minorHAnsi" w:hAnsiTheme="minorHAnsi"/>
          <w:sz w:val="22"/>
          <w:szCs w:val="22"/>
          <w:lang w:val="es-UY" w:eastAsia="en-US"/>
        </w:rPr>
        <w:t xml:space="preserve"> protección </w:t>
      </w:r>
      <w:r w:rsidR="003C268E">
        <w:rPr>
          <w:rFonts w:asciiTheme="minorHAnsi" w:hAnsiTheme="minorHAnsi"/>
          <w:sz w:val="22"/>
          <w:szCs w:val="22"/>
          <w:lang w:val="es-UY" w:eastAsia="en-US"/>
        </w:rPr>
        <w:t>que e</w:t>
      </w:r>
      <w:r w:rsidR="0050480C" w:rsidRPr="009D25E2">
        <w:rPr>
          <w:rFonts w:asciiTheme="minorHAnsi" w:hAnsiTheme="minorHAnsi"/>
          <w:sz w:val="22"/>
          <w:szCs w:val="22"/>
          <w:lang w:val="es-UY" w:eastAsia="en-US"/>
        </w:rPr>
        <w:t xml:space="preserve">nfermedades como la microcefalia requieren </w:t>
      </w:r>
      <w:r w:rsidR="00C8361F" w:rsidRPr="009D25E2">
        <w:rPr>
          <w:rFonts w:asciiTheme="minorHAnsi" w:hAnsiTheme="minorHAnsi"/>
          <w:sz w:val="22"/>
          <w:szCs w:val="22"/>
          <w:lang w:val="es-UY" w:eastAsia="en-US"/>
        </w:rPr>
        <w:t>–</w:t>
      </w:r>
      <w:r w:rsidR="003C268E">
        <w:rPr>
          <w:rFonts w:asciiTheme="minorHAnsi" w:hAnsiTheme="minorHAnsi"/>
          <w:sz w:val="22"/>
          <w:szCs w:val="22"/>
          <w:lang w:val="es-UY" w:eastAsia="en-US"/>
        </w:rPr>
        <w:t xml:space="preserve">como </w:t>
      </w:r>
      <w:r w:rsidR="00C8361F" w:rsidRPr="009D25E2">
        <w:rPr>
          <w:rFonts w:asciiTheme="minorHAnsi" w:hAnsiTheme="minorHAnsi"/>
          <w:sz w:val="22"/>
          <w:szCs w:val="22"/>
          <w:lang w:val="es-UY" w:eastAsia="en-US"/>
        </w:rPr>
        <w:t>revisiones médicas periódicas para monitorear el crecimiento y el desarrollo</w:t>
      </w:r>
      <w:r w:rsidR="004A75DB" w:rsidRPr="009D25E2">
        <w:rPr>
          <w:rFonts w:asciiTheme="minorHAnsi" w:hAnsiTheme="minorHAnsi"/>
          <w:sz w:val="22"/>
          <w:szCs w:val="22"/>
          <w:lang w:val="es-UY" w:eastAsia="en-US"/>
        </w:rPr>
        <w:t>-.</w:t>
      </w:r>
    </w:p>
    <w:p w:rsidR="003C268E" w:rsidRDefault="002934AF" w:rsidP="009D25E2">
      <w:pPr>
        <w:spacing w:after="160" w:line="360" w:lineRule="auto"/>
        <w:jc w:val="both"/>
        <w:rPr>
          <w:rFonts w:asciiTheme="minorHAnsi" w:eastAsia="Times New Roman" w:hAnsiTheme="minorHAnsi" w:cs="Arial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val="es-UY" w:eastAsia="en-US"/>
        </w:rPr>
        <w:t>El control del vector del mosquito</w:t>
      </w:r>
      <w:r w:rsidR="00C8361F" w:rsidRPr="009D25E2">
        <w:rPr>
          <w:rFonts w:asciiTheme="minorHAnsi" w:hAnsiTheme="minorHAnsi"/>
          <w:sz w:val="22"/>
          <w:szCs w:val="22"/>
          <w:lang w:val="es-UY" w:eastAsia="en-US"/>
        </w:rPr>
        <w:t xml:space="preserve"> es importante, </w:t>
      </w:r>
      <w:r>
        <w:rPr>
          <w:rFonts w:asciiTheme="minorHAnsi" w:hAnsiTheme="minorHAnsi"/>
          <w:sz w:val="22"/>
          <w:szCs w:val="22"/>
          <w:lang w:val="es-UY" w:eastAsia="en-US"/>
        </w:rPr>
        <w:t xml:space="preserve">pero </w:t>
      </w:r>
      <w:r w:rsidR="00C8361F" w:rsidRPr="009D25E2">
        <w:rPr>
          <w:rFonts w:asciiTheme="minorHAnsi" w:hAnsiTheme="minorHAnsi"/>
          <w:sz w:val="22"/>
          <w:szCs w:val="22"/>
          <w:lang w:val="es-UY" w:eastAsia="en-US"/>
        </w:rPr>
        <w:t xml:space="preserve">no es suficiente. Sin una respuesta integral con enfoque diferencial a una epidemia que afecta de manera sustancial a un grupo poblacional, en este caso, las mujeres, los Estados </w:t>
      </w:r>
      <w:r w:rsidR="002B18D8" w:rsidRPr="002B18D8">
        <w:rPr>
          <w:rFonts w:asciiTheme="minorHAnsi" w:hAnsiTheme="minorHAnsi"/>
          <w:sz w:val="22"/>
          <w:szCs w:val="22"/>
          <w:lang w:val="es-UY" w:eastAsia="en-US"/>
        </w:rPr>
        <w:t>estarían permitiendo que se perpetúen</w:t>
      </w:r>
      <w:r w:rsidR="009B2D84" w:rsidRPr="009D25E2">
        <w:rPr>
          <w:rFonts w:asciiTheme="minorHAnsi" w:hAnsiTheme="minorHAnsi"/>
          <w:sz w:val="22"/>
          <w:szCs w:val="22"/>
          <w:lang w:val="es-UY" w:eastAsia="en-US"/>
        </w:rPr>
        <w:t xml:space="preserve"> estereotipos y</w:t>
      </w:r>
      <w:r w:rsidR="00C8361F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2B18D8" w:rsidRPr="002B18D8">
        <w:rPr>
          <w:rFonts w:asciiTheme="minorHAnsi" w:eastAsia="Times New Roman" w:hAnsiTheme="minorHAnsi" w:cs="Arial"/>
          <w:sz w:val="22"/>
          <w:szCs w:val="22"/>
          <w:lang w:eastAsia="es-ES"/>
        </w:rPr>
        <w:t>situaciones de discriminación</w:t>
      </w:r>
      <w:r w:rsidR="00C8361F" w:rsidRPr="009D25E2">
        <w:rPr>
          <w:rFonts w:asciiTheme="minorHAnsi" w:eastAsia="Times New Roman" w:hAnsiTheme="minorHAnsi" w:cs="Arial"/>
          <w:sz w:val="22"/>
          <w:szCs w:val="22"/>
          <w:lang w:eastAsia="es-ES"/>
        </w:rPr>
        <w:t xml:space="preserve"> de género, basada en pobreza, en falta de educación y en un conjunto de inequidades étnico raciales que atraviesan no sólo és</w:t>
      </w:r>
      <w:r w:rsidR="00485290">
        <w:rPr>
          <w:rFonts w:asciiTheme="minorHAnsi" w:eastAsia="Times New Roman" w:hAnsiTheme="minorHAnsi" w:cs="Arial"/>
          <w:sz w:val="22"/>
          <w:szCs w:val="22"/>
          <w:lang w:eastAsia="es-ES"/>
        </w:rPr>
        <w:t>te, sino muchos temas de salud</w:t>
      </w:r>
      <w:r w:rsidR="005E4748" w:rsidRPr="009D25E2">
        <w:rPr>
          <w:rStyle w:val="FootnoteReference"/>
          <w:rFonts w:asciiTheme="minorHAnsi" w:eastAsia="Times New Roman" w:hAnsiTheme="minorHAnsi" w:cs="Arial"/>
          <w:sz w:val="22"/>
          <w:szCs w:val="22"/>
          <w:lang w:val="es-ES" w:eastAsia="en-US"/>
        </w:rPr>
        <w:footnoteReference w:id="12"/>
      </w:r>
      <w:r w:rsidR="00485290">
        <w:rPr>
          <w:rFonts w:asciiTheme="minorHAnsi" w:eastAsia="Times New Roman" w:hAnsiTheme="minorHAnsi" w:cs="Arial"/>
          <w:sz w:val="22"/>
          <w:szCs w:val="22"/>
          <w:lang w:val="es-ES" w:eastAsia="es-ES"/>
        </w:rPr>
        <w:t xml:space="preserve">. </w:t>
      </w:r>
      <w:r w:rsidR="003C268E" w:rsidRPr="009D25E2">
        <w:rPr>
          <w:rFonts w:asciiTheme="minorHAnsi" w:eastAsia="Times New Roman" w:hAnsiTheme="minorHAnsi" w:cs="Arial"/>
          <w:sz w:val="22"/>
          <w:szCs w:val="22"/>
          <w:lang w:eastAsia="es-ES"/>
        </w:rPr>
        <w:t xml:space="preserve">En este sentido, reproducir </w:t>
      </w:r>
      <w:r w:rsidR="003C268E"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distinciones arbitrarias o desproporcionadas en las recomendaciones frente a la crisis –como pedir a las mujeres que no se embaracen, sin garantizar ningún otro método de salud reproductiva- </w:t>
      </w:r>
      <w:r w:rsidR="003C268E">
        <w:rPr>
          <w:rFonts w:asciiTheme="minorHAnsi" w:eastAsia="Times New Roman" w:hAnsiTheme="minorHAnsi" w:cs="Arial"/>
          <w:sz w:val="22"/>
          <w:szCs w:val="22"/>
          <w:lang w:eastAsia="en-US"/>
        </w:rPr>
        <w:t>no solventa</w:t>
      </w:r>
      <w:r w:rsidR="003C268E"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el impacto perjudicial que el Zika ya tiene sobre </w:t>
      </w:r>
      <w:r w:rsidR="003C268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estos </w:t>
      </w:r>
      <w:r w:rsidR="003C268E"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>grupos en situación de vulnerabilidad.</w:t>
      </w:r>
    </w:p>
    <w:p w:rsidR="008C6B04" w:rsidRPr="00496BB8" w:rsidRDefault="005E4748" w:rsidP="009D25E2">
      <w:pPr>
        <w:spacing w:after="160" w:line="360" w:lineRule="auto"/>
        <w:jc w:val="both"/>
        <w:rPr>
          <w:rStyle w:val="CommentReference"/>
          <w:rFonts w:asciiTheme="minorHAnsi" w:hAnsiTheme="minorHAnsi"/>
          <w:sz w:val="22"/>
          <w:szCs w:val="22"/>
          <w:lang w:val="es-UY" w:eastAsia="en-US"/>
        </w:rPr>
      </w:pPr>
      <w:r w:rsidRPr="00496BB8">
        <w:rPr>
          <w:rFonts w:asciiTheme="minorHAnsi" w:eastAsia="Times New Roman" w:hAnsiTheme="minorHAnsi" w:cs="Arial"/>
          <w:b/>
          <w:sz w:val="22"/>
          <w:szCs w:val="22"/>
          <w:lang w:val="es-UY" w:eastAsia="en-US"/>
        </w:rPr>
        <w:t>¿</w:t>
      </w:r>
      <w:r w:rsidRPr="00496BB8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Qué medidas específicas deben entonces ser tomadas para enfrentar esta crisi</w:t>
      </w:r>
      <w:r w:rsidR="008C6B04" w:rsidRPr="00496BB8">
        <w:rPr>
          <w:rFonts w:asciiTheme="minorHAnsi" w:eastAsia="Times New Roman" w:hAnsiTheme="minorHAnsi" w:cs="Arial"/>
          <w:b/>
          <w:sz w:val="22"/>
          <w:szCs w:val="22"/>
          <w:lang w:eastAsia="en-US"/>
        </w:rPr>
        <w:t>s con un enfoque de género y de derechos?</w:t>
      </w:r>
      <w:r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</w:t>
      </w:r>
    </w:p>
    <w:p w:rsidR="00B802E2" w:rsidRPr="003C268E" w:rsidRDefault="00496BB8" w:rsidP="009D25E2">
      <w:pPr>
        <w:spacing w:after="160" w:line="360" w:lineRule="auto"/>
        <w:jc w:val="both"/>
        <w:rPr>
          <w:rStyle w:val="CommentReference"/>
          <w:rFonts w:asciiTheme="minorHAnsi" w:eastAsia="Times New Roman" w:hAnsiTheme="minorHAnsi" w:cs="Arial"/>
          <w:sz w:val="22"/>
          <w:szCs w:val="22"/>
          <w:lang w:eastAsia="en-US"/>
        </w:rPr>
      </w:pPr>
      <w:r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Para contribuir a la consecución del objetivo 5 de la agenda 2030 relativo a la igualdad de género, </w:t>
      </w:r>
      <w:r w:rsidR="00D64159"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>Sociedad civil, Estados y Comunidad Internacional debemos segui</w:t>
      </w:r>
      <w:r w:rsidR="003C268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r promoviendo la adopción de </w:t>
      </w:r>
      <w:r w:rsidR="003C268E" w:rsidRPr="009D25E2">
        <w:rPr>
          <w:rFonts w:asciiTheme="minorHAnsi" w:hAnsiTheme="minorHAnsi"/>
          <w:sz w:val="22"/>
          <w:szCs w:val="22"/>
        </w:rPr>
        <w:t xml:space="preserve">legislaciones y políticas públicas </w:t>
      </w:r>
      <w:r w:rsidR="003C268E" w:rsidRPr="009D25E2">
        <w:rPr>
          <w:rFonts w:asciiTheme="minorHAnsi" w:hAnsiTheme="minorHAnsi"/>
          <w:sz w:val="22"/>
          <w:szCs w:val="22"/>
          <w:lang w:val="es-UY" w:eastAsia="en-US"/>
        </w:rPr>
        <w:t>inclusivas e integrales que puedan revertir el actual estado de vulnerabilidad frente a la epi</w:t>
      </w:r>
      <w:r w:rsidR="003C268E">
        <w:rPr>
          <w:rFonts w:asciiTheme="minorHAnsi" w:hAnsiTheme="minorHAnsi"/>
          <w:sz w:val="22"/>
          <w:szCs w:val="22"/>
          <w:lang w:val="es-UY" w:eastAsia="en-US"/>
        </w:rPr>
        <w:t xml:space="preserve">demia y garantizar los derechos y </w:t>
      </w:r>
      <w:r w:rsidR="003C268E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="003C268E" w:rsidRPr="009D25E2">
        <w:rPr>
          <w:rFonts w:asciiTheme="minorHAnsi" w:hAnsiTheme="minorHAnsi"/>
          <w:sz w:val="22"/>
          <w:szCs w:val="22"/>
        </w:rPr>
        <w:t xml:space="preserve">obligaciones internacionales </w:t>
      </w:r>
      <w:r w:rsidR="003C268E">
        <w:rPr>
          <w:rFonts w:asciiTheme="minorHAnsi" w:hAnsiTheme="minorHAnsi"/>
          <w:sz w:val="22"/>
          <w:szCs w:val="22"/>
        </w:rPr>
        <w:t>existentes en la materia</w:t>
      </w:r>
      <w:r w:rsidR="003C268E" w:rsidRPr="009D25E2">
        <w:rPr>
          <w:rFonts w:asciiTheme="minorHAnsi" w:hAnsiTheme="minorHAnsi"/>
          <w:sz w:val="22"/>
          <w:szCs w:val="22"/>
        </w:rPr>
        <w:t>.</w:t>
      </w:r>
      <w:r w:rsidR="003C268E">
        <w:rPr>
          <w:rFonts w:asciiTheme="minorHAnsi" w:eastAsia="Times New Roman" w:hAnsiTheme="minorHAnsi" w:cs="Arial"/>
          <w:sz w:val="22"/>
          <w:szCs w:val="22"/>
          <w:lang w:eastAsia="en-US"/>
        </w:rPr>
        <w:t xml:space="preserve"> En ese sentido, es de vital importancia, según lo establecido por diferentes tratados internacionales, impulsar e</w:t>
      </w:r>
      <w:r w:rsidR="00D64159" w:rsidRPr="009D25E2">
        <w:rPr>
          <w:rFonts w:asciiTheme="minorHAnsi" w:eastAsia="Times New Roman" w:hAnsiTheme="minorHAnsi" w:cs="Arial"/>
          <w:sz w:val="22"/>
          <w:szCs w:val="22"/>
          <w:lang w:eastAsia="en-US"/>
        </w:rPr>
        <w:t>l reconocimiento de</w:t>
      </w:r>
      <w:r w:rsidR="00D64159" w:rsidRPr="009D25E2">
        <w:rPr>
          <w:rFonts w:asciiTheme="minorHAnsi" w:hAnsiTheme="minorHAnsi" w:cs="Arial"/>
          <w:sz w:val="22"/>
          <w:szCs w:val="22"/>
          <w:lang w:eastAsia="en-US"/>
        </w:rPr>
        <w:t xml:space="preserve"> los derechos reproductivos como</w:t>
      </w:r>
      <w:r w:rsidR="003C268E">
        <w:rPr>
          <w:rFonts w:asciiTheme="minorHAnsi" w:hAnsiTheme="minorHAnsi" w:cs="Arial"/>
          <w:sz w:val="22"/>
          <w:szCs w:val="22"/>
          <w:lang w:eastAsia="en-US"/>
        </w:rPr>
        <w:t xml:space="preserve"> derechos humanos, en conexión con el </w:t>
      </w:r>
      <w:r w:rsidR="00B802E2" w:rsidRPr="009D25E2">
        <w:rPr>
          <w:rFonts w:asciiTheme="minorHAnsi" w:hAnsiTheme="minorHAnsi" w:cs="Arial"/>
          <w:sz w:val="22"/>
          <w:szCs w:val="22"/>
          <w:lang w:eastAsia="en-US"/>
        </w:rPr>
        <w:t xml:space="preserve">derecho </w:t>
      </w:r>
      <w:r w:rsidR="003C268E">
        <w:rPr>
          <w:rFonts w:asciiTheme="minorHAnsi" w:hAnsiTheme="minorHAnsi" w:cs="Arial"/>
          <w:sz w:val="22"/>
          <w:szCs w:val="22"/>
          <w:lang w:eastAsia="en-US"/>
        </w:rPr>
        <w:t xml:space="preserve">a la </w:t>
      </w:r>
      <w:r w:rsidR="00E95E0F" w:rsidRPr="009D25E2">
        <w:rPr>
          <w:rFonts w:asciiTheme="minorHAnsi" w:hAnsiTheme="minorHAnsi"/>
          <w:bCs/>
          <w:sz w:val="22"/>
          <w:szCs w:val="22"/>
          <w:lang w:eastAsia="en-US"/>
        </w:rPr>
        <w:t>educación, la dignidad</w:t>
      </w:r>
      <w:r w:rsidR="00E6087B">
        <w:rPr>
          <w:rFonts w:asciiTheme="minorHAnsi" w:hAnsiTheme="minorHAnsi"/>
          <w:bCs/>
          <w:sz w:val="22"/>
          <w:szCs w:val="22"/>
          <w:lang w:eastAsia="en-US"/>
        </w:rPr>
        <w:t xml:space="preserve"> humana, </w:t>
      </w:r>
      <w:r w:rsidR="00E95E0F" w:rsidRPr="009D25E2">
        <w:rPr>
          <w:rFonts w:asciiTheme="minorHAnsi" w:hAnsiTheme="minorHAnsi"/>
          <w:bCs/>
          <w:sz w:val="22"/>
          <w:szCs w:val="22"/>
          <w:lang w:eastAsia="en-US"/>
        </w:rPr>
        <w:t>la igualdad y no discriminación</w:t>
      </w:r>
      <w:r>
        <w:rPr>
          <w:rFonts w:asciiTheme="minorHAnsi" w:hAnsiTheme="minorHAnsi"/>
          <w:bCs/>
          <w:sz w:val="22"/>
          <w:szCs w:val="22"/>
          <w:lang w:eastAsia="en-US"/>
        </w:rPr>
        <w:t>, la autonomía y derecho a estar libre de tratos y penas crueles, inhumanas y degradantes</w:t>
      </w:r>
      <w:r>
        <w:rPr>
          <w:rStyle w:val="FootnoteReference"/>
          <w:rFonts w:asciiTheme="minorHAnsi" w:hAnsiTheme="minorHAnsi"/>
          <w:bCs/>
          <w:sz w:val="22"/>
          <w:szCs w:val="22"/>
          <w:lang w:eastAsia="en-US"/>
        </w:rPr>
        <w:footnoteReference w:id="13"/>
      </w:r>
      <w:r w:rsidR="00E95E0F" w:rsidRPr="009D25E2">
        <w:rPr>
          <w:rFonts w:asciiTheme="minorHAnsi" w:hAnsiTheme="minorHAnsi"/>
          <w:bCs/>
          <w:sz w:val="22"/>
          <w:szCs w:val="22"/>
          <w:lang w:eastAsia="en-US"/>
        </w:rPr>
        <w:t>.</w:t>
      </w:r>
      <w:r w:rsidR="00E95E0F" w:rsidRPr="009D25E2">
        <w:rPr>
          <w:rStyle w:val="CommentReference"/>
          <w:rFonts w:asciiTheme="minorHAnsi" w:hAnsiTheme="minorHAnsi"/>
          <w:sz w:val="22"/>
          <w:szCs w:val="22"/>
        </w:rPr>
        <w:t xml:space="preserve"> </w:t>
      </w:r>
      <w:r w:rsidR="00E95E0F" w:rsidRPr="009D25E2">
        <w:rPr>
          <w:rStyle w:val="CommentReference"/>
          <w:rFonts w:asciiTheme="minorHAnsi" w:hAnsiTheme="minorHAnsi"/>
          <w:sz w:val="22"/>
          <w:szCs w:val="22"/>
        </w:rPr>
        <w:t/>
      </w:r>
      <w:r>
        <w:rPr>
          <w:rStyle w:val="CommentReference"/>
          <w:rFonts w:asciiTheme="minorHAnsi" w:hAnsiTheme="minorHAnsi"/>
          <w:sz w:val="22"/>
          <w:szCs w:val="22"/>
        </w:rPr>
        <w:t>Por lo anterior,</w:t>
      </w:r>
      <w:r w:rsidR="00B802E2" w:rsidRPr="009D25E2">
        <w:rPr>
          <w:rStyle w:val="CommentReference"/>
          <w:rFonts w:asciiTheme="minorHAnsi" w:hAnsiTheme="minorHAnsi"/>
          <w:sz w:val="22"/>
          <w:szCs w:val="22"/>
        </w:rPr>
        <w:t xml:space="preserve"> debe garantizarse:</w:t>
      </w:r>
    </w:p>
    <w:p w:rsidR="00B802E2" w:rsidRPr="009D25E2" w:rsidRDefault="00B802E2" w:rsidP="009D25E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9D25E2">
        <w:rPr>
          <w:rStyle w:val="CommentReference"/>
          <w:rFonts w:asciiTheme="minorHAnsi" w:hAnsiTheme="minorHAnsi"/>
          <w:sz w:val="22"/>
          <w:szCs w:val="22"/>
        </w:rPr>
        <w:t xml:space="preserve"> </w:t>
      </w:r>
      <w:r w:rsidR="00A72EEC" w:rsidRPr="009D25E2">
        <w:rPr>
          <w:rFonts w:asciiTheme="minorHAnsi" w:hAnsiTheme="minorHAnsi"/>
          <w:sz w:val="22"/>
          <w:szCs w:val="22"/>
        </w:rPr>
        <w:t xml:space="preserve">El derecho de </w:t>
      </w:r>
      <w:r w:rsidR="004D4440" w:rsidRPr="009D25E2">
        <w:rPr>
          <w:rFonts w:asciiTheme="minorHAnsi" w:hAnsiTheme="minorHAnsi" w:cs="Arial"/>
          <w:sz w:val="22"/>
          <w:szCs w:val="22"/>
          <w:lang w:eastAsia="en-US"/>
        </w:rPr>
        <w:t xml:space="preserve">la </w:t>
      </w:r>
      <w:r w:rsidR="00A72EEC" w:rsidRPr="009D25E2">
        <w:rPr>
          <w:rFonts w:asciiTheme="minorHAnsi" w:hAnsiTheme="minorHAnsi" w:cs="Arial"/>
          <w:sz w:val="22"/>
          <w:szCs w:val="22"/>
          <w:lang w:eastAsia="en-US"/>
        </w:rPr>
        <w:t>mujer a tomar decisi</w:t>
      </w:r>
      <w:r w:rsidRPr="009D25E2">
        <w:rPr>
          <w:rFonts w:asciiTheme="minorHAnsi" w:hAnsiTheme="minorHAnsi" w:cs="Arial"/>
          <w:sz w:val="22"/>
          <w:szCs w:val="22"/>
          <w:lang w:eastAsia="en-US"/>
        </w:rPr>
        <w:t>ones informadas sobre su cuerpo</w:t>
      </w:r>
      <w:r w:rsidR="004D4440" w:rsidRPr="009D25E2">
        <w:rPr>
          <w:rFonts w:asciiTheme="minorHAnsi" w:hAnsiTheme="minorHAnsi" w:cs="Arial"/>
          <w:sz w:val="22"/>
          <w:szCs w:val="22"/>
          <w:lang w:eastAsia="en-US"/>
        </w:rPr>
        <w:t xml:space="preserve">. El objetivo </w:t>
      </w:r>
      <w:r w:rsidR="004D4440" w:rsidRPr="009D25E2">
        <w:rPr>
          <w:rFonts w:asciiTheme="minorHAnsi" w:hAnsiTheme="minorHAnsi"/>
          <w:sz w:val="22"/>
          <w:szCs w:val="22"/>
          <w:lang w:val="es-UY" w:eastAsia="en-US"/>
        </w:rPr>
        <w:t>clave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 xml:space="preserve"> en el contexto del Zika,</w:t>
      </w:r>
      <w:r w:rsidR="004D4440" w:rsidRPr="009D25E2">
        <w:rPr>
          <w:rFonts w:asciiTheme="minorHAnsi" w:hAnsiTheme="minorHAnsi"/>
          <w:sz w:val="22"/>
          <w:szCs w:val="22"/>
          <w:lang w:val="es-UY" w:eastAsia="en-US"/>
        </w:rPr>
        <w:t xml:space="preserve"> es ofrecer a las mujeres</w:t>
      </w:r>
      <w:r w:rsidR="002C2F83">
        <w:rPr>
          <w:rFonts w:asciiTheme="minorHAnsi" w:hAnsiTheme="minorHAnsi"/>
          <w:sz w:val="22"/>
          <w:szCs w:val="22"/>
          <w:lang w:val="es-UY" w:eastAsia="en-US"/>
        </w:rPr>
        <w:t>, sobre todo a aquellas que viven en las zonas más afectadas,</w:t>
      </w:r>
      <w:r w:rsidR="00181878" w:rsidRPr="009D25E2">
        <w:rPr>
          <w:rFonts w:asciiTheme="minorHAnsi" w:hAnsiTheme="minorHAnsi"/>
          <w:sz w:val="22"/>
          <w:szCs w:val="22"/>
          <w:lang w:val="es-UY" w:eastAsia="en-US"/>
        </w:rPr>
        <w:t xml:space="preserve"> la posibilidad de comprender la situación de la epidemia y de la afección que padecen para que así tengan la posibilidad de tomar las mejores decisiones de manera consciente </w:t>
      </w:r>
      <w:r w:rsidR="00E053D0">
        <w:rPr>
          <w:rFonts w:asciiTheme="minorHAnsi" w:hAnsiTheme="minorHAnsi"/>
          <w:sz w:val="22"/>
          <w:szCs w:val="22"/>
          <w:lang w:val="es-UY" w:eastAsia="en-US"/>
        </w:rPr>
        <w:t xml:space="preserve">e </w:t>
      </w:r>
      <w:r w:rsidR="00181878" w:rsidRPr="009D25E2">
        <w:rPr>
          <w:rFonts w:asciiTheme="minorHAnsi" w:hAnsiTheme="minorHAnsi"/>
          <w:sz w:val="22"/>
          <w:szCs w:val="22"/>
          <w:lang w:val="es-UY" w:eastAsia="en-US"/>
        </w:rPr>
        <w:t>informada.</w:t>
      </w:r>
      <w:r w:rsidR="004D4440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 w:rsidRPr="009D25E2">
        <w:rPr>
          <w:rFonts w:asciiTheme="minorHAnsi" w:hAnsiTheme="minorHAnsi"/>
          <w:sz w:val="22"/>
          <w:szCs w:val="22"/>
          <w:lang w:val="es-UY" w:eastAsia="en-US"/>
        </w:rPr>
        <w:t>No olvidemos que e</w:t>
      </w:r>
      <w:r w:rsidR="00242882" w:rsidRPr="009D25E2">
        <w:rPr>
          <w:rFonts w:asciiTheme="minorHAnsi" w:hAnsiTheme="minorHAnsi" w:cs="Cambria"/>
          <w:color w:val="000000"/>
          <w:sz w:val="22"/>
          <w:szCs w:val="22"/>
          <w:lang w:eastAsia="en-US"/>
        </w:rPr>
        <w:t>l nivel del riesgo que la mujer está dispuesta a asumir es una decisión enteramente personal, no de los profesion</w:t>
      </w:r>
      <w:r w:rsidR="00E053D0">
        <w:rPr>
          <w:rFonts w:asciiTheme="minorHAnsi" w:hAnsiTheme="minorHAnsi" w:cs="Cambria"/>
          <w:color w:val="000000"/>
          <w:sz w:val="22"/>
          <w:szCs w:val="22"/>
          <w:lang w:eastAsia="en-US"/>
        </w:rPr>
        <w:t>ales de la salud</w:t>
      </w:r>
      <w:r w:rsidR="004D4440" w:rsidRPr="009D25E2">
        <w:rPr>
          <w:rFonts w:asciiTheme="minorHAnsi" w:hAnsiTheme="minorHAnsi"/>
          <w:sz w:val="22"/>
          <w:szCs w:val="22"/>
          <w:vertAlign w:val="superscript"/>
          <w:lang w:val="en-US" w:eastAsia="en-US"/>
        </w:rPr>
        <w:footnoteReference w:id="14"/>
      </w:r>
      <w:r w:rsidR="004D4440" w:rsidRPr="009D25E2">
        <w:rPr>
          <w:rFonts w:asciiTheme="minorHAnsi" w:hAnsiTheme="minorHAnsi"/>
          <w:bCs/>
          <w:sz w:val="22"/>
          <w:szCs w:val="22"/>
          <w:lang w:eastAsia="en-US"/>
        </w:rPr>
        <w:t>.</w:t>
      </w:r>
    </w:p>
    <w:p w:rsidR="0053442D" w:rsidRPr="00496BB8" w:rsidRDefault="009B2C56" w:rsidP="009D25E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 xml:space="preserve">Que entre </w:t>
      </w:r>
      <w:r w:rsidR="00242882" w:rsidRPr="009D25E2">
        <w:rPr>
          <w:rFonts w:asciiTheme="minorHAnsi" w:hAnsiTheme="minorHAnsi" w:cs="Cambria"/>
          <w:color w:val="000000"/>
          <w:sz w:val="22"/>
          <w:szCs w:val="22"/>
          <w:lang w:eastAsia="en-US"/>
        </w:rPr>
        <w:t>más información se vaya desarrollando sobre el Zika, l</w:t>
      </w:r>
      <w:r>
        <w:rPr>
          <w:rFonts w:asciiTheme="minorHAnsi" w:hAnsiTheme="minorHAnsi" w:cs="Cambria"/>
          <w:color w:val="000000"/>
          <w:sz w:val="22"/>
          <w:szCs w:val="22"/>
          <w:lang w:eastAsia="en-US"/>
        </w:rPr>
        <w:t>a misma</w:t>
      </w:r>
      <w:r w:rsidR="00242882" w:rsidRPr="009D25E2">
        <w:rPr>
          <w:rFonts w:asciiTheme="minorHAnsi" w:hAnsiTheme="minorHAnsi" w:cs="Cambria"/>
          <w:color w:val="000000"/>
          <w:sz w:val="22"/>
          <w:szCs w:val="22"/>
          <w:lang w:eastAsia="en-US"/>
        </w:rPr>
        <w:t xml:space="preserve"> sea inmediatamente transmitida a prestadores de salud, particularmente quienes viven en zonas rurales</w:t>
      </w:r>
      <w:r w:rsidR="00B802E2" w:rsidRPr="009D25E2">
        <w:rPr>
          <w:rFonts w:asciiTheme="minorHAnsi" w:hAnsiTheme="minorHAnsi" w:cs="Cambria"/>
          <w:color w:val="000000"/>
          <w:sz w:val="22"/>
          <w:szCs w:val="22"/>
          <w:lang w:eastAsia="en-US"/>
        </w:rPr>
        <w:t>, a través del desarrollo de programas de formación, entre otros.</w:t>
      </w:r>
      <w:r w:rsidR="00242882" w:rsidRPr="009D25E2">
        <w:rPr>
          <w:rFonts w:asciiTheme="minorHAnsi" w:hAnsiTheme="minorHAnsi" w:cs="Cambria"/>
          <w:color w:val="000000"/>
          <w:sz w:val="22"/>
          <w:szCs w:val="22"/>
          <w:lang w:eastAsia="en-US"/>
        </w:rPr>
        <w:t xml:space="preserve"> </w:t>
      </w:r>
    </w:p>
    <w:p w:rsidR="00F43E50" w:rsidRPr="009D25E2" w:rsidRDefault="009B2C56" w:rsidP="009D25E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 w:cs="Arial"/>
          <w:sz w:val="22"/>
          <w:szCs w:val="22"/>
          <w:lang w:eastAsia="en-US"/>
        </w:rPr>
        <w:t>Q</w:t>
      </w:r>
      <w:r w:rsidR="00DA3B2F" w:rsidRPr="009D25E2">
        <w:rPr>
          <w:rFonts w:asciiTheme="minorHAnsi" w:hAnsiTheme="minorHAnsi" w:cs="Arial"/>
          <w:sz w:val="22"/>
          <w:szCs w:val="22"/>
          <w:lang w:eastAsia="en-US"/>
        </w:rPr>
        <w:t>ue las mujeres puedan decidir libremente sobre el número y</w:t>
      </w:r>
      <w:r w:rsidR="00E053D0">
        <w:rPr>
          <w:rFonts w:asciiTheme="minorHAnsi" w:hAnsiTheme="minorHAnsi" w:cs="Arial"/>
          <w:sz w:val="22"/>
          <w:szCs w:val="22"/>
          <w:lang w:eastAsia="en-US"/>
        </w:rPr>
        <w:t xml:space="preserve"> espaciamiento de sus hijos </w:t>
      </w:r>
      <w:r w:rsidR="00CF52E1" w:rsidRPr="009D25E2">
        <w:rPr>
          <w:rFonts w:asciiTheme="minorHAnsi" w:hAnsiTheme="minorHAnsi"/>
          <w:bCs/>
          <w:sz w:val="22"/>
          <w:szCs w:val="22"/>
          <w:lang w:eastAsia="en-US"/>
        </w:rPr>
        <w:t>y tener acceso a información sobre contraceptivos y los servicios necesarios para ejercer el derecho a decidir</w:t>
      </w:r>
      <w:r w:rsidR="00CF52E1" w:rsidRPr="009D25E2">
        <w:rPr>
          <w:rFonts w:asciiTheme="minorHAnsi" w:hAnsiTheme="minorHAnsi"/>
          <w:sz w:val="22"/>
          <w:szCs w:val="22"/>
          <w:vertAlign w:val="superscript"/>
          <w:lang w:val="en-US" w:eastAsia="en-US"/>
        </w:rPr>
        <w:footnoteReference w:id="15"/>
      </w:r>
      <w:r w:rsidR="004D4440" w:rsidRPr="009D25E2">
        <w:rPr>
          <w:rFonts w:asciiTheme="minorHAnsi" w:hAnsiTheme="minorHAnsi"/>
          <w:bCs/>
          <w:sz w:val="22"/>
          <w:szCs w:val="22"/>
          <w:lang w:eastAsia="en-US"/>
        </w:rPr>
        <w:t>.</w:t>
      </w:r>
      <w:r w:rsidR="00496BB8" w:rsidRPr="00496BB8">
        <w:rPr>
          <w:rFonts w:asciiTheme="minorHAnsi" w:hAnsiTheme="minorHAnsi"/>
          <w:sz w:val="22"/>
          <w:szCs w:val="22"/>
          <w:vertAlign w:val="superscript"/>
          <w:lang w:eastAsia="en-US"/>
        </w:rPr>
        <w:t xml:space="preserve"> </w:t>
      </w:r>
      <w:r w:rsidR="00242882" w:rsidRPr="009D25E2">
        <w:rPr>
          <w:rFonts w:asciiTheme="minorHAnsi" w:hAnsiTheme="minorHAnsi"/>
          <w:sz w:val="22"/>
          <w:szCs w:val="22"/>
          <w:lang w:val="es-UY" w:eastAsia="en-US"/>
        </w:rPr>
        <w:t>Por lo mismo es importante</w:t>
      </w:r>
      <w:r w:rsidR="00711AED">
        <w:rPr>
          <w:rFonts w:asciiTheme="minorHAnsi" w:hAnsiTheme="minorHAnsi"/>
          <w:sz w:val="22"/>
          <w:szCs w:val="22"/>
          <w:lang w:val="es-UY" w:eastAsia="en-US"/>
        </w:rPr>
        <w:t xml:space="preserve"> que se promuevan protocolos de acceso integral a salud reproductiva, incluyendo métodos anticonceptivos y aborto legal.</w:t>
      </w:r>
      <w:r w:rsidR="00C86991">
        <w:rPr>
          <w:rFonts w:asciiTheme="minorHAnsi" w:hAnsiTheme="minorHAnsi"/>
          <w:sz w:val="22"/>
          <w:szCs w:val="22"/>
          <w:lang w:val="es-UY" w:eastAsia="en-US"/>
        </w:rPr>
        <w:t xml:space="preserve"> Asimismo, que se introduzcan proyectos de ley sobre despenalización, impulsados por los Estados a través de trabajo de incidencia de sociedad civil.</w:t>
      </w:r>
    </w:p>
    <w:p w:rsidR="004A75DB" w:rsidRPr="009D25E2" w:rsidRDefault="00711AED" w:rsidP="009D25E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bCs/>
          <w:sz w:val="22"/>
          <w:szCs w:val="22"/>
          <w:lang w:eastAsia="en-US"/>
        </w:rPr>
        <w:t>A</w:t>
      </w:r>
      <w:r w:rsidR="00E43665" w:rsidRPr="009D25E2">
        <w:rPr>
          <w:rFonts w:asciiTheme="minorHAnsi" w:hAnsiTheme="minorHAnsi"/>
          <w:bCs/>
          <w:sz w:val="22"/>
          <w:szCs w:val="22"/>
          <w:lang w:eastAsia="en-US"/>
        </w:rPr>
        <w:t>cces</w:t>
      </w:r>
      <w:r w:rsidR="003A33DD" w:rsidRPr="009D25E2">
        <w:rPr>
          <w:rFonts w:asciiTheme="minorHAnsi" w:hAnsiTheme="minorHAnsi"/>
          <w:bCs/>
          <w:sz w:val="22"/>
          <w:szCs w:val="22"/>
          <w:lang w:eastAsia="en-US"/>
        </w:rPr>
        <w:t xml:space="preserve">o a salud </w:t>
      </w:r>
      <w:r w:rsidR="004F0315">
        <w:rPr>
          <w:rFonts w:asciiTheme="minorHAnsi" w:hAnsiTheme="minorHAnsi"/>
          <w:bCs/>
          <w:sz w:val="22"/>
          <w:szCs w:val="22"/>
          <w:lang w:eastAsia="en-US"/>
        </w:rPr>
        <w:t>materna</w:t>
      </w:r>
      <w:r w:rsidR="003A33DD" w:rsidRPr="009D25E2">
        <w:rPr>
          <w:rFonts w:asciiTheme="minorHAnsi" w:hAnsiTheme="minorHAnsi"/>
          <w:bCs/>
          <w:sz w:val="22"/>
          <w:szCs w:val="22"/>
          <w:lang w:eastAsia="en-US"/>
        </w:rPr>
        <w:t xml:space="preserve"> de calidad</w:t>
      </w:r>
      <w:r w:rsidR="00E43665" w:rsidRPr="009D25E2">
        <w:rPr>
          <w:rFonts w:asciiTheme="minorHAnsi" w:hAnsiTheme="minorHAnsi"/>
          <w:bCs/>
          <w:sz w:val="22"/>
          <w:szCs w:val="22"/>
          <w:lang w:eastAsia="en-US"/>
        </w:rPr>
        <w:t xml:space="preserve"> y sin discriminación</w:t>
      </w:r>
      <w:r w:rsidR="00266608">
        <w:rPr>
          <w:rFonts w:asciiTheme="minorHAnsi" w:hAnsiTheme="minorHAnsi"/>
          <w:bCs/>
          <w:sz w:val="22"/>
          <w:szCs w:val="22"/>
          <w:lang w:eastAsia="en-US"/>
        </w:rPr>
        <w:t xml:space="preserve"> </w:t>
      </w:r>
      <w:r w:rsidR="008D231B" w:rsidRPr="009D25E2">
        <w:rPr>
          <w:rFonts w:asciiTheme="minorHAnsi" w:hAnsiTheme="minorHAnsi"/>
          <w:bCs/>
          <w:sz w:val="22"/>
          <w:szCs w:val="22"/>
          <w:lang w:eastAsia="en-US"/>
        </w:rPr>
        <w:t>y servicios post natales gratuitos cuando sea necesario</w:t>
      </w:r>
      <w:r w:rsidR="00CF52E1" w:rsidRPr="009D25E2">
        <w:rPr>
          <w:rFonts w:asciiTheme="minorHAnsi" w:hAnsiTheme="minorHAnsi"/>
          <w:sz w:val="22"/>
          <w:szCs w:val="22"/>
          <w:vertAlign w:val="superscript"/>
          <w:lang w:val="en-US" w:eastAsia="en-US"/>
        </w:rPr>
        <w:footnoteReference w:id="16"/>
      </w:r>
      <w:r>
        <w:rPr>
          <w:rFonts w:asciiTheme="minorHAnsi" w:hAnsiTheme="minorHAnsi"/>
          <w:bCs/>
          <w:sz w:val="22"/>
          <w:szCs w:val="22"/>
          <w:lang w:eastAsia="en-US"/>
        </w:rPr>
        <w:t xml:space="preserve"> para las mujeres que han decidido continuar con sus embarazos</w:t>
      </w:r>
      <w:r w:rsidR="008D231B" w:rsidRPr="009D25E2">
        <w:rPr>
          <w:rFonts w:asciiTheme="minorHAnsi" w:hAnsiTheme="minorHAnsi"/>
          <w:bCs/>
          <w:sz w:val="22"/>
          <w:szCs w:val="22"/>
          <w:lang w:eastAsia="en-US"/>
        </w:rPr>
        <w:t xml:space="preserve">. </w:t>
      </w:r>
    </w:p>
    <w:p w:rsidR="00303554" w:rsidRPr="009D25E2" w:rsidRDefault="00C86991" w:rsidP="009D25E2">
      <w:pPr>
        <w:pStyle w:val="ListParagraph"/>
        <w:numPr>
          <w:ilvl w:val="0"/>
          <w:numId w:val="5"/>
        </w:numPr>
        <w:spacing w:after="160" w:line="360" w:lineRule="auto"/>
        <w:jc w:val="both"/>
        <w:rPr>
          <w:rFonts w:asciiTheme="minorHAnsi" w:hAnsiTheme="minorHAnsi"/>
          <w:bCs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  <w:lang w:eastAsia="en-US"/>
        </w:rPr>
        <w:t>O</w:t>
      </w:r>
      <w:r>
        <w:rPr>
          <w:rFonts w:asciiTheme="minorHAnsi" w:hAnsiTheme="minorHAnsi"/>
          <w:sz w:val="22"/>
          <w:szCs w:val="22"/>
          <w:lang w:val="es-UY" w:eastAsia="en-US"/>
        </w:rPr>
        <w:t>rganizaciones internacionales</w:t>
      </w:r>
      <w:r w:rsidR="00E43665" w:rsidRPr="009D25E2">
        <w:rPr>
          <w:rFonts w:asciiTheme="minorHAnsi" w:hAnsiTheme="minorHAnsi"/>
          <w:sz w:val="22"/>
          <w:szCs w:val="22"/>
          <w:lang w:val="es-UY" w:eastAsia="en-US"/>
        </w:rPr>
        <w:t xml:space="preserve"> </w:t>
      </w:r>
      <w:r>
        <w:rPr>
          <w:rFonts w:asciiTheme="minorHAnsi" w:hAnsiTheme="minorHAnsi"/>
          <w:sz w:val="22"/>
          <w:szCs w:val="22"/>
          <w:lang w:val="es-UY" w:eastAsia="en-US"/>
        </w:rPr>
        <w:t>sigan</w:t>
      </w:r>
      <w:r w:rsidR="00E43665" w:rsidRPr="009D25E2">
        <w:rPr>
          <w:rFonts w:asciiTheme="minorHAnsi" w:hAnsiTheme="minorHAnsi"/>
          <w:sz w:val="22"/>
          <w:szCs w:val="22"/>
          <w:lang w:val="es-UY" w:eastAsia="en-US"/>
        </w:rPr>
        <w:t xml:space="preserve"> haciendo presión para que esta respuesta integral y con enfoque de derechos humanos frente a una crisis de salud pública sea una realidad, a través de informes, recomendaciones, asistencia técnica,</w:t>
      </w:r>
      <w:r>
        <w:rPr>
          <w:rFonts w:asciiTheme="minorHAnsi" w:hAnsiTheme="minorHAnsi"/>
          <w:sz w:val="22"/>
          <w:szCs w:val="22"/>
          <w:lang w:val="es-UY" w:eastAsia="en-US"/>
        </w:rPr>
        <w:t xml:space="preserve"> entre otros</w:t>
      </w:r>
      <w:r w:rsidR="00E43665" w:rsidRPr="009D25E2">
        <w:rPr>
          <w:rFonts w:asciiTheme="minorHAnsi" w:hAnsiTheme="minorHAnsi"/>
          <w:sz w:val="22"/>
          <w:szCs w:val="22"/>
          <w:lang w:val="es-UY" w:eastAsia="en-US"/>
        </w:rPr>
        <w:t xml:space="preserve">. </w:t>
      </w:r>
    </w:p>
    <w:p w:rsidR="00121436" w:rsidRPr="00121436" w:rsidRDefault="00303554" w:rsidP="00C86991">
      <w:pPr>
        <w:spacing w:after="160" w:line="360" w:lineRule="auto"/>
        <w:jc w:val="both"/>
        <w:rPr>
          <w:rFonts w:asciiTheme="minorHAnsi" w:hAnsiTheme="minorHAnsi"/>
          <w:bCs/>
          <w:sz w:val="22"/>
          <w:szCs w:val="22"/>
          <w:lang w:val="es-UY" w:eastAsia="en-US"/>
        </w:rPr>
      </w:pPr>
      <w:r w:rsidRPr="009D25E2">
        <w:rPr>
          <w:rFonts w:asciiTheme="minorHAnsi" w:hAnsiTheme="minorHAnsi"/>
          <w:sz w:val="22"/>
          <w:szCs w:val="22"/>
        </w:rPr>
        <w:t xml:space="preserve">Para finalizar quisiera concluir diciendo que </w:t>
      </w:r>
      <w:r w:rsidR="00266608">
        <w:rPr>
          <w:rFonts w:asciiTheme="minorHAnsi" w:hAnsiTheme="minorHAnsi"/>
          <w:bCs/>
          <w:sz w:val="22"/>
          <w:szCs w:val="22"/>
          <w:lang w:eastAsia="en-US"/>
        </w:rPr>
        <w:t>el</w:t>
      </w:r>
      <w:r w:rsidR="008C2798" w:rsidRPr="009D25E2">
        <w:rPr>
          <w:rFonts w:asciiTheme="minorHAnsi" w:hAnsiTheme="minorHAnsi"/>
          <w:sz w:val="22"/>
          <w:szCs w:val="22"/>
          <w:lang w:eastAsia="en-US"/>
        </w:rPr>
        <w:t xml:space="preserve"> </w:t>
      </w:r>
      <w:r w:rsidR="005B6AD2" w:rsidRPr="005B6AD2">
        <w:rPr>
          <w:rFonts w:asciiTheme="minorHAnsi" w:hAnsiTheme="minorHAnsi"/>
          <w:sz w:val="22"/>
          <w:szCs w:val="22"/>
          <w:lang w:val="uz-Cyrl-UZ" w:eastAsia="en-US"/>
        </w:rPr>
        <w:t xml:space="preserve">Zika no será la última epidemia que ataque la salud de las personas, </w:t>
      </w:r>
      <w:r w:rsidR="00C86991" w:rsidRPr="00C86991">
        <w:rPr>
          <w:rFonts w:asciiTheme="minorHAnsi" w:hAnsiTheme="minorHAnsi"/>
          <w:sz w:val="22"/>
          <w:szCs w:val="22"/>
          <w:lang w:eastAsia="en-US"/>
        </w:rPr>
        <w:t xml:space="preserve">pero si puede ser una oportunidad para </w:t>
      </w:r>
      <w:r w:rsidR="00C86991">
        <w:rPr>
          <w:rFonts w:asciiTheme="minorHAnsi" w:hAnsiTheme="minorHAnsi"/>
          <w:sz w:val="22"/>
          <w:szCs w:val="22"/>
          <w:lang w:eastAsia="en-US"/>
        </w:rPr>
        <w:t xml:space="preserve">dar </w:t>
      </w:r>
      <w:r w:rsidR="00092348" w:rsidRPr="000138B0">
        <w:rPr>
          <w:rFonts w:asciiTheme="minorHAnsi" w:hAnsiTheme="minorHAnsi"/>
          <w:sz w:val="22"/>
          <w:szCs w:val="22"/>
          <w:lang w:val="es-UY" w:eastAsia="en-US"/>
        </w:rPr>
        <w:t xml:space="preserve">un salto cualitativo en </w:t>
      </w:r>
      <w:r w:rsidR="00C86991">
        <w:rPr>
          <w:rFonts w:asciiTheme="minorHAnsi" w:hAnsiTheme="minorHAnsi"/>
          <w:sz w:val="22"/>
          <w:szCs w:val="22"/>
          <w:lang w:val="es-UY" w:eastAsia="en-US"/>
        </w:rPr>
        <w:t>el reconocimiento de un</w:t>
      </w:r>
      <w:r w:rsidR="00092348" w:rsidRPr="000138B0">
        <w:rPr>
          <w:rFonts w:asciiTheme="minorHAnsi" w:hAnsiTheme="minorHAnsi"/>
          <w:sz w:val="22"/>
          <w:szCs w:val="22"/>
          <w:lang w:val="es-UY" w:eastAsia="en-US"/>
        </w:rPr>
        <w:t xml:space="preserve"> derecho a la salud integral, universal, de calidad, aceptable, </w:t>
      </w:r>
      <w:r w:rsidR="009D25E2" w:rsidRPr="009D25E2">
        <w:rPr>
          <w:rFonts w:asciiTheme="minorHAnsi" w:hAnsiTheme="minorHAnsi"/>
          <w:sz w:val="22"/>
          <w:szCs w:val="22"/>
          <w:lang w:val="es-UY" w:eastAsia="en-US"/>
        </w:rPr>
        <w:t>y accesible</w:t>
      </w:r>
      <w:r w:rsidR="00092348" w:rsidRPr="009D25E2">
        <w:rPr>
          <w:rFonts w:asciiTheme="minorHAnsi" w:hAnsiTheme="minorHAnsi"/>
          <w:sz w:val="22"/>
          <w:szCs w:val="22"/>
          <w:lang w:val="es-UY" w:eastAsia="en-US"/>
        </w:rPr>
        <w:t/>
      </w:r>
      <w:r w:rsidR="00092348" w:rsidRPr="000138B0">
        <w:rPr>
          <w:rFonts w:asciiTheme="minorHAnsi" w:hAnsiTheme="minorHAnsi"/>
          <w:sz w:val="22"/>
          <w:szCs w:val="22"/>
          <w:lang w:val="es-UY" w:eastAsia="en-US"/>
        </w:rPr>
        <w:t>.</w:t>
      </w:r>
    </w:p>
    <w:p w:rsidR="00121436" w:rsidRPr="00121436" w:rsidRDefault="00121436" w:rsidP="0053442D">
      <w:pPr>
        <w:spacing w:after="160"/>
        <w:ind w:firstLine="720"/>
        <w:jc w:val="both"/>
        <w:rPr>
          <w:rFonts w:ascii="Calibri" w:eastAsia="Times New Roman" w:hAnsi="Calibri"/>
        </w:rPr>
      </w:pPr>
    </w:p>
    <w:p w:rsidR="00121436" w:rsidRPr="00121436" w:rsidRDefault="00121436" w:rsidP="00121436">
      <w:pPr>
        <w:jc w:val="both"/>
        <w:rPr>
          <w:rFonts w:ascii="Calibri" w:hAnsi="Calibri"/>
          <w:b/>
          <w:lang w:eastAsia="en-US"/>
        </w:rPr>
      </w:pPr>
    </w:p>
    <w:p w:rsidR="00121436" w:rsidRPr="00121436" w:rsidRDefault="00121436" w:rsidP="00121436">
      <w:pPr>
        <w:jc w:val="both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0" w:name="_Toc485387648"/>
      <w:bookmarkStart w:id="1" w:name="_Toc485385244"/>
    </w:p>
    <w:bookmarkEnd w:id="0"/>
    <w:bookmarkEnd w:id="1"/>
    <w:p w:rsidR="006A0765" w:rsidRPr="009D25E2" w:rsidRDefault="006A0765"/>
    <w:sectPr w:rsidR="006A0765" w:rsidRPr="009D25E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544" w:rsidRDefault="00FF0544" w:rsidP="00121436">
      <w:r>
        <w:separator/>
      </w:r>
    </w:p>
  </w:endnote>
  <w:endnote w:type="continuationSeparator" w:id="0">
    <w:p w:rsidR="00FF0544" w:rsidRDefault="00FF0544" w:rsidP="001214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544" w:rsidRDefault="00FF0544" w:rsidP="00121436">
      <w:r>
        <w:separator/>
      </w:r>
    </w:p>
  </w:footnote>
  <w:footnote w:type="continuationSeparator" w:id="0">
    <w:p w:rsidR="00FF0544" w:rsidRDefault="00FF0544" w:rsidP="00121436">
      <w:r>
        <w:continuationSeparator/>
      </w:r>
    </w:p>
  </w:footnote>
  <w:footnote w:id="1">
    <w:p w:rsidR="006857A7" w:rsidRPr="00485290" w:rsidRDefault="006857A7" w:rsidP="00485290">
      <w:pPr>
        <w:pStyle w:val="FootnoteText"/>
        <w:jc w:val="both"/>
        <w:rPr>
          <w:rFonts w:asciiTheme="minorHAnsi" w:hAnsiTheme="minorHAnsi"/>
          <w:sz w:val="16"/>
          <w:szCs w:val="16"/>
        </w:rPr>
      </w:pPr>
      <w:r w:rsidRPr="004852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85290">
        <w:rPr>
          <w:rFonts w:asciiTheme="minorHAnsi" w:hAnsiTheme="minorHAnsi"/>
          <w:sz w:val="16"/>
          <w:szCs w:val="16"/>
        </w:rPr>
        <w:t xml:space="preserve"> </w:t>
      </w:r>
      <w:r w:rsidRPr="00485290">
        <w:rPr>
          <w:rFonts w:asciiTheme="minorHAnsi" w:hAnsiTheme="minorHAnsi"/>
          <w:sz w:val="16"/>
          <w:szCs w:val="16"/>
          <w:shd w:val="clear" w:color="auto" w:fill="FFFFFF"/>
          <w:lang w:val="pt-BR"/>
        </w:rPr>
        <w:t>Y más de 45 en el mundo.</w:t>
      </w:r>
    </w:p>
  </w:footnote>
  <w:footnote w:id="2">
    <w:p w:rsidR="00035D1D" w:rsidRPr="00485290" w:rsidRDefault="00035D1D" w:rsidP="00485290">
      <w:pPr>
        <w:pStyle w:val="FootnoteText"/>
        <w:jc w:val="both"/>
        <w:rPr>
          <w:sz w:val="16"/>
          <w:szCs w:val="16"/>
        </w:rPr>
      </w:pPr>
      <w:r w:rsidRPr="00485290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485290">
        <w:rPr>
          <w:rFonts w:asciiTheme="minorHAnsi" w:hAnsiTheme="minorHAnsi"/>
          <w:sz w:val="16"/>
          <w:szCs w:val="16"/>
        </w:rPr>
        <w:t xml:space="preserve"> </w:t>
      </w:r>
      <w:r w:rsidRPr="00485290">
        <w:rPr>
          <w:rFonts w:asciiTheme="minorHAnsi" w:hAnsiTheme="minorHAnsi"/>
          <w:i/>
          <w:sz w:val="16"/>
          <w:szCs w:val="16"/>
        </w:rPr>
        <w:t xml:space="preserve">Qué es el virus Zika, la enfermedad que se propagó por América Latina en 2016, </w:t>
      </w:r>
      <w:r w:rsidRPr="00485290">
        <w:rPr>
          <w:rFonts w:asciiTheme="minorHAnsi" w:hAnsiTheme="minorHAnsi"/>
          <w:sz w:val="16"/>
          <w:szCs w:val="16"/>
        </w:rPr>
        <w:t xml:space="preserve">BBC Mundo, Enero 27, 2016, en </w:t>
      </w:r>
      <w:hyperlink r:id="rId1" w:history="1">
        <w:r w:rsidRPr="00485290">
          <w:rPr>
            <w:rStyle w:val="Hyperlink"/>
            <w:rFonts w:asciiTheme="minorHAnsi" w:hAnsiTheme="minorHAnsi"/>
            <w:sz w:val="16"/>
            <w:szCs w:val="16"/>
          </w:rPr>
          <w:t>http://www.bbc.com/mundo/noticias/2015/06/150611_salud_virus_zika_preguntas_respuestas_kv</w:t>
        </w:r>
      </w:hyperlink>
      <w:r w:rsidRPr="00485290">
        <w:rPr>
          <w:rFonts w:asciiTheme="minorHAnsi" w:hAnsiTheme="minorHAnsi"/>
          <w:sz w:val="16"/>
          <w:szCs w:val="16"/>
        </w:rPr>
        <w:t xml:space="preserve"> </w:t>
      </w:r>
      <w:r w:rsidRPr="005B6AD2">
        <w:rPr>
          <w:rFonts w:asciiTheme="minorHAnsi" w:hAnsiTheme="minorHAnsi"/>
          <w:sz w:val="16"/>
          <w:szCs w:val="16"/>
          <w:shd w:val="clear" w:color="auto" w:fill="FFFFFF"/>
          <w:lang w:val="pt-BR"/>
        </w:rPr>
        <w:t>Barbados, Bolivia, Brasil, Colombia, Ecuador, El Salvador, Guadalupe, Guatemala, Guyana, la Guayana Francesa, Haití, Honduras, Martinica, México, Panamá, Paraguay, Perú, Puerto Rico, República Dominicana, la isla de San Martín, Surinam y Venezuela</w:t>
      </w:r>
      <w:r w:rsidR="00485290" w:rsidRPr="00485290">
        <w:rPr>
          <w:rFonts w:asciiTheme="minorHAnsi" w:hAnsiTheme="minorHAnsi"/>
          <w:sz w:val="16"/>
          <w:szCs w:val="16"/>
          <w:shd w:val="clear" w:color="auto" w:fill="FFFFFF"/>
          <w:lang w:val="pt-BR"/>
        </w:rPr>
        <w:t>.</w:t>
      </w:r>
    </w:p>
  </w:footnote>
  <w:footnote w:id="3">
    <w:p w:rsidR="00485290" w:rsidRPr="00485290" w:rsidRDefault="00485290" w:rsidP="00485290">
      <w:pPr>
        <w:pStyle w:val="FootnoteText"/>
        <w:jc w:val="both"/>
      </w:pPr>
      <w:r w:rsidRPr="00485290">
        <w:rPr>
          <w:rStyle w:val="FootnoteReference"/>
          <w:sz w:val="16"/>
          <w:szCs w:val="16"/>
        </w:rPr>
        <w:footnoteRef/>
      </w:r>
      <w:r w:rsidRPr="00485290">
        <w:rPr>
          <w:sz w:val="16"/>
          <w:szCs w:val="16"/>
        </w:rPr>
        <w:t xml:space="preserve"> Conocidas como </w:t>
      </w:r>
      <w:r w:rsidRPr="00485290">
        <w:rPr>
          <w:rFonts w:asciiTheme="minorHAnsi" w:hAnsiTheme="minorHAnsi"/>
          <w:sz w:val="16"/>
          <w:szCs w:val="16"/>
        </w:rPr>
        <w:t>síndrome congénito del virus Zika</w:t>
      </w:r>
      <w:r w:rsidRPr="00485290">
        <w:rPr>
          <w:rFonts w:asciiTheme="minorHAnsi" w:hAnsiTheme="minorHAnsi"/>
          <w:sz w:val="16"/>
          <w:szCs w:val="16"/>
        </w:rPr>
        <w:t>.</w:t>
      </w:r>
    </w:p>
  </w:footnote>
  <w:footnote w:id="4">
    <w:p w:rsidR="00AB2A6A" w:rsidRPr="006857A7" w:rsidRDefault="00AB2A6A" w:rsidP="00F334DA">
      <w:pPr>
        <w:spacing w:line="276" w:lineRule="auto"/>
        <w:jc w:val="both"/>
        <w:rPr>
          <w:rFonts w:asciiTheme="minorHAnsi" w:hAnsiTheme="minorHAnsi" w:cs="Calibri Light"/>
          <w:i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E</w:t>
      </w:r>
      <w:r w:rsidRPr="000138B0">
        <w:rPr>
          <w:rFonts w:asciiTheme="minorHAnsi" w:hAnsiTheme="minorHAnsi"/>
          <w:sz w:val="16"/>
          <w:szCs w:val="16"/>
          <w:lang w:eastAsia="en-US"/>
        </w:rPr>
        <w:t>l Alto Comisionado de Naciones Unidas para los Derechos Humanos (ACNUDH) se pronunció resaltando que</w:t>
      </w:r>
      <w:r w:rsidRPr="000138B0">
        <w:rPr>
          <w:rFonts w:asciiTheme="minorHAnsi" w:hAnsiTheme="minorHAnsi" w:cs="Calibri Light"/>
          <w:sz w:val="16"/>
          <w:szCs w:val="16"/>
        </w:rPr>
        <w:t>“[</w:t>
      </w:r>
      <w:r w:rsidRPr="000138B0">
        <w:rPr>
          <w:rFonts w:asciiTheme="minorHAnsi" w:hAnsiTheme="minorHAnsi"/>
          <w:sz w:val="16"/>
          <w:szCs w:val="16"/>
          <w:lang w:val="es-ES" w:eastAsia="en-US"/>
        </w:rPr>
        <w:t>d]efender los derechos humanos es esencial para una respuesta de salud pública eficaz, lo que requiere que los gobiernos garanticen a hombres, mujeres y adolescentes el acceso a información y servicios de salud sexual y reproductiva de calidad, integrales y asequibles, sin discriminación</w:t>
      </w:r>
      <w:r w:rsidRPr="000138B0">
        <w:rPr>
          <w:rFonts w:asciiTheme="minorHAnsi" w:hAnsiTheme="minorHAnsi" w:cs="Calibri Light"/>
          <w:i/>
          <w:sz w:val="16"/>
          <w:szCs w:val="16"/>
        </w:rPr>
        <w:t>”</w:t>
      </w:r>
      <w:r w:rsidRPr="000138B0">
        <w:rPr>
          <w:rFonts w:asciiTheme="minorHAnsi" w:hAnsiTheme="minorHAnsi"/>
          <w:i/>
          <w:sz w:val="16"/>
          <w:szCs w:val="16"/>
          <w:vertAlign w:val="superscript"/>
          <w:lang w:val="en-GB"/>
        </w:rPr>
        <w:footnoteRef/>
      </w:r>
      <w:r w:rsidRPr="000138B0">
        <w:rPr>
          <w:rFonts w:asciiTheme="minorHAnsi" w:hAnsiTheme="minorHAnsi" w:cs="Calibri Light"/>
          <w:i/>
          <w:sz w:val="16"/>
          <w:szCs w:val="16"/>
        </w:rPr>
        <w:t xml:space="preserve">. </w:t>
      </w:r>
      <w:r w:rsidRPr="000138B0">
        <w:rPr>
          <w:rFonts w:asciiTheme="minorHAnsi" w:hAnsiTheme="minorHAnsi"/>
          <w:sz w:val="16"/>
          <w:szCs w:val="16"/>
          <w:lang w:val="es-UY" w:eastAsia="en-US"/>
        </w:rPr>
        <w:t>Por su parte, la Comisión Interamericana de Derechos Humanos (CIDH), máxima instancia de protección de los derechos humanos en las Américas, urgió a los Estados miembros a adoptar medidas preventivas y de emergencia que aseguren que todas las mujeres reciban la información necesaria y acceso a servicios de salud integrales sin discriminación, para que éstas puedan tomar decisiones independientes y libres sobre su salud reproductiva y su vida familiar en el contexto del Zika”</w:t>
      </w:r>
      <w:r w:rsidRPr="006857A7">
        <w:rPr>
          <w:rFonts w:asciiTheme="minorHAnsi" w:hAnsiTheme="minorHAnsi"/>
          <w:sz w:val="16"/>
          <w:szCs w:val="16"/>
          <w:vertAlign w:val="superscript"/>
          <w:lang w:val="es-UY" w:eastAsia="en-US"/>
        </w:rPr>
        <w:footnoteRef/>
      </w:r>
      <w:r w:rsidRPr="000138B0">
        <w:rPr>
          <w:rFonts w:asciiTheme="minorHAnsi" w:hAnsiTheme="minorHAnsi"/>
          <w:sz w:val="16"/>
          <w:szCs w:val="16"/>
          <w:lang w:val="es-UY" w:eastAsia="en-US"/>
        </w:rPr>
        <w:t xml:space="preserve">. </w:t>
      </w:r>
    </w:p>
  </w:footnote>
  <w:footnote w:id="5">
    <w:p w:rsidR="00F334DA" w:rsidRPr="006857A7" w:rsidRDefault="00F334DA">
      <w:pPr>
        <w:pStyle w:val="FootnoteText"/>
        <w:rPr>
          <w:rFonts w:asciiTheme="minorHAnsi" w:hAnsiTheme="minorHAnsi"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</w:t>
      </w:r>
      <w:hyperlink r:id="rId2" w:history="1">
        <w:r w:rsidRPr="006857A7">
          <w:rPr>
            <w:rFonts w:asciiTheme="minorHAnsi" w:hAnsiTheme="minorHAnsi"/>
            <w:sz w:val="16"/>
            <w:szCs w:val="16"/>
          </w:rPr>
          <w:t>https://www.guttmacher.org/media/nr/2014/09/17/sfp-sedgh-up.html</w:t>
        </w:r>
      </w:hyperlink>
    </w:p>
  </w:footnote>
  <w:footnote w:id="6">
    <w:p w:rsidR="00AB2A6A" w:rsidRPr="006857A7" w:rsidRDefault="00AB2A6A">
      <w:pPr>
        <w:pStyle w:val="FootnoteText"/>
        <w:rPr>
          <w:rFonts w:asciiTheme="minorHAnsi" w:hAnsiTheme="minorHAnsi"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Con serias lagunas en los protocolos de atención en salud a las víctimas de violencia sexual, que no inluyen toda la gama de salud sexual y reproductiva. </w:t>
      </w:r>
    </w:p>
  </w:footnote>
  <w:footnote w:id="7">
    <w:p w:rsidR="00F334DA" w:rsidRPr="006857A7" w:rsidRDefault="00F334DA">
      <w:pPr>
        <w:pStyle w:val="FootnoteText"/>
        <w:rPr>
          <w:rFonts w:asciiTheme="minorHAnsi" w:hAnsiTheme="minorHAnsi"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</w:t>
      </w:r>
      <w:hyperlink r:id="rId3" w:history="1">
        <w:r w:rsidRPr="006857A7">
          <w:rPr>
            <w:rStyle w:val="Hyperlink"/>
            <w:rFonts w:asciiTheme="minorHAnsi" w:hAnsiTheme="minorHAnsi"/>
            <w:color w:val="auto"/>
            <w:sz w:val="16"/>
            <w:szCs w:val="16"/>
            <w:lang w:val="es-MX"/>
          </w:rPr>
          <w:t>http://www.reproductiverights.org/document/violence-against-women-and-reproductive-rights-in-the-americas</w:t>
        </w:r>
      </w:hyperlink>
    </w:p>
  </w:footnote>
  <w:footnote w:id="8">
    <w:p w:rsidR="00B3507B" w:rsidRPr="006857A7" w:rsidRDefault="00B3507B" w:rsidP="00B3507B">
      <w:pPr>
        <w:pStyle w:val="FootnoteText"/>
        <w:rPr>
          <w:rFonts w:asciiTheme="minorHAnsi" w:hAnsiTheme="minorHAnsi"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Como en situaciones de aborto inseguro, atención deshumanizada del nacimiento, tratamiento de las emergencias obstétricas, acceso a los modernos métodos anticonceptivos, entre otras.</w:t>
      </w:r>
    </w:p>
  </w:footnote>
  <w:footnote w:id="9">
    <w:p w:rsidR="00B3507B" w:rsidRPr="006857A7" w:rsidRDefault="00B3507B" w:rsidP="00B3507B">
      <w:pPr>
        <w:pStyle w:val="FootnoteText1"/>
        <w:jc w:val="both"/>
        <w:rPr>
          <w:rFonts w:asciiTheme="minorHAnsi" w:hAnsiTheme="minorHAnsi"/>
          <w:sz w:val="16"/>
          <w:szCs w:val="16"/>
        </w:rPr>
      </w:pPr>
      <w:r w:rsidRPr="006857A7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6857A7">
        <w:rPr>
          <w:rFonts w:asciiTheme="minorHAnsi" w:hAnsiTheme="minorHAnsi"/>
          <w:sz w:val="16"/>
          <w:szCs w:val="16"/>
        </w:rPr>
        <w:t xml:space="preserve"> </w:t>
      </w:r>
      <w:hyperlink r:id="rId4" w:history="1">
        <w:r w:rsidRPr="006857A7">
          <w:rPr>
            <w:rStyle w:val="Hyperlink"/>
            <w:rFonts w:asciiTheme="minorHAnsi" w:hAnsiTheme="minorHAnsi"/>
            <w:color w:val="auto"/>
            <w:sz w:val="16"/>
            <w:szCs w:val="16"/>
          </w:rPr>
          <w:t>http://apps.who.int/iris/bitstream/10665/75173/1/WHO_RHR_12.01_eng.pdf</w:t>
        </w:r>
      </w:hyperlink>
    </w:p>
  </w:footnote>
  <w:footnote w:id="10">
    <w:p w:rsidR="00C43CC4" w:rsidRPr="00B3507B" w:rsidRDefault="00C43CC4" w:rsidP="00B3507B">
      <w:pPr>
        <w:jc w:val="both"/>
        <w:rPr>
          <w:rFonts w:asciiTheme="minorHAnsi" w:hAnsiTheme="minorHAnsi"/>
          <w:sz w:val="16"/>
          <w:szCs w:val="16"/>
          <w:lang w:val="uz-Cyrl-UZ" w:eastAsia="en-US"/>
        </w:rPr>
      </w:pPr>
      <w:r w:rsidRPr="00C43CC4">
        <w:rPr>
          <w:rStyle w:val="FootnoteReference"/>
          <w:rFonts w:asciiTheme="minorHAnsi" w:hAnsiTheme="minorHAnsi"/>
          <w:sz w:val="16"/>
          <w:szCs w:val="16"/>
        </w:rPr>
        <w:footnoteRef/>
      </w:r>
      <w:r w:rsidR="00E6087B">
        <w:rPr>
          <w:rFonts w:asciiTheme="minorHAnsi" w:hAnsiTheme="minorHAnsi"/>
          <w:sz w:val="16"/>
          <w:szCs w:val="16"/>
        </w:rPr>
        <w:t>Colombia, El Salvador y</w:t>
      </w:r>
      <w:r w:rsidRPr="00C43CC4">
        <w:rPr>
          <w:rFonts w:asciiTheme="minorHAnsi" w:hAnsiTheme="minorHAnsi"/>
          <w:sz w:val="16"/>
          <w:szCs w:val="16"/>
        </w:rPr>
        <w:t xml:space="preserve"> </w:t>
      </w:r>
      <w:r w:rsidRPr="005B6AD2">
        <w:rPr>
          <w:rFonts w:asciiTheme="minorHAnsi" w:hAnsiTheme="minorHAnsi"/>
          <w:sz w:val="16"/>
          <w:szCs w:val="16"/>
          <w:lang w:val="uz-Cyrl-UZ" w:eastAsia="en-US"/>
        </w:rPr>
        <w:t>Brasil, por su parte ha mantenido una postura contra el aborto y los derechos reproductivos, incluso a pesar del brote del virus Zika. Esto es a pesar de que Brasil es el país más afectado, se prevé que el número de infecciones sea más del doble que cualquier otro país</w:t>
      </w:r>
      <w:r w:rsidRPr="00C43CC4">
        <w:rPr>
          <w:rFonts w:asciiTheme="minorHAnsi" w:hAnsiTheme="minorHAnsi"/>
          <w:sz w:val="16"/>
          <w:szCs w:val="16"/>
          <w:vertAlign w:val="superscript"/>
          <w:lang w:val="en-US" w:eastAsia="en-US"/>
        </w:rPr>
        <w:footnoteRef/>
      </w:r>
      <w:r w:rsidRPr="005B6AD2">
        <w:rPr>
          <w:rFonts w:asciiTheme="minorHAnsi" w:hAnsiTheme="minorHAnsi"/>
          <w:sz w:val="16"/>
          <w:szCs w:val="16"/>
          <w:lang w:val="uz-Cyrl-UZ" w:eastAsia="en-US"/>
        </w:rPr>
        <w:t>. La respuesta inadecuada y contraproducente de Brasil ha sido: instar a las mujeres a no quedar embarazadas</w:t>
      </w:r>
      <w:r w:rsidRPr="00C43CC4">
        <w:rPr>
          <w:rFonts w:asciiTheme="minorHAnsi" w:hAnsiTheme="minorHAnsi"/>
          <w:sz w:val="16"/>
          <w:szCs w:val="16"/>
          <w:vertAlign w:val="superscript"/>
          <w:lang w:val="en-US" w:eastAsia="en-US"/>
        </w:rPr>
        <w:footnoteRef/>
      </w:r>
      <w:r w:rsidRPr="005B6AD2">
        <w:rPr>
          <w:rFonts w:asciiTheme="minorHAnsi" w:hAnsiTheme="minorHAnsi"/>
          <w:sz w:val="16"/>
          <w:szCs w:val="16"/>
          <w:lang w:val="uz-Cyrl-UZ" w:eastAsia="en-US"/>
        </w:rPr>
        <w:t>; proporcionar a las mujeres kits de emergencia totalmente ineficaces que contienen bolsas de vómito, dipirona, paracetamol y suero oral para llevar a casa</w:t>
      </w:r>
      <w:r w:rsidRPr="00C43CC4">
        <w:rPr>
          <w:rFonts w:asciiTheme="minorHAnsi" w:hAnsiTheme="minorHAnsi"/>
          <w:bCs/>
          <w:sz w:val="16"/>
          <w:szCs w:val="16"/>
          <w:vertAlign w:val="superscript"/>
          <w:lang w:val="en-US" w:eastAsia="en-US"/>
        </w:rPr>
        <w:footnoteRef/>
      </w:r>
      <w:r w:rsidRPr="005B6AD2">
        <w:rPr>
          <w:rFonts w:asciiTheme="minorHAnsi" w:hAnsiTheme="minorHAnsi"/>
          <w:sz w:val="16"/>
          <w:szCs w:val="16"/>
          <w:lang w:val="uz-Cyrl-UZ" w:eastAsia="en-US"/>
        </w:rPr>
        <w:t>; e instigar una nueva ofensiva contra las drogas que inducen al aborto, confiscar paquetes de medicamentos para el aborto, lo anterior, a pesar que un tercio de las mujeres que lo habían ordenado lo hicieron por temor al virus</w:t>
      </w:r>
      <w:r w:rsidRPr="00C43CC4">
        <w:rPr>
          <w:rFonts w:asciiTheme="minorHAnsi" w:hAnsiTheme="minorHAnsi"/>
          <w:bCs/>
          <w:sz w:val="16"/>
          <w:szCs w:val="16"/>
          <w:vertAlign w:val="superscript"/>
          <w:lang w:val="en-US" w:eastAsia="en-US"/>
        </w:rPr>
        <w:footnoteRef/>
      </w:r>
      <w:r w:rsidRPr="005B6AD2">
        <w:rPr>
          <w:rFonts w:asciiTheme="minorHAnsi" w:hAnsiTheme="minorHAnsi"/>
          <w:sz w:val="16"/>
          <w:szCs w:val="16"/>
          <w:lang w:val="uz-Cyrl-UZ" w:eastAsia="en-US"/>
        </w:rPr>
        <w:t>.</w:t>
      </w:r>
    </w:p>
  </w:footnote>
  <w:footnote w:id="11">
    <w:p w:rsidR="00B3507B" w:rsidRPr="00E053D0" w:rsidRDefault="00B3507B" w:rsidP="004A75DB">
      <w:pPr>
        <w:pStyle w:val="FootnoteText"/>
        <w:jc w:val="both"/>
        <w:rPr>
          <w:lang w:val="uz-Cyrl-UZ"/>
        </w:rPr>
      </w:pPr>
      <w:r w:rsidRPr="004A75DB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E053D0">
        <w:rPr>
          <w:rFonts w:asciiTheme="minorHAnsi" w:hAnsiTheme="minorHAnsi"/>
          <w:sz w:val="16"/>
          <w:szCs w:val="16"/>
          <w:lang w:val="uz-Cyrl-UZ"/>
        </w:rPr>
        <w:t xml:space="preserve"> </w:t>
      </w:r>
      <w:hyperlink r:id="rId5" w:history="1">
        <w:r w:rsidRPr="00E053D0">
          <w:rPr>
            <w:rStyle w:val="Hyperlink"/>
            <w:rFonts w:asciiTheme="minorHAnsi" w:hAnsiTheme="minorHAnsi"/>
            <w:color w:val="auto"/>
            <w:sz w:val="16"/>
            <w:szCs w:val="16"/>
            <w:lang w:val="uz-Cyrl-UZ"/>
          </w:rPr>
          <w:t>http://centerwomenpolicy.org/programs/health/statepolicy/documents/repro_time_for_change.pdf</w:t>
        </w:r>
      </w:hyperlink>
    </w:p>
  </w:footnote>
  <w:footnote w:id="12">
    <w:p w:rsidR="005E4748" w:rsidRPr="00496BB8" w:rsidRDefault="005E4748" w:rsidP="005E4748">
      <w:pPr>
        <w:pStyle w:val="FootnoteText"/>
        <w:jc w:val="both"/>
        <w:rPr>
          <w:sz w:val="16"/>
          <w:szCs w:val="16"/>
        </w:rPr>
      </w:pPr>
      <w:r w:rsidRPr="005E4748">
        <w:rPr>
          <w:rStyle w:val="FootnoteReference"/>
          <w:sz w:val="16"/>
          <w:szCs w:val="16"/>
        </w:rPr>
        <w:footnoteRef/>
      </w:r>
      <w:r w:rsidRPr="005E4748">
        <w:rPr>
          <w:sz w:val="16"/>
          <w:szCs w:val="16"/>
        </w:rPr>
        <w:t xml:space="preserve"> </w:t>
      </w:r>
      <w:r w:rsidRPr="005E4748">
        <w:rPr>
          <w:sz w:val="16"/>
          <w:szCs w:val="16"/>
          <w:lang w:val="pt-BR"/>
        </w:rPr>
        <w:t xml:space="preserve">CDESC, Observación General No. 16: </w:t>
      </w:r>
      <w:r w:rsidRPr="005E4748">
        <w:rPr>
          <w:i/>
          <w:sz w:val="16"/>
          <w:szCs w:val="16"/>
          <w:lang w:val="pt-BR"/>
        </w:rPr>
        <w:t>La igualdad de derechos del hombre y la mujer al disfrute de los derechos económicos, sociales y culturales (artículo 3)</w:t>
      </w:r>
      <w:r w:rsidRPr="005E4748">
        <w:rPr>
          <w:sz w:val="16"/>
          <w:szCs w:val="16"/>
          <w:lang w:val="pt-BR"/>
        </w:rPr>
        <w:t xml:space="preserve">, 34º periodo de sesiones, Doc. ONU E/C. 12/2005/4 de </w:t>
      </w:r>
      <w:r w:rsidR="00485290">
        <w:rPr>
          <w:sz w:val="16"/>
          <w:szCs w:val="16"/>
          <w:lang w:val="pt-BR"/>
        </w:rPr>
        <w:t xml:space="preserve">11 de agosto de 2005, Párrafo 5; </w:t>
      </w:r>
      <w:r w:rsidR="00485290" w:rsidRPr="005E4748">
        <w:rPr>
          <w:sz w:val="16"/>
          <w:szCs w:val="16"/>
        </w:rPr>
        <w:t xml:space="preserve">CDESC, </w:t>
      </w:r>
      <w:r w:rsidR="00485290" w:rsidRPr="005E4748">
        <w:rPr>
          <w:i/>
          <w:sz w:val="16"/>
          <w:szCs w:val="16"/>
        </w:rPr>
        <w:t>Observación General No. 20</w:t>
      </w:r>
      <w:r w:rsidR="00485290" w:rsidRPr="005E4748">
        <w:rPr>
          <w:sz w:val="16"/>
          <w:szCs w:val="16"/>
        </w:rPr>
        <w:t xml:space="preserve">, E/C.12/GC/20 de 2 de julio de 2009, párr. </w:t>
      </w:r>
      <w:r w:rsidR="00485290" w:rsidRPr="00496BB8">
        <w:rPr>
          <w:sz w:val="16"/>
          <w:szCs w:val="16"/>
        </w:rPr>
        <w:t>17 (discriminación “múltiple” o “compuesta”).</w:t>
      </w:r>
    </w:p>
  </w:footnote>
  <w:footnote w:id="13">
    <w:p w:rsidR="00496BB8" w:rsidRPr="00711AED" w:rsidRDefault="00496BB8">
      <w:pPr>
        <w:pStyle w:val="FootnoteText"/>
        <w:rPr>
          <w:sz w:val="16"/>
          <w:szCs w:val="16"/>
          <w:lang w:val="en-US"/>
        </w:rPr>
      </w:pPr>
      <w:r w:rsidRPr="00711AED">
        <w:rPr>
          <w:rStyle w:val="FootnoteReference"/>
          <w:sz w:val="16"/>
          <w:szCs w:val="16"/>
        </w:rPr>
        <w:footnoteRef/>
      </w:r>
      <w:r w:rsidRPr="00711AED">
        <w:rPr>
          <w:sz w:val="16"/>
          <w:szCs w:val="16"/>
        </w:rPr>
        <w:t xml:space="preserve"> </w:t>
      </w:r>
      <w:r w:rsidRPr="00711AED">
        <w:rPr>
          <w:rFonts w:asciiTheme="minorHAnsi" w:hAnsiTheme="minorHAnsi"/>
          <w:sz w:val="16"/>
          <w:szCs w:val="16"/>
        </w:rPr>
        <w:t xml:space="preserve">See, </w:t>
      </w:r>
      <w:r w:rsidRPr="00711AED">
        <w:rPr>
          <w:rFonts w:asciiTheme="minorHAnsi" w:hAnsiTheme="minorHAnsi" w:cs="Calibri"/>
          <w:sz w:val="16"/>
          <w:szCs w:val="16"/>
        </w:rPr>
        <w:t xml:space="preserve">CEDAW, </w:t>
      </w:r>
      <w:r w:rsidRPr="00711AED">
        <w:rPr>
          <w:rFonts w:asciiTheme="minorHAnsi" w:hAnsiTheme="minorHAnsi" w:cs="Calibri"/>
          <w:i/>
          <w:sz w:val="16"/>
          <w:szCs w:val="16"/>
        </w:rPr>
        <w:t>L.C. v. Peru</w:t>
      </w:r>
      <w:r w:rsidRPr="00711AED">
        <w:rPr>
          <w:rFonts w:asciiTheme="minorHAnsi" w:hAnsiTheme="minorHAnsi" w:cs="Calibri"/>
          <w:sz w:val="16"/>
          <w:szCs w:val="16"/>
        </w:rPr>
        <w:t xml:space="preserve">, CEDAW/C/50/D/22/2009, para. 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 xml:space="preserve">8.15; Human Rights Committee, </w:t>
      </w:r>
      <w:r w:rsidRPr="00711AED">
        <w:rPr>
          <w:rFonts w:asciiTheme="minorHAnsi" w:hAnsiTheme="minorHAnsi" w:cs="Calibri"/>
          <w:i/>
          <w:sz w:val="16"/>
          <w:szCs w:val="16"/>
          <w:lang w:val="en-US"/>
        </w:rPr>
        <w:t>K.L. v. Peru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 xml:space="preserve">, CCPR/C/85/D/1153/2003, para. </w:t>
      </w:r>
      <w:r w:rsidRPr="00711AED">
        <w:rPr>
          <w:rFonts w:asciiTheme="minorHAnsi" w:hAnsiTheme="minorHAnsi" w:cs="Calibri"/>
          <w:sz w:val="16"/>
          <w:szCs w:val="16"/>
          <w:lang w:val="es-419"/>
        </w:rPr>
        <w:t xml:space="preserve">6.4; CCPR, </w:t>
      </w:r>
      <w:r w:rsidRPr="00711AED">
        <w:rPr>
          <w:rFonts w:asciiTheme="minorHAnsi" w:hAnsiTheme="minorHAnsi" w:cs="Calibri"/>
          <w:i/>
          <w:sz w:val="16"/>
          <w:szCs w:val="16"/>
          <w:lang w:val="es-419"/>
        </w:rPr>
        <w:t>V.D.A. v. Argentina</w:t>
      </w:r>
      <w:r w:rsidRPr="00711AED">
        <w:rPr>
          <w:rFonts w:asciiTheme="minorHAnsi" w:hAnsiTheme="minorHAnsi" w:cs="Calibri"/>
          <w:sz w:val="16"/>
          <w:szCs w:val="16"/>
          <w:lang w:val="es-419"/>
        </w:rPr>
        <w:t xml:space="preserve">, CCPR/C/101/D/1608/2007, para. </w:t>
      </w:r>
      <w:r w:rsidRPr="00711AED">
        <w:rPr>
          <w:rFonts w:asciiTheme="minorHAnsi" w:hAnsiTheme="minorHAnsi" w:cs="Calibri"/>
          <w:sz w:val="16"/>
          <w:szCs w:val="16"/>
        </w:rPr>
        <w:t xml:space="preserve">9.3; Human Rights Committee, </w:t>
      </w:r>
      <w:r w:rsidRPr="00711AED">
        <w:rPr>
          <w:rFonts w:asciiTheme="minorHAnsi" w:hAnsiTheme="minorHAnsi" w:cs="Calibri"/>
          <w:i/>
          <w:sz w:val="16"/>
          <w:szCs w:val="16"/>
        </w:rPr>
        <w:t>K.L. v. Peru</w:t>
      </w:r>
      <w:r w:rsidRPr="00711AED">
        <w:rPr>
          <w:rFonts w:asciiTheme="minorHAnsi" w:hAnsiTheme="minorHAnsi" w:cs="Calibri"/>
          <w:sz w:val="16"/>
          <w:szCs w:val="16"/>
        </w:rPr>
        <w:t xml:space="preserve">, para. 6.3; </w:t>
      </w:r>
      <w:r w:rsidRPr="00711AED">
        <w:rPr>
          <w:rFonts w:asciiTheme="minorHAnsi" w:hAnsiTheme="minorHAnsi" w:cs="Calibri"/>
          <w:i/>
          <w:sz w:val="16"/>
          <w:szCs w:val="16"/>
        </w:rPr>
        <w:t>V.D.A. v. Argentina</w:t>
      </w:r>
      <w:r w:rsidRPr="00711AED">
        <w:rPr>
          <w:rFonts w:asciiTheme="minorHAnsi" w:hAnsiTheme="minorHAnsi" w:cs="Calibri"/>
          <w:sz w:val="16"/>
          <w:szCs w:val="16"/>
        </w:rPr>
        <w:t>, para. 9.2.</w:t>
      </w:r>
    </w:p>
  </w:footnote>
  <w:footnote w:id="14">
    <w:p w:rsidR="004D4440" w:rsidRPr="00711AED" w:rsidRDefault="004D4440" w:rsidP="009D25E2">
      <w:pPr>
        <w:pStyle w:val="FootnoteText"/>
        <w:jc w:val="both"/>
        <w:rPr>
          <w:rFonts w:asciiTheme="minorHAnsi" w:hAnsiTheme="minorHAnsi"/>
          <w:sz w:val="16"/>
          <w:szCs w:val="16"/>
          <w:lang w:val="en-US"/>
        </w:rPr>
      </w:pPr>
      <w:r w:rsidRPr="00711AED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11AED">
        <w:rPr>
          <w:rFonts w:asciiTheme="minorHAnsi" w:hAnsiTheme="minorHAnsi"/>
          <w:sz w:val="16"/>
          <w:szCs w:val="16"/>
          <w:lang w:val="en-US"/>
        </w:rPr>
        <w:t xml:space="preserve"> 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 xml:space="preserve">CRC, </w:t>
      </w:r>
      <w:r w:rsidRPr="00711AED">
        <w:rPr>
          <w:rFonts w:asciiTheme="minorHAnsi" w:hAnsiTheme="minorHAnsi" w:cs="Calibri"/>
          <w:i/>
          <w:sz w:val="16"/>
          <w:szCs w:val="16"/>
          <w:lang w:val="en-US"/>
        </w:rPr>
        <w:t>General Comment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 xml:space="preserve"> </w:t>
      </w:r>
      <w:r w:rsidRPr="00711AED">
        <w:rPr>
          <w:rFonts w:asciiTheme="minorHAnsi" w:hAnsiTheme="minorHAnsi" w:cs="Calibri"/>
          <w:i/>
          <w:sz w:val="16"/>
          <w:szCs w:val="16"/>
          <w:lang w:val="en-US"/>
        </w:rPr>
        <w:t>No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 xml:space="preserve"> 4, para. 28; ESCR Committee, </w:t>
      </w:r>
      <w:r w:rsidRPr="00711AED">
        <w:rPr>
          <w:rFonts w:asciiTheme="minorHAnsi" w:hAnsiTheme="minorHAnsi" w:cs="Calibri"/>
          <w:i/>
          <w:sz w:val="16"/>
          <w:szCs w:val="16"/>
          <w:lang w:val="en-US"/>
        </w:rPr>
        <w:t>General Comment No 14</w:t>
      </w:r>
      <w:r w:rsidRPr="00711AED">
        <w:rPr>
          <w:rFonts w:asciiTheme="minorHAnsi" w:hAnsiTheme="minorHAnsi" w:cs="Calibri"/>
          <w:sz w:val="16"/>
          <w:szCs w:val="16"/>
          <w:lang w:val="en-US"/>
        </w:rPr>
        <w:t>, para. 34; CEDAW Committee, General Recommendation 21, para. 22.</w:t>
      </w:r>
    </w:p>
  </w:footnote>
  <w:footnote w:id="15">
    <w:p w:rsidR="00CF52E1" w:rsidRPr="00711AED" w:rsidRDefault="00CF52E1" w:rsidP="009D25E2">
      <w:pPr>
        <w:pStyle w:val="EndnoteText"/>
        <w:jc w:val="both"/>
        <w:rPr>
          <w:rFonts w:asciiTheme="minorHAnsi" w:hAnsiTheme="minorHAnsi"/>
          <w:sz w:val="16"/>
          <w:szCs w:val="16"/>
          <w:lang w:val="es-CO"/>
        </w:rPr>
      </w:pPr>
      <w:r w:rsidRPr="00711AED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711AED">
        <w:rPr>
          <w:rFonts w:asciiTheme="minorHAnsi" w:hAnsiTheme="minorHAnsi"/>
          <w:sz w:val="16"/>
          <w:szCs w:val="16"/>
        </w:rPr>
        <w:t xml:space="preserve"> </w:t>
      </w:r>
      <w:r w:rsidRPr="00711AED">
        <w:rPr>
          <w:rFonts w:asciiTheme="minorHAnsi" w:hAnsiTheme="minorHAnsi" w:cs="Calibri"/>
          <w:sz w:val="16"/>
          <w:szCs w:val="16"/>
        </w:rPr>
        <w:t xml:space="preserve">CEDAW, art. 16(1)(e); see also Convention on the Rights of Persons with Disabilities, adopted Jan. 24, 2007, art. 23(1)(b), G.A. Res. 61/106, UN GAOR, 61st Sess., U.N. Doc. </w:t>
      </w:r>
      <w:r w:rsidRPr="00711AED">
        <w:rPr>
          <w:rFonts w:asciiTheme="minorHAnsi" w:hAnsiTheme="minorHAnsi" w:cs="Calibri"/>
          <w:sz w:val="16"/>
          <w:szCs w:val="16"/>
          <w:lang w:val="es-CO"/>
        </w:rPr>
        <w:t>A/RES/61/106, Annex I (entered into force May 3, 2008).</w:t>
      </w:r>
      <w:r w:rsidR="00711AED" w:rsidRPr="00711AED">
        <w:rPr>
          <w:rFonts w:asciiTheme="minorHAnsi" w:hAnsiTheme="minorHAnsi"/>
          <w:sz w:val="16"/>
          <w:szCs w:val="16"/>
          <w:lang w:val="es-UY"/>
        </w:rPr>
        <w:t xml:space="preserve"> </w:t>
      </w:r>
      <w:r w:rsidR="00711AED" w:rsidRPr="00711AED">
        <w:rPr>
          <w:rFonts w:asciiTheme="minorHAnsi" w:hAnsiTheme="minorHAnsi"/>
          <w:sz w:val="16"/>
          <w:szCs w:val="16"/>
          <w:lang w:val="es-UY"/>
        </w:rPr>
        <w:t>En los casos de Zika, el acceso al aborto debe garantizarse para las mujeres que así lo decidan en virtud de la capacidad decisora autónoma que tienen sobre su salud y debido a los altos niveles de angustia que seguir adelante con un embarazo con estos riesgos acarrearía y al estrés producido en la medida en que nada de la que ella haga cambiará la evolución sobre el futuro de su embarazo.</w:t>
      </w:r>
    </w:p>
  </w:footnote>
  <w:footnote w:id="16">
    <w:p w:rsidR="00CF52E1" w:rsidRPr="009D25E2" w:rsidRDefault="00CF52E1" w:rsidP="00CF52E1">
      <w:pPr>
        <w:pStyle w:val="FootnoteText"/>
        <w:rPr>
          <w:sz w:val="16"/>
          <w:szCs w:val="16"/>
          <w:lang w:val="en-US"/>
        </w:rPr>
      </w:pPr>
      <w:r w:rsidRPr="00711AED">
        <w:rPr>
          <w:rStyle w:val="FootnoteReference"/>
          <w:sz w:val="16"/>
          <w:szCs w:val="16"/>
        </w:rPr>
        <w:footnoteRef/>
      </w:r>
      <w:r w:rsidRPr="00711AED">
        <w:rPr>
          <w:sz w:val="16"/>
          <w:szCs w:val="16"/>
          <w:lang w:val="en-US"/>
        </w:rPr>
        <w:t xml:space="preserve"> </w:t>
      </w:r>
      <w:r w:rsidRPr="00711AED">
        <w:rPr>
          <w:rFonts w:cs="Calibri"/>
          <w:sz w:val="16"/>
          <w:szCs w:val="16"/>
          <w:lang w:val="en-US"/>
        </w:rPr>
        <w:t>CEDAW, art 12(2).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DC" w:rsidRDefault="000274DC" w:rsidP="000274DC">
    <w:pPr>
      <w:pStyle w:val="NormalWeb"/>
      <w:spacing w:before="0" w:beforeAutospacing="0" w:after="0" w:afterAutospacing="0"/>
      <w:jc w:val="right"/>
      <w:rPr>
        <w:rFonts w:asciiTheme="minorHAnsi" w:hAnsiTheme="minorHAnsi" w:cs="Arial"/>
        <w:b/>
        <w:bCs/>
        <w:color w:val="222222"/>
        <w:sz w:val="22"/>
        <w:szCs w:val="22"/>
        <w:shd w:val="clear" w:color="auto" w:fill="FFFFFF"/>
      </w:rPr>
    </w:pPr>
    <w:r w:rsidRPr="009D25E2">
      <w:rPr>
        <w:rFonts w:asciiTheme="minorHAnsi" w:hAnsiTheme="minorHAnsi" w:cs="Arial"/>
        <w:b/>
        <w:bCs/>
        <w:color w:val="222222"/>
        <w:sz w:val="22"/>
        <w:szCs w:val="22"/>
        <w:shd w:val="clear" w:color="auto" w:fill="FFFFFF"/>
      </w:rPr>
      <w:t xml:space="preserve">Intervención </w:t>
    </w:r>
    <w:r>
      <w:rPr>
        <w:rFonts w:asciiTheme="minorHAnsi" w:hAnsiTheme="minorHAnsi" w:cs="Arial"/>
        <w:b/>
        <w:bCs/>
        <w:color w:val="222222"/>
        <w:sz w:val="22"/>
        <w:szCs w:val="22"/>
        <w:shd w:val="clear" w:color="auto" w:fill="FFFFFF"/>
      </w:rPr>
      <w:t>en el Foro Social 2017</w:t>
    </w:r>
  </w:p>
  <w:p w:rsidR="000274DC" w:rsidRPr="009D25E2" w:rsidRDefault="000274DC" w:rsidP="000274DC">
    <w:pPr>
      <w:pStyle w:val="NormalWeb"/>
      <w:spacing w:before="0" w:beforeAutospacing="0" w:after="0" w:afterAutospacing="0"/>
      <w:jc w:val="right"/>
      <w:rPr>
        <w:rFonts w:asciiTheme="minorHAnsi" w:hAnsiTheme="minorHAnsi" w:cs="Arial"/>
        <w:bCs/>
        <w:i/>
        <w:color w:val="222222"/>
        <w:sz w:val="22"/>
        <w:szCs w:val="22"/>
        <w:shd w:val="clear" w:color="auto" w:fill="FFFFFF"/>
      </w:rPr>
    </w:pPr>
    <w:r w:rsidRPr="009D25E2">
      <w:rPr>
        <w:rFonts w:asciiTheme="minorHAnsi" w:hAnsiTheme="minorHAnsi" w:cs="Arial"/>
        <w:bCs/>
        <w:i/>
        <w:color w:val="222222"/>
        <w:sz w:val="22"/>
        <w:szCs w:val="22"/>
        <w:shd w:val="clear" w:color="auto" w:fill="FFFFFF"/>
      </w:rPr>
      <w:t>Catalina Martínez Coral, Directora Regional para LAC, Centro de Derechos Reproductivos.</w:t>
    </w:r>
  </w:p>
  <w:p w:rsidR="000274DC" w:rsidRDefault="000274D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F5D98"/>
    <w:multiLevelType w:val="hybridMultilevel"/>
    <w:tmpl w:val="AD424E28"/>
    <w:lvl w:ilvl="0" w:tplc="A8A074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1CB1F4">
      <w:start w:val="2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068D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3CF5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EE73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E846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620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708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9665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61DB4AD8"/>
    <w:multiLevelType w:val="hybridMultilevel"/>
    <w:tmpl w:val="16FE5FDA"/>
    <w:lvl w:ilvl="0" w:tplc="A60CAB3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16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8503A3"/>
    <w:multiLevelType w:val="hybridMultilevel"/>
    <w:tmpl w:val="8A58BBBC"/>
    <w:lvl w:ilvl="0" w:tplc="240A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32B95"/>
    <w:multiLevelType w:val="hybridMultilevel"/>
    <w:tmpl w:val="4D367D40"/>
    <w:lvl w:ilvl="0" w:tplc="6C38F92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172FC3"/>
    <w:multiLevelType w:val="hybridMultilevel"/>
    <w:tmpl w:val="9280B2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436"/>
    <w:rsid w:val="000027B5"/>
    <w:rsid w:val="000062C7"/>
    <w:rsid w:val="00011C11"/>
    <w:rsid w:val="000138B0"/>
    <w:rsid w:val="0001769B"/>
    <w:rsid w:val="000274DC"/>
    <w:rsid w:val="00035D1D"/>
    <w:rsid w:val="00043451"/>
    <w:rsid w:val="000824E4"/>
    <w:rsid w:val="00092348"/>
    <w:rsid w:val="000A0B0C"/>
    <w:rsid w:val="000C09E4"/>
    <w:rsid w:val="000D619A"/>
    <w:rsid w:val="000E0C97"/>
    <w:rsid w:val="000E1A5C"/>
    <w:rsid w:val="000E3533"/>
    <w:rsid w:val="00101166"/>
    <w:rsid w:val="00121436"/>
    <w:rsid w:val="001450AA"/>
    <w:rsid w:val="001470D9"/>
    <w:rsid w:val="001657BA"/>
    <w:rsid w:val="00174A64"/>
    <w:rsid w:val="00181878"/>
    <w:rsid w:val="00182737"/>
    <w:rsid w:val="0018796E"/>
    <w:rsid w:val="00194E74"/>
    <w:rsid w:val="001B2F52"/>
    <w:rsid w:val="001C6B71"/>
    <w:rsid w:val="00206D4A"/>
    <w:rsid w:val="00213158"/>
    <w:rsid w:val="002208A3"/>
    <w:rsid w:val="002353BA"/>
    <w:rsid w:val="00237581"/>
    <w:rsid w:val="00242882"/>
    <w:rsid w:val="0025242F"/>
    <w:rsid w:val="0026094B"/>
    <w:rsid w:val="00266608"/>
    <w:rsid w:val="00271001"/>
    <w:rsid w:val="00277065"/>
    <w:rsid w:val="002934AF"/>
    <w:rsid w:val="00295375"/>
    <w:rsid w:val="002958D9"/>
    <w:rsid w:val="002B18D8"/>
    <w:rsid w:val="002B268E"/>
    <w:rsid w:val="002B6AE6"/>
    <w:rsid w:val="002C0B51"/>
    <w:rsid w:val="002C2F83"/>
    <w:rsid w:val="002C3A9B"/>
    <w:rsid w:val="002C4AD0"/>
    <w:rsid w:val="002D3735"/>
    <w:rsid w:val="002D6F04"/>
    <w:rsid w:val="002F0A0B"/>
    <w:rsid w:val="00300848"/>
    <w:rsid w:val="00303554"/>
    <w:rsid w:val="003102C8"/>
    <w:rsid w:val="00341352"/>
    <w:rsid w:val="00373C18"/>
    <w:rsid w:val="003844E8"/>
    <w:rsid w:val="00391DFC"/>
    <w:rsid w:val="00397352"/>
    <w:rsid w:val="00397834"/>
    <w:rsid w:val="003A33DD"/>
    <w:rsid w:val="003B1D94"/>
    <w:rsid w:val="003B5E3C"/>
    <w:rsid w:val="003C268E"/>
    <w:rsid w:val="003D4B0D"/>
    <w:rsid w:val="00413C0A"/>
    <w:rsid w:val="00415D2C"/>
    <w:rsid w:val="00424970"/>
    <w:rsid w:val="00436955"/>
    <w:rsid w:val="00452763"/>
    <w:rsid w:val="00473569"/>
    <w:rsid w:val="00480FB9"/>
    <w:rsid w:val="00481754"/>
    <w:rsid w:val="00485290"/>
    <w:rsid w:val="00494F63"/>
    <w:rsid w:val="00496BB8"/>
    <w:rsid w:val="00496CC3"/>
    <w:rsid w:val="004A75DB"/>
    <w:rsid w:val="004B6C73"/>
    <w:rsid w:val="004D4440"/>
    <w:rsid w:val="004D7397"/>
    <w:rsid w:val="004E2572"/>
    <w:rsid w:val="004F0315"/>
    <w:rsid w:val="005020EF"/>
    <w:rsid w:val="0050480C"/>
    <w:rsid w:val="00506EB9"/>
    <w:rsid w:val="00522B59"/>
    <w:rsid w:val="0053442D"/>
    <w:rsid w:val="005374A1"/>
    <w:rsid w:val="0055173A"/>
    <w:rsid w:val="00562097"/>
    <w:rsid w:val="00577BF8"/>
    <w:rsid w:val="00581C26"/>
    <w:rsid w:val="00592EA1"/>
    <w:rsid w:val="00597F5E"/>
    <w:rsid w:val="005A11AF"/>
    <w:rsid w:val="005A1762"/>
    <w:rsid w:val="005B6AD2"/>
    <w:rsid w:val="005C17FD"/>
    <w:rsid w:val="005D007F"/>
    <w:rsid w:val="005D13E2"/>
    <w:rsid w:val="005D7723"/>
    <w:rsid w:val="005E4748"/>
    <w:rsid w:val="005F0E0C"/>
    <w:rsid w:val="005F22AA"/>
    <w:rsid w:val="005F4262"/>
    <w:rsid w:val="005F57D2"/>
    <w:rsid w:val="006147ED"/>
    <w:rsid w:val="00620685"/>
    <w:rsid w:val="00626360"/>
    <w:rsid w:val="00627B62"/>
    <w:rsid w:val="00633B1F"/>
    <w:rsid w:val="0064097F"/>
    <w:rsid w:val="0064213A"/>
    <w:rsid w:val="006422F4"/>
    <w:rsid w:val="00650660"/>
    <w:rsid w:val="00655F94"/>
    <w:rsid w:val="006566D7"/>
    <w:rsid w:val="0066595B"/>
    <w:rsid w:val="006857A7"/>
    <w:rsid w:val="006966DC"/>
    <w:rsid w:val="006973F4"/>
    <w:rsid w:val="006A0765"/>
    <w:rsid w:val="006A1288"/>
    <w:rsid w:val="006A305D"/>
    <w:rsid w:val="006C412B"/>
    <w:rsid w:val="006E6FBD"/>
    <w:rsid w:val="006F4611"/>
    <w:rsid w:val="006F53EF"/>
    <w:rsid w:val="007105D6"/>
    <w:rsid w:val="00710646"/>
    <w:rsid w:val="00711AED"/>
    <w:rsid w:val="00721794"/>
    <w:rsid w:val="00721A3D"/>
    <w:rsid w:val="007254FF"/>
    <w:rsid w:val="007277D1"/>
    <w:rsid w:val="007572BE"/>
    <w:rsid w:val="00770115"/>
    <w:rsid w:val="0077239B"/>
    <w:rsid w:val="00781827"/>
    <w:rsid w:val="00791631"/>
    <w:rsid w:val="007A0085"/>
    <w:rsid w:val="007B31EB"/>
    <w:rsid w:val="007C6AEA"/>
    <w:rsid w:val="007C70C5"/>
    <w:rsid w:val="007E620A"/>
    <w:rsid w:val="00800565"/>
    <w:rsid w:val="008058A6"/>
    <w:rsid w:val="0080731B"/>
    <w:rsid w:val="00815D24"/>
    <w:rsid w:val="008221D4"/>
    <w:rsid w:val="00834A23"/>
    <w:rsid w:val="008364FD"/>
    <w:rsid w:val="00837598"/>
    <w:rsid w:val="00843A26"/>
    <w:rsid w:val="00845F63"/>
    <w:rsid w:val="00860451"/>
    <w:rsid w:val="008616CF"/>
    <w:rsid w:val="00886F0A"/>
    <w:rsid w:val="008B7972"/>
    <w:rsid w:val="008C03E3"/>
    <w:rsid w:val="008C2798"/>
    <w:rsid w:val="008C6B04"/>
    <w:rsid w:val="008D231B"/>
    <w:rsid w:val="008D5684"/>
    <w:rsid w:val="009021D4"/>
    <w:rsid w:val="0090239E"/>
    <w:rsid w:val="00930A6A"/>
    <w:rsid w:val="00947434"/>
    <w:rsid w:val="00952BA2"/>
    <w:rsid w:val="00966936"/>
    <w:rsid w:val="00980A56"/>
    <w:rsid w:val="00987603"/>
    <w:rsid w:val="00993A79"/>
    <w:rsid w:val="00994088"/>
    <w:rsid w:val="00994B8F"/>
    <w:rsid w:val="009A4EB3"/>
    <w:rsid w:val="009A6A09"/>
    <w:rsid w:val="009B2C56"/>
    <w:rsid w:val="009B2D84"/>
    <w:rsid w:val="009C1A5C"/>
    <w:rsid w:val="009D25E2"/>
    <w:rsid w:val="009E2B9E"/>
    <w:rsid w:val="009E463B"/>
    <w:rsid w:val="009F3146"/>
    <w:rsid w:val="009F679A"/>
    <w:rsid w:val="009F73A0"/>
    <w:rsid w:val="00A22677"/>
    <w:rsid w:val="00A26C7F"/>
    <w:rsid w:val="00A545C2"/>
    <w:rsid w:val="00A57716"/>
    <w:rsid w:val="00A6537C"/>
    <w:rsid w:val="00A67D03"/>
    <w:rsid w:val="00A67F91"/>
    <w:rsid w:val="00A72EEC"/>
    <w:rsid w:val="00A761DE"/>
    <w:rsid w:val="00A76D0D"/>
    <w:rsid w:val="00A866F0"/>
    <w:rsid w:val="00A9757C"/>
    <w:rsid w:val="00AB1FF4"/>
    <w:rsid w:val="00AB2A6A"/>
    <w:rsid w:val="00AB379C"/>
    <w:rsid w:val="00AC6631"/>
    <w:rsid w:val="00AD19EE"/>
    <w:rsid w:val="00AD3988"/>
    <w:rsid w:val="00AD5779"/>
    <w:rsid w:val="00AE118A"/>
    <w:rsid w:val="00AE60A0"/>
    <w:rsid w:val="00AF1C60"/>
    <w:rsid w:val="00AF40D5"/>
    <w:rsid w:val="00AF41D5"/>
    <w:rsid w:val="00B042D2"/>
    <w:rsid w:val="00B13823"/>
    <w:rsid w:val="00B16B61"/>
    <w:rsid w:val="00B339E7"/>
    <w:rsid w:val="00B3507B"/>
    <w:rsid w:val="00B417F0"/>
    <w:rsid w:val="00B43DC9"/>
    <w:rsid w:val="00B51B47"/>
    <w:rsid w:val="00B802E2"/>
    <w:rsid w:val="00B81C01"/>
    <w:rsid w:val="00B8516B"/>
    <w:rsid w:val="00BA1897"/>
    <w:rsid w:val="00BC59A1"/>
    <w:rsid w:val="00BD7167"/>
    <w:rsid w:val="00BF6E37"/>
    <w:rsid w:val="00BF70C4"/>
    <w:rsid w:val="00BF7A82"/>
    <w:rsid w:val="00C10786"/>
    <w:rsid w:val="00C22059"/>
    <w:rsid w:val="00C23570"/>
    <w:rsid w:val="00C4033D"/>
    <w:rsid w:val="00C43CC4"/>
    <w:rsid w:val="00C478A6"/>
    <w:rsid w:val="00C50A51"/>
    <w:rsid w:val="00C633B8"/>
    <w:rsid w:val="00C71919"/>
    <w:rsid w:val="00C8361F"/>
    <w:rsid w:val="00C86991"/>
    <w:rsid w:val="00C911D3"/>
    <w:rsid w:val="00CC477A"/>
    <w:rsid w:val="00CC669D"/>
    <w:rsid w:val="00CD466D"/>
    <w:rsid w:val="00CE3FC6"/>
    <w:rsid w:val="00CF3349"/>
    <w:rsid w:val="00CF52E1"/>
    <w:rsid w:val="00CF73AB"/>
    <w:rsid w:val="00CF7849"/>
    <w:rsid w:val="00D078A0"/>
    <w:rsid w:val="00D12249"/>
    <w:rsid w:val="00D1683F"/>
    <w:rsid w:val="00D2691C"/>
    <w:rsid w:val="00D3262B"/>
    <w:rsid w:val="00D406FC"/>
    <w:rsid w:val="00D41664"/>
    <w:rsid w:val="00D57C33"/>
    <w:rsid w:val="00D64159"/>
    <w:rsid w:val="00D64F7C"/>
    <w:rsid w:val="00D7240F"/>
    <w:rsid w:val="00D86AA4"/>
    <w:rsid w:val="00D96B14"/>
    <w:rsid w:val="00D96BAA"/>
    <w:rsid w:val="00D97147"/>
    <w:rsid w:val="00DA034A"/>
    <w:rsid w:val="00DA36AA"/>
    <w:rsid w:val="00DA3B2F"/>
    <w:rsid w:val="00DA512A"/>
    <w:rsid w:val="00DC0738"/>
    <w:rsid w:val="00DD0772"/>
    <w:rsid w:val="00DE4915"/>
    <w:rsid w:val="00DE75EA"/>
    <w:rsid w:val="00E053D0"/>
    <w:rsid w:val="00E420C7"/>
    <w:rsid w:val="00E43418"/>
    <w:rsid w:val="00E43665"/>
    <w:rsid w:val="00E460CA"/>
    <w:rsid w:val="00E550A1"/>
    <w:rsid w:val="00E6077B"/>
    <w:rsid w:val="00E6087B"/>
    <w:rsid w:val="00E6743D"/>
    <w:rsid w:val="00E76E95"/>
    <w:rsid w:val="00E92925"/>
    <w:rsid w:val="00E9399F"/>
    <w:rsid w:val="00E95E0F"/>
    <w:rsid w:val="00EA13FB"/>
    <w:rsid w:val="00EB34E3"/>
    <w:rsid w:val="00EB3811"/>
    <w:rsid w:val="00EC04B6"/>
    <w:rsid w:val="00EC05F3"/>
    <w:rsid w:val="00ED1FA2"/>
    <w:rsid w:val="00EE1129"/>
    <w:rsid w:val="00EF2DD4"/>
    <w:rsid w:val="00F22D68"/>
    <w:rsid w:val="00F2382E"/>
    <w:rsid w:val="00F24864"/>
    <w:rsid w:val="00F25CC4"/>
    <w:rsid w:val="00F32A71"/>
    <w:rsid w:val="00F334DA"/>
    <w:rsid w:val="00F43E50"/>
    <w:rsid w:val="00F6108F"/>
    <w:rsid w:val="00F61EF3"/>
    <w:rsid w:val="00F6557F"/>
    <w:rsid w:val="00F655DE"/>
    <w:rsid w:val="00F67DAD"/>
    <w:rsid w:val="00F77096"/>
    <w:rsid w:val="00F77DBF"/>
    <w:rsid w:val="00FA0C84"/>
    <w:rsid w:val="00FA4563"/>
    <w:rsid w:val="00FC2D89"/>
    <w:rsid w:val="00FC4C35"/>
    <w:rsid w:val="00FD1D5C"/>
    <w:rsid w:val="00FD335C"/>
    <w:rsid w:val="00FE4ED5"/>
    <w:rsid w:val="00FE5B48"/>
    <w:rsid w:val="00FF0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1F8AF51"/>
  <w15:chartTrackingRefBased/>
  <w15:docId w15:val="{D95A4EDC-CE75-43D4-842D-8FE2A9CD8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143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1436"/>
    <w:pPr>
      <w:spacing w:before="100" w:beforeAutospacing="1" w:after="100" w:afterAutospacing="1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121436"/>
    <w:rPr>
      <w:sz w:val="20"/>
      <w:szCs w:val="20"/>
      <w:lang w:val="en-US"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21436"/>
    <w:rPr>
      <w:rFonts w:ascii="Times New Roman" w:eastAsia="Calibri" w:hAnsi="Times New Roman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unhideWhenUsed/>
    <w:rsid w:val="00121436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121436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1436"/>
    <w:rPr>
      <w:rFonts w:ascii="Calibri" w:hAnsi="Calibr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1436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214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1436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B6A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6AD2"/>
    <w:pPr>
      <w:spacing w:after="200"/>
    </w:pPr>
    <w:rPr>
      <w:rFonts w:ascii="Calibri" w:hAnsi="Calibri"/>
      <w:sz w:val="20"/>
      <w:szCs w:val="20"/>
      <w:lang w:val="pt-BR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AD2"/>
    <w:rPr>
      <w:rFonts w:ascii="Calibri" w:eastAsia="Calibri" w:hAnsi="Calibri" w:cs="Times New Roman"/>
      <w:sz w:val="20"/>
      <w:szCs w:val="20"/>
      <w:lang w:val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6A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AD2"/>
    <w:rPr>
      <w:rFonts w:ascii="Segoe UI" w:eastAsia="Calibri" w:hAnsi="Segoe UI" w:cs="Segoe UI"/>
      <w:sz w:val="18"/>
      <w:szCs w:val="18"/>
      <w:lang w:eastAsia="es-CO"/>
    </w:rPr>
  </w:style>
  <w:style w:type="paragraph" w:customStyle="1" w:styleId="FootnoteText1">
    <w:name w:val="Footnote Text1"/>
    <w:basedOn w:val="Normal"/>
    <w:next w:val="FootnoteText"/>
    <w:uiPriority w:val="99"/>
    <w:unhideWhenUsed/>
    <w:rsid w:val="002B18D8"/>
    <w:rPr>
      <w:sz w:val="20"/>
      <w:szCs w:val="20"/>
      <w:lang w:val="es-UY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4ED5"/>
    <w:pPr>
      <w:spacing w:after="0"/>
    </w:pPr>
    <w:rPr>
      <w:rFonts w:ascii="Times New Roman" w:hAnsi="Times New Roman"/>
      <w:b/>
      <w:bCs/>
      <w:lang w:val="es-CO" w:eastAsia="es-C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4ED5"/>
    <w:rPr>
      <w:rFonts w:ascii="Times New Roman" w:eastAsia="Calibri" w:hAnsi="Times New Roman" w:cs="Times New Roman"/>
      <w:b/>
      <w:bCs/>
      <w:sz w:val="20"/>
      <w:szCs w:val="20"/>
      <w:lang w:val="pt-BR" w:eastAsia="es-CO"/>
    </w:rPr>
  </w:style>
  <w:style w:type="paragraph" w:styleId="ListParagraph">
    <w:name w:val="List Paragraph"/>
    <w:basedOn w:val="Normal"/>
    <w:uiPriority w:val="34"/>
    <w:qFormat/>
    <w:rsid w:val="005F4262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unhideWhenUsed/>
    <w:rsid w:val="00027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4DC"/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Footer">
    <w:name w:val="footer"/>
    <w:basedOn w:val="Normal"/>
    <w:link w:val="FooterChar"/>
    <w:uiPriority w:val="99"/>
    <w:unhideWhenUsed/>
    <w:rsid w:val="00027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4DC"/>
    <w:rPr>
      <w:rFonts w:ascii="Times New Roman" w:eastAsia="Calibri" w:hAnsi="Times New Roman" w:cs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7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9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85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33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7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1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8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307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productiverights.org/document/violence-against-women-and-reproductive-rights-in-the-americas" TargetMode="External"/><Relationship Id="rId2" Type="http://schemas.openxmlformats.org/officeDocument/2006/relationships/hyperlink" Target="https://www.guttmacher.org/media/nr/2014/09/17/sfp-sedgh-up.html" TargetMode="External"/><Relationship Id="rId1" Type="http://schemas.openxmlformats.org/officeDocument/2006/relationships/hyperlink" Target="http://www.bbc.com/mundo/noticias/2015/06/150611_salud_virus_zika_preguntas_respuestas_kv" TargetMode="External"/><Relationship Id="rId5" Type="http://schemas.openxmlformats.org/officeDocument/2006/relationships/hyperlink" Target="http://centerwomenpolicy.org/programs/health/statepolicy/documents/repro_time_for_change.pdf" TargetMode="External"/><Relationship Id="rId4" Type="http://schemas.openxmlformats.org/officeDocument/2006/relationships/hyperlink" Target="http://apps.who.int/iris/bitstream/10665/75173/1/WHO_RHR_12.01_en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3F50E08-6970-4B41-9B7A-1500EDB089F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971F13B-D040-4B81-83B4-9EF6608DFEF8}"/>
</file>

<file path=customXml/itemProps3.xml><?xml version="1.0" encoding="utf-8"?>
<ds:datastoreItem xmlns:ds="http://schemas.openxmlformats.org/officeDocument/2006/customXml" ds:itemID="{1270196F-6773-47E6-A621-874C469BA49F}"/>
</file>

<file path=customXml/itemProps4.xml><?xml version="1.0" encoding="utf-8"?>
<ds:datastoreItem xmlns:ds="http://schemas.openxmlformats.org/officeDocument/2006/customXml" ds:itemID="{5C47AFF8-D4AD-42AC-B606-4747F968E88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1198</Words>
  <Characters>6593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 for Reproductive Rights</Company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Martinez</dc:creator>
  <cp:keywords/>
  <dc:description/>
  <cp:lastModifiedBy>Catalina Martinez</cp:lastModifiedBy>
  <cp:revision>42</cp:revision>
  <dcterms:created xsi:type="dcterms:W3CDTF">2017-10-02T08:47:00Z</dcterms:created>
  <dcterms:modified xsi:type="dcterms:W3CDTF">2017-10-03T00:17:00Z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