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DC225" w14:textId="7223131F" w:rsidR="002444AA" w:rsidRPr="00B66B7B" w:rsidRDefault="0096672E" w:rsidP="00990848">
      <w:pPr>
        <w:spacing w:after="0" w:line="240" w:lineRule="auto"/>
        <w:jc w:val="center"/>
        <w:rPr>
          <w:b/>
          <w:bCs/>
        </w:rPr>
      </w:pPr>
      <w:bookmarkStart w:id="0" w:name="_GoBack"/>
      <w:bookmarkEnd w:id="0"/>
      <w:r w:rsidRPr="00B66B7B">
        <w:rPr>
          <w:b/>
          <w:bCs/>
        </w:rPr>
        <w:t xml:space="preserve">Compiled OHCHR </w:t>
      </w:r>
      <w:r w:rsidR="009E10F1" w:rsidRPr="00B66B7B">
        <w:rPr>
          <w:b/>
          <w:bCs/>
        </w:rPr>
        <w:t xml:space="preserve">‘individual commitments’ </w:t>
      </w:r>
      <w:r w:rsidR="00990848">
        <w:rPr>
          <w:b/>
          <w:bCs/>
        </w:rPr>
        <w:t>for WHS</w:t>
      </w:r>
    </w:p>
    <w:p w14:paraId="78D38C25" w14:textId="77777777" w:rsidR="002444AA" w:rsidRDefault="002444AA" w:rsidP="002444AA">
      <w:pPr>
        <w:spacing w:after="0" w:line="240" w:lineRule="auto"/>
        <w:jc w:val="center"/>
        <w:rPr>
          <w:b/>
          <w:bCs/>
        </w:rPr>
      </w:pPr>
    </w:p>
    <w:p w14:paraId="46A189EB" w14:textId="77777777" w:rsidR="00990848" w:rsidRPr="00B66B7B" w:rsidRDefault="00990848" w:rsidP="002444AA">
      <w:pPr>
        <w:spacing w:after="0" w:line="240" w:lineRule="auto"/>
        <w:jc w:val="center"/>
        <w:rPr>
          <w:b/>
          <w:bCs/>
        </w:rPr>
      </w:pPr>
    </w:p>
    <w:tbl>
      <w:tblPr>
        <w:tblStyle w:val="TableGrid"/>
        <w:tblW w:w="0" w:type="auto"/>
        <w:tblLayout w:type="fixed"/>
        <w:tblLook w:val="04A0" w:firstRow="1" w:lastRow="0" w:firstColumn="1" w:lastColumn="0" w:noHBand="0" w:noVBand="1"/>
      </w:tblPr>
      <w:tblGrid>
        <w:gridCol w:w="13149"/>
      </w:tblGrid>
      <w:tr w:rsidR="00990848" w:rsidRPr="00B66B7B" w14:paraId="75ADD1F8" w14:textId="77777777" w:rsidTr="00990848">
        <w:tc>
          <w:tcPr>
            <w:tcW w:w="13149" w:type="dxa"/>
          </w:tcPr>
          <w:p w14:paraId="32469346" w14:textId="408F43F7" w:rsidR="00990848" w:rsidRPr="00B66B7B" w:rsidRDefault="00990848" w:rsidP="00990848">
            <w:pPr>
              <w:rPr>
                <w:bCs/>
                <w:i/>
              </w:rPr>
            </w:pPr>
            <w:r>
              <w:rPr>
                <w:b/>
                <w:bCs/>
                <w:i/>
                <w:iCs/>
              </w:rPr>
              <w:t>“Uphold the norms that safeguard humanity”</w:t>
            </w:r>
          </w:p>
        </w:tc>
      </w:tr>
      <w:tr w:rsidR="00990848" w:rsidRPr="00B66B7B" w14:paraId="42FC207B" w14:textId="77777777" w:rsidTr="00990848">
        <w:tc>
          <w:tcPr>
            <w:tcW w:w="13149" w:type="dxa"/>
          </w:tcPr>
          <w:p w14:paraId="68418152" w14:textId="77777777" w:rsidR="00990848" w:rsidRPr="00B66B7B" w:rsidRDefault="00990848" w:rsidP="0096672E">
            <w:pPr>
              <w:jc w:val="both"/>
              <w:rPr>
                <w:rFonts w:eastAsia="Calibri" w:cs="Arial"/>
              </w:rPr>
            </w:pPr>
            <w:r w:rsidRPr="00B66B7B">
              <w:t xml:space="preserve">1). </w:t>
            </w:r>
            <w:r w:rsidRPr="00B66B7B">
              <w:rPr>
                <w:rFonts w:eastAsia="Calibri" w:cs="Arial"/>
              </w:rPr>
              <w:t>OHCHR commits to continue to offer training in international human rights law and where appropriate international humanitarian law, to armed forces and relevant law enforcement agencies as well as to continue engaging with armed groups on compliance with relevant legal norms and standards.</w:t>
            </w:r>
          </w:p>
          <w:p w14:paraId="340B1875" w14:textId="77777777" w:rsidR="00990848" w:rsidRPr="00B66B7B" w:rsidRDefault="00990848" w:rsidP="0096672E"/>
        </w:tc>
      </w:tr>
      <w:tr w:rsidR="00990848" w:rsidRPr="00B66B7B" w14:paraId="03903A79" w14:textId="77777777" w:rsidTr="00990848">
        <w:tc>
          <w:tcPr>
            <w:tcW w:w="13149" w:type="dxa"/>
          </w:tcPr>
          <w:p w14:paraId="5D76E24D" w14:textId="77777777" w:rsidR="00990848" w:rsidRPr="00B66B7B" w:rsidRDefault="00990848" w:rsidP="0096672E">
            <w:pPr>
              <w:jc w:val="both"/>
              <w:rPr>
                <w:rFonts w:eastAsia="Calibri" w:cs="Arial"/>
              </w:rPr>
            </w:pPr>
            <w:r w:rsidRPr="00B66B7B">
              <w:t xml:space="preserve">2). </w:t>
            </w:r>
            <w:r w:rsidRPr="00B66B7B">
              <w:rPr>
                <w:rFonts w:eastAsia="Calibri" w:cs="Arial"/>
              </w:rPr>
              <w:t>OHCHR will join a global effort to mobilize states, civil society and global leaders to enhance respect for international humanitarian and human rights law.</w:t>
            </w:r>
          </w:p>
          <w:p w14:paraId="34D49916" w14:textId="77777777" w:rsidR="00990848" w:rsidRPr="00B66B7B" w:rsidRDefault="00990848" w:rsidP="0096672E"/>
        </w:tc>
      </w:tr>
      <w:tr w:rsidR="00990848" w:rsidRPr="00B66B7B" w14:paraId="033C22A7" w14:textId="77777777" w:rsidTr="00990848">
        <w:tc>
          <w:tcPr>
            <w:tcW w:w="13149" w:type="dxa"/>
          </w:tcPr>
          <w:p w14:paraId="4F1FEFD3" w14:textId="77777777" w:rsidR="00990848" w:rsidRPr="00B66B7B" w:rsidRDefault="00990848" w:rsidP="00B75319">
            <w:pPr>
              <w:jc w:val="both"/>
              <w:rPr>
                <w:rFonts w:eastAsia="Calibri" w:cs="Arial"/>
              </w:rPr>
            </w:pPr>
            <w:r w:rsidRPr="00B66B7B">
              <w:rPr>
                <w:rFonts w:eastAsia="Calibri" w:cs="Arial"/>
              </w:rPr>
              <w:t>3). OHCHR commits to continue reminding parties to a conflict of their obligations under international human rights law and international humanitarian law, as well as third states of their obligation to ensure respect of these bodies of law, through advocacy, training and technical assistance.</w:t>
            </w:r>
          </w:p>
          <w:p w14:paraId="17405084" w14:textId="77777777" w:rsidR="00990848" w:rsidRPr="00B66B7B" w:rsidRDefault="00990848" w:rsidP="0096672E"/>
        </w:tc>
      </w:tr>
      <w:tr w:rsidR="00990848" w:rsidRPr="00B66B7B" w14:paraId="2F0EFAE3" w14:textId="77777777" w:rsidTr="00990848">
        <w:tc>
          <w:tcPr>
            <w:tcW w:w="13149" w:type="dxa"/>
          </w:tcPr>
          <w:p w14:paraId="350A004A" w14:textId="77777777" w:rsidR="00990848" w:rsidRPr="00B66B7B" w:rsidRDefault="00990848" w:rsidP="0096672E">
            <w:r w:rsidRPr="00B66B7B">
              <w:t>4). OHCHR commits to continuing to raise awareness about the international human rights treaties and their optional protocols; to produce trainings materials and to offer advisory services to States in this regard.</w:t>
            </w:r>
          </w:p>
        </w:tc>
      </w:tr>
      <w:tr w:rsidR="00990848" w:rsidRPr="00B66B7B" w14:paraId="3E6F2E43" w14:textId="77777777" w:rsidTr="00990848">
        <w:tc>
          <w:tcPr>
            <w:tcW w:w="13149" w:type="dxa"/>
          </w:tcPr>
          <w:p w14:paraId="774AB34C" w14:textId="60B64360" w:rsidR="00990848" w:rsidRPr="00B66B7B" w:rsidRDefault="00990848">
            <w:pPr>
              <w:jc w:val="both"/>
            </w:pPr>
            <w:r w:rsidRPr="00B66B7B">
              <w:t xml:space="preserve">5). </w:t>
            </w:r>
            <w:r w:rsidRPr="00B66B7B">
              <w:rPr>
                <w:rFonts w:eastAsia="Calibri" w:cs="Arial"/>
              </w:rPr>
              <w:t>OHCHR commits to monitor</w:t>
            </w:r>
            <w:r>
              <w:rPr>
                <w:rFonts w:eastAsia="Calibri" w:cs="Arial"/>
              </w:rPr>
              <w:t xml:space="preserve"> and </w:t>
            </w:r>
            <w:r w:rsidRPr="00B66B7B">
              <w:rPr>
                <w:rFonts w:eastAsia="Calibri" w:cs="Arial"/>
              </w:rPr>
              <w:t xml:space="preserve">report on the human rights impact of the use of explosive weapons with wide-area effects in populated areas </w:t>
            </w:r>
          </w:p>
        </w:tc>
      </w:tr>
      <w:tr w:rsidR="00990848" w:rsidRPr="00B66B7B" w14:paraId="01C6F190" w14:textId="77777777" w:rsidTr="00990848">
        <w:tc>
          <w:tcPr>
            <w:tcW w:w="13149" w:type="dxa"/>
          </w:tcPr>
          <w:p w14:paraId="4A4E9FB9" w14:textId="77777777" w:rsidR="00990848" w:rsidRPr="00B66B7B" w:rsidRDefault="00990848" w:rsidP="00B75319">
            <w:pPr>
              <w:jc w:val="both"/>
              <w:rPr>
                <w:rFonts w:eastAsia="Calibri" w:cs="Arial"/>
              </w:rPr>
            </w:pPr>
            <w:r w:rsidRPr="00B66B7B">
              <w:t xml:space="preserve">6). </w:t>
            </w:r>
            <w:r w:rsidRPr="00B66B7B">
              <w:rPr>
                <w:rFonts w:eastAsia="Calibri" w:cs="Arial"/>
              </w:rPr>
              <w:t xml:space="preserve">OHCHR commits to continue to advise Member States on their counter-terrorism and counter-violent extremism laws and responses to ensure that they are in compliance with international human rights law and do not impede humanitarian action. </w:t>
            </w:r>
          </w:p>
          <w:p w14:paraId="45525ED0" w14:textId="77777777" w:rsidR="00990848" w:rsidRPr="00B66B7B" w:rsidRDefault="00990848" w:rsidP="0096672E"/>
        </w:tc>
      </w:tr>
      <w:tr w:rsidR="00990848" w:rsidRPr="00B66B7B" w14:paraId="01BAC44A" w14:textId="77777777" w:rsidTr="00990848">
        <w:tc>
          <w:tcPr>
            <w:tcW w:w="13149" w:type="dxa"/>
          </w:tcPr>
          <w:p w14:paraId="29E61A69" w14:textId="77777777" w:rsidR="00990848" w:rsidRPr="00B66B7B" w:rsidRDefault="00990848" w:rsidP="00C40B8F">
            <w:pPr>
              <w:jc w:val="both"/>
              <w:rPr>
                <w:rFonts w:eastAsia="Calibri" w:cs="Arial"/>
              </w:rPr>
            </w:pPr>
            <w:r w:rsidRPr="00B66B7B">
              <w:rPr>
                <w:rFonts w:eastAsia="Calibri" w:cs="Arial"/>
              </w:rPr>
              <w:t xml:space="preserve">7). OHCHR commits to further promoting the relevance of the economic, social and cultural rights legal framework for the assessment  of the impact of restrictions on humanitarian access.  </w:t>
            </w:r>
          </w:p>
          <w:p w14:paraId="7B8FEDC1" w14:textId="77777777" w:rsidR="00990848" w:rsidRPr="00B66B7B" w:rsidRDefault="00990848" w:rsidP="00B75319">
            <w:pPr>
              <w:jc w:val="both"/>
              <w:rPr>
                <w:rFonts w:eastAsia="Calibri" w:cs="Arial"/>
              </w:rPr>
            </w:pPr>
          </w:p>
          <w:p w14:paraId="5BA10D7B" w14:textId="77777777" w:rsidR="00990848" w:rsidRPr="00B66B7B" w:rsidRDefault="00990848" w:rsidP="0096672E"/>
        </w:tc>
      </w:tr>
      <w:tr w:rsidR="00990848" w:rsidRPr="00B66B7B" w14:paraId="696EB56B" w14:textId="77777777" w:rsidTr="00990848">
        <w:tc>
          <w:tcPr>
            <w:tcW w:w="13149" w:type="dxa"/>
          </w:tcPr>
          <w:p w14:paraId="7FDDD836" w14:textId="17154AAF" w:rsidR="00990848" w:rsidRPr="00B66B7B" w:rsidRDefault="00990848" w:rsidP="00C40B8F">
            <w:pPr>
              <w:jc w:val="both"/>
              <w:rPr>
                <w:rFonts w:eastAsia="Calibri" w:cs="Arial"/>
              </w:rPr>
            </w:pPr>
            <w:r>
              <w:rPr>
                <w:rFonts w:eastAsia="Calibri" w:cs="Arial"/>
              </w:rPr>
              <w:t>8</w:t>
            </w:r>
            <w:r w:rsidRPr="00B66B7B">
              <w:rPr>
                <w:rFonts w:eastAsia="Calibri" w:cs="Arial"/>
              </w:rPr>
              <w:t>). OHCHR will continue to speak out and systematically condemn violations of international human rights law and international humanitarian law through various forms of advocacy including bilateral engagement with relevant parties.</w:t>
            </w:r>
          </w:p>
          <w:p w14:paraId="7CBC7E6F" w14:textId="77777777" w:rsidR="00990848" w:rsidRPr="00B66B7B" w:rsidRDefault="00990848" w:rsidP="0096672E"/>
        </w:tc>
      </w:tr>
      <w:tr w:rsidR="00990848" w:rsidRPr="00B66B7B" w14:paraId="27324237" w14:textId="77777777" w:rsidTr="00990848">
        <w:tc>
          <w:tcPr>
            <w:tcW w:w="13149" w:type="dxa"/>
          </w:tcPr>
          <w:p w14:paraId="5732C3C7" w14:textId="015DD9D5" w:rsidR="00990848" w:rsidRPr="00B66B7B" w:rsidRDefault="00990848" w:rsidP="00B75319">
            <w:pPr>
              <w:jc w:val="both"/>
              <w:rPr>
                <w:rFonts w:eastAsia="Calibri" w:cs="Arial"/>
              </w:rPr>
            </w:pPr>
            <w:r>
              <w:rPr>
                <w:rFonts w:eastAsia="Calibri" w:cs="Arial"/>
              </w:rPr>
              <w:t>9</w:t>
            </w:r>
            <w:r w:rsidRPr="00B66B7B">
              <w:rPr>
                <w:rFonts w:eastAsia="Calibri" w:cs="Arial"/>
              </w:rPr>
              <w:t xml:space="preserve">). OHCHR will continue to offer technical assistance to States in drafting national legislation fully encompassing genocide, crimes against humanity, war crimes and other gross human rights violations. </w:t>
            </w:r>
          </w:p>
          <w:p w14:paraId="518D9770" w14:textId="77777777" w:rsidR="00990848" w:rsidRPr="00B66B7B" w:rsidRDefault="00990848" w:rsidP="0096672E"/>
        </w:tc>
      </w:tr>
      <w:tr w:rsidR="00990848" w:rsidRPr="00B66B7B" w14:paraId="79A9023E" w14:textId="77777777" w:rsidTr="00990848">
        <w:tc>
          <w:tcPr>
            <w:tcW w:w="13149" w:type="dxa"/>
          </w:tcPr>
          <w:p w14:paraId="4E230874" w14:textId="2076CC3E" w:rsidR="00990848" w:rsidRPr="00B66B7B" w:rsidRDefault="00990848" w:rsidP="00953510">
            <w:pPr>
              <w:jc w:val="both"/>
              <w:rPr>
                <w:rFonts w:eastAsia="Calibri" w:cs="Arial"/>
              </w:rPr>
            </w:pPr>
            <w:r>
              <w:rPr>
                <w:rFonts w:eastAsia="Calibri" w:cs="Arial"/>
              </w:rPr>
              <w:t>10</w:t>
            </w:r>
            <w:r w:rsidRPr="00B66B7B">
              <w:rPr>
                <w:rFonts w:eastAsia="Calibri" w:cs="Arial"/>
              </w:rPr>
              <w:t xml:space="preserve">). OHCHR commits to continue monitoring, investigating, analysing and reporting on human rights violations and abuses, as well as violations </w:t>
            </w:r>
            <w:r w:rsidRPr="00B66B7B">
              <w:rPr>
                <w:rFonts w:eastAsia="Calibri" w:cs="Arial"/>
              </w:rPr>
              <w:lastRenderedPageBreak/>
              <w:t xml:space="preserve">of international humanitarian law where relevant, through its field presences, by mandating and conducting fact-finding missions and by supporting United Nations mandated commissions of inquiries and other mechanisms with a view to establishing facts, contributing to accountability and enhancing the protection afforded by international human rights law and international humanitarian law.  </w:t>
            </w:r>
          </w:p>
          <w:p w14:paraId="31082721" w14:textId="77777777" w:rsidR="00990848" w:rsidRPr="00B66B7B" w:rsidRDefault="00990848" w:rsidP="0096672E"/>
          <w:p w14:paraId="02141B6E" w14:textId="1BEDE02F" w:rsidR="00990848" w:rsidRDefault="00990848" w:rsidP="0096672E">
            <w:pPr>
              <w:rPr>
                <w:rFonts w:eastAsia="Calibri" w:cs="Arial"/>
              </w:rPr>
            </w:pPr>
            <w:r w:rsidRPr="00B66B7B">
              <w:rPr>
                <w:rFonts w:eastAsia="Calibri" w:cs="Arial"/>
              </w:rPr>
              <w:t>1</w:t>
            </w:r>
            <w:r>
              <w:rPr>
                <w:rFonts w:eastAsia="Calibri" w:cs="Arial"/>
              </w:rPr>
              <w:t>1</w:t>
            </w:r>
            <w:r w:rsidRPr="00B66B7B">
              <w:rPr>
                <w:rFonts w:eastAsia="Calibri" w:cs="Arial"/>
              </w:rPr>
              <w:t>) OHCHR will support increased efforts to track and collect data in situations of armed conflict on alleged violations of international human rights law and where relevant international humanitarian law, and strengthen its work in reporting on trends regarding such allegations and gaps in compliance with these bodies of law.</w:t>
            </w:r>
          </w:p>
          <w:p w14:paraId="57222511" w14:textId="77777777" w:rsidR="00990848" w:rsidRDefault="00990848" w:rsidP="007B5BB9">
            <w:pPr>
              <w:jc w:val="both"/>
              <w:rPr>
                <w:rFonts w:eastAsia="Calibri" w:cs="Arial"/>
              </w:rPr>
            </w:pPr>
          </w:p>
          <w:p w14:paraId="211A2B62" w14:textId="77777777" w:rsidR="00990848" w:rsidRDefault="00990848" w:rsidP="0096672E">
            <w:pPr>
              <w:rPr>
                <w:rFonts w:eastAsia="Calibri" w:cs="Arial"/>
              </w:rPr>
            </w:pPr>
          </w:p>
          <w:p w14:paraId="2B663996" w14:textId="7D3C3FA8" w:rsidR="00990848" w:rsidRPr="00B66B7B" w:rsidRDefault="00990848" w:rsidP="007B5BB9">
            <w:pPr>
              <w:jc w:val="both"/>
              <w:rPr>
                <w:rFonts w:eastAsia="Calibri" w:cs="Arial"/>
              </w:rPr>
            </w:pPr>
            <w:r>
              <w:rPr>
                <w:rFonts w:eastAsia="Calibri" w:cs="Arial"/>
              </w:rPr>
              <w:t>12</w:t>
            </w:r>
            <w:r w:rsidRPr="00B66B7B">
              <w:rPr>
                <w:rFonts w:eastAsia="Calibri" w:cs="Arial"/>
              </w:rPr>
              <w:t>). OHCHR commits to to monitor and report on the impact of armed conflict on humanitarian and health care workers and facilities, as well as on other human rights defenders in view of ensuring the enjoyment of human rights</w:t>
            </w:r>
            <w:r>
              <w:rPr>
                <w:rFonts w:eastAsia="Calibri" w:cs="Arial"/>
              </w:rPr>
              <w:t>, as part of its overall reporting on violations of international humanitarian law</w:t>
            </w:r>
            <w:r w:rsidRPr="00B66B7B">
              <w:rPr>
                <w:rFonts w:eastAsia="Calibri" w:cs="Arial"/>
                <w:i/>
              </w:rPr>
              <w:t xml:space="preserve"> </w:t>
            </w:r>
          </w:p>
          <w:p w14:paraId="20D1E06D" w14:textId="7469FCF5" w:rsidR="00990848" w:rsidRPr="00B66B7B" w:rsidRDefault="00990848" w:rsidP="0096672E"/>
        </w:tc>
      </w:tr>
      <w:tr w:rsidR="00990848" w:rsidRPr="00B66B7B" w14:paraId="778C6F5B" w14:textId="77777777" w:rsidTr="00990848">
        <w:tc>
          <w:tcPr>
            <w:tcW w:w="13149" w:type="dxa"/>
          </w:tcPr>
          <w:p w14:paraId="63C7F4C4" w14:textId="733BD67D" w:rsidR="00990848" w:rsidRPr="00B66B7B" w:rsidRDefault="00990848" w:rsidP="00B75319">
            <w:pPr>
              <w:jc w:val="both"/>
              <w:rPr>
                <w:rFonts w:eastAsia="Calibri" w:cs="Arial"/>
              </w:rPr>
            </w:pPr>
            <w:r>
              <w:rPr>
                <w:rFonts w:eastAsia="Calibri" w:cs="Arial"/>
              </w:rPr>
              <w:lastRenderedPageBreak/>
              <w:t>13</w:t>
            </w:r>
            <w:r w:rsidRPr="00B66B7B">
              <w:rPr>
                <w:rFonts w:eastAsia="Calibri" w:cs="Arial"/>
              </w:rPr>
              <w:t>). OHCHR commits to continue advocating for accountability and the right of victims to an effective remedy, including gender-sensitive reparations and due regard for the protection of victims and witnesses, for gross human rights violations and abuses, including those amounting to crimes under international law, and providing technical assistance to States on specific accountability mechanisms.</w:t>
            </w:r>
          </w:p>
          <w:p w14:paraId="0905E0F1" w14:textId="77777777" w:rsidR="00990848" w:rsidRPr="00B66B7B" w:rsidRDefault="00990848" w:rsidP="0096672E"/>
        </w:tc>
      </w:tr>
      <w:tr w:rsidR="00990848" w:rsidRPr="00B66B7B" w14:paraId="3BAB58D0" w14:textId="77777777" w:rsidTr="00990848">
        <w:tc>
          <w:tcPr>
            <w:tcW w:w="13149" w:type="dxa"/>
          </w:tcPr>
          <w:p w14:paraId="56EC2098" w14:textId="2CA322CC" w:rsidR="00990848" w:rsidRDefault="00990848" w:rsidP="00FF3C40">
            <w:pPr>
              <w:jc w:val="both"/>
            </w:pPr>
            <w:r>
              <w:rPr>
                <w:rFonts w:cs="Times New Roman"/>
                <w:b/>
                <w:bCs/>
                <w:i/>
                <w:iCs/>
              </w:rPr>
              <w:t>“Leaving no one behind: a commitment to address forced displacement”</w:t>
            </w:r>
          </w:p>
        </w:tc>
      </w:tr>
      <w:tr w:rsidR="00990848" w:rsidRPr="00B66B7B" w14:paraId="697F2676" w14:textId="77777777" w:rsidTr="00990848">
        <w:tc>
          <w:tcPr>
            <w:tcW w:w="13149" w:type="dxa"/>
          </w:tcPr>
          <w:p w14:paraId="6BEF7638" w14:textId="7A63C4DA" w:rsidR="00990848" w:rsidRPr="00B66B7B" w:rsidRDefault="00990848" w:rsidP="00FF3C40">
            <w:pPr>
              <w:jc w:val="both"/>
              <w:rPr>
                <w:rFonts w:eastAsia="Calibri" w:cs="Times New Roman"/>
              </w:rPr>
            </w:pPr>
            <w:r>
              <w:t>14</w:t>
            </w:r>
            <w:r w:rsidRPr="00B66B7B">
              <w:t xml:space="preserve">). </w:t>
            </w:r>
            <w:r w:rsidRPr="00B66B7B">
              <w:rPr>
                <w:rFonts w:eastAsia="Calibri" w:cs="Times New Roman"/>
              </w:rPr>
              <w:t>OHCHR commits to develop</w:t>
            </w:r>
            <w:r>
              <w:rPr>
                <w:rFonts w:eastAsia="Calibri" w:cs="Times New Roman"/>
              </w:rPr>
              <w:t>ing</w:t>
            </w:r>
            <w:r w:rsidRPr="00B66B7B">
              <w:rPr>
                <w:rFonts w:eastAsia="Calibri" w:cs="Times New Roman"/>
              </w:rPr>
              <w:t xml:space="preserve"> principles and practical guidance on the human rights protection of migrants in situations of vulnerability within mixed movements in collaboration with all relevant stakeholders </w:t>
            </w:r>
          </w:p>
          <w:p w14:paraId="5C973E33" w14:textId="77777777" w:rsidR="00990848" w:rsidRPr="00B66B7B" w:rsidRDefault="00990848" w:rsidP="00FF3C40">
            <w:pPr>
              <w:jc w:val="both"/>
            </w:pPr>
          </w:p>
        </w:tc>
      </w:tr>
      <w:tr w:rsidR="00990848" w:rsidRPr="00B66B7B" w14:paraId="44321C61" w14:textId="77777777" w:rsidTr="00990848">
        <w:tc>
          <w:tcPr>
            <w:tcW w:w="13149" w:type="dxa"/>
          </w:tcPr>
          <w:p w14:paraId="4DF37BCC" w14:textId="74EF2BD2" w:rsidR="00990848" w:rsidRPr="00B66B7B" w:rsidRDefault="00990848" w:rsidP="00FF3C40">
            <w:pPr>
              <w:jc w:val="both"/>
              <w:rPr>
                <w:rFonts w:eastAsia="Calibri" w:cs="Times New Roman"/>
              </w:rPr>
            </w:pPr>
            <w:r>
              <w:t>15</w:t>
            </w:r>
            <w:r w:rsidRPr="00B66B7B">
              <w:t xml:space="preserve">). </w:t>
            </w:r>
            <w:r w:rsidRPr="00B66B7B">
              <w:rPr>
                <w:rFonts w:eastAsia="Calibri" w:cs="Times New Roman"/>
              </w:rPr>
              <w:t>OHCHR commits to enhance its own capacity to monitor the human rights situation of migrants in humanitarian contexts and to build the capacity of relevant stakeholders to uphold the human rights of migrants</w:t>
            </w:r>
            <w:r w:rsidRPr="00B66B7B">
              <w:rPr>
                <w:rFonts w:eastAsia="Calibri" w:cs="Times New Roman"/>
                <w:i/>
              </w:rPr>
              <w:t>.</w:t>
            </w:r>
          </w:p>
          <w:p w14:paraId="10E10F6A" w14:textId="77777777" w:rsidR="00990848" w:rsidRPr="00B66B7B" w:rsidRDefault="00990848" w:rsidP="0096672E"/>
        </w:tc>
      </w:tr>
      <w:tr w:rsidR="00990848" w:rsidRPr="00B66B7B" w14:paraId="7CB41C3F" w14:textId="77777777" w:rsidTr="00990848">
        <w:tc>
          <w:tcPr>
            <w:tcW w:w="13149" w:type="dxa"/>
          </w:tcPr>
          <w:p w14:paraId="42B0337D" w14:textId="69BEBF0E" w:rsidR="00990848" w:rsidRPr="00B66B7B" w:rsidRDefault="00990848" w:rsidP="009F3F67">
            <w:pPr>
              <w:jc w:val="both"/>
              <w:rPr>
                <w:rFonts w:eastAsia="Calibri" w:cstheme="majorBidi"/>
              </w:rPr>
            </w:pPr>
            <w:r w:rsidRPr="00BA0C9A">
              <w:rPr>
                <w:rFonts w:eastAsia="Calibri" w:cstheme="majorBidi"/>
                <w:b/>
                <w:bCs/>
                <w:i/>
                <w:iCs/>
              </w:rPr>
              <w:t>“Women and Girls: Catalyzing Action to Achieve Gender Equality”</w:t>
            </w:r>
          </w:p>
        </w:tc>
      </w:tr>
      <w:tr w:rsidR="00990848" w:rsidRPr="00B66B7B" w14:paraId="43FEBEA4" w14:textId="77777777" w:rsidTr="00990848">
        <w:tc>
          <w:tcPr>
            <w:tcW w:w="13149" w:type="dxa"/>
          </w:tcPr>
          <w:p w14:paraId="1DF28263" w14:textId="08F69860" w:rsidR="00990848" w:rsidRPr="00B66B7B" w:rsidRDefault="00990848" w:rsidP="009F3F67">
            <w:pPr>
              <w:jc w:val="both"/>
            </w:pPr>
            <w:r w:rsidRPr="00B66B7B">
              <w:rPr>
                <w:rFonts w:eastAsia="Calibri" w:cstheme="majorBidi"/>
              </w:rPr>
              <w:t xml:space="preserve">16). OHCHR commits to strengthening tools and capacity </w:t>
            </w:r>
            <w:r>
              <w:rPr>
                <w:rFonts w:eastAsia="Calibri" w:cstheme="majorBidi"/>
              </w:rPr>
              <w:t xml:space="preserve">for integration of </w:t>
            </w:r>
            <w:r w:rsidRPr="00B66B7B">
              <w:rPr>
                <w:rFonts w:eastAsia="Calibri" w:cstheme="majorBidi"/>
              </w:rPr>
              <w:t xml:space="preserve"> gender into its monitoring and investigation work in humanitarian contexts to ensure rights-based responses that do not perpetuate discrimination, promote equality and give greater recognition and support to women's roles as peace makers and agents of resilience in communities affected by conflict or natural disasters </w:t>
            </w:r>
          </w:p>
        </w:tc>
      </w:tr>
      <w:tr w:rsidR="00990848" w:rsidRPr="00B66B7B" w14:paraId="1814111E" w14:textId="77777777" w:rsidTr="00990848">
        <w:tc>
          <w:tcPr>
            <w:tcW w:w="13149" w:type="dxa"/>
          </w:tcPr>
          <w:p w14:paraId="1EE47DAF" w14:textId="77404AE7" w:rsidR="00990848" w:rsidRPr="00B66B7B" w:rsidRDefault="00990848" w:rsidP="00FF3C40">
            <w:pPr>
              <w:jc w:val="both"/>
              <w:rPr>
                <w:rFonts w:eastAsia="Calibri" w:cstheme="majorBidi"/>
              </w:rPr>
            </w:pPr>
            <w:r w:rsidRPr="00B66B7B">
              <w:t xml:space="preserve">17). </w:t>
            </w:r>
            <w:r w:rsidRPr="00B66B7B">
              <w:rPr>
                <w:rFonts w:eastAsia="Calibri" w:cstheme="majorBidi"/>
              </w:rPr>
              <w:t xml:space="preserve">OHCHR commits to strengthening policy guidance and capacity for monitoring, analysis and reporting arrangements on conflict-related sexual violence (MARA) in UN peace operations and other relevant contexts, including better coordination and strategies with other humanitarian actors in this regard </w:t>
            </w:r>
          </w:p>
          <w:p w14:paraId="3EB66FD3" w14:textId="77777777" w:rsidR="00990848" w:rsidRPr="00B66B7B" w:rsidRDefault="00990848" w:rsidP="0096672E"/>
        </w:tc>
      </w:tr>
      <w:tr w:rsidR="00990848" w:rsidRPr="00B66B7B" w14:paraId="5BFC94B8" w14:textId="77777777" w:rsidTr="00990848">
        <w:tc>
          <w:tcPr>
            <w:tcW w:w="13149" w:type="dxa"/>
          </w:tcPr>
          <w:p w14:paraId="54E17CBF" w14:textId="77777777" w:rsidR="00990848" w:rsidRPr="00B66B7B" w:rsidRDefault="00990848" w:rsidP="00C907B9">
            <w:pPr>
              <w:jc w:val="both"/>
              <w:rPr>
                <w:rFonts w:eastAsia="Calibri" w:cs="Arial"/>
                <w:i/>
              </w:rPr>
            </w:pPr>
            <w:r w:rsidRPr="00B66B7B">
              <w:t xml:space="preserve">18). </w:t>
            </w:r>
            <w:r w:rsidRPr="00B66B7B">
              <w:rPr>
                <w:rFonts w:eastAsia="Calibri" w:cstheme="majorBidi"/>
              </w:rPr>
              <w:t xml:space="preserve">OHCHR commits to contribute to the development of guidance and methodology to investigate sexual exploitation and abuse by </w:t>
            </w:r>
            <w:r w:rsidRPr="00B66B7B">
              <w:rPr>
                <w:rFonts w:eastAsia="Calibri" w:cstheme="majorBidi"/>
              </w:rPr>
              <w:lastRenderedPageBreak/>
              <w:t>humanitarian personnel</w:t>
            </w:r>
            <w:r w:rsidRPr="00B66B7B">
              <w:rPr>
                <w:rFonts w:eastAsia="Calibri" w:cs="Arial"/>
                <w:i/>
              </w:rPr>
              <w:t>.</w:t>
            </w:r>
          </w:p>
          <w:p w14:paraId="697B84D9" w14:textId="77777777" w:rsidR="00990848" w:rsidRPr="00B66B7B" w:rsidRDefault="00990848" w:rsidP="0096672E"/>
        </w:tc>
      </w:tr>
      <w:tr w:rsidR="00990848" w:rsidRPr="00B66B7B" w14:paraId="5A7C00E9" w14:textId="77777777" w:rsidTr="00990848">
        <w:tc>
          <w:tcPr>
            <w:tcW w:w="13149" w:type="dxa"/>
          </w:tcPr>
          <w:p w14:paraId="03E23435" w14:textId="77777777" w:rsidR="00990848" w:rsidRPr="00B66B7B" w:rsidRDefault="00990848" w:rsidP="00FF3C40">
            <w:pPr>
              <w:jc w:val="both"/>
            </w:pPr>
            <w:r w:rsidRPr="00B66B7B">
              <w:lastRenderedPageBreak/>
              <w:t>19). OHCHR commits to partner with local and national women’s groups to provide women’s groups with capacity building tools and training to increase their ability to claim their rights in humanitarian settings.</w:t>
            </w:r>
          </w:p>
        </w:tc>
      </w:tr>
      <w:tr w:rsidR="00990848" w:rsidRPr="00B66B7B" w14:paraId="07978C79" w14:textId="77777777" w:rsidTr="00990848">
        <w:tc>
          <w:tcPr>
            <w:tcW w:w="13149" w:type="dxa"/>
          </w:tcPr>
          <w:p w14:paraId="623BD39E" w14:textId="77777777" w:rsidR="00990848" w:rsidRPr="00B66B7B" w:rsidRDefault="00990848" w:rsidP="00FF3C40">
            <w:pPr>
              <w:jc w:val="both"/>
            </w:pPr>
            <w:r w:rsidRPr="00B66B7B">
              <w:t>20). OHCHR commits to enhance engagement with children, adolescents and women, including by facilitating national multi-stakeholder dialogues and capacity building activities with civil society actors on the international norms related to sexual and reproductive health and rights.</w:t>
            </w:r>
          </w:p>
        </w:tc>
      </w:tr>
      <w:tr w:rsidR="00990848" w:rsidRPr="00B66B7B" w14:paraId="57BA3D41" w14:textId="77777777" w:rsidTr="00990848">
        <w:tc>
          <w:tcPr>
            <w:tcW w:w="13149" w:type="dxa"/>
          </w:tcPr>
          <w:p w14:paraId="5BF4B6E7" w14:textId="77777777" w:rsidR="00990848" w:rsidRPr="00B66B7B" w:rsidRDefault="00990848" w:rsidP="00FF3C40">
            <w:pPr>
              <w:jc w:val="both"/>
            </w:pPr>
            <w:r w:rsidRPr="00B66B7B">
              <w:t>21). OHCHR commits to continue to promote and support implementation of the Technical Guidance on the application of a human rights based approach to the implementation of policies and programmes for the reduction of preventable maternal mortality and morbidity (A/HRC/21/22), including the development and dissemination, in collaboration with partners, of reflection guides for health policy makers, national human rights institutions, health workers and the judiciary.</w:t>
            </w:r>
          </w:p>
        </w:tc>
      </w:tr>
      <w:tr w:rsidR="00990848" w:rsidRPr="00B66B7B" w14:paraId="38F8CFD0" w14:textId="77777777" w:rsidTr="00990848">
        <w:tc>
          <w:tcPr>
            <w:tcW w:w="13149" w:type="dxa"/>
          </w:tcPr>
          <w:p w14:paraId="1ECCD0F0" w14:textId="78866A50" w:rsidR="00990848" w:rsidRPr="00B66B7B" w:rsidRDefault="00990848" w:rsidP="00FF3C40">
            <w:pPr>
              <w:jc w:val="both"/>
            </w:pPr>
            <w:r w:rsidRPr="00B66B7B">
              <w:t xml:space="preserve">22). OHCHR commits to providing capacity building and/or other support to civil society organisations and Member States in addressing SGBV and holding perpetrators accountable, including the investigation, prosecution and punishment of persons responsible for SGBV and ensuring an effective remedy, including gender-sensitive reparations, for victims.  </w:t>
            </w:r>
          </w:p>
          <w:p w14:paraId="3278575D" w14:textId="77777777" w:rsidR="00990848" w:rsidRPr="00B66B7B" w:rsidRDefault="00990848" w:rsidP="00FF3C40">
            <w:pPr>
              <w:jc w:val="both"/>
            </w:pPr>
          </w:p>
        </w:tc>
      </w:tr>
      <w:tr w:rsidR="00990848" w:rsidRPr="00B66B7B" w14:paraId="70027F29" w14:textId="77777777" w:rsidTr="00990848">
        <w:tc>
          <w:tcPr>
            <w:tcW w:w="13149" w:type="dxa"/>
          </w:tcPr>
          <w:p w14:paraId="07D77725" w14:textId="010702E2" w:rsidR="00990848" w:rsidRPr="00B66B7B" w:rsidRDefault="00990848" w:rsidP="00514AB7">
            <w:pPr>
              <w:jc w:val="both"/>
              <w:rPr>
                <w:rFonts w:eastAsia="Calibri" w:cs="Times New Roman"/>
              </w:rPr>
            </w:pPr>
            <w:r w:rsidRPr="00297388">
              <w:rPr>
                <w:rFonts w:eastAsia="Calibri" w:cs="Times New Roman"/>
                <w:b/>
                <w:bCs/>
                <w:i/>
                <w:iCs/>
              </w:rPr>
              <w:t xml:space="preserve"> “Natural Disasters and Climate Change”</w:t>
            </w:r>
          </w:p>
        </w:tc>
      </w:tr>
      <w:tr w:rsidR="00990848" w:rsidRPr="00B66B7B" w14:paraId="5CA2FAE1" w14:textId="77777777" w:rsidTr="00990848">
        <w:tc>
          <w:tcPr>
            <w:tcW w:w="13149" w:type="dxa"/>
          </w:tcPr>
          <w:p w14:paraId="7512F51C" w14:textId="01822B7D" w:rsidR="00990848" w:rsidRPr="00B66B7B" w:rsidRDefault="00990848" w:rsidP="00514AB7">
            <w:pPr>
              <w:jc w:val="both"/>
              <w:rPr>
                <w:rFonts w:eastAsia="Calibri" w:cs="Times New Roman"/>
              </w:rPr>
            </w:pPr>
            <w:r w:rsidRPr="00B66B7B">
              <w:rPr>
                <w:rFonts w:eastAsia="Calibri" w:cs="Times New Roman"/>
              </w:rPr>
              <w:t>23). OHCHR will continue to advocate for the integration of human rights considerations in climate policy and disaster risk reduction and resilience, and for the effective implementation of existing commitments in this regard</w:t>
            </w:r>
            <w:r>
              <w:rPr>
                <w:rFonts w:eastAsia="Calibri" w:cs="Times New Roman"/>
              </w:rPr>
              <w:t>, and will seek support for these efforts.</w:t>
            </w:r>
            <w:r w:rsidRPr="00B66B7B">
              <w:rPr>
                <w:rFonts w:eastAsia="Calibri" w:cs="Times New Roman"/>
              </w:rPr>
              <w:t xml:space="preserve"> </w:t>
            </w:r>
            <w:r w:rsidRPr="00B66B7B">
              <w:rPr>
                <w:rFonts w:eastAsia="Calibri" w:cs="Times New Roman"/>
                <w:i/>
              </w:rPr>
              <w:t>(note: provided additional resources)</w:t>
            </w:r>
            <w:r w:rsidRPr="00B66B7B">
              <w:rPr>
                <w:rFonts w:eastAsia="Calibri" w:cs="Times New Roman"/>
              </w:rPr>
              <w:t>.</w:t>
            </w:r>
          </w:p>
          <w:p w14:paraId="73522F2D" w14:textId="77777777" w:rsidR="00990848" w:rsidRPr="00B66B7B" w:rsidRDefault="00990848" w:rsidP="0096672E"/>
        </w:tc>
      </w:tr>
      <w:tr w:rsidR="00990848" w:rsidRPr="00B66B7B" w14:paraId="7D680757" w14:textId="77777777" w:rsidTr="00990848">
        <w:tc>
          <w:tcPr>
            <w:tcW w:w="13149" w:type="dxa"/>
          </w:tcPr>
          <w:p w14:paraId="737F7D80" w14:textId="77777777" w:rsidR="00990848" w:rsidRPr="00B66B7B" w:rsidRDefault="00990848" w:rsidP="00514AB7">
            <w:pPr>
              <w:jc w:val="both"/>
              <w:rPr>
                <w:rFonts w:eastAsia="Calibri" w:cs="Times New Roman"/>
              </w:rPr>
            </w:pPr>
            <w:r w:rsidRPr="00B66B7B">
              <w:rPr>
                <w:rFonts w:eastAsia="Calibri" w:cs="Times New Roman"/>
              </w:rPr>
              <w:t xml:space="preserve">24). OHCHR will produce relevant guidance materials related to human rights, climate change and natural disasters including a frequently asked questions publication on human rights and climate change by 2017. </w:t>
            </w:r>
          </w:p>
          <w:p w14:paraId="7CFE89B0" w14:textId="77777777" w:rsidR="00990848" w:rsidRPr="00B66B7B" w:rsidRDefault="00990848" w:rsidP="0096672E"/>
          <w:p w14:paraId="4BF51E3F" w14:textId="77777777" w:rsidR="00990848" w:rsidRPr="00B66B7B" w:rsidRDefault="00990848" w:rsidP="0096672E"/>
        </w:tc>
      </w:tr>
      <w:tr w:rsidR="00990848" w:rsidRPr="00B66B7B" w14:paraId="4805017A" w14:textId="77777777" w:rsidTr="00990848">
        <w:tc>
          <w:tcPr>
            <w:tcW w:w="13149" w:type="dxa"/>
          </w:tcPr>
          <w:p w14:paraId="1AEE9350" w14:textId="77777777" w:rsidR="00990848" w:rsidRPr="00B66B7B" w:rsidRDefault="00990848" w:rsidP="00514AB7">
            <w:r w:rsidRPr="00B66B7B">
              <w:rPr>
                <w:rFonts w:eastAsia="Calibri" w:cs="Times New Roman"/>
                <w:b/>
                <w:bCs/>
                <w:i/>
                <w:iCs/>
              </w:rPr>
              <w:t xml:space="preserve"> “Changing People’s Lives: From Delivering Aid to Ending the Need”</w:t>
            </w:r>
          </w:p>
        </w:tc>
      </w:tr>
      <w:tr w:rsidR="00990848" w:rsidRPr="00B66B7B" w14:paraId="5FDC33DF" w14:textId="77777777" w:rsidTr="00990848">
        <w:tc>
          <w:tcPr>
            <w:tcW w:w="13149" w:type="dxa"/>
          </w:tcPr>
          <w:p w14:paraId="03169185" w14:textId="77777777" w:rsidR="00990848" w:rsidRPr="00B66B7B" w:rsidRDefault="00990848" w:rsidP="00F83185">
            <w:pPr>
              <w:jc w:val="both"/>
              <w:rPr>
                <w:rFonts w:eastAsia="Calibri" w:cs="Times New Roman"/>
              </w:rPr>
            </w:pPr>
            <w:r w:rsidRPr="00B66B7B">
              <w:rPr>
                <w:rFonts w:eastAsia="Calibri" w:cs="Times New Roman"/>
              </w:rPr>
              <w:t>25). OHCHR commits to promote greater integration across all the pillars of the United Nations – human rights, development, humanitarian, peace and security – through supporting joint analysis, advocacy and programming, and working towards collective outcomes for the achievement of the SDGs and national priorities.</w:t>
            </w:r>
          </w:p>
          <w:p w14:paraId="13D959E2" w14:textId="77777777" w:rsidR="00990848" w:rsidRPr="00B66B7B" w:rsidRDefault="00990848" w:rsidP="0096672E"/>
        </w:tc>
      </w:tr>
      <w:tr w:rsidR="00990848" w:rsidRPr="00B66B7B" w14:paraId="6D5AE3A9" w14:textId="77777777" w:rsidTr="00990848">
        <w:tc>
          <w:tcPr>
            <w:tcW w:w="13149" w:type="dxa"/>
          </w:tcPr>
          <w:p w14:paraId="1DBECE7A" w14:textId="77777777" w:rsidR="00990848" w:rsidRPr="00B66B7B" w:rsidRDefault="00990848" w:rsidP="00953510">
            <w:pPr>
              <w:jc w:val="both"/>
              <w:rPr>
                <w:rFonts w:eastAsia="Calibri" w:cs="Times New Roman"/>
              </w:rPr>
            </w:pPr>
            <w:r w:rsidRPr="00B66B7B">
              <w:rPr>
                <w:rFonts w:eastAsia="Calibri" w:cs="Times New Roman"/>
              </w:rPr>
              <w:t xml:space="preserve">26). OHCHR commits to strengthen national protection mechanisms and increase its support for national human rights actors, including national human rights institutions and civil society organisations in their effort to monitor and report on violations of international human rights and humanitarian law during emergencies.  </w:t>
            </w:r>
          </w:p>
          <w:p w14:paraId="3C03D757" w14:textId="77777777" w:rsidR="00990848" w:rsidRPr="00B66B7B" w:rsidRDefault="00990848" w:rsidP="0096672E"/>
        </w:tc>
      </w:tr>
      <w:tr w:rsidR="00990848" w:rsidRPr="00B66B7B" w14:paraId="6340E5D0" w14:textId="77777777" w:rsidTr="00990848">
        <w:tc>
          <w:tcPr>
            <w:tcW w:w="13149" w:type="dxa"/>
          </w:tcPr>
          <w:p w14:paraId="52DCCB6C" w14:textId="77777777" w:rsidR="00990848" w:rsidRPr="00B66B7B" w:rsidRDefault="00990848" w:rsidP="00BC45D1">
            <w:pPr>
              <w:jc w:val="both"/>
              <w:rPr>
                <w:bCs/>
                <w:lang w:eastAsia="en-GB"/>
              </w:rPr>
            </w:pPr>
            <w:r w:rsidRPr="00B66B7B">
              <w:rPr>
                <w:bCs/>
                <w:lang w:eastAsia="en-GB"/>
              </w:rPr>
              <w:t xml:space="preserve">27). Through its humanitarian funds, OHCHR commits to continue providing direct assistance to victims of torture and of modern slavery by means of grants awarded to non-governmental organisations in emergency situations. </w:t>
            </w:r>
          </w:p>
          <w:p w14:paraId="7B74BFFA" w14:textId="77777777" w:rsidR="00990848" w:rsidRPr="00B66B7B" w:rsidRDefault="00990848" w:rsidP="00BC45D1">
            <w:pPr>
              <w:jc w:val="both"/>
              <w:rPr>
                <w:rFonts w:eastAsia="Calibri" w:cs="Times New Roman"/>
              </w:rPr>
            </w:pPr>
          </w:p>
        </w:tc>
      </w:tr>
      <w:tr w:rsidR="00990848" w:rsidRPr="00B66B7B" w14:paraId="24656488" w14:textId="77777777" w:rsidTr="00990848">
        <w:tc>
          <w:tcPr>
            <w:tcW w:w="13149" w:type="dxa"/>
          </w:tcPr>
          <w:p w14:paraId="4BBD4324" w14:textId="3A96F33C" w:rsidR="00990848" w:rsidRPr="00B66B7B" w:rsidRDefault="00990848" w:rsidP="00322954">
            <w:pPr>
              <w:jc w:val="both"/>
              <w:rPr>
                <w:rFonts w:eastAsia="Calibri" w:cs="Times New Roman"/>
                <w:i/>
              </w:rPr>
            </w:pPr>
            <w:r w:rsidRPr="00B66B7B">
              <w:rPr>
                <w:rFonts w:eastAsia="Calibri" w:cs="Times New Roman"/>
              </w:rPr>
              <w:t>28). OHCHR</w:t>
            </w:r>
            <w:r>
              <w:rPr>
                <w:rFonts w:eastAsia="Calibri" w:cs="Times New Roman"/>
              </w:rPr>
              <w:t xml:space="preserve"> will work</w:t>
            </w:r>
            <w:r w:rsidRPr="00B66B7B">
              <w:rPr>
                <w:rFonts w:eastAsia="Calibri" w:cs="Times New Roman"/>
              </w:rPr>
              <w:t xml:space="preserve">, in coordination with UN and other partners, </w:t>
            </w:r>
            <w:r>
              <w:rPr>
                <w:rFonts w:eastAsia="Calibri" w:cs="Times New Roman"/>
              </w:rPr>
              <w:t>to</w:t>
            </w:r>
            <w:r w:rsidRPr="00B66B7B">
              <w:rPr>
                <w:rFonts w:eastAsia="Calibri" w:cs="Times New Roman"/>
              </w:rPr>
              <w:t xml:space="preserve"> ensure that information of potential, emerging or actual violations of international human rights law and international humanitarian law, and broader threats to populations, is efficiently brought together, managed and jointly analysed to provide early warning information and to guide early UN responses </w:t>
            </w:r>
          </w:p>
          <w:p w14:paraId="36C5891B" w14:textId="77777777" w:rsidR="00990848" w:rsidRPr="00B66B7B" w:rsidRDefault="00990848" w:rsidP="00322954">
            <w:pPr>
              <w:jc w:val="both"/>
            </w:pPr>
          </w:p>
        </w:tc>
      </w:tr>
      <w:tr w:rsidR="00990848" w:rsidRPr="00B66B7B" w14:paraId="580EA9D5" w14:textId="77777777" w:rsidTr="00990848">
        <w:tc>
          <w:tcPr>
            <w:tcW w:w="13149" w:type="dxa"/>
          </w:tcPr>
          <w:p w14:paraId="60CE826E" w14:textId="77777777" w:rsidR="00990848" w:rsidRPr="00B66B7B" w:rsidRDefault="00990848" w:rsidP="00F83185">
            <w:pPr>
              <w:jc w:val="both"/>
              <w:rPr>
                <w:rFonts w:eastAsia="Calibri" w:cs="Times New Roman"/>
                <w:i/>
              </w:rPr>
            </w:pPr>
            <w:r w:rsidRPr="00B66B7B">
              <w:rPr>
                <w:rFonts w:eastAsia="Calibri" w:cs="Times New Roman"/>
              </w:rPr>
              <w:t xml:space="preserve">29). OHCHR also commits to continue supporting the leadership role of RC/HC to deliver effective responses to humanitarian crises and empower them to address serious violations, link human rights mechanisms and institutions with humanitarian actors and support national protection mechanisms  </w:t>
            </w:r>
            <w:r w:rsidRPr="00B66B7B">
              <w:rPr>
                <w:rFonts w:eastAsia="Calibri" w:cs="Times New Roman"/>
                <w:i/>
              </w:rPr>
              <w:t>(note: provided additional resources).</w:t>
            </w:r>
          </w:p>
          <w:p w14:paraId="6D6EABAC" w14:textId="77777777" w:rsidR="00990848" w:rsidRPr="00B66B7B" w:rsidRDefault="00990848" w:rsidP="0096672E"/>
        </w:tc>
      </w:tr>
      <w:tr w:rsidR="00990848" w:rsidRPr="00B66B7B" w14:paraId="5939D203" w14:textId="77777777" w:rsidTr="00990848">
        <w:tc>
          <w:tcPr>
            <w:tcW w:w="13149" w:type="dxa"/>
          </w:tcPr>
          <w:p w14:paraId="45964830" w14:textId="77777777" w:rsidR="00990848" w:rsidRPr="00B66B7B" w:rsidRDefault="00990848" w:rsidP="00006CC0">
            <w:r w:rsidRPr="00B66B7B">
              <w:t xml:space="preserve">30). OHCHR commits to keep a focus on the entire population that is affected by a crisis, strive to identify particularly vulnerable individuals and groups and ensure that they are at the centre of the response. </w:t>
            </w:r>
          </w:p>
          <w:p w14:paraId="315C4449" w14:textId="77777777" w:rsidR="00990848" w:rsidRPr="00B66B7B" w:rsidRDefault="00990848" w:rsidP="00006CC0"/>
        </w:tc>
      </w:tr>
      <w:tr w:rsidR="00990848" w:rsidRPr="00B66B7B" w14:paraId="15CCF3DC" w14:textId="77777777" w:rsidTr="00990848">
        <w:tc>
          <w:tcPr>
            <w:tcW w:w="13149" w:type="dxa"/>
          </w:tcPr>
          <w:p w14:paraId="1B89F01B" w14:textId="2A6188A5" w:rsidR="00990848" w:rsidRPr="00B66B7B" w:rsidRDefault="00990848" w:rsidP="00B00D67">
            <w:r>
              <w:rPr>
                <w:b/>
                <w:bCs/>
                <w:i/>
                <w:iCs/>
              </w:rPr>
              <w:t>Special Session on inclusion of persons with disabilities</w:t>
            </w:r>
          </w:p>
        </w:tc>
      </w:tr>
      <w:tr w:rsidR="00990848" w:rsidRPr="00B66B7B" w14:paraId="5CCAC06A" w14:textId="77777777" w:rsidTr="00990848">
        <w:tc>
          <w:tcPr>
            <w:tcW w:w="13149" w:type="dxa"/>
          </w:tcPr>
          <w:p w14:paraId="42C71D3E" w14:textId="3BD1FD90" w:rsidR="00990848" w:rsidRPr="00B66B7B" w:rsidRDefault="00990848" w:rsidP="00B00D67">
            <w:r w:rsidRPr="00B66B7B">
              <w:t xml:space="preserve">31) </w:t>
            </w:r>
            <w:r>
              <w:t xml:space="preserve">OHCHR will support </w:t>
            </w:r>
            <w:r w:rsidRPr="00B66B7B">
              <w:t>the Charter on inclusion of persons with disabilities in humanitarian action and follow-up actions related to the development of internationally agreed guidelines for the inclusion of persons with disabilities in all stages of the humanitarian management cycle.</w:t>
            </w:r>
          </w:p>
        </w:tc>
      </w:tr>
      <w:tr w:rsidR="00990848" w:rsidRPr="00B66B7B" w14:paraId="300C87D8" w14:textId="77777777" w:rsidTr="00990848">
        <w:tc>
          <w:tcPr>
            <w:tcW w:w="13149" w:type="dxa"/>
          </w:tcPr>
          <w:p w14:paraId="69447839" w14:textId="77777777" w:rsidR="00990848" w:rsidRPr="00B66B7B" w:rsidRDefault="00990848" w:rsidP="00751C14">
            <w:r w:rsidRPr="00B66B7B">
              <w:t>32) OHCHR commits to enhance its capacity to monitor, report and advocate for the inclusion of persons with disabilities in all stages of the humanitarian management cycle, upholding international human rights standards.</w:t>
            </w:r>
          </w:p>
        </w:tc>
      </w:tr>
    </w:tbl>
    <w:p w14:paraId="6BC430E0" w14:textId="77777777" w:rsidR="00322954" w:rsidRPr="00B66B7B" w:rsidRDefault="00322954" w:rsidP="009E10F1">
      <w:pPr>
        <w:autoSpaceDE w:val="0"/>
        <w:autoSpaceDN w:val="0"/>
        <w:adjustRightInd w:val="0"/>
        <w:spacing w:after="0" w:line="240" w:lineRule="auto"/>
        <w:jc w:val="center"/>
        <w:rPr>
          <w:rFonts w:cs="Times New Roman"/>
          <w:b/>
          <w:bCs/>
          <w:u w:val="single"/>
        </w:rPr>
      </w:pPr>
    </w:p>
    <w:sectPr w:rsidR="00322954" w:rsidRPr="00B66B7B" w:rsidSect="0096672E">
      <w:footerReference w:type="default" r:id="rId9"/>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914AEF" w15:done="0"/>
  <w15:commentEx w15:paraId="1B989248" w15:done="0"/>
  <w15:commentEx w15:paraId="02B4117B" w15:done="0"/>
  <w15:commentEx w15:paraId="523D92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E0D20" w14:textId="77777777" w:rsidR="004B20CD" w:rsidRDefault="004B20CD" w:rsidP="00562019">
      <w:pPr>
        <w:spacing w:after="0" w:line="240" w:lineRule="auto"/>
      </w:pPr>
      <w:r>
        <w:separator/>
      </w:r>
    </w:p>
  </w:endnote>
  <w:endnote w:type="continuationSeparator" w:id="0">
    <w:p w14:paraId="676422F1" w14:textId="77777777" w:rsidR="004B20CD" w:rsidRDefault="004B20CD" w:rsidP="0056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6589"/>
      <w:docPartObj>
        <w:docPartGallery w:val="Page Numbers (Bottom of Page)"/>
        <w:docPartUnique/>
      </w:docPartObj>
    </w:sdtPr>
    <w:sdtEndPr>
      <w:rPr>
        <w:noProof/>
      </w:rPr>
    </w:sdtEndPr>
    <w:sdtContent>
      <w:p w14:paraId="1C75C5FC" w14:textId="3EAF21DE" w:rsidR="00562019" w:rsidRDefault="00562019">
        <w:pPr>
          <w:pStyle w:val="Footer"/>
          <w:jc w:val="center"/>
        </w:pPr>
        <w:r>
          <w:fldChar w:fldCharType="begin"/>
        </w:r>
        <w:r>
          <w:instrText xml:space="preserve"> PAGE   \* MERGEFORMAT </w:instrText>
        </w:r>
        <w:r>
          <w:fldChar w:fldCharType="separate"/>
        </w:r>
        <w:r w:rsidR="009F5EAC">
          <w:rPr>
            <w:noProof/>
          </w:rPr>
          <w:t>1</w:t>
        </w:r>
        <w:r>
          <w:rPr>
            <w:noProof/>
          </w:rPr>
          <w:fldChar w:fldCharType="end"/>
        </w:r>
      </w:p>
    </w:sdtContent>
  </w:sdt>
  <w:p w14:paraId="6D390CE4" w14:textId="77777777" w:rsidR="00562019" w:rsidRDefault="00562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9A26A" w14:textId="77777777" w:rsidR="004B20CD" w:rsidRDefault="004B20CD" w:rsidP="00562019">
      <w:pPr>
        <w:spacing w:after="0" w:line="240" w:lineRule="auto"/>
      </w:pPr>
      <w:r>
        <w:separator/>
      </w:r>
    </w:p>
  </w:footnote>
  <w:footnote w:type="continuationSeparator" w:id="0">
    <w:p w14:paraId="4C00D167" w14:textId="77777777" w:rsidR="004B20CD" w:rsidRDefault="004B20CD" w:rsidP="0056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D65"/>
    <w:multiLevelType w:val="hybridMultilevel"/>
    <w:tmpl w:val="958E074A"/>
    <w:lvl w:ilvl="0" w:tplc="9D7E6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41F80"/>
    <w:multiLevelType w:val="hybridMultilevel"/>
    <w:tmpl w:val="421A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2F4F1E"/>
    <w:multiLevelType w:val="hybridMultilevel"/>
    <w:tmpl w:val="7510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E955EF"/>
    <w:multiLevelType w:val="hybridMultilevel"/>
    <w:tmpl w:val="F236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A405A"/>
    <w:multiLevelType w:val="hybridMultilevel"/>
    <w:tmpl w:val="F5B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7294A"/>
    <w:multiLevelType w:val="hybridMultilevel"/>
    <w:tmpl w:val="63426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A92321"/>
    <w:multiLevelType w:val="hybridMultilevel"/>
    <w:tmpl w:val="D4BCA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87475E"/>
    <w:multiLevelType w:val="hybridMultilevel"/>
    <w:tmpl w:val="2890A4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684DB9"/>
    <w:multiLevelType w:val="hybridMultilevel"/>
    <w:tmpl w:val="ED6A7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BF2C3D"/>
    <w:multiLevelType w:val="hybridMultilevel"/>
    <w:tmpl w:val="AEC0AF00"/>
    <w:lvl w:ilvl="0" w:tplc="08090011">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C70FB6"/>
    <w:multiLevelType w:val="hybridMultilevel"/>
    <w:tmpl w:val="BD9A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337C90"/>
    <w:multiLevelType w:val="hybridMultilevel"/>
    <w:tmpl w:val="9230C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9B70B4"/>
    <w:multiLevelType w:val="hybridMultilevel"/>
    <w:tmpl w:val="EC78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202C35"/>
    <w:multiLevelType w:val="hybridMultilevel"/>
    <w:tmpl w:val="6D8C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C019A0"/>
    <w:multiLevelType w:val="hybridMultilevel"/>
    <w:tmpl w:val="6ABA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693841"/>
    <w:multiLevelType w:val="hybridMultilevel"/>
    <w:tmpl w:val="A83C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6155F8"/>
    <w:multiLevelType w:val="hybridMultilevel"/>
    <w:tmpl w:val="6FF2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99046D"/>
    <w:multiLevelType w:val="hybridMultilevel"/>
    <w:tmpl w:val="A1BAF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1A4F40"/>
    <w:multiLevelType w:val="hybridMultilevel"/>
    <w:tmpl w:val="635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0C01BB"/>
    <w:multiLevelType w:val="hybridMultilevel"/>
    <w:tmpl w:val="155CE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8"/>
  </w:num>
  <w:num w:numId="4">
    <w:abstractNumId w:val="3"/>
  </w:num>
  <w:num w:numId="5">
    <w:abstractNumId w:val="17"/>
  </w:num>
  <w:num w:numId="6">
    <w:abstractNumId w:val="15"/>
  </w:num>
  <w:num w:numId="7">
    <w:abstractNumId w:val="12"/>
  </w:num>
  <w:num w:numId="8">
    <w:abstractNumId w:val="14"/>
  </w:num>
  <w:num w:numId="9">
    <w:abstractNumId w:val="9"/>
  </w:num>
  <w:num w:numId="10">
    <w:abstractNumId w:val="11"/>
  </w:num>
  <w:num w:numId="11">
    <w:abstractNumId w:val="7"/>
  </w:num>
  <w:num w:numId="12">
    <w:abstractNumId w:val="4"/>
  </w:num>
  <w:num w:numId="13">
    <w:abstractNumId w:val="16"/>
  </w:num>
  <w:num w:numId="14">
    <w:abstractNumId w:val="19"/>
  </w:num>
  <w:num w:numId="15">
    <w:abstractNumId w:val="1"/>
  </w:num>
  <w:num w:numId="16">
    <w:abstractNumId w:val="13"/>
  </w:num>
  <w:num w:numId="17">
    <w:abstractNumId w:val="2"/>
  </w:num>
  <w:num w:numId="18">
    <w:abstractNumId w:val="0"/>
  </w:num>
  <w:num w:numId="19">
    <w:abstractNumId w:val="10"/>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ggy Hicks">
    <w15:presenceInfo w15:providerId="Windows Live" w15:userId="5839f6ff5bc52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E"/>
    <w:rsid w:val="00006CC0"/>
    <w:rsid w:val="00023AAE"/>
    <w:rsid w:val="000709F1"/>
    <w:rsid w:val="0008762A"/>
    <w:rsid w:val="0012418F"/>
    <w:rsid w:val="0013306A"/>
    <w:rsid w:val="00193890"/>
    <w:rsid w:val="001B55B6"/>
    <w:rsid w:val="001C463D"/>
    <w:rsid w:val="001D5D07"/>
    <w:rsid w:val="00223E31"/>
    <w:rsid w:val="002444AA"/>
    <w:rsid w:val="0025133E"/>
    <w:rsid w:val="00287713"/>
    <w:rsid w:val="00300BD8"/>
    <w:rsid w:val="00322954"/>
    <w:rsid w:val="003B0923"/>
    <w:rsid w:val="00407851"/>
    <w:rsid w:val="0041260D"/>
    <w:rsid w:val="00494498"/>
    <w:rsid w:val="004B20CD"/>
    <w:rsid w:val="004D6C24"/>
    <w:rsid w:val="004F15A8"/>
    <w:rsid w:val="00514AB7"/>
    <w:rsid w:val="00562019"/>
    <w:rsid w:val="00595CDE"/>
    <w:rsid w:val="005B65AF"/>
    <w:rsid w:val="005E422E"/>
    <w:rsid w:val="006B66F4"/>
    <w:rsid w:val="006C51C9"/>
    <w:rsid w:val="006F41F7"/>
    <w:rsid w:val="00751C14"/>
    <w:rsid w:val="00783A2F"/>
    <w:rsid w:val="007A0415"/>
    <w:rsid w:val="007B5BB9"/>
    <w:rsid w:val="00861FA6"/>
    <w:rsid w:val="008702B3"/>
    <w:rsid w:val="008D3EAE"/>
    <w:rsid w:val="0091542C"/>
    <w:rsid w:val="00915681"/>
    <w:rsid w:val="009530A2"/>
    <w:rsid w:val="00953510"/>
    <w:rsid w:val="0096672E"/>
    <w:rsid w:val="0098052C"/>
    <w:rsid w:val="009822D8"/>
    <w:rsid w:val="00990848"/>
    <w:rsid w:val="009B2B49"/>
    <w:rsid w:val="009E10F1"/>
    <w:rsid w:val="009F3F67"/>
    <w:rsid w:val="009F5EAC"/>
    <w:rsid w:val="00A2779A"/>
    <w:rsid w:val="00A72A95"/>
    <w:rsid w:val="00A80987"/>
    <w:rsid w:val="00AC33B3"/>
    <w:rsid w:val="00AE4D35"/>
    <w:rsid w:val="00AF72F4"/>
    <w:rsid w:val="00B00D67"/>
    <w:rsid w:val="00B31B0E"/>
    <w:rsid w:val="00B66B7B"/>
    <w:rsid w:val="00B72798"/>
    <w:rsid w:val="00B75319"/>
    <w:rsid w:val="00B93B04"/>
    <w:rsid w:val="00BC45D1"/>
    <w:rsid w:val="00BC723A"/>
    <w:rsid w:val="00BE2F12"/>
    <w:rsid w:val="00C40B8F"/>
    <w:rsid w:val="00C47EF7"/>
    <w:rsid w:val="00C86FD2"/>
    <w:rsid w:val="00C907B9"/>
    <w:rsid w:val="00CA00D6"/>
    <w:rsid w:val="00CA668C"/>
    <w:rsid w:val="00D9489B"/>
    <w:rsid w:val="00DD71B0"/>
    <w:rsid w:val="00E166F1"/>
    <w:rsid w:val="00E47F1C"/>
    <w:rsid w:val="00E54B0C"/>
    <w:rsid w:val="00E72C4A"/>
    <w:rsid w:val="00E8431B"/>
    <w:rsid w:val="00E92203"/>
    <w:rsid w:val="00F83185"/>
    <w:rsid w:val="00FF035E"/>
    <w:rsid w:val="00FF3C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E"/>
    <w:rPr>
      <w:rFonts w:ascii="Tahoma" w:hAnsi="Tahoma" w:cs="Tahoma"/>
      <w:sz w:val="16"/>
      <w:szCs w:val="16"/>
    </w:rPr>
  </w:style>
  <w:style w:type="character" w:styleId="CommentReference">
    <w:name w:val="annotation reference"/>
    <w:basedOn w:val="DefaultParagraphFont"/>
    <w:uiPriority w:val="99"/>
    <w:semiHidden/>
    <w:unhideWhenUsed/>
    <w:rsid w:val="00B75319"/>
    <w:rPr>
      <w:sz w:val="16"/>
      <w:szCs w:val="16"/>
    </w:rPr>
  </w:style>
  <w:style w:type="paragraph" w:styleId="CommentText">
    <w:name w:val="annotation text"/>
    <w:basedOn w:val="Normal"/>
    <w:link w:val="CommentTextChar"/>
    <w:uiPriority w:val="99"/>
    <w:semiHidden/>
    <w:unhideWhenUsed/>
    <w:rsid w:val="00B75319"/>
    <w:pPr>
      <w:spacing w:line="240" w:lineRule="auto"/>
    </w:pPr>
    <w:rPr>
      <w:sz w:val="20"/>
      <w:szCs w:val="20"/>
    </w:rPr>
  </w:style>
  <w:style w:type="character" w:customStyle="1" w:styleId="CommentTextChar">
    <w:name w:val="Comment Text Char"/>
    <w:basedOn w:val="DefaultParagraphFont"/>
    <w:link w:val="CommentText"/>
    <w:uiPriority w:val="99"/>
    <w:semiHidden/>
    <w:rsid w:val="00B75319"/>
    <w:rPr>
      <w:sz w:val="20"/>
      <w:szCs w:val="20"/>
    </w:rPr>
  </w:style>
  <w:style w:type="paragraph" w:styleId="CommentSubject">
    <w:name w:val="annotation subject"/>
    <w:basedOn w:val="CommentText"/>
    <w:next w:val="CommentText"/>
    <w:link w:val="CommentSubjectChar"/>
    <w:uiPriority w:val="99"/>
    <w:semiHidden/>
    <w:unhideWhenUsed/>
    <w:rsid w:val="00B75319"/>
    <w:rPr>
      <w:b/>
      <w:bCs/>
    </w:rPr>
  </w:style>
  <w:style w:type="character" w:customStyle="1" w:styleId="CommentSubjectChar">
    <w:name w:val="Comment Subject Char"/>
    <w:basedOn w:val="CommentTextChar"/>
    <w:link w:val="CommentSubject"/>
    <w:uiPriority w:val="99"/>
    <w:semiHidden/>
    <w:rsid w:val="00B75319"/>
    <w:rPr>
      <w:b/>
      <w:bCs/>
      <w:sz w:val="20"/>
      <w:szCs w:val="20"/>
    </w:rPr>
  </w:style>
  <w:style w:type="paragraph" w:styleId="ListParagraph">
    <w:name w:val="List Paragraph"/>
    <w:basedOn w:val="Normal"/>
    <w:uiPriority w:val="34"/>
    <w:qFormat/>
    <w:rsid w:val="00B75319"/>
    <w:pPr>
      <w:ind w:left="720"/>
      <w:contextualSpacing/>
    </w:pPr>
  </w:style>
  <w:style w:type="paragraph" w:styleId="Header">
    <w:name w:val="header"/>
    <w:basedOn w:val="Normal"/>
    <w:link w:val="HeaderChar"/>
    <w:uiPriority w:val="99"/>
    <w:unhideWhenUsed/>
    <w:rsid w:val="00562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19"/>
  </w:style>
  <w:style w:type="paragraph" w:styleId="Footer">
    <w:name w:val="footer"/>
    <w:basedOn w:val="Normal"/>
    <w:link w:val="FooterChar"/>
    <w:uiPriority w:val="99"/>
    <w:unhideWhenUsed/>
    <w:rsid w:val="00562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19"/>
  </w:style>
  <w:style w:type="paragraph" w:styleId="FootnoteText">
    <w:name w:val="footnote text"/>
    <w:basedOn w:val="Normal"/>
    <w:link w:val="FootnoteTextChar"/>
    <w:uiPriority w:val="99"/>
    <w:semiHidden/>
    <w:unhideWhenUsed/>
    <w:rsid w:val="00B66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B7B"/>
    <w:rPr>
      <w:sz w:val="20"/>
      <w:szCs w:val="20"/>
    </w:rPr>
  </w:style>
  <w:style w:type="character" w:styleId="FootnoteReference">
    <w:name w:val="footnote reference"/>
    <w:basedOn w:val="DefaultParagraphFont"/>
    <w:uiPriority w:val="99"/>
    <w:semiHidden/>
    <w:unhideWhenUsed/>
    <w:rsid w:val="00B66B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E"/>
    <w:rPr>
      <w:rFonts w:ascii="Tahoma" w:hAnsi="Tahoma" w:cs="Tahoma"/>
      <w:sz w:val="16"/>
      <w:szCs w:val="16"/>
    </w:rPr>
  </w:style>
  <w:style w:type="character" w:styleId="CommentReference">
    <w:name w:val="annotation reference"/>
    <w:basedOn w:val="DefaultParagraphFont"/>
    <w:uiPriority w:val="99"/>
    <w:semiHidden/>
    <w:unhideWhenUsed/>
    <w:rsid w:val="00B75319"/>
    <w:rPr>
      <w:sz w:val="16"/>
      <w:szCs w:val="16"/>
    </w:rPr>
  </w:style>
  <w:style w:type="paragraph" w:styleId="CommentText">
    <w:name w:val="annotation text"/>
    <w:basedOn w:val="Normal"/>
    <w:link w:val="CommentTextChar"/>
    <w:uiPriority w:val="99"/>
    <w:semiHidden/>
    <w:unhideWhenUsed/>
    <w:rsid w:val="00B75319"/>
    <w:pPr>
      <w:spacing w:line="240" w:lineRule="auto"/>
    </w:pPr>
    <w:rPr>
      <w:sz w:val="20"/>
      <w:szCs w:val="20"/>
    </w:rPr>
  </w:style>
  <w:style w:type="character" w:customStyle="1" w:styleId="CommentTextChar">
    <w:name w:val="Comment Text Char"/>
    <w:basedOn w:val="DefaultParagraphFont"/>
    <w:link w:val="CommentText"/>
    <w:uiPriority w:val="99"/>
    <w:semiHidden/>
    <w:rsid w:val="00B75319"/>
    <w:rPr>
      <w:sz w:val="20"/>
      <w:szCs w:val="20"/>
    </w:rPr>
  </w:style>
  <w:style w:type="paragraph" w:styleId="CommentSubject">
    <w:name w:val="annotation subject"/>
    <w:basedOn w:val="CommentText"/>
    <w:next w:val="CommentText"/>
    <w:link w:val="CommentSubjectChar"/>
    <w:uiPriority w:val="99"/>
    <w:semiHidden/>
    <w:unhideWhenUsed/>
    <w:rsid w:val="00B75319"/>
    <w:rPr>
      <w:b/>
      <w:bCs/>
    </w:rPr>
  </w:style>
  <w:style w:type="character" w:customStyle="1" w:styleId="CommentSubjectChar">
    <w:name w:val="Comment Subject Char"/>
    <w:basedOn w:val="CommentTextChar"/>
    <w:link w:val="CommentSubject"/>
    <w:uiPriority w:val="99"/>
    <w:semiHidden/>
    <w:rsid w:val="00B75319"/>
    <w:rPr>
      <w:b/>
      <w:bCs/>
      <w:sz w:val="20"/>
      <w:szCs w:val="20"/>
    </w:rPr>
  </w:style>
  <w:style w:type="paragraph" w:styleId="ListParagraph">
    <w:name w:val="List Paragraph"/>
    <w:basedOn w:val="Normal"/>
    <w:uiPriority w:val="34"/>
    <w:qFormat/>
    <w:rsid w:val="00B75319"/>
    <w:pPr>
      <w:ind w:left="720"/>
      <w:contextualSpacing/>
    </w:pPr>
  </w:style>
  <w:style w:type="paragraph" w:styleId="Header">
    <w:name w:val="header"/>
    <w:basedOn w:val="Normal"/>
    <w:link w:val="HeaderChar"/>
    <w:uiPriority w:val="99"/>
    <w:unhideWhenUsed/>
    <w:rsid w:val="00562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19"/>
  </w:style>
  <w:style w:type="paragraph" w:styleId="Footer">
    <w:name w:val="footer"/>
    <w:basedOn w:val="Normal"/>
    <w:link w:val="FooterChar"/>
    <w:uiPriority w:val="99"/>
    <w:unhideWhenUsed/>
    <w:rsid w:val="00562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19"/>
  </w:style>
  <w:style w:type="paragraph" w:styleId="FootnoteText">
    <w:name w:val="footnote text"/>
    <w:basedOn w:val="Normal"/>
    <w:link w:val="FootnoteTextChar"/>
    <w:uiPriority w:val="99"/>
    <w:semiHidden/>
    <w:unhideWhenUsed/>
    <w:rsid w:val="00B66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B7B"/>
    <w:rPr>
      <w:sz w:val="20"/>
      <w:szCs w:val="20"/>
    </w:rPr>
  </w:style>
  <w:style w:type="character" w:styleId="FootnoteReference">
    <w:name w:val="footnote reference"/>
    <w:basedOn w:val="DefaultParagraphFont"/>
    <w:uiPriority w:val="99"/>
    <w:semiHidden/>
    <w:unhideWhenUsed/>
    <w:rsid w:val="00B66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3A1E0D-702F-4114-AD23-1BAAC1EAC42D}"/>
</file>

<file path=customXml/itemProps2.xml><?xml version="1.0" encoding="utf-8"?>
<ds:datastoreItem xmlns:ds="http://schemas.openxmlformats.org/officeDocument/2006/customXml" ds:itemID="{68BF9003-FD64-4E5B-BB9D-0CED945E5FED}"/>
</file>

<file path=customXml/itemProps3.xml><?xml version="1.0" encoding="utf-8"?>
<ds:datastoreItem xmlns:ds="http://schemas.openxmlformats.org/officeDocument/2006/customXml" ds:itemID="{2EBCBA42-727E-4D7E-9F59-4046BEE42BC1}"/>
</file>

<file path=customXml/itemProps4.xml><?xml version="1.0" encoding="utf-8"?>
<ds:datastoreItem xmlns:ds="http://schemas.openxmlformats.org/officeDocument/2006/customXml" ds:itemID="{44240555-DCCE-4121-974F-2BBC5955E170}"/>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METS</dc:creator>
  <cp:lastModifiedBy>PMS-RRU Intern2 OHCHR</cp:lastModifiedBy>
  <cp:revision>2</cp:revision>
  <cp:lastPrinted>2016-05-17T15:51:00Z</cp:lastPrinted>
  <dcterms:created xsi:type="dcterms:W3CDTF">2016-10-13T15:41:00Z</dcterms:created>
  <dcterms:modified xsi:type="dcterms:W3CDTF">2016-10-13T15:41:00Z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