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FE" w:rsidRDefault="00CF6AFE" w:rsidP="00234EB3">
      <w:pPr>
        <w:autoSpaceDE w:val="0"/>
        <w:autoSpaceDN w:val="0"/>
        <w:adjustRightInd w:val="0"/>
        <w:snapToGrid w:val="0"/>
        <w:rPr>
          <w:rFonts w:ascii="mesNewRomanPSMT" w:hAnsi="mesNewRomanPSMT" w:cs="mesNewRomanPSMT"/>
          <w:color w:val="000000"/>
          <w:sz w:val="48"/>
        </w:rPr>
      </w:pPr>
      <w:bookmarkStart w:id="0" w:name="_GoBack"/>
      <w:bookmarkEnd w:id="0"/>
    </w:p>
    <w:p w:rsidR="00CF6AFE" w:rsidRPr="006101E6" w:rsidRDefault="00CF6AFE" w:rsidP="00CF6AFE">
      <w:pPr>
        <w:autoSpaceDE w:val="0"/>
        <w:autoSpaceDN w:val="0"/>
        <w:adjustRightInd w:val="0"/>
        <w:snapToGrid w:val="0"/>
        <w:jc w:val="center"/>
        <w:rPr>
          <w:b/>
          <w:color w:val="000000"/>
          <w:sz w:val="52"/>
          <w:szCs w:val="52"/>
        </w:rPr>
      </w:pPr>
      <w:r w:rsidRPr="006101E6">
        <w:rPr>
          <w:b/>
          <w:color w:val="000000"/>
          <w:sz w:val="52"/>
          <w:szCs w:val="52"/>
        </w:rPr>
        <w:t>Talking Shit: getting the message across</w:t>
      </w:r>
    </w:p>
    <w:p w:rsidR="00CF6AFE" w:rsidRPr="006101E6" w:rsidRDefault="00CF6AFE" w:rsidP="00CF6AFE">
      <w:pPr>
        <w:autoSpaceDE w:val="0"/>
        <w:autoSpaceDN w:val="0"/>
        <w:adjustRightInd w:val="0"/>
        <w:snapToGrid w:val="0"/>
        <w:jc w:val="center"/>
        <w:rPr>
          <w:b/>
          <w:color w:val="000000"/>
          <w:sz w:val="52"/>
          <w:szCs w:val="52"/>
        </w:rPr>
      </w:pPr>
    </w:p>
    <w:p w:rsidR="00CF6AFE" w:rsidRDefault="00CF6AFE" w:rsidP="00CF6AFE">
      <w:pPr>
        <w:autoSpaceDE w:val="0"/>
        <w:autoSpaceDN w:val="0"/>
        <w:adjustRightInd w:val="0"/>
        <w:snapToGrid w:val="0"/>
        <w:jc w:val="center"/>
        <w:rPr>
          <w:rFonts w:ascii="mesNewRomanPSMT" w:hAnsi="mesNewRomanPSMT" w:cs="mesNewRomanPSMT"/>
          <w:color w:val="000000"/>
        </w:rPr>
      </w:pPr>
    </w:p>
    <w:p w:rsidR="00CF6AFE" w:rsidRDefault="00CF6AFE" w:rsidP="00CF6AFE">
      <w:pPr>
        <w:autoSpaceDE w:val="0"/>
        <w:autoSpaceDN w:val="0"/>
        <w:adjustRightInd w:val="0"/>
        <w:snapToGrid w:val="0"/>
        <w:jc w:val="center"/>
        <w:rPr>
          <w:rFonts w:ascii="mesNewRomanPSMT" w:hAnsi="mesNewRomanPSMT" w:cs="mesNewRomanPSMT"/>
          <w:color w:val="000000"/>
        </w:rPr>
      </w:pPr>
    </w:p>
    <w:p w:rsidR="00CF6AFE" w:rsidRPr="006101E6" w:rsidRDefault="00CF6AFE" w:rsidP="00CF6AFE">
      <w:pPr>
        <w:autoSpaceDE w:val="0"/>
        <w:autoSpaceDN w:val="0"/>
        <w:adjustRightInd w:val="0"/>
        <w:snapToGrid w:val="0"/>
        <w:jc w:val="center"/>
        <w:rPr>
          <w:rFonts w:ascii="mesNewRomanPSMT" w:hAnsi="mesNewRomanPSMT" w:cs="mesNewRomanPSMT"/>
          <w:color w:val="000000"/>
        </w:rPr>
      </w:pPr>
      <w:r>
        <w:rPr>
          <w:rFonts w:ascii="mesNewRomanPSMT" w:hAnsi="mesNewRomanPSMT" w:cs="mesNewRomanPSMT"/>
          <w:noProof/>
          <w:color w:val="000000"/>
          <w:lang w:val="de-DE" w:eastAsia="de-DE"/>
        </w:rPr>
        <w:drawing>
          <wp:inline distT="0" distB="0" distL="0" distR="0">
            <wp:extent cx="3733553" cy="3882377"/>
            <wp:effectExtent l="19050" t="0" r="247" b="0"/>
            <wp:docPr id="1" name="Picture 0" descr="toilet_ma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let_manners.jpg"/>
                    <pic:cNvPicPr/>
                  </pic:nvPicPr>
                  <pic:blipFill>
                    <a:blip r:embed="rId9"/>
                    <a:stretch>
                      <a:fillRect/>
                    </a:stretch>
                  </pic:blipFill>
                  <pic:spPr>
                    <a:xfrm>
                      <a:off x="0" y="0"/>
                      <a:ext cx="3739299" cy="3888352"/>
                    </a:xfrm>
                    <a:prstGeom prst="rect">
                      <a:avLst/>
                    </a:prstGeom>
                  </pic:spPr>
                </pic:pic>
              </a:graphicData>
            </a:graphic>
          </wp:inline>
        </w:drawing>
      </w:r>
    </w:p>
    <w:p w:rsidR="00CF6AFE" w:rsidRPr="006101E6" w:rsidRDefault="00CF6AFE" w:rsidP="00CF6AFE">
      <w:pPr>
        <w:autoSpaceDE w:val="0"/>
        <w:autoSpaceDN w:val="0"/>
        <w:adjustRightInd w:val="0"/>
        <w:snapToGrid w:val="0"/>
        <w:jc w:val="center"/>
        <w:rPr>
          <w:i/>
          <w:color w:val="000000"/>
          <w:sz w:val="16"/>
          <w:szCs w:val="16"/>
        </w:rPr>
      </w:pPr>
      <w:r w:rsidRPr="006101E6">
        <w:rPr>
          <w:i/>
          <w:color w:val="000000"/>
          <w:sz w:val="16"/>
          <w:szCs w:val="16"/>
        </w:rPr>
        <w:t>http://www.weirdexistence.com/funny-toilet-signs/</w:t>
      </w:r>
    </w:p>
    <w:p w:rsidR="00CF6AFE" w:rsidRDefault="00CF6AFE" w:rsidP="00CF6AFE">
      <w:pPr>
        <w:autoSpaceDE w:val="0"/>
        <w:autoSpaceDN w:val="0"/>
        <w:adjustRightInd w:val="0"/>
        <w:snapToGrid w:val="0"/>
        <w:jc w:val="center"/>
        <w:rPr>
          <w:rFonts w:ascii="mesNewRomanPSMT" w:hAnsi="mesNewRomanPSMT" w:cs="mesNewRomanPSMT"/>
          <w:color w:val="000000"/>
        </w:rPr>
      </w:pPr>
    </w:p>
    <w:p w:rsidR="00CF6AFE" w:rsidRPr="00EA5D49" w:rsidRDefault="00CF6AFE" w:rsidP="00CF6AFE">
      <w:pPr>
        <w:autoSpaceDE w:val="0"/>
        <w:autoSpaceDN w:val="0"/>
        <w:adjustRightInd w:val="0"/>
        <w:snapToGrid w:val="0"/>
        <w:jc w:val="center"/>
        <w:rPr>
          <w:i/>
          <w:color w:val="000000"/>
        </w:rPr>
      </w:pPr>
      <w:r w:rsidRPr="00BA4913">
        <w:rPr>
          <w:i/>
          <w:color w:val="000000"/>
        </w:rPr>
        <w:t>This dissertation is submitted in partial fulfilment of the requirements for the</w:t>
      </w:r>
    </w:p>
    <w:p w:rsidR="00CF6AFE" w:rsidRPr="006101E6" w:rsidRDefault="00CF6AFE" w:rsidP="00CF6AFE">
      <w:pPr>
        <w:autoSpaceDE w:val="0"/>
        <w:autoSpaceDN w:val="0"/>
        <w:adjustRightInd w:val="0"/>
        <w:snapToGrid w:val="0"/>
        <w:jc w:val="center"/>
        <w:rPr>
          <w:color w:val="000000"/>
          <w:sz w:val="28"/>
          <w:szCs w:val="28"/>
        </w:rPr>
      </w:pPr>
      <w:r w:rsidRPr="006101E6">
        <w:rPr>
          <w:color w:val="000000"/>
          <w:sz w:val="28"/>
          <w:szCs w:val="28"/>
        </w:rPr>
        <w:t>MA Understanding and Securing Human Rights</w:t>
      </w:r>
    </w:p>
    <w:p w:rsidR="00CF6AFE" w:rsidRPr="000C5759" w:rsidRDefault="00CF6AFE" w:rsidP="00CF6AFE">
      <w:pPr>
        <w:autoSpaceDE w:val="0"/>
        <w:autoSpaceDN w:val="0"/>
        <w:adjustRightInd w:val="0"/>
        <w:snapToGrid w:val="0"/>
        <w:jc w:val="center"/>
        <w:rPr>
          <w:color w:val="000000"/>
        </w:rPr>
      </w:pPr>
      <w:r w:rsidRPr="000C5759">
        <w:rPr>
          <w:color w:val="000000"/>
        </w:rPr>
        <w:t xml:space="preserve">Institute of Commonwealth Studies, School of Advanced Study, </w:t>
      </w:r>
    </w:p>
    <w:p w:rsidR="00CF6AFE" w:rsidRPr="000C5759" w:rsidRDefault="00CF6AFE" w:rsidP="00CF6AFE">
      <w:pPr>
        <w:autoSpaceDE w:val="0"/>
        <w:autoSpaceDN w:val="0"/>
        <w:adjustRightInd w:val="0"/>
        <w:snapToGrid w:val="0"/>
        <w:jc w:val="center"/>
        <w:rPr>
          <w:color w:val="000000"/>
        </w:rPr>
      </w:pPr>
      <w:r w:rsidRPr="000C5759">
        <w:rPr>
          <w:color w:val="000000"/>
        </w:rPr>
        <w:t>University of London</w:t>
      </w:r>
    </w:p>
    <w:p w:rsidR="00861A82" w:rsidRDefault="00861A82" w:rsidP="00861A82">
      <w:pPr>
        <w:autoSpaceDE w:val="0"/>
        <w:autoSpaceDN w:val="0"/>
        <w:adjustRightInd w:val="0"/>
        <w:snapToGrid w:val="0"/>
        <w:rPr>
          <w:color w:val="000000"/>
          <w:sz w:val="28"/>
          <w:szCs w:val="28"/>
        </w:rPr>
      </w:pPr>
    </w:p>
    <w:p w:rsidR="00CF6AFE" w:rsidRDefault="00CF6AFE" w:rsidP="00861A82">
      <w:pPr>
        <w:autoSpaceDE w:val="0"/>
        <w:autoSpaceDN w:val="0"/>
        <w:adjustRightInd w:val="0"/>
        <w:snapToGrid w:val="0"/>
        <w:jc w:val="center"/>
        <w:rPr>
          <w:color w:val="000000"/>
          <w:sz w:val="28"/>
          <w:szCs w:val="28"/>
        </w:rPr>
      </w:pPr>
      <w:r>
        <w:rPr>
          <w:color w:val="000000"/>
          <w:sz w:val="28"/>
          <w:szCs w:val="28"/>
        </w:rPr>
        <w:br/>
      </w:r>
      <w:r w:rsidR="001046F4">
        <w:rPr>
          <w:color w:val="000000"/>
          <w:sz w:val="28"/>
          <w:szCs w:val="28"/>
        </w:rPr>
        <w:t xml:space="preserve">Marcus </w:t>
      </w:r>
      <w:proofErr w:type="spellStart"/>
      <w:r w:rsidR="001046F4">
        <w:rPr>
          <w:color w:val="000000"/>
          <w:sz w:val="28"/>
          <w:szCs w:val="28"/>
        </w:rPr>
        <w:t>Erridge</w:t>
      </w:r>
      <w:proofErr w:type="spellEnd"/>
    </w:p>
    <w:p w:rsidR="00861A82" w:rsidRDefault="00861A82" w:rsidP="00861A82">
      <w:pPr>
        <w:autoSpaceDE w:val="0"/>
        <w:autoSpaceDN w:val="0"/>
        <w:adjustRightInd w:val="0"/>
        <w:snapToGrid w:val="0"/>
        <w:jc w:val="center"/>
        <w:rPr>
          <w:color w:val="000000"/>
          <w:sz w:val="28"/>
          <w:szCs w:val="28"/>
        </w:rPr>
      </w:pPr>
    </w:p>
    <w:p w:rsidR="00861A82" w:rsidRPr="00861A82" w:rsidRDefault="00861A82" w:rsidP="00861A82">
      <w:pPr>
        <w:autoSpaceDE w:val="0"/>
        <w:autoSpaceDN w:val="0"/>
        <w:adjustRightInd w:val="0"/>
        <w:snapToGrid w:val="0"/>
        <w:jc w:val="center"/>
        <w:rPr>
          <w:i/>
          <w:color w:val="000000"/>
          <w:sz w:val="28"/>
          <w:szCs w:val="28"/>
        </w:rPr>
      </w:pPr>
      <w:r w:rsidRPr="00861A82">
        <w:rPr>
          <w:i/>
          <w:color w:val="000000"/>
          <w:sz w:val="28"/>
          <w:szCs w:val="28"/>
        </w:rPr>
        <w:t>September 2011</w:t>
      </w:r>
    </w:p>
    <w:p w:rsidR="00CF6AFE" w:rsidRPr="006101E6" w:rsidRDefault="00CF6AFE" w:rsidP="00CF6AFE">
      <w:pPr>
        <w:autoSpaceDE w:val="0"/>
        <w:autoSpaceDN w:val="0"/>
        <w:adjustRightInd w:val="0"/>
        <w:snapToGrid w:val="0"/>
        <w:jc w:val="center"/>
        <w:rPr>
          <w:color w:val="000000"/>
          <w:sz w:val="28"/>
          <w:szCs w:val="28"/>
        </w:rPr>
      </w:pPr>
    </w:p>
    <w:p w:rsidR="004C115C" w:rsidRDefault="004C115C" w:rsidP="004C115C">
      <w:pPr>
        <w:spacing w:after="200" w:line="276" w:lineRule="auto"/>
        <w:rPr>
          <w:b/>
          <w:i/>
        </w:rPr>
      </w:pPr>
    </w:p>
    <w:p w:rsidR="00CF6AFE" w:rsidRDefault="00CF6AFE" w:rsidP="004C115C">
      <w:pPr>
        <w:spacing w:after="200" w:line="276" w:lineRule="auto"/>
        <w:rPr>
          <w:b/>
          <w:i/>
        </w:rPr>
      </w:pPr>
    </w:p>
    <w:p w:rsidR="009B4842" w:rsidRPr="009C71A4" w:rsidRDefault="009B4842" w:rsidP="001046F4">
      <w:pPr>
        <w:rPr>
          <w:rFonts w:eastAsia="Calibri"/>
          <w:b/>
          <w:sz w:val="28"/>
          <w:szCs w:val="28"/>
        </w:rPr>
      </w:pPr>
      <w:r>
        <w:rPr>
          <w:rFonts w:eastAsia="Calibri"/>
          <w:b/>
          <w:sz w:val="28"/>
          <w:szCs w:val="28"/>
        </w:rPr>
        <w:br/>
      </w:r>
    </w:p>
    <w:p w:rsidR="00BE7DD8" w:rsidRPr="00421952" w:rsidRDefault="00BE7DD8" w:rsidP="00BE7DD8">
      <w:pPr>
        <w:jc w:val="center"/>
        <w:rPr>
          <w:rFonts w:eastAsia="Calibri"/>
          <w:b/>
        </w:rPr>
      </w:pPr>
      <w:r w:rsidRPr="00421952">
        <w:rPr>
          <w:rFonts w:eastAsia="Calibri"/>
          <w:b/>
        </w:rPr>
        <w:lastRenderedPageBreak/>
        <w:t>CONTENTS</w:t>
      </w:r>
      <w:r>
        <w:rPr>
          <w:rFonts w:eastAsia="Calibri"/>
          <w:b/>
        </w:rPr>
        <w:br/>
      </w:r>
    </w:p>
    <w:p w:rsidR="00BE7DD8" w:rsidRPr="001046F4" w:rsidRDefault="00BE7DD8" w:rsidP="00BE7DD8">
      <w:pPr>
        <w:rPr>
          <w:rFonts w:eastAsia="Calibri"/>
          <w:i/>
        </w:rPr>
      </w:pPr>
      <w:r w:rsidRPr="001046F4">
        <w:rPr>
          <w:rFonts w:eastAsia="Calibri"/>
          <w:b/>
          <w:i/>
        </w:rPr>
        <w:t>Abstract</w:t>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rPr>
        <w:t>p.3</w:t>
      </w:r>
      <w:r w:rsidRPr="001046F4">
        <w:rPr>
          <w:rFonts w:eastAsia="Calibri"/>
          <w:b/>
          <w:i/>
        </w:rPr>
        <w:br/>
        <w:t>Acknowledgements</w:t>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i/>
        </w:rPr>
        <w:tab/>
      </w:r>
      <w:r w:rsidRPr="001046F4">
        <w:rPr>
          <w:rFonts w:eastAsia="Calibri"/>
          <w:b/>
        </w:rPr>
        <w:t>p.3</w:t>
      </w:r>
      <w:r w:rsidRPr="001046F4">
        <w:rPr>
          <w:rFonts w:eastAsia="Calibri"/>
          <w:b/>
        </w:rPr>
        <w:br/>
      </w:r>
      <w:r w:rsidRPr="001046F4">
        <w:rPr>
          <w:rFonts w:eastAsia="Calibri"/>
          <w:b/>
          <w:i/>
        </w:rPr>
        <w:t>Introduction and background</w:t>
      </w:r>
      <w:r w:rsidRPr="001046F4">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sidRPr="00E9148E">
        <w:rPr>
          <w:rFonts w:eastAsia="Calibri"/>
          <w:b/>
        </w:rPr>
        <w:t>p.</w:t>
      </w:r>
      <w:r>
        <w:rPr>
          <w:rFonts w:eastAsia="Calibri"/>
          <w:b/>
        </w:rPr>
        <w:t>4</w:t>
      </w:r>
      <w:r>
        <w:rPr>
          <w:rFonts w:eastAsia="Calibri"/>
          <w:b/>
        </w:rPr>
        <w:br/>
      </w:r>
      <w:r>
        <w:rPr>
          <w:rFonts w:eastAsia="Calibri"/>
          <w:b/>
          <w:i/>
        </w:rPr>
        <w:t>Research Methodology</w:t>
      </w:r>
      <w:r>
        <w:rPr>
          <w:rFonts w:eastAsia="Calibri"/>
          <w:b/>
          <w:i/>
        </w:rPr>
        <w:tab/>
      </w:r>
      <w:r>
        <w:rPr>
          <w:rFonts w:eastAsia="Calibri"/>
          <w:b/>
          <w:i/>
        </w:rPr>
        <w:tab/>
      </w:r>
      <w:r>
        <w:rPr>
          <w:rFonts w:eastAsia="Calibri"/>
          <w:b/>
          <w:i/>
        </w:rPr>
        <w:tab/>
      </w:r>
      <w:r>
        <w:rPr>
          <w:rFonts w:eastAsia="Calibri"/>
          <w:b/>
          <w:i/>
        </w:rPr>
        <w:tab/>
      </w:r>
      <w:r>
        <w:rPr>
          <w:rFonts w:eastAsia="Calibri"/>
          <w:b/>
          <w:i/>
        </w:rPr>
        <w:tab/>
      </w:r>
      <w:r>
        <w:rPr>
          <w:rFonts w:eastAsia="Calibri"/>
          <w:b/>
          <w:i/>
        </w:rPr>
        <w:tab/>
      </w:r>
      <w:r>
        <w:rPr>
          <w:rFonts w:eastAsia="Calibri"/>
          <w:b/>
          <w:i/>
        </w:rPr>
        <w:tab/>
      </w:r>
      <w:r>
        <w:rPr>
          <w:rFonts w:eastAsia="Calibri"/>
          <w:b/>
          <w:i/>
        </w:rPr>
        <w:tab/>
      </w:r>
      <w:r>
        <w:rPr>
          <w:rFonts w:eastAsia="Calibri"/>
          <w:b/>
        </w:rPr>
        <w:t>p.5</w:t>
      </w:r>
      <w:r>
        <w:rPr>
          <w:rFonts w:eastAsia="Calibri"/>
          <w:b/>
        </w:rPr>
        <w:br/>
      </w:r>
      <w:r>
        <w:rPr>
          <w:rFonts w:eastAsia="Calibri"/>
          <w:b/>
        </w:rPr>
        <w:br/>
      </w:r>
    </w:p>
    <w:p w:rsidR="00BE7DD8" w:rsidRPr="00E6713A" w:rsidRDefault="00BE7DD8" w:rsidP="00BE7DD8">
      <w:pPr>
        <w:rPr>
          <w:rFonts w:eastAsia="Calibri"/>
        </w:rPr>
      </w:pPr>
      <w:r w:rsidRPr="006E0EDA">
        <w:rPr>
          <w:rFonts w:eastAsia="Calibri"/>
          <w:b/>
        </w:rPr>
        <w:t>Chapter One: The Resolution will not be televised</w:t>
      </w:r>
      <w:r>
        <w:rPr>
          <w:rFonts w:eastAsia="Calibri"/>
        </w:rPr>
        <w:tab/>
      </w:r>
      <w:r>
        <w:rPr>
          <w:rFonts w:eastAsia="Calibri"/>
        </w:rPr>
        <w:tab/>
      </w:r>
      <w:r>
        <w:rPr>
          <w:rFonts w:eastAsia="Calibri"/>
        </w:rPr>
        <w:tab/>
        <w:t xml:space="preserve">            </w:t>
      </w:r>
      <w:r w:rsidRPr="006E0EDA">
        <w:rPr>
          <w:rFonts w:eastAsia="Calibri"/>
          <w:b/>
        </w:rPr>
        <w:t>p</w:t>
      </w:r>
      <w:r>
        <w:rPr>
          <w:rFonts w:eastAsia="Calibri"/>
          <w:b/>
        </w:rPr>
        <w:t>p</w:t>
      </w:r>
      <w:r w:rsidRPr="006E0EDA">
        <w:rPr>
          <w:rFonts w:eastAsia="Calibri"/>
          <w:b/>
        </w:rPr>
        <w:t>.</w:t>
      </w:r>
      <w:r>
        <w:rPr>
          <w:rFonts w:eastAsia="Calibri"/>
          <w:b/>
        </w:rPr>
        <w:t>7-16</w:t>
      </w:r>
      <w:r>
        <w:rPr>
          <w:rFonts w:eastAsia="Calibri"/>
          <w:b/>
        </w:rPr>
        <w:br/>
      </w:r>
    </w:p>
    <w:p w:rsidR="00BE7DD8" w:rsidRPr="00C9794A" w:rsidRDefault="00BE7DD8" w:rsidP="00BE7DD8">
      <w:pPr>
        <w:spacing w:line="360" w:lineRule="auto"/>
        <w:ind w:left="720"/>
        <w:rPr>
          <w:rFonts w:eastAsia="Calibri"/>
        </w:rPr>
      </w:pPr>
      <w:r w:rsidRPr="00FC2F5E">
        <w:rPr>
          <w:rFonts w:eastAsia="Calibri"/>
          <w:i/>
        </w:rPr>
        <w:t>1.1</w:t>
      </w:r>
      <w:r w:rsidRPr="00FC2F5E">
        <w:rPr>
          <w:rFonts w:eastAsia="Calibri"/>
          <w:i/>
        </w:rPr>
        <w:tab/>
        <w:t>What is the right to sanitation?</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rPr>
        <w:t>p.7</w:t>
      </w:r>
      <w:r>
        <w:rPr>
          <w:rFonts w:eastAsia="Calibri"/>
        </w:rPr>
        <w:br/>
      </w:r>
      <w:r w:rsidRPr="00FC2F5E">
        <w:rPr>
          <w:rFonts w:eastAsia="Calibri"/>
          <w:i/>
        </w:rPr>
        <w:t>1.2</w:t>
      </w:r>
      <w:r w:rsidRPr="00FC2F5E">
        <w:rPr>
          <w:rFonts w:eastAsia="Calibri"/>
          <w:i/>
        </w:rPr>
        <w:tab/>
        <w:t>The UN ‘right to sanitation’ Resolutions</w:t>
      </w:r>
      <w:r>
        <w:rPr>
          <w:rFonts w:eastAsia="Calibri"/>
          <w:i/>
        </w:rPr>
        <w:tab/>
      </w:r>
      <w:r>
        <w:rPr>
          <w:rFonts w:eastAsia="Calibri"/>
          <w:i/>
        </w:rPr>
        <w:tab/>
      </w:r>
      <w:r>
        <w:rPr>
          <w:rFonts w:eastAsia="Calibri"/>
          <w:i/>
        </w:rPr>
        <w:tab/>
      </w:r>
      <w:r>
        <w:rPr>
          <w:rFonts w:eastAsia="Calibri"/>
          <w:i/>
        </w:rPr>
        <w:tab/>
      </w:r>
      <w:r>
        <w:rPr>
          <w:rFonts w:eastAsia="Calibri"/>
        </w:rPr>
        <w:t>p.8</w:t>
      </w:r>
      <w:r>
        <w:rPr>
          <w:rFonts w:eastAsia="Calibri"/>
        </w:rPr>
        <w:br/>
      </w:r>
      <w:r w:rsidRPr="00FC2F5E">
        <w:rPr>
          <w:rFonts w:eastAsia="Calibri"/>
          <w:i/>
        </w:rPr>
        <w:t>1.3</w:t>
      </w:r>
      <w:r w:rsidRPr="00FC2F5E">
        <w:rPr>
          <w:rFonts w:eastAsia="Calibri"/>
          <w:i/>
        </w:rPr>
        <w:tab/>
      </w:r>
      <w:proofErr w:type="gramStart"/>
      <w:r w:rsidRPr="00FC2F5E">
        <w:rPr>
          <w:rFonts w:eastAsia="Calibri"/>
          <w:i/>
        </w:rPr>
        <w:t>The</w:t>
      </w:r>
      <w:proofErr w:type="gramEnd"/>
      <w:r w:rsidRPr="00FC2F5E">
        <w:rPr>
          <w:rFonts w:eastAsia="Calibri"/>
          <w:i/>
        </w:rPr>
        <w:t xml:space="preserve"> role of the Special Rapporteur</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rPr>
        <w:t>p.9</w:t>
      </w:r>
      <w:r>
        <w:rPr>
          <w:rFonts w:eastAsia="Calibri"/>
        </w:rPr>
        <w:br/>
      </w:r>
      <w:r w:rsidRPr="00A660EB">
        <w:rPr>
          <w:rFonts w:eastAsia="Calibri"/>
          <w:i/>
        </w:rPr>
        <w:t xml:space="preserve">1.4 </w:t>
      </w:r>
      <w:r w:rsidRPr="00A660EB">
        <w:rPr>
          <w:rFonts w:eastAsia="Calibri"/>
          <w:i/>
        </w:rPr>
        <w:tab/>
        <w:t>International campaigns and advocacy</w:t>
      </w:r>
      <w:r w:rsidRPr="00A660EB">
        <w:rPr>
          <w:rFonts w:eastAsia="Calibri"/>
          <w:i/>
        </w:rPr>
        <w:tab/>
      </w:r>
      <w:r>
        <w:rPr>
          <w:rFonts w:ascii="Calibri" w:eastAsia="Calibri" w:hAnsi="Calibri"/>
          <w:i/>
        </w:rPr>
        <w:tab/>
      </w:r>
      <w:r>
        <w:rPr>
          <w:rFonts w:ascii="Calibri" w:eastAsia="Calibri" w:hAnsi="Calibri"/>
          <w:i/>
        </w:rPr>
        <w:tab/>
      </w:r>
      <w:r>
        <w:rPr>
          <w:rFonts w:ascii="Calibri" w:eastAsia="Calibri" w:hAnsi="Calibri"/>
          <w:i/>
        </w:rPr>
        <w:tab/>
      </w:r>
      <w:r w:rsidRPr="00A660EB">
        <w:rPr>
          <w:rFonts w:eastAsia="Calibri"/>
        </w:rPr>
        <w:t>p.</w:t>
      </w:r>
      <w:r>
        <w:rPr>
          <w:rFonts w:eastAsia="Calibri"/>
        </w:rPr>
        <w:t>10</w:t>
      </w:r>
      <w:r>
        <w:rPr>
          <w:rFonts w:eastAsia="Calibri"/>
        </w:rPr>
        <w:br/>
      </w:r>
      <w:r w:rsidRPr="00FC2F5E">
        <w:rPr>
          <w:rFonts w:eastAsia="Calibri"/>
          <w:i/>
        </w:rPr>
        <w:t>1.5</w:t>
      </w:r>
      <w:r w:rsidRPr="00FC2F5E">
        <w:rPr>
          <w:rFonts w:eastAsia="Calibri"/>
          <w:i/>
        </w:rPr>
        <w:tab/>
      </w:r>
      <w:r>
        <w:rPr>
          <w:rFonts w:eastAsia="Calibri"/>
          <w:i/>
        </w:rPr>
        <w:t>Enacting the right to sanitation</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rPr>
        <w:t>p.14</w:t>
      </w:r>
      <w:r>
        <w:rPr>
          <w:rFonts w:eastAsia="Calibri"/>
        </w:rPr>
        <w:br/>
      </w:r>
      <w:r>
        <w:rPr>
          <w:rFonts w:eastAsia="Calibri"/>
        </w:rPr>
        <w:br/>
      </w:r>
    </w:p>
    <w:p w:rsidR="00BE7DD8" w:rsidRDefault="00BE7DD8" w:rsidP="00BE7DD8">
      <w:pPr>
        <w:pStyle w:val="Listenabsatz"/>
        <w:ind w:left="0"/>
        <w:rPr>
          <w:b/>
        </w:rPr>
      </w:pPr>
      <w:r w:rsidRPr="00C9794A">
        <w:rPr>
          <w:b/>
        </w:rPr>
        <w:t xml:space="preserve">Chapter Two: </w:t>
      </w:r>
      <w:r>
        <w:rPr>
          <w:b/>
        </w:rPr>
        <w:t>Harnessing Disgust and Accessing Dignity</w:t>
      </w:r>
      <w:r>
        <w:rPr>
          <w:b/>
        </w:rPr>
        <w:tab/>
      </w:r>
      <w:r>
        <w:rPr>
          <w:b/>
        </w:rPr>
        <w:tab/>
        <w:t xml:space="preserve">    </w:t>
      </w:r>
      <w:r>
        <w:rPr>
          <w:b/>
        </w:rPr>
        <w:tab/>
        <w:t>pp.17-29</w:t>
      </w:r>
    </w:p>
    <w:p w:rsidR="00BE7DD8" w:rsidRDefault="00BE7DD8" w:rsidP="00BE7DD8">
      <w:pPr>
        <w:pStyle w:val="Listenabsatz"/>
        <w:ind w:left="0"/>
        <w:rPr>
          <w:b/>
        </w:rPr>
      </w:pPr>
    </w:p>
    <w:p w:rsidR="00BE7DD8" w:rsidRDefault="00BE7DD8" w:rsidP="00BE7DD8">
      <w:pPr>
        <w:pStyle w:val="Listenabsatz"/>
        <w:spacing w:line="360" w:lineRule="auto"/>
      </w:pPr>
      <w:r w:rsidRPr="0083154E">
        <w:rPr>
          <w:i/>
        </w:rPr>
        <w:t>2.1</w:t>
      </w:r>
      <w:r w:rsidRPr="0083154E">
        <w:rPr>
          <w:i/>
        </w:rPr>
        <w:tab/>
        <w:t>Framing and campaigning</w:t>
      </w:r>
      <w:r w:rsidRPr="0083154E">
        <w:rPr>
          <w:i/>
        </w:rPr>
        <w:tab/>
      </w:r>
      <w:r>
        <w:tab/>
      </w:r>
      <w:r>
        <w:tab/>
      </w:r>
      <w:r>
        <w:tab/>
      </w:r>
      <w:r>
        <w:tab/>
      </w:r>
      <w:r>
        <w:tab/>
        <w:t>p.17</w:t>
      </w:r>
    </w:p>
    <w:p w:rsidR="00BE7DD8" w:rsidRPr="002E2AFF" w:rsidRDefault="00BE7DD8" w:rsidP="00BE7DD8">
      <w:pPr>
        <w:spacing w:line="360" w:lineRule="auto"/>
        <w:ind w:left="720"/>
        <w:rPr>
          <w:rFonts w:eastAsia="Calibri"/>
        </w:rPr>
      </w:pPr>
      <w:r w:rsidRPr="0083154E">
        <w:rPr>
          <w:rFonts w:eastAsia="Calibri"/>
          <w:i/>
        </w:rPr>
        <w:t>2.2</w:t>
      </w:r>
      <w:r>
        <w:rPr>
          <w:rFonts w:eastAsia="Calibri"/>
          <w:i/>
        </w:rPr>
        <w:t xml:space="preserve"> </w:t>
      </w:r>
      <w:r>
        <w:rPr>
          <w:rFonts w:eastAsia="Calibri"/>
          <w:i/>
        </w:rPr>
        <w:tab/>
        <w:t>Water and</w:t>
      </w:r>
      <w:r w:rsidRPr="0083154E">
        <w:rPr>
          <w:rFonts w:eastAsia="Calibri"/>
          <w:i/>
        </w:rPr>
        <w:t xml:space="preserve"> sanitation</w:t>
      </w:r>
      <w:r w:rsidRPr="0083154E">
        <w:rPr>
          <w:rFonts w:eastAsia="Calibri"/>
          <w: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p.19</w:t>
      </w:r>
      <w:r>
        <w:rPr>
          <w:rFonts w:eastAsia="Calibri"/>
        </w:rPr>
        <w:br/>
      </w:r>
      <w:r w:rsidRPr="0083154E">
        <w:rPr>
          <w:rFonts w:eastAsia="Calibri"/>
          <w:i/>
        </w:rPr>
        <w:t>2.3</w:t>
      </w:r>
      <w:r w:rsidRPr="0083154E">
        <w:rPr>
          <w:rFonts w:eastAsia="Calibri"/>
          <w:i/>
        </w:rPr>
        <w:tab/>
        <w:t>Health and human rights</w:t>
      </w:r>
      <w:r w:rsidRPr="0083154E">
        <w:rPr>
          <w:rFonts w:eastAsia="Calibri"/>
          <w:i/>
        </w:rPr>
        <w:tab/>
      </w:r>
      <w:r>
        <w:rPr>
          <w:rFonts w:eastAsia="Calibri"/>
        </w:rPr>
        <w:tab/>
      </w:r>
      <w:r>
        <w:rPr>
          <w:rFonts w:eastAsia="Calibri"/>
        </w:rPr>
        <w:tab/>
      </w:r>
      <w:r>
        <w:rPr>
          <w:rFonts w:eastAsia="Calibri"/>
        </w:rPr>
        <w:tab/>
      </w:r>
      <w:r>
        <w:rPr>
          <w:rFonts w:eastAsia="Calibri"/>
        </w:rPr>
        <w:tab/>
      </w:r>
      <w:r>
        <w:rPr>
          <w:rFonts w:eastAsia="Calibri"/>
        </w:rPr>
        <w:tab/>
        <w:t>p.21</w:t>
      </w:r>
      <w:r>
        <w:rPr>
          <w:rFonts w:eastAsia="Calibri"/>
        </w:rPr>
        <w:br/>
      </w:r>
      <w:r w:rsidRPr="0083154E">
        <w:rPr>
          <w:rFonts w:eastAsia="Calibri"/>
          <w:i/>
        </w:rPr>
        <w:t>2.</w:t>
      </w:r>
      <w:r>
        <w:rPr>
          <w:rFonts w:eastAsia="Calibri"/>
          <w:i/>
        </w:rPr>
        <w:t>4</w:t>
      </w:r>
      <w:r w:rsidRPr="0083154E">
        <w:rPr>
          <w:rFonts w:eastAsia="Calibri"/>
          <w:i/>
        </w:rPr>
        <w:tab/>
        <w:t>Sanitation, dignity and discrimination</w:t>
      </w:r>
      <w:r>
        <w:rPr>
          <w:rFonts w:eastAsia="Calibri"/>
        </w:rPr>
        <w:tab/>
      </w:r>
      <w:r>
        <w:rPr>
          <w:rFonts w:eastAsia="Calibri"/>
        </w:rPr>
        <w:tab/>
      </w:r>
      <w:r>
        <w:rPr>
          <w:rFonts w:eastAsia="Calibri"/>
        </w:rPr>
        <w:tab/>
      </w:r>
      <w:r>
        <w:rPr>
          <w:rFonts w:eastAsia="Calibri"/>
        </w:rPr>
        <w:tab/>
        <w:t>p.23</w:t>
      </w:r>
      <w:r>
        <w:rPr>
          <w:rFonts w:eastAsia="Calibri"/>
        </w:rPr>
        <w:br/>
      </w:r>
      <w:r w:rsidRPr="0083154E">
        <w:rPr>
          <w:rFonts w:eastAsia="Calibri"/>
          <w:i/>
        </w:rPr>
        <w:t>2.</w:t>
      </w:r>
      <w:r>
        <w:rPr>
          <w:rFonts w:eastAsia="Calibri"/>
          <w:i/>
        </w:rPr>
        <w:t>5</w:t>
      </w:r>
      <w:r w:rsidRPr="0083154E">
        <w:rPr>
          <w:rFonts w:eastAsia="Calibri"/>
          <w:i/>
        </w:rPr>
        <w:tab/>
        <w:t>Development, sanitation and the MDGs</w:t>
      </w:r>
      <w:r>
        <w:rPr>
          <w:rFonts w:eastAsia="Calibri"/>
          <w:i/>
        </w:rPr>
        <w:tab/>
      </w:r>
      <w:r>
        <w:rPr>
          <w:rFonts w:eastAsia="Calibri"/>
          <w:i/>
        </w:rPr>
        <w:tab/>
      </w:r>
      <w:r>
        <w:rPr>
          <w:rFonts w:eastAsia="Calibri"/>
          <w:i/>
        </w:rPr>
        <w:tab/>
      </w:r>
      <w:r>
        <w:rPr>
          <w:rFonts w:eastAsia="Calibri"/>
          <w:i/>
        </w:rPr>
        <w:tab/>
      </w:r>
      <w:r>
        <w:rPr>
          <w:rFonts w:eastAsia="Calibri"/>
        </w:rPr>
        <w:t>p.24</w:t>
      </w:r>
      <w:r>
        <w:rPr>
          <w:rFonts w:eastAsia="Calibri"/>
        </w:rPr>
        <w:br/>
      </w:r>
      <w:r w:rsidRPr="0083154E">
        <w:rPr>
          <w:rFonts w:eastAsia="Calibri"/>
          <w:i/>
        </w:rPr>
        <w:t>2.5</w:t>
      </w:r>
      <w:r w:rsidRPr="0083154E">
        <w:rPr>
          <w:rFonts w:eastAsia="Calibri"/>
          <w:i/>
        </w:rPr>
        <w:tab/>
        <w:t xml:space="preserve">What you don’t know will hurt you – sanitation and the </w:t>
      </w:r>
      <w:r>
        <w:rPr>
          <w:rFonts w:eastAsia="Calibri"/>
          <w:i/>
        </w:rPr>
        <w:tab/>
      </w:r>
      <w:r>
        <w:rPr>
          <w:rFonts w:eastAsia="Calibri"/>
          <w:i/>
        </w:rPr>
        <w:tab/>
      </w:r>
      <w:r>
        <w:rPr>
          <w:rFonts w:eastAsia="Calibri"/>
        </w:rPr>
        <w:t>p.26</w:t>
      </w:r>
      <w:r>
        <w:rPr>
          <w:rFonts w:eastAsia="Calibri"/>
          <w:i/>
        </w:rPr>
        <w:tab/>
      </w:r>
      <w:r>
        <w:rPr>
          <w:rFonts w:eastAsia="Calibri"/>
          <w:i/>
        </w:rPr>
        <w:tab/>
      </w:r>
      <w:r w:rsidRPr="0083154E">
        <w:rPr>
          <w:rFonts w:eastAsia="Calibri"/>
          <w:i/>
        </w:rPr>
        <w:t>right to education</w:t>
      </w:r>
      <w:r>
        <w:rPr>
          <w:rFonts w:eastAsia="Calibri"/>
          <w:i/>
        </w:rPr>
        <w:tab/>
      </w:r>
      <w:r>
        <w:rPr>
          <w:rFonts w:eastAsia="Calibri"/>
          <w:i/>
        </w:rPr>
        <w:tab/>
      </w:r>
      <w:r>
        <w:rPr>
          <w:rFonts w:eastAsia="Calibri"/>
        </w:rPr>
        <w:br/>
        <w:t>2</w:t>
      </w:r>
      <w:r w:rsidRPr="002E2AFF">
        <w:rPr>
          <w:rFonts w:eastAsia="Calibri"/>
          <w:i/>
        </w:rPr>
        <w:t>.6</w:t>
      </w:r>
      <w:r w:rsidRPr="002E2AFF">
        <w:rPr>
          <w:rFonts w:eastAsia="Calibri"/>
          <w:i/>
        </w:rPr>
        <w:tab/>
        <w:t>Slums, sanitation</w:t>
      </w:r>
      <w:r w:rsidRPr="00956026">
        <w:rPr>
          <w:rFonts w:eastAsia="Calibri"/>
          <w:i/>
        </w:rPr>
        <w:t xml:space="preserve"> and the right to adequate housing</w:t>
      </w:r>
      <w:r>
        <w:rPr>
          <w:rFonts w:eastAsia="Calibri"/>
          <w:i/>
        </w:rPr>
        <w:tab/>
      </w:r>
      <w:r>
        <w:rPr>
          <w:rFonts w:eastAsia="Calibri"/>
          <w:i/>
        </w:rPr>
        <w:tab/>
      </w:r>
      <w:r>
        <w:rPr>
          <w:rFonts w:eastAsia="Calibri"/>
          <w:i/>
        </w:rPr>
        <w:tab/>
      </w:r>
      <w:r>
        <w:rPr>
          <w:rFonts w:eastAsia="Calibri"/>
        </w:rPr>
        <w:t>p.27</w:t>
      </w:r>
      <w:r>
        <w:rPr>
          <w:rFonts w:eastAsia="Calibri"/>
        </w:rPr>
        <w:br/>
      </w:r>
      <w:r>
        <w:rPr>
          <w:rFonts w:eastAsia="Calibri"/>
        </w:rPr>
        <w:br/>
      </w:r>
    </w:p>
    <w:p w:rsidR="00BE7DD8" w:rsidRPr="00575C2F" w:rsidRDefault="00BE7DD8" w:rsidP="00BE7DD8">
      <w:pPr>
        <w:rPr>
          <w:rFonts w:eastAsia="Calibri"/>
          <w:b/>
        </w:rPr>
      </w:pPr>
      <w:r w:rsidRPr="00575C2F">
        <w:rPr>
          <w:rFonts w:eastAsia="Calibri"/>
          <w:b/>
        </w:rPr>
        <w:t xml:space="preserve">Chapter 3: </w:t>
      </w:r>
      <w:r>
        <w:rPr>
          <w:rFonts w:eastAsia="Calibri"/>
          <w:b/>
        </w:rPr>
        <w:t>Reframing and any Other Business</w:t>
      </w:r>
      <w:r>
        <w:rPr>
          <w:rFonts w:eastAsia="Calibri"/>
          <w:b/>
        </w:rPr>
        <w:tab/>
      </w:r>
      <w:r>
        <w:rPr>
          <w:rFonts w:eastAsia="Calibri"/>
          <w:b/>
        </w:rPr>
        <w:tab/>
      </w:r>
      <w:r>
        <w:rPr>
          <w:rFonts w:eastAsia="Calibri"/>
          <w:b/>
        </w:rPr>
        <w:tab/>
      </w:r>
      <w:r>
        <w:rPr>
          <w:rFonts w:eastAsia="Calibri"/>
          <w:b/>
        </w:rPr>
        <w:tab/>
      </w:r>
      <w:r>
        <w:rPr>
          <w:rFonts w:eastAsia="Calibri"/>
          <w:b/>
        </w:rPr>
        <w:tab/>
        <w:t>pp.30-34</w:t>
      </w:r>
      <w:r>
        <w:rPr>
          <w:rFonts w:eastAsia="Calibri"/>
          <w:b/>
        </w:rPr>
        <w:br/>
      </w:r>
    </w:p>
    <w:p w:rsidR="00BE7DD8" w:rsidRPr="00FB7733" w:rsidRDefault="00BE7DD8" w:rsidP="00BE7DD8">
      <w:pPr>
        <w:spacing w:line="360" w:lineRule="auto"/>
        <w:ind w:left="720"/>
        <w:rPr>
          <w:rFonts w:eastAsia="Calibri"/>
        </w:rPr>
      </w:pPr>
      <w:r w:rsidRPr="009B0960">
        <w:rPr>
          <w:rFonts w:eastAsia="Calibri"/>
          <w:i/>
        </w:rPr>
        <w:t>3.1</w:t>
      </w:r>
      <w:r w:rsidRPr="009B0960">
        <w:rPr>
          <w:rFonts w:eastAsia="Calibri"/>
          <w:i/>
        </w:rPr>
        <w:tab/>
      </w:r>
      <w:r>
        <w:rPr>
          <w:rFonts w:eastAsia="Calibri"/>
          <w:i/>
        </w:rPr>
        <w:t>Same shit, different day</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rPr>
        <w:t>p.30</w:t>
      </w:r>
      <w:r>
        <w:rPr>
          <w:rFonts w:eastAsia="Calibri"/>
          <w:i/>
        </w:rPr>
        <w:br/>
      </w:r>
      <w:r w:rsidRPr="009B0960">
        <w:rPr>
          <w:rFonts w:eastAsia="Calibri"/>
          <w:i/>
        </w:rPr>
        <w:t>3.2</w:t>
      </w:r>
      <w:r w:rsidRPr="009B0960">
        <w:rPr>
          <w:rFonts w:eastAsia="Calibri"/>
          <w:i/>
        </w:rPr>
        <w:tab/>
      </w:r>
      <w:proofErr w:type="gramStart"/>
      <w:r w:rsidRPr="009B0960">
        <w:rPr>
          <w:rFonts w:eastAsia="Calibri"/>
          <w:i/>
        </w:rPr>
        <w:t>So</w:t>
      </w:r>
      <w:proofErr w:type="gramEnd"/>
      <w:r w:rsidRPr="009B0960">
        <w:rPr>
          <w:rFonts w:eastAsia="Calibri"/>
          <w:i/>
        </w:rPr>
        <w:t xml:space="preserve"> what do we call it?</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rPr>
        <w:t>p.30</w:t>
      </w:r>
      <w:r>
        <w:rPr>
          <w:rFonts w:eastAsia="Calibri"/>
          <w:i/>
        </w:rPr>
        <w:br/>
      </w:r>
      <w:r w:rsidRPr="009B0960">
        <w:rPr>
          <w:rFonts w:eastAsia="Calibri"/>
          <w:i/>
        </w:rPr>
        <w:t>3.3</w:t>
      </w:r>
      <w:r w:rsidRPr="009B0960">
        <w:rPr>
          <w:rFonts w:eastAsia="Calibri"/>
          <w:i/>
        </w:rPr>
        <w:tab/>
      </w:r>
      <w:proofErr w:type="gramStart"/>
      <w:r w:rsidRPr="009B0960">
        <w:rPr>
          <w:rFonts w:eastAsia="Calibri"/>
          <w:i/>
        </w:rPr>
        <w:t>An</w:t>
      </w:r>
      <w:proofErr w:type="gramEnd"/>
      <w:r w:rsidRPr="009B0960">
        <w:rPr>
          <w:rFonts w:eastAsia="Calibri"/>
          <w:i/>
        </w:rPr>
        <w:t xml:space="preserve"> empty spotlight</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rPr>
        <w:t>p.31</w:t>
      </w:r>
      <w:r>
        <w:rPr>
          <w:rFonts w:eastAsia="Calibri"/>
          <w:i/>
        </w:rPr>
        <w:br/>
      </w:r>
      <w:r w:rsidRPr="009B0960">
        <w:rPr>
          <w:rFonts w:eastAsia="Calibri"/>
          <w:i/>
        </w:rPr>
        <w:t>3.4</w:t>
      </w:r>
      <w:r w:rsidRPr="009B0960">
        <w:rPr>
          <w:rFonts w:eastAsia="Calibri"/>
          <w:i/>
        </w:rPr>
        <w:tab/>
        <w:t>Enemies and binaries</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rPr>
        <w:t>p.32</w:t>
      </w:r>
      <w:r>
        <w:rPr>
          <w:rFonts w:eastAsia="Calibri"/>
          <w:i/>
        </w:rPr>
        <w:br/>
      </w:r>
      <w:r w:rsidRPr="009B0960">
        <w:rPr>
          <w:rFonts w:eastAsia="Calibri"/>
          <w:i/>
        </w:rPr>
        <w:t xml:space="preserve">3.5 </w:t>
      </w:r>
      <w:r w:rsidRPr="009B0960">
        <w:rPr>
          <w:rFonts w:eastAsia="Calibri"/>
          <w:i/>
        </w:rPr>
        <w:tab/>
      </w:r>
      <w:r>
        <w:rPr>
          <w:rFonts w:eastAsia="Calibri"/>
          <w:i/>
        </w:rPr>
        <w:t>Conclusions and Recommendations</w:t>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rPr>
        <w:t>p.33</w:t>
      </w:r>
      <w:r>
        <w:rPr>
          <w:rFonts w:eastAsia="Calibri"/>
          <w:i/>
        </w:rPr>
        <w:tab/>
      </w:r>
    </w:p>
    <w:p w:rsidR="00BE7DD8" w:rsidRPr="0004395F" w:rsidRDefault="00D92603" w:rsidP="00BE7DD8">
      <w:pPr>
        <w:rPr>
          <w:b/>
        </w:rPr>
      </w:pPr>
      <w:r>
        <w:rPr>
          <w:b/>
        </w:rPr>
        <w:br/>
      </w:r>
      <w:r w:rsidRPr="005D0FB9">
        <w:rPr>
          <w:b/>
          <w:i/>
        </w:rPr>
        <w:t>Annex 1</w:t>
      </w:r>
      <w:r>
        <w:rPr>
          <w:b/>
        </w:rPr>
        <w:tab/>
      </w:r>
      <w:r>
        <w:rPr>
          <w:b/>
        </w:rPr>
        <w:tab/>
      </w:r>
      <w:r>
        <w:rPr>
          <w:b/>
        </w:rPr>
        <w:tab/>
      </w:r>
      <w:r>
        <w:rPr>
          <w:b/>
        </w:rPr>
        <w:tab/>
      </w:r>
      <w:r>
        <w:rPr>
          <w:b/>
        </w:rPr>
        <w:tab/>
      </w:r>
      <w:r>
        <w:rPr>
          <w:b/>
        </w:rPr>
        <w:tab/>
      </w:r>
      <w:r>
        <w:rPr>
          <w:b/>
        </w:rPr>
        <w:tab/>
      </w:r>
      <w:r>
        <w:rPr>
          <w:b/>
        </w:rPr>
        <w:tab/>
      </w:r>
      <w:r>
        <w:rPr>
          <w:b/>
        </w:rPr>
        <w:tab/>
      </w:r>
      <w:r>
        <w:rPr>
          <w:b/>
        </w:rPr>
        <w:tab/>
        <w:t>p.36</w:t>
      </w:r>
      <w:r w:rsidR="00BE7DD8">
        <w:rPr>
          <w:b/>
        </w:rPr>
        <w:br/>
      </w:r>
      <w:r w:rsidR="00BE7DD8" w:rsidRPr="005D0FB9">
        <w:rPr>
          <w:b/>
          <w:i/>
        </w:rPr>
        <w:t>Bibliography</w:t>
      </w:r>
      <w:r w:rsidR="00BE7DD8">
        <w:rPr>
          <w:b/>
        </w:rPr>
        <w:tab/>
      </w:r>
      <w:r w:rsidR="00BE7DD8">
        <w:rPr>
          <w:b/>
        </w:rPr>
        <w:tab/>
      </w:r>
      <w:r w:rsidR="00BE7DD8">
        <w:rPr>
          <w:b/>
        </w:rPr>
        <w:tab/>
      </w:r>
      <w:r w:rsidR="00BE7DD8">
        <w:rPr>
          <w:b/>
        </w:rPr>
        <w:tab/>
      </w:r>
      <w:r w:rsidR="00BE7DD8">
        <w:rPr>
          <w:b/>
        </w:rPr>
        <w:tab/>
      </w:r>
      <w:r w:rsidR="00BE7DD8">
        <w:rPr>
          <w:b/>
        </w:rPr>
        <w:tab/>
      </w:r>
      <w:r w:rsidR="00BE7DD8">
        <w:rPr>
          <w:b/>
        </w:rPr>
        <w:tab/>
      </w:r>
      <w:r w:rsidR="00BE7DD8">
        <w:rPr>
          <w:b/>
        </w:rPr>
        <w:tab/>
      </w:r>
      <w:r w:rsidR="00BE7DD8">
        <w:rPr>
          <w:b/>
        </w:rPr>
        <w:tab/>
      </w:r>
      <w:r w:rsidR="00BE7DD8">
        <w:rPr>
          <w:b/>
        </w:rPr>
        <w:tab/>
        <w:t>pp.36-42</w:t>
      </w:r>
    </w:p>
    <w:p w:rsidR="009B4842" w:rsidRDefault="009B4842" w:rsidP="004C115C">
      <w:pPr>
        <w:ind w:left="360"/>
        <w:jc w:val="center"/>
        <w:rPr>
          <w:b/>
          <w:sz w:val="28"/>
          <w:szCs w:val="28"/>
        </w:rPr>
      </w:pPr>
    </w:p>
    <w:p w:rsidR="009B4842" w:rsidRDefault="009B4842" w:rsidP="004C115C">
      <w:pPr>
        <w:ind w:left="360"/>
        <w:jc w:val="center"/>
        <w:rPr>
          <w:b/>
          <w:sz w:val="28"/>
          <w:szCs w:val="28"/>
        </w:rPr>
      </w:pPr>
    </w:p>
    <w:p w:rsidR="009B4842" w:rsidRDefault="009B4842" w:rsidP="004C115C">
      <w:pPr>
        <w:ind w:left="360"/>
        <w:jc w:val="center"/>
        <w:rPr>
          <w:b/>
          <w:sz w:val="28"/>
          <w:szCs w:val="28"/>
        </w:rPr>
      </w:pPr>
    </w:p>
    <w:p w:rsidR="009B4842" w:rsidRDefault="009B4842" w:rsidP="004C115C">
      <w:pPr>
        <w:ind w:left="360"/>
        <w:jc w:val="center"/>
        <w:rPr>
          <w:b/>
          <w:sz w:val="28"/>
          <w:szCs w:val="28"/>
        </w:rPr>
      </w:pPr>
    </w:p>
    <w:p w:rsidR="004C115C" w:rsidRPr="004C115C" w:rsidRDefault="004C115C" w:rsidP="004C115C">
      <w:pPr>
        <w:ind w:left="360"/>
        <w:jc w:val="center"/>
        <w:rPr>
          <w:b/>
          <w:sz w:val="28"/>
          <w:szCs w:val="28"/>
        </w:rPr>
      </w:pPr>
      <w:r w:rsidRPr="004C115C">
        <w:rPr>
          <w:b/>
          <w:sz w:val="28"/>
          <w:szCs w:val="28"/>
        </w:rPr>
        <w:t>Talking shit: getting the message across</w:t>
      </w:r>
    </w:p>
    <w:p w:rsidR="004C115C" w:rsidRPr="008C6684" w:rsidRDefault="004C115C" w:rsidP="004C115C">
      <w:pPr>
        <w:ind w:left="360"/>
      </w:pPr>
    </w:p>
    <w:p w:rsidR="004C115C" w:rsidRPr="004C115C" w:rsidRDefault="004C115C" w:rsidP="004C115C">
      <w:pPr>
        <w:ind w:left="360"/>
        <w:rPr>
          <w:b/>
          <w:u w:val="single"/>
        </w:rPr>
      </w:pPr>
      <w:r w:rsidRPr="004C115C">
        <w:rPr>
          <w:b/>
          <w:u w:val="single"/>
        </w:rPr>
        <w:t>Abstract</w:t>
      </w:r>
    </w:p>
    <w:p w:rsidR="004C115C" w:rsidRPr="008C6684" w:rsidRDefault="004C115C" w:rsidP="004C115C">
      <w:pPr>
        <w:ind w:left="360"/>
      </w:pPr>
    </w:p>
    <w:p w:rsidR="005A0E84" w:rsidRDefault="005A0E84" w:rsidP="005A0E84">
      <w:pPr>
        <w:ind w:left="720" w:firstLine="360"/>
        <w:rPr>
          <w:i/>
          <w:lang w:eastAsia="en-GB"/>
        </w:rPr>
      </w:pPr>
    </w:p>
    <w:p w:rsidR="00F93082" w:rsidRDefault="00F93082" w:rsidP="008D68EB">
      <w:pPr>
        <w:ind w:left="720"/>
      </w:pPr>
      <w:r w:rsidRPr="00A04F76">
        <w:rPr>
          <w:i/>
          <w:lang w:eastAsia="en-GB"/>
        </w:rPr>
        <w:t xml:space="preserve">The United Nations (UN) recently affirmed that access to sanitation is </w:t>
      </w:r>
      <w:r w:rsidR="00861A82">
        <w:rPr>
          <w:i/>
          <w:lang w:eastAsia="en-GB"/>
        </w:rPr>
        <w:t xml:space="preserve">both </w:t>
      </w:r>
      <w:r w:rsidRPr="00A04F76">
        <w:rPr>
          <w:i/>
          <w:lang w:eastAsia="en-GB"/>
        </w:rPr>
        <w:t xml:space="preserve">a distinct human right </w:t>
      </w:r>
      <w:r>
        <w:rPr>
          <w:i/>
          <w:lang w:eastAsia="en-GB"/>
        </w:rPr>
        <w:t xml:space="preserve">and a </w:t>
      </w:r>
      <w:r w:rsidRPr="00A04F76">
        <w:rPr>
          <w:i/>
          <w:lang w:eastAsia="en-GB"/>
        </w:rPr>
        <w:t xml:space="preserve">legally binding </w:t>
      </w:r>
      <w:r>
        <w:rPr>
          <w:i/>
          <w:lang w:eastAsia="en-GB"/>
        </w:rPr>
        <w:t xml:space="preserve">element of </w:t>
      </w:r>
      <w:r w:rsidRPr="00A04F76">
        <w:rPr>
          <w:i/>
          <w:lang w:eastAsia="en-GB"/>
        </w:rPr>
        <w:t xml:space="preserve">right to life </w:t>
      </w:r>
      <w:r w:rsidR="00861A82">
        <w:rPr>
          <w:i/>
          <w:lang w:eastAsia="en-GB"/>
        </w:rPr>
        <w:t xml:space="preserve">articles </w:t>
      </w:r>
      <w:r w:rsidRPr="00A04F76">
        <w:rPr>
          <w:i/>
          <w:lang w:eastAsia="en-GB"/>
        </w:rPr>
        <w:t xml:space="preserve">in existing human rights treaties. Sanitation is widely regarded as a neglected issue, yet illnesses directly linked to poor sanitation are the </w:t>
      </w:r>
      <w:r w:rsidR="001B2D4B">
        <w:rPr>
          <w:i/>
          <w:lang w:eastAsia="en-GB"/>
        </w:rPr>
        <w:t>biggest</w:t>
      </w:r>
      <w:r w:rsidRPr="00A04F76">
        <w:rPr>
          <w:i/>
          <w:lang w:eastAsia="en-GB"/>
        </w:rPr>
        <w:t xml:space="preserve"> </w:t>
      </w:r>
      <w:r w:rsidR="00861A82">
        <w:rPr>
          <w:i/>
          <w:lang w:eastAsia="en-GB"/>
        </w:rPr>
        <w:t xml:space="preserve">single </w:t>
      </w:r>
      <w:r w:rsidRPr="00A04F76">
        <w:rPr>
          <w:i/>
          <w:lang w:eastAsia="en-GB"/>
        </w:rPr>
        <w:t xml:space="preserve">cause of </w:t>
      </w:r>
      <w:r>
        <w:rPr>
          <w:i/>
          <w:lang w:eastAsia="en-GB"/>
        </w:rPr>
        <w:t xml:space="preserve">preventable </w:t>
      </w:r>
      <w:r w:rsidRPr="00A04F76">
        <w:rPr>
          <w:i/>
          <w:lang w:eastAsia="en-GB"/>
        </w:rPr>
        <w:t>child deaths worldwide. In combined water and sanitation campai</w:t>
      </w:r>
      <w:r w:rsidR="003B58B9">
        <w:rPr>
          <w:i/>
          <w:lang w:eastAsia="en-GB"/>
        </w:rPr>
        <w:t xml:space="preserve">gns, sanitation </w:t>
      </w:r>
      <w:r w:rsidR="00861A82">
        <w:rPr>
          <w:i/>
          <w:lang w:eastAsia="en-GB"/>
        </w:rPr>
        <w:t>tends to suffer</w:t>
      </w:r>
      <w:r w:rsidR="003B58B9">
        <w:rPr>
          <w:i/>
          <w:lang w:eastAsia="en-GB"/>
        </w:rPr>
        <w:t xml:space="preserve"> as the </w:t>
      </w:r>
      <w:r w:rsidR="00861A82">
        <w:rPr>
          <w:i/>
          <w:lang w:eastAsia="en-GB"/>
        </w:rPr>
        <w:t>‘</w:t>
      </w:r>
      <w:r w:rsidR="003B58B9">
        <w:rPr>
          <w:i/>
          <w:lang w:eastAsia="en-GB"/>
        </w:rPr>
        <w:t>poor relation</w:t>
      </w:r>
      <w:r w:rsidR="00861A82">
        <w:rPr>
          <w:i/>
          <w:lang w:eastAsia="en-GB"/>
        </w:rPr>
        <w:t>’</w:t>
      </w:r>
      <w:r w:rsidRPr="00A04F76">
        <w:rPr>
          <w:i/>
          <w:lang w:eastAsia="en-GB"/>
        </w:rPr>
        <w:t xml:space="preserve">, </w:t>
      </w:r>
      <w:r w:rsidR="006138D4">
        <w:rPr>
          <w:i/>
          <w:lang w:eastAsia="en-GB"/>
        </w:rPr>
        <w:t>with the majority of focus and</w:t>
      </w:r>
      <w:r w:rsidRPr="00A04F76">
        <w:rPr>
          <w:i/>
          <w:lang w:eastAsia="en-GB"/>
        </w:rPr>
        <w:t xml:space="preserve"> funding</w:t>
      </w:r>
      <w:r w:rsidR="006138D4">
        <w:rPr>
          <w:i/>
          <w:lang w:eastAsia="en-GB"/>
        </w:rPr>
        <w:t xml:space="preserve"> being soaked up by the water sector</w:t>
      </w:r>
      <w:r w:rsidRPr="00A04F76">
        <w:rPr>
          <w:i/>
          <w:lang w:eastAsia="en-GB"/>
        </w:rPr>
        <w:t>.</w:t>
      </w:r>
      <w:r>
        <w:rPr>
          <w:i/>
          <w:lang w:eastAsia="en-GB"/>
        </w:rPr>
        <w:t xml:space="preserve"> </w:t>
      </w:r>
      <w:r w:rsidR="001B2D4B">
        <w:rPr>
          <w:i/>
          <w:lang w:eastAsia="en-GB"/>
        </w:rPr>
        <w:t>Sanitation</w:t>
      </w:r>
      <w:r>
        <w:rPr>
          <w:i/>
          <w:lang w:eastAsia="en-GB"/>
        </w:rPr>
        <w:t xml:space="preserve"> is clearly an issue that needs a greater profile.</w:t>
      </w:r>
      <w:r w:rsidRPr="00A04F76">
        <w:rPr>
          <w:i/>
          <w:lang w:eastAsia="en-GB"/>
        </w:rPr>
        <w:t xml:space="preserve"> </w:t>
      </w:r>
      <w:r>
        <w:rPr>
          <w:i/>
          <w:lang w:eastAsia="en-GB"/>
        </w:rPr>
        <w:t>This study consists of textual analysis and interviews with professionals working on issues around access to sanitation. This study will discuss various theories of human rights research that relate to campaign</w:t>
      </w:r>
      <w:r w:rsidR="005504CC">
        <w:rPr>
          <w:i/>
          <w:lang w:eastAsia="en-GB"/>
        </w:rPr>
        <w:t xml:space="preserve"> design</w:t>
      </w:r>
      <w:r w:rsidR="00861A82">
        <w:rPr>
          <w:i/>
          <w:lang w:eastAsia="en-GB"/>
        </w:rPr>
        <w:t>,</w:t>
      </w:r>
      <w:r w:rsidR="005504CC">
        <w:rPr>
          <w:i/>
          <w:lang w:eastAsia="en-GB"/>
        </w:rPr>
        <w:t xml:space="preserve"> advocacy strategies</w:t>
      </w:r>
      <w:r w:rsidR="00861A82">
        <w:rPr>
          <w:i/>
          <w:lang w:eastAsia="en-GB"/>
        </w:rPr>
        <w:t xml:space="preserve"> and </w:t>
      </w:r>
      <w:r>
        <w:rPr>
          <w:i/>
          <w:lang w:eastAsia="en-GB"/>
        </w:rPr>
        <w:t xml:space="preserve">sociological </w:t>
      </w:r>
      <w:r w:rsidR="00CD4113">
        <w:rPr>
          <w:i/>
          <w:lang w:eastAsia="en-GB"/>
        </w:rPr>
        <w:t xml:space="preserve">research on </w:t>
      </w:r>
      <w:r w:rsidR="00861A82">
        <w:rPr>
          <w:i/>
          <w:lang w:eastAsia="en-GB"/>
        </w:rPr>
        <w:t>public perceptions of campaign messaging</w:t>
      </w:r>
      <w:r>
        <w:rPr>
          <w:i/>
          <w:lang w:eastAsia="en-GB"/>
        </w:rPr>
        <w:t xml:space="preserve">. </w:t>
      </w:r>
      <w:r w:rsidRPr="00A04F76">
        <w:rPr>
          <w:i/>
          <w:lang w:eastAsia="en-GB"/>
        </w:rPr>
        <w:t xml:space="preserve">This </w:t>
      </w:r>
      <w:r w:rsidR="00861A82">
        <w:rPr>
          <w:i/>
          <w:lang w:eastAsia="en-GB"/>
        </w:rPr>
        <w:t>study</w:t>
      </w:r>
      <w:r w:rsidRPr="00A04F76">
        <w:rPr>
          <w:i/>
          <w:lang w:eastAsia="en-GB"/>
        </w:rPr>
        <w:t xml:space="preserve"> first considers how th</w:t>
      </w:r>
      <w:r>
        <w:rPr>
          <w:i/>
          <w:lang w:eastAsia="en-GB"/>
        </w:rPr>
        <w:t>e</w:t>
      </w:r>
      <w:r w:rsidRPr="00A04F76">
        <w:rPr>
          <w:i/>
          <w:lang w:eastAsia="en-GB"/>
        </w:rPr>
        <w:t xml:space="preserve"> new human right </w:t>
      </w:r>
      <w:r>
        <w:rPr>
          <w:i/>
          <w:lang w:eastAsia="en-GB"/>
        </w:rPr>
        <w:t xml:space="preserve">to sanitation </w:t>
      </w:r>
      <w:r w:rsidRPr="00A04F76">
        <w:rPr>
          <w:i/>
          <w:lang w:eastAsia="en-GB"/>
        </w:rPr>
        <w:t>might be enacted by rights-holders</w:t>
      </w:r>
      <w:r w:rsidR="00861A82">
        <w:rPr>
          <w:i/>
          <w:lang w:eastAsia="en-GB"/>
        </w:rPr>
        <w:t xml:space="preserve"> through international law.</w:t>
      </w:r>
      <w:r w:rsidRPr="00A04F76">
        <w:rPr>
          <w:i/>
          <w:lang w:eastAsia="en-GB"/>
        </w:rPr>
        <w:t xml:space="preserve"> </w:t>
      </w:r>
      <w:r w:rsidR="006138D4">
        <w:rPr>
          <w:i/>
          <w:lang w:eastAsia="en-GB"/>
        </w:rPr>
        <w:t xml:space="preserve">A number of Non-Governmental Organisation (NGO) campaigns around access to sanitation will then be analysed. </w:t>
      </w:r>
      <w:r w:rsidRPr="00A04F76">
        <w:rPr>
          <w:i/>
          <w:lang w:eastAsia="en-GB"/>
        </w:rPr>
        <w:t xml:space="preserve">Links between sanitation and other human rights </w:t>
      </w:r>
      <w:r>
        <w:rPr>
          <w:i/>
          <w:lang w:eastAsia="en-GB"/>
        </w:rPr>
        <w:t xml:space="preserve">will then be explored </w:t>
      </w:r>
      <w:r w:rsidRPr="00A04F76">
        <w:rPr>
          <w:i/>
          <w:lang w:eastAsia="en-GB"/>
        </w:rPr>
        <w:t>through the key issue frames around sanitation</w:t>
      </w:r>
      <w:r>
        <w:rPr>
          <w:i/>
          <w:lang w:eastAsia="en-GB"/>
        </w:rPr>
        <w:t>.</w:t>
      </w:r>
      <w:r w:rsidRPr="00A04F76">
        <w:rPr>
          <w:i/>
          <w:lang w:eastAsia="en-GB"/>
        </w:rPr>
        <w:t xml:space="preserve"> This study will examine the hypothesis</w:t>
      </w:r>
      <w:r w:rsidR="00F327D6">
        <w:rPr>
          <w:i/>
          <w:lang w:eastAsia="en-GB"/>
        </w:rPr>
        <w:t>;</w:t>
      </w:r>
      <w:r w:rsidRPr="00A04F76">
        <w:rPr>
          <w:i/>
          <w:lang w:eastAsia="en-GB"/>
        </w:rPr>
        <w:t xml:space="preserve"> if sanitation were to be campaigned for as a separate entity to water, </w:t>
      </w:r>
      <w:r>
        <w:rPr>
          <w:i/>
          <w:lang w:eastAsia="en-GB"/>
        </w:rPr>
        <w:t xml:space="preserve">then </w:t>
      </w:r>
      <w:r w:rsidR="00F327D6">
        <w:rPr>
          <w:i/>
          <w:lang w:eastAsia="en-GB"/>
        </w:rPr>
        <w:t xml:space="preserve">can </w:t>
      </w:r>
      <w:r>
        <w:rPr>
          <w:i/>
          <w:lang w:eastAsia="en-GB"/>
        </w:rPr>
        <w:t>the</w:t>
      </w:r>
      <w:r w:rsidRPr="00A04F76">
        <w:rPr>
          <w:i/>
          <w:lang w:eastAsia="en-GB"/>
        </w:rPr>
        <w:t xml:space="preserve"> distinct human right to sanitation offer </w:t>
      </w:r>
      <w:r w:rsidR="008D68EB">
        <w:rPr>
          <w:i/>
          <w:lang w:eastAsia="en-GB"/>
        </w:rPr>
        <w:t>a new way to present the global sanitation crisis in campaigns and advocacy work</w:t>
      </w:r>
      <w:r w:rsidR="00F327D6">
        <w:rPr>
          <w:i/>
          <w:lang w:eastAsia="en-GB"/>
        </w:rPr>
        <w:t>?</w:t>
      </w:r>
      <w:r w:rsidRPr="00A04F76">
        <w:rPr>
          <w:i/>
          <w:lang w:eastAsia="en-GB"/>
        </w:rPr>
        <w:t xml:space="preserve"> </w:t>
      </w:r>
    </w:p>
    <w:p w:rsidR="004C115C" w:rsidRPr="00A04F76" w:rsidRDefault="004C115C" w:rsidP="005A0E84">
      <w:pPr>
        <w:ind w:left="720" w:firstLine="360"/>
        <w:rPr>
          <w:i/>
          <w:lang w:eastAsia="en-GB"/>
        </w:rPr>
      </w:pPr>
    </w:p>
    <w:p w:rsidR="004C115C" w:rsidRPr="004C115C" w:rsidRDefault="004C115C" w:rsidP="001F6EBF">
      <w:pPr>
        <w:spacing w:after="200"/>
        <w:rPr>
          <w:i/>
        </w:rPr>
      </w:pPr>
    </w:p>
    <w:p w:rsidR="00E26E1C" w:rsidRDefault="00E26E1C" w:rsidP="001F6EBF">
      <w:pPr>
        <w:spacing w:after="200"/>
        <w:rPr>
          <w:b/>
          <w:u w:val="single"/>
        </w:rPr>
      </w:pPr>
    </w:p>
    <w:p w:rsidR="00E26E1C" w:rsidRDefault="00E26E1C" w:rsidP="001F6EBF">
      <w:pPr>
        <w:spacing w:after="200"/>
        <w:rPr>
          <w:b/>
          <w:u w:val="single"/>
        </w:rPr>
      </w:pPr>
      <w:r>
        <w:rPr>
          <w:b/>
          <w:u w:val="single"/>
        </w:rPr>
        <w:t xml:space="preserve">Acknowledgements </w:t>
      </w:r>
    </w:p>
    <w:p w:rsidR="00E27300" w:rsidRPr="00F327D6" w:rsidRDefault="00E27300" w:rsidP="001F6EBF">
      <w:pPr>
        <w:spacing w:after="200"/>
      </w:pPr>
    </w:p>
    <w:p w:rsidR="00E26E1C" w:rsidRPr="00E27300" w:rsidRDefault="00E26E1C" w:rsidP="00F327D6">
      <w:pPr>
        <w:spacing w:after="200"/>
        <w:ind w:left="720"/>
      </w:pPr>
      <w:r w:rsidRPr="00E27300">
        <w:t xml:space="preserve">I would like to </w:t>
      </w:r>
      <w:r w:rsidR="008D68EB">
        <w:t xml:space="preserve">sincerely </w:t>
      </w:r>
      <w:r w:rsidRPr="00E27300">
        <w:t xml:space="preserve">thank all of those who gave up their time to take part in interviews. With special thanks to </w:t>
      </w:r>
      <w:proofErr w:type="spellStart"/>
      <w:r w:rsidRPr="00E27300">
        <w:t>Catarina</w:t>
      </w:r>
      <w:proofErr w:type="spellEnd"/>
      <w:r w:rsidRPr="00E27300">
        <w:t xml:space="preserve"> de Albuquerque for</w:t>
      </w:r>
      <w:r w:rsidR="008D68EB">
        <w:t xml:space="preserve"> her support and to Ben Fawcett, who first taught </w:t>
      </w:r>
      <w:r w:rsidRPr="00E27300">
        <w:t xml:space="preserve">me </w:t>
      </w:r>
      <w:r w:rsidR="00F327D6" w:rsidRPr="00E27300">
        <w:t xml:space="preserve">the essential truth - </w:t>
      </w:r>
      <w:r w:rsidRPr="00E27300">
        <w:t xml:space="preserve">that shit happens! </w:t>
      </w:r>
    </w:p>
    <w:p w:rsidR="00E26E1C" w:rsidRPr="00E26E1C" w:rsidRDefault="00E26E1C" w:rsidP="001F6EBF">
      <w:pPr>
        <w:spacing w:after="200"/>
        <w:rPr>
          <w:b/>
          <w:u w:val="single"/>
        </w:rPr>
      </w:pPr>
    </w:p>
    <w:p w:rsidR="00E26E1C" w:rsidRDefault="00E26E1C" w:rsidP="001F6EBF">
      <w:pPr>
        <w:spacing w:after="200"/>
        <w:rPr>
          <w:b/>
          <w:u w:val="single"/>
        </w:rPr>
      </w:pPr>
    </w:p>
    <w:p w:rsidR="00F75B7B" w:rsidRDefault="00F75B7B" w:rsidP="001F6EBF">
      <w:pPr>
        <w:spacing w:after="200"/>
        <w:rPr>
          <w:b/>
          <w:u w:val="single"/>
        </w:rPr>
      </w:pPr>
    </w:p>
    <w:p w:rsidR="00F327D6" w:rsidRDefault="00F327D6" w:rsidP="00F327D6">
      <w:pPr>
        <w:autoSpaceDE w:val="0"/>
        <w:autoSpaceDN w:val="0"/>
        <w:adjustRightInd w:val="0"/>
        <w:snapToGrid w:val="0"/>
        <w:rPr>
          <w:i/>
          <w:color w:val="000000"/>
        </w:rPr>
      </w:pPr>
    </w:p>
    <w:p w:rsidR="00F327D6" w:rsidRDefault="00F327D6" w:rsidP="00F327D6">
      <w:pPr>
        <w:autoSpaceDE w:val="0"/>
        <w:autoSpaceDN w:val="0"/>
        <w:adjustRightInd w:val="0"/>
        <w:snapToGrid w:val="0"/>
        <w:rPr>
          <w:i/>
          <w:color w:val="000000"/>
        </w:rPr>
      </w:pPr>
    </w:p>
    <w:p w:rsidR="00537DFF" w:rsidRPr="0001793F" w:rsidRDefault="00F327D6" w:rsidP="00537DFF">
      <w:pPr>
        <w:autoSpaceDE w:val="0"/>
        <w:autoSpaceDN w:val="0"/>
        <w:adjustRightInd w:val="0"/>
        <w:snapToGrid w:val="0"/>
        <w:rPr>
          <w:i/>
          <w:color w:val="000000"/>
        </w:rPr>
      </w:pPr>
      <w:r w:rsidRPr="0001793F">
        <w:rPr>
          <w:i/>
          <w:color w:val="000000"/>
        </w:rPr>
        <w:t xml:space="preserve">The work I have submitted is my own effort. I certify that all the material in the Dissertation which is not my own </w:t>
      </w:r>
      <w:r w:rsidR="00DC2980" w:rsidRPr="0001793F">
        <w:rPr>
          <w:i/>
          <w:color w:val="000000"/>
        </w:rPr>
        <w:t>work</w:t>
      </w:r>
      <w:r w:rsidRPr="0001793F">
        <w:rPr>
          <w:i/>
          <w:color w:val="000000"/>
        </w:rPr>
        <w:t xml:space="preserve"> has been identified and acknowledged. No materials are included for which a degree has been previously conferred upon me.</w:t>
      </w:r>
    </w:p>
    <w:p w:rsidR="008369EF" w:rsidRPr="00537DFF" w:rsidRDefault="004C115C" w:rsidP="00537DFF">
      <w:pPr>
        <w:autoSpaceDE w:val="0"/>
        <w:autoSpaceDN w:val="0"/>
        <w:adjustRightInd w:val="0"/>
        <w:snapToGrid w:val="0"/>
        <w:rPr>
          <w:color w:val="000000"/>
        </w:rPr>
      </w:pPr>
      <w:r w:rsidRPr="00C73DBC">
        <w:rPr>
          <w:b/>
          <w:u w:val="single"/>
        </w:rPr>
        <w:t>Introduction</w:t>
      </w:r>
      <w:r w:rsidR="001B5A2A" w:rsidRPr="00C73DBC">
        <w:rPr>
          <w:b/>
          <w:u w:val="single"/>
        </w:rPr>
        <w:t xml:space="preserve"> and background</w:t>
      </w:r>
      <w:r w:rsidR="003F05F2">
        <w:rPr>
          <w:b/>
          <w:u w:val="single"/>
        </w:rPr>
        <w:br/>
      </w:r>
    </w:p>
    <w:p w:rsidR="00D462D4" w:rsidRDefault="00D462D4" w:rsidP="00D462D4">
      <w:pPr>
        <w:pStyle w:val="Listenabsatz"/>
        <w:spacing w:after="200"/>
        <w:rPr>
          <w:i/>
          <w:lang w:eastAsia="en-GB"/>
        </w:rPr>
      </w:pPr>
      <w:r w:rsidRPr="0062170F">
        <w:rPr>
          <w:i/>
          <w:lang w:eastAsia="en-GB"/>
        </w:rPr>
        <w:t>“What is to be done? It is the oldest question around. Sometimes it’s posed in a way calculated to discourage discussion, the subtext being that only hopeless romantics would discuss opportunities for effective intervention”</w:t>
      </w:r>
      <w:r>
        <w:rPr>
          <w:rStyle w:val="Funotenzeichen"/>
          <w:i/>
          <w:lang w:eastAsia="en-GB"/>
        </w:rPr>
        <w:footnoteReference w:id="1"/>
      </w:r>
    </w:p>
    <w:p w:rsidR="00D462D4" w:rsidRPr="00D462D4" w:rsidRDefault="00D462D4" w:rsidP="00D462D4">
      <w:pPr>
        <w:pStyle w:val="Listenabsatz"/>
        <w:spacing w:after="200"/>
        <w:rPr>
          <w:i/>
          <w:lang w:eastAsia="en-GB"/>
        </w:rPr>
      </w:pPr>
    </w:p>
    <w:p w:rsidR="00F86F61" w:rsidRDefault="00A40EC6" w:rsidP="00FF7A5F">
      <w:pPr>
        <w:pStyle w:val="Listenabsatz"/>
        <w:spacing w:after="200"/>
        <w:ind w:left="0" w:firstLine="720"/>
      </w:pPr>
      <w:r>
        <w:t>There can be few practices as universal as going to the toilet, yet we shy away from speakin</w:t>
      </w:r>
      <w:r w:rsidR="008D68EB">
        <w:t>g about it. Be it touch, taste and smell</w:t>
      </w:r>
      <w:proofErr w:type="gramStart"/>
      <w:r>
        <w:t>,</w:t>
      </w:r>
      <w:proofErr w:type="gramEnd"/>
      <w:r>
        <w:t xml:space="preserve"> sight or sound - shit offends every one of our senses. </w:t>
      </w:r>
      <w:r w:rsidR="008D68EB">
        <w:t>When it is discussed i</w:t>
      </w:r>
      <w:r w:rsidR="008C26E5">
        <w:t xml:space="preserve">n practical terms, </w:t>
      </w:r>
      <w:r w:rsidR="008D68EB">
        <w:t>we tend to rely on the word ‘</w:t>
      </w:r>
      <w:r w:rsidR="008C26E5">
        <w:t>sanitation</w:t>
      </w:r>
      <w:r w:rsidR="008D68EB">
        <w:t>’, which</w:t>
      </w:r>
      <w:r w:rsidR="008C26E5">
        <w:t xml:space="preserve"> concerns the “collection, transport, treatment and disposal of human excreta, domestic wastewater and solid waste and associated hygiene promotion”</w:t>
      </w:r>
      <w:r w:rsidR="008C26E5">
        <w:rPr>
          <w:rStyle w:val="Funotenzeichen"/>
        </w:rPr>
        <w:footnoteReference w:id="2"/>
      </w:r>
      <w:r w:rsidR="008C26E5">
        <w:t xml:space="preserve"> </w:t>
      </w:r>
      <w:r w:rsidR="008D68EB">
        <w:t xml:space="preserve">. </w:t>
      </w:r>
      <w:r w:rsidR="00DE7939">
        <w:t xml:space="preserve">Unsafe disposal of human excreta </w:t>
      </w:r>
      <w:r w:rsidR="008D68EB">
        <w:t xml:space="preserve">results in </w:t>
      </w:r>
      <w:r w:rsidR="00DE7939">
        <w:t>i</w:t>
      </w:r>
      <w:r w:rsidR="008D68EB">
        <w:t>llness and death in humans</w:t>
      </w:r>
      <w:r w:rsidR="00E83BBE">
        <w:t xml:space="preserve"> </w:t>
      </w:r>
      <w:r w:rsidR="008D68EB">
        <w:t>due to</w:t>
      </w:r>
      <w:r w:rsidR="00E83BBE">
        <w:t xml:space="preserve"> the faecal-oral transmission of </w:t>
      </w:r>
      <w:r w:rsidR="00E26E1C">
        <w:t xml:space="preserve">dangerous </w:t>
      </w:r>
      <w:r w:rsidR="00E83BBE">
        <w:t>pathogens</w:t>
      </w:r>
      <w:r w:rsidR="00DE7939">
        <w:t xml:space="preserve">. </w:t>
      </w:r>
      <w:r w:rsidR="008C26E5">
        <w:t xml:space="preserve">The most devastating impact of inadequate sanitation is on child mortality, with poor sanitation responsible for the deaths of around </w:t>
      </w:r>
      <w:r w:rsidR="008C26E5" w:rsidRPr="00C75234">
        <w:t xml:space="preserve">2.4 million </w:t>
      </w:r>
      <w:r w:rsidR="008C26E5">
        <w:t>children</w:t>
      </w:r>
      <w:r w:rsidR="008C26E5" w:rsidRPr="00C75234">
        <w:t xml:space="preserve"> every year</w:t>
      </w:r>
      <w:r w:rsidR="008C26E5">
        <w:rPr>
          <w:rStyle w:val="Funotenzeichen"/>
        </w:rPr>
        <w:footnoteReference w:id="3"/>
      </w:r>
      <w:r w:rsidR="008C26E5">
        <w:t xml:space="preserve">. </w:t>
      </w:r>
      <w:r w:rsidR="00515B11">
        <w:t>Lack of sanitation</w:t>
      </w:r>
      <w:r w:rsidR="002B3BB2">
        <w:t xml:space="preserve"> </w:t>
      </w:r>
      <w:r w:rsidR="00EC4538">
        <w:t xml:space="preserve">impacts </w:t>
      </w:r>
      <w:r w:rsidR="002B3BB2">
        <w:t xml:space="preserve">our environment, </w:t>
      </w:r>
      <w:r w:rsidR="005C7089">
        <w:t xml:space="preserve">it </w:t>
      </w:r>
      <w:r w:rsidR="003D2B7B">
        <w:t>affects</w:t>
      </w:r>
      <w:r w:rsidR="00EC4538">
        <w:t xml:space="preserve"> our ability to</w:t>
      </w:r>
      <w:r w:rsidR="003D2B7B">
        <w:t xml:space="preserve"> </w:t>
      </w:r>
      <w:r w:rsidR="00BC2222">
        <w:t xml:space="preserve">attend </w:t>
      </w:r>
      <w:r w:rsidR="003D2B7B">
        <w:t>work</w:t>
      </w:r>
      <w:r w:rsidR="005C7089">
        <w:t xml:space="preserve"> and</w:t>
      </w:r>
      <w:r w:rsidR="003D2B7B">
        <w:t xml:space="preserve"> school</w:t>
      </w:r>
      <w:r w:rsidR="00BC2222">
        <w:t xml:space="preserve"> and</w:t>
      </w:r>
      <w:r w:rsidR="005C7089">
        <w:t xml:space="preserve"> it</w:t>
      </w:r>
      <w:r w:rsidR="003D2B7B">
        <w:t xml:space="preserve"> consigns people to the undignified</w:t>
      </w:r>
      <w:r w:rsidR="00BC2222">
        <w:t xml:space="preserve"> </w:t>
      </w:r>
      <w:r w:rsidR="00537DFF">
        <w:t xml:space="preserve">and unsafe </w:t>
      </w:r>
      <w:r w:rsidR="00BC2222">
        <w:t>practice</w:t>
      </w:r>
      <w:r w:rsidR="003D2B7B">
        <w:t xml:space="preserve"> of </w:t>
      </w:r>
      <w:r w:rsidR="00DE7939">
        <w:t>O</w:t>
      </w:r>
      <w:r w:rsidR="003D2B7B">
        <w:t>pen</w:t>
      </w:r>
      <w:r w:rsidR="00DE7939">
        <w:t xml:space="preserve"> Defecation (OD)</w:t>
      </w:r>
      <w:r w:rsidR="003D2B7B">
        <w:t xml:space="preserve">. </w:t>
      </w:r>
      <w:r w:rsidR="00496FBF">
        <w:t xml:space="preserve">Where we identify a lack of sanitation, </w:t>
      </w:r>
      <w:r w:rsidR="008D68EB">
        <w:t>poor health and child mortality</w:t>
      </w:r>
      <w:r w:rsidR="006B595F">
        <w:t xml:space="preserve"> are often prevalent and </w:t>
      </w:r>
      <w:r w:rsidR="00496FBF">
        <w:t>we often find</w:t>
      </w:r>
      <w:r w:rsidR="002B3BB2">
        <w:t xml:space="preserve"> </w:t>
      </w:r>
      <w:r w:rsidR="00347DFD">
        <w:t>discrimination</w:t>
      </w:r>
      <w:r w:rsidR="00496FBF">
        <w:t>. T</w:t>
      </w:r>
      <w:r w:rsidR="003D2B7B">
        <w:t xml:space="preserve">he toilet habits of the marginalised offer us </w:t>
      </w:r>
      <w:r w:rsidR="00347DFD">
        <w:t xml:space="preserve">a </w:t>
      </w:r>
      <w:r w:rsidR="003D2B7B">
        <w:t>microcosm of global poverty</w:t>
      </w:r>
      <w:r w:rsidR="00347DFD">
        <w:t xml:space="preserve"> and exclusion</w:t>
      </w:r>
      <w:r w:rsidR="003D2B7B">
        <w:t xml:space="preserve">. </w:t>
      </w:r>
      <w:r w:rsidR="006B595F">
        <w:t>However,</w:t>
      </w:r>
      <w:r w:rsidR="004C1369">
        <w:t xml:space="preserve"> t</w:t>
      </w:r>
      <w:r w:rsidR="00496FBF">
        <w:t>he p</w:t>
      </w:r>
      <w:r w:rsidR="00541CB3">
        <w:t>rocess of i</w:t>
      </w:r>
      <w:r w:rsidR="003D2B7B">
        <w:t>mproving sanitation</w:t>
      </w:r>
      <w:r w:rsidR="00E83BBE">
        <w:t xml:space="preserve"> </w:t>
      </w:r>
      <w:r w:rsidR="003D2B7B">
        <w:t>can be a</w:t>
      </w:r>
      <w:r w:rsidR="00496FBF">
        <w:t xml:space="preserve"> very positive a</w:t>
      </w:r>
      <w:r w:rsidR="003D2B7B">
        <w:t>n</w:t>
      </w:r>
      <w:r w:rsidR="00496FBF">
        <w:t>d</w:t>
      </w:r>
      <w:r w:rsidR="003D2B7B">
        <w:t xml:space="preserve"> empowering experience for a community</w:t>
      </w:r>
      <w:r w:rsidR="00541CB3">
        <w:t>. It</w:t>
      </w:r>
      <w:r w:rsidR="003D2B7B">
        <w:t xml:space="preserve"> can be a route </w:t>
      </w:r>
      <w:r w:rsidR="004C1369">
        <w:t>to improving</w:t>
      </w:r>
      <w:r w:rsidR="00C237FC">
        <w:t xml:space="preserve"> health, </w:t>
      </w:r>
      <w:r w:rsidR="00541CB3">
        <w:t>restoring</w:t>
      </w:r>
      <w:r w:rsidR="00C237FC">
        <w:t xml:space="preserve"> dignity and </w:t>
      </w:r>
      <w:r w:rsidR="006B595F">
        <w:t>enhancing</w:t>
      </w:r>
      <w:r w:rsidR="00537DFF">
        <w:t xml:space="preserve"> </w:t>
      </w:r>
      <w:r w:rsidR="00541CB3">
        <w:t xml:space="preserve">economic </w:t>
      </w:r>
      <w:r w:rsidR="00C237FC">
        <w:t xml:space="preserve">prospects. </w:t>
      </w:r>
      <w:r w:rsidR="003503CD">
        <w:t>Sanitation has been described as the “orphan sector – abandoned by health, disdained by financers and ignored by planners”</w:t>
      </w:r>
      <w:r w:rsidR="003503CD">
        <w:rPr>
          <w:rStyle w:val="Funotenzeichen"/>
        </w:rPr>
        <w:footnoteReference w:id="4"/>
      </w:r>
      <w:r w:rsidR="003503CD">
        <w:t xml:space="preserve"> . At </w:t>
      </w:r>
      <w:r w:rsidR="00A76EEB">
        <w:t>international, national and grassroots level</w:t>
      </w:r>
      <w:r w:rsidR="00B233D6">
        <w:t xml:space="preserve">, </w:t>
      </w:r>
      <w:r w:rsidR="003503CD">
        <w:t xml:space="preserve">sanitation is poorly reported, under-funded and low on the political agenda. </w:t>
      </w:r>
      <w:r w:rsidR="00604055">
        <w:t xml:space="preserve">Though there is no ‘silver bullet’ solution to tackling the global sanitation crisis, </w:t>
      </w:r>
      <w:r w:rsidR="006B595F">
        <w:t xml:space="preserve">it </w:t>
      </w:r>
      <w:r w:rsidR="00604055">
        <w:t>is arguably one of the few health or social crises to which both the causes and the solutions are understood.</w:t>
      </w:r>
      <w:r w:rsidR="00604055" w:rsidRPr="00604055">
        <w:t xml:space="preserve"> </w:t>
      </w:r>
      <w:r w:rsidR="00604055">
        <w:t>One major factor hampering progress on sanitation is a distinct lack of dialogue regarding toilets and toilet habits.</w:t>
      </w:r>
    </w:p>
    <w:p w:rsidR="004C105A" w:rsidRDefault="00F86F61" w:rsidP="004C105A">
      <w:pPr>
        <w:ind w:firstLine="720"/>
      </w:pPr>
      <w:r>
        <w:t>Academic research on the right to sanitation</w:t>
      </w:r>
      <w:r w:rsidRPr="00AD7A4E">
        <w:t xml:space="preserve"> </w:t>
      </w:r>
      <w:r>
        <w:t xml:space="preserve">would not fill a large bookshelf. The relevant literature which has </w:t>
      </w:r>
      <w:r w:rsidR="004C105A">
        <w:t xml:space="preserve">informed </w:t>
      </w:r>
      <w:r>
        <w:t xml:space="preserve">this study falls broadly into six categories: </w:t>
      </w:r>
      <w:r w:rsidR="004C105A" w:rsidRPr="004C105A">
        <w:rPr>
          <w:i/>
        </w:rPr>
        <w:t>(</w:t>
      </w:r>
      <w:proofErr w:type="spellStart"/>
      <w:r w:rsidR="004C105A" w:rsidRPr="004C105A">
        <w:rPr>
          <w:i/>
        </w:rPr>
        <w:t>i</w:t>
      </w:r>
      <w:proofErr w:type="spellEnd"/>
      <w:r w:rsidR="004C105A" w:rsidRPr="004C105A">
        <w:rPr>
          <w:i/>
        </w:rPr>
        <w:t>)</w:t>
      </w:r>
      <w:r w:rsidR="004C105A">
        <w:t xml:space="preserve"> </w:t>
      </w:r>
      <w:r>
        <w:rPr>
          <w:i/>
        </w:rPr>
        <w:t xml:space="preserve">research on water and sanitation, </w:t>
      </w:r>
      <w:r w:rsidR="004C105A">
        <w:rPr>
          <w:i/>
        </w:rPr>
        <w:t xml:space="preserve">(ii) </w:t>
      </w:r>
      <w:r>
        <w:rPr>
          <w:i/>
        </w:rPr>
        <w:t xml:space="preserve">research on health and development, </w:t>
      </w:r>
      <w:r w:rsidR="004C105A">
        <w:rPr>
          <w:i/>
        </w:rPr>
        <w:t xml:space="preserve">(iii) </w:t>
      </w:r>
      <w:r w:rsidR="00293205">
        <w:rPr>
          <w:i/>
        </w:rPr>
        <w:t xml:space="preserve">NGO </w:t>
      </w:r>
      <w:r>
        <w:rPr>
          <w:i/>
        </w:rPr>
        <w:t xml:space="preserve">campaign material, </w:t>
      </w:r>
      <w:r w:rsidR="004C105A">
        <w:rPr>
          <w:i/>
        </w:rPr>
        <w:t xml:space="preserve">(iv) </w:t>
      </w:r>
      <w:r>
        <w:rPr>
          <w:i/>
        </w:rPr>
        <w:t xml:space="preserve">NGO reports and policy documents, </w:t>
      </w:r>
      <w:r w:rsidR="004C105A">
        <w:rPr>
          <w:i/>
        </w:rPr>
        <w:t xml:space="preserve">(v) </w:t>
      </w:r>
      <w:r>
        <w:rPr>
          <w:i/>
        </w:rPr>
        <w:t>academic literature on campaign</w:t>
      </w:r>
      <w:r w:rsidR="00293205">
        <w:rPr>
          <w:i/>
        </w:rPr>
        <w:t>s</w:t>
      </w:r>
      <w:r>
        <w:rPr>
          <w:i/>
        </w:rPr>
        <w:t xml:space="preserve"> and advocacy and</w:t>
      </w:r>
      <w:r w:rsidR="004C105A">
        <w:rPr>
          <w:i/>
        </w:rPr>
        <w:t xml:space="preserve"> </w:t>
      </w:r>
      <w:proofErr w:type="gramStart"/>
      <w:r w:rsidR="004C105A">
        <w:rPr>
          <w:i/>
        </w:rPr>
        <w:t>(vi)</w:t>
      </w:r>
      <w:r w:rsidR="00293205">
        <w:rPr>
          <w:i/>
        </w:rPr>
        <w:t xml:space="preserve"> </w:t>
      </w:r>
      <w:r>
        <w:rPr>
          <w:i/>
        </w:rPr>
        <w:t>sociological</w:t>
      </w:r>
      <w:proofErr w:type="gramEnd"/>
      <w:r>
        <w:rPr>
          <w:i/>
        </w:rPr>
        <w:t xml:space="preserve"> </w:t>
      </w:r>
      <w:r w:rsidR="00293205">
        <w:rPr>
          <w:i/>
        </w:rPr>
        <w:t>research</w:t>
      </w:r>
      <w:r>
        <w:rPr>
          <w:i/>
        </w:rPr>
        <w:t xml:space="preserve"> on social movements. </w:t>
      </w:r>
      <w:r w:rsidR="004C105A">
        <w:t xml:space="preserve">Existing literature that engages with sanitation appears to support an assumed knowledge that: </w:t>
      </w:r>
      <w:r w:rsidR="004C105A" w:rsidRPr="004C105A">
        <w:rPr>
          <w:i/>
        </w:rPr>
        <w:t>(a) sanitation is a taboo subject</w:t>
      </w:r>
      <w:r w:rsidR="004C105A">
        <w:t xml:space="preserve"> and </w:t>
      </w:r>
      <w:r w:rsidR="004C105A" w:rsidRPr="004C105A">
        <w:rPr>
          <w:i/>
        </w:rPr>
        <w:t>(b) it not openly discussed in a pragmatic and constructive manner</w:t>
      </w:r>
      <w:r w:rsidR="004C105A">
        <w:t xml:space="preserve">. However, there seems to be little research on just why this issue is not discussed more. If we accept that sanitation is widely regarded as a taboo subject that no-one seems to want to talk about, should we also accept that the subject of shitting is therefore categorically unapproachable? Or could it be that this issue needs to be </w:t>
      </w:r>
      <w:r w:rsidR="001B2CD1">
        <w:t>presented or framed</w:t>
      </w:r>
      <w:r w:rsidR="004C105A">
        <w:t xml:space="preserve"> in a different way? The newly established human right to sanitation offers a rare opportunity to rethink how we engage with </w:t>
      </w:r>
      <w:r w:rsidR="00014EDC">
        <w:t xml:space="preserve">and present </w:t>
      </w:r>
      <w:r w:rsidR="004C105A">
        <w:t xml:space="preserve">this issue. </w:t>
      </w:r>
    </w:p>
    <w:p w:rsidR="00FF7A5F" w:rsidRDefault="00FF7A5F" w:rsidP="004C105A">
      <w:pPr>
        <w:ind w:firstLine="720"/>
      </w:pPr>
    </w:p>
    <w:p w:rsidR="00FF7A5F" w:rsidRDefault="00C11917" w:rsidP="00FF7A5F">
      <w:pPr>
        <w:ind w:firstLine="720"/>
      </w:pPr>
      <w:r>
        <w:t>T</w:t>
      </w:r>
      <w:r w:rsidR="00FF7A5F">
        <w:t>he mo</w:t>
      </w:r>
      <w:r>
        <w:t>re</w:t>
      </w:r>
      <w:r w:rsidR="00FF7A5F">
        <w:t xml:space="preserve"> dynamic material in relation to the focus of this study </w:t>
      </w:r>
      <w:r>
        <w:t xml:space="preserve">addresses concepts </w:t>
      </w:r>
      <w:r w:rsidR="00FF7A5F">
        <w:t xml:space="preserve">of human dignity and sanitation. Fawcett and Black’s (2008) </w:t>
      </w:r>
      <w:r w:rsidR="00FF7A5F" w:rsidRPr="00C16938">
        <w:rPr>
          <w:i/>
        </w:rPr>
        <w:t>‘The Last Taboo: Opening the Door on the Global Sanitation Crisis’</w:t>
      </w:r>
      <w:r w:rsidR="00FF7A5F">
        <w:t xml:space="preserve"> </w:t>
      </w:r>
      <w:r w:rsidR="00293205">
        <w:t xml:space="preserve">discusses </w:t>
      </w:r>
      <w:r w:rsidR="00FF7A5F">
        <w:t>sanitation, health and human dignity from a ‘soft engineering’ perspective.</w:t>
      </w:r>
      <w:r w:rsidR="00FF7A5F" w:rsidRPr="00277886">
        <w:t xml:space="preserve"> </w:t>
      </w:r>
      <w:proofErr w:type="gramStart"/>
      <w:r>
        <w:t>Whereas</w:t>
      </w:r>
      <w:r w:rsidR="00FF7A5F">
        <w:t xml:space="preserve">, Rose George’s (2008) </w:t>
      </w:r>
      <w:r w:rsidR="00C13017">
        <w:t>‘</w:t>
      </w:r>
      <w:r w:rsidR="00FF7A5F" w:rsidRPr="00FB0693">
        <w:rPr>
          <w:i/>
        </w:rPr>
        <w:t>The Big Necessity</w:t>
      </w:r>
      <w:r w:rsidR="00C13017">
        <w:rPr>
          <w:i/>
        </w:rPr>
        <w:t>’</w:t>
      </w:r>
      <w:r w:rsidR="00FF7A5F">
        <w:t xml:space="preserve"> approaches the global sanitation crisis in an</w:t>
      </w:r>
      <w:r>
        <w:t>other</w:t>
      </w:r>
      <w:r w:rsidR="00FF7A5F">
        <w:t xml:space="preserve"> innovative way</w:t>
      </w:r>
      <w:r>
        <w:t>.</w:t>
      </w:r>
      <w:proofErr w:type="gramEnd"/>
      <w:r>
        <w:t xml:space="preserve"> George takes</w:t>
      </w:r>
      <w:r w:rsidR="00FF7A5F">
        <w:t xml:space="preserve"> a deliberate ‘myth busting’ stance in both acknowledging the lack of open discussion on human sanitation needs and identifying different ways to engage with the issue.</w:t>
      </w:r>
      <w:r w:rsidR="00FF7A5F" w:rsidRPr="00277886">
        <w:t xml:space="preserve"> </w:t>
      </w:r>
      <w:r w:rsidR="00FF7A5F">
        <w:t xml:space="preserve">In </w:t>
      </w:r>
      <w:r w:rsidR="00FF7A5F" w:rsidRPr="00FB1E25">
        <w:rPr>
          <w:i/>
        </w:rPr>
        <w:t>‘Pathologies of Power’</w:t>
      </w:r>
      <w:r w:rsidR="00FF7A5F">
        <w:t xml:space="preserve">, Paul Farmer (2005) discusses links between health and human rights and the wider implications of State obligations to health care. </w:t>
      </w:r>
      <w:r w:rsidR="00D50BB7">
        <w:t xml:space="preserve">In addition, </w:t>
      </w:r>
      <w:proofErr w:type="spellStart"/>
      <w:r w:rsidR="00360A3C">
        <w:t>WaterAid’s</w:t>
      </w:r>
      <w:proofErr w:type="spellEnd"/>
      <w:r w:rsidR="00360A3C">
        <w:t xml:space="preserve"> (2008) </w:t>
      </w:r>
      <w:r w:rsidR="00405B8A">
        <w:t>report</w:t>
      </w:r>
      <w:r w:rsidR="00405B8A" w:rsidRPr="00B06B48">
        <w:rPr>
          <w:i/>
        </w:rPr>
        <w:t xml:space="preserve"> </w:t>
      </w:r>
      <w:r w:rsidR="00405B8A">
        <w:rPr>
          <w:i/>
        </w:rPr>
        <w:t>‘</w:t>
      </w:r>
      <w:r w:rsidR="00405B8A" w:rsidRPr="00B06B48">
        <w:rPr>
          <w:i/>
        </w:rPr>
        <w:t>Tackling</w:t>
      </w:r>
      <w:r w:rsidR="00FF7A5F" w:rsidRPr="00B06B48">
        <w:rPr>
          <w:i/>
        </w:rPr>
        <w:t xml:space="preserve"> the Silent Killer: the case for sanitation’</w:t>
      </w:r>
      <w:r w:rsidR="00FF7A5F">
        <w:t xml:space="preserve"> and </w:t>
      </w:r>
      <w:r w:rsidR="00360A3C" w:rsidRPr="00360A3C">
        <w:rPr>
          <w:i/>
        </w:rPr>
        <w:t xml:space="preserve">‘Ignored: biggest child </w:t>
      </w:r>
      <w:r w:rsidR="00405B8A">
        <w:rPr>
          <w:i/>
        </w:rPr>
        <w:t>k</w:t>
      </w:r>
      <w:r w:rsidR="00360A3C" w:rsidRPr="00360A3C">
        <w:rPr>
          <w:i/>
        </w:rPr>
        <w:t>iller’</w:t>
      </w:r>
      <w:r w:rsidR="00D50BB7">
        <w:rPr>
          <w:i/>
        </w:rPr>
        <w:t xml:space="preserve"> </w:t>
      </w:r>
      <w:r w:rsidR="00D50BB7">
        <w:t>(2010)</w:t>
      </w:r>
      <w:r w:rsidR="00360A3C">
        <w:rPr>
          <w:i/>
        </w:rPr>
        <w:t xml:space="preserve">, </w:t>
      </w:r>
      <w:r w:rsidR="00360A3C">
        <w:t>plus the combined agenc</w:t>
      </w:r>
      <w:r w:rsidR="00D50BB7">
        <w:t xml:space="preserve">y </w:t>
      </w:r>
      <w:r w:rsidR="00360A3C">
        <w:t xml:space="preserve">report </w:t>
      </w:r>
      <w:r w:rsidR="00FF7A5F" w:rsidRPr="00B06B48">
        <w:rPr>
          <w:i/>
        </w:rPr>
        <w:t>‘Sanitation: a human rights imperative’</w:t>
      </w:r>
      <w:r w:rsidR="00FF7A5F">
        <w:t xml:space="preserve"> </w:t>
      </w:r>
      <w:r w:rsidR="00D50BB7">
        <w:t>(2008)</w:t>
      </w:r>
      <w:r w:rsidR="00D50BB7">
        <w:rPr>
          <w:i/>
        </w:rPr>
        <w:t xml:space="preserve"> </w:t>
      </w:r>
      <w:r w:rsidR="00360A3C">
        <w:t xml:space="preserve">all </w:t>
      </w:r>
      <w:r w:rsidR="00FF7A5F">
        <w:t xml:space="preserve">link health, dignity, human rights and sanitation. There are a </w:t>
      </w:r>
      <w:r w:rsidR="005504CC">
        <w:t xml:space="preserve">wide </w:t>
      </w:r>
      <w:r w:rsidR="00FF7A5F">
        <w:t>number of reports that discuss the sanitation target of the MDGs</w:t>
      </w:r>
      <w:r w:rsidR="00405B8A">
        <w:rPr>
          <w:rStyle w:val="Funotenzeichen"/>
        </w:rPr>
        <w:footnoteReference w:id="5"/>
      </w:r>
      <w:r w:rsidR="00014EDC">
        <w:t xml:space="preserve"> and touch on links between sanitation and other human rights</w:t>
      </w:r>
      <w:r w:rsidR="00FF7A5F">
        <w:t xml:space="preserve">. </w:t>
      </w:r>
      <w:r w:rsidR="005504CC">
        <w:t xml:space="preserve">In addition, </w:t>
      </w:r>
      <w:r w:rsidR="00FF7A5F">
        <w:t xml:space="preserve">Conway and </w:t>
      </w:r>
      <w:proofErr w:type="spellStart"/>
      <w:r w:rsidR="00FF7A5F">
        <w:t>Waage’s</w:t>
      </w:r>
      <w:proofErr w:type="spellEnd"/>
      <w:r w:rsidR="00FF7A5F">
        <w:t xml:space="preserve"> (2010) </w:t>
      </w:r>
      <w:r w:rsidR="00FF7A5F" w:rsidRPr="00EE3D8F">
        <w:rPr>
          <w:i/>
        </w:rPr>
        <w:t>‘Science and Innovation for Development</w:t>
      </w:r>
      <w:r w:rsidR="00FF7A5F">
        <w:rPr>
          <w:i/>
        </w:rPr>
        <w:t>’</w:t>
      </w:r>
      <w:r w:rsidR="00FF7A5F">
        <w:t xml:space="preserve"> discusses poor sanitation as a key obstacle to developme</w:t>
      </w:r>
      <w:r w:rsidR="00545B26">
        <w:t xml:space="preserve">nt. </w:t>
      </w:r>
      <w:r w:rsidR="00014EDC">
        <w:t>The reports of the Special Rapporteur</w:t>
      </w:r>
      <w:r w:rsidR="00930A6E">
        <w:rPr>
          <w:rStyle w:val="Funotenzeichen"/>
        </w:rPr>
        <w:footnoteReference w:id="6"/>
      </w:r>
      <w:r w:rsidR="00071292">
        <w:t xml:space="preserve"> s</w:t>
      </w:r>
      <w:r w:rsidR="00545B26">
        <w:t>hine light on some of the current debates and</w:t>
      </w:r>
      <w:r w:rsidR="00014EDC">
        <w:t xml:space="preserve"> </w:t>
      </w:r>
      <w:r w:rsidR="00071292">
        <w:t>the ‘</w:t>
      </w:r>
      <w:r w:rsidR="00071292" w:rsidRPr="00014EDC">
        <w:rPr>
          <w:i/>
        </w:rPr>
        <w:t>Compendium of Good Practices’</w:t>
      </w:r>
      <w:r w:rsidR="00071292">
        <w:t xml:space="preserve"> (2011) highlights </w:t>
      </w:r>
      <w:r w:rsidR="00545B26">
        <w:t xml:space="preserve">positive developments around the right to sanitation. Below are a collection of quotes which best summarise the gaps in research </w:t>
      </w:r>
      <w:r w:rsidR="00071292">
        <w:t xml:space="preserve">that </w:t>
      </w:r>
      <w:r w:rsidR="00545B26">
        <w:t>this study aims to address:</w:t>
      </w:r>
      <w:r w:rsidR="00014EDC">
        <w:t xml:space="preserve"> </w:t>
      </w:r>
    </w:p>
    <w:p w:rsidR="00FF7A5F" w:rsidRDefault="00FF7A5F" w:rsidP="004B5C75"/>
    <w:p w:rsidR="00FF7A5F" w:rsidRDefault="00FF7A5F" w:rsidP="00FF7A5F">
      <w:pPr>
        <w:ind w:left="720"/>
      </w:pPr>
      <w:r>
        <w:rPr>
          <w:i/>
        </w:rPr>
        <w:t>“</w:t>
      </w:r>
      <w:r w:rsidRPr="00E2774A">
        <w:rPr>
          <w:i/>
        </w:rPr>
        <w:t>Existing failures to address the fundamental human need for decent sanitation reflect the unwillingness in societies everywhere to talk about excreta disposal and behave as if it was a matter of public importance instead of private embarrassment and shame</w:t>
      </w:r>
      <w:r>
        <w:rPr>
          <w:i/>
        </w:rPr>
        <w:t>”</w:t>
      </w:r>
      <w:r>
        <w:rPr>
          <w:rStyle w:val="Funotenzeichen"/>
          <w:i/>
        </w:rPr>
        <w:footnoteReference w:id="7"/>
      </w:r>
      <w:r w:rsidRPr="00E2774A">
        <w:rPr>
          <w:i/>
        </w:rPr>
        <w:t>.</w:t>
      </w:r>
      <w:r w:rsidRPr="00B7296B">
        <w:rPr>
          <w:i/>
        </w:rPr>
        <w:t xml:space="preserve"> </w:t>
      </w:r>
    </w:p>
    <w:p w:rsidR="00FF7A5F" w:rsidRDefault="00FF7A5F" w:rsidP="00FF7A5F"/>
    <w:p w:rsidR="00FF7A5F" w:rsidRPr="00C17919" w:rsidRDefault="00FF7A5F" w:rsidP="00FF7A5F">
      <w:pPr>
        <w:ind w:left="720"/>
        <w:rPr>
          <w:i/>
        </w:rPr>
      </w:pPr>
      <w:r w:rsidRPr="00C17919">
        <w:rPr>
          <w:i/>
        </w:rPr>
        <w:t>“The taboo surrounding sanitation is one of the biggest obstacles it faces. For most people, sanitation is a highly private matter and an uncomfortable topic for public discussion”</w:t>
      </w:r>
      <w:r>
        <w:rPr>
          <w:rStyle w:val="Funotenzeichen"/>
          <w:i/>
        </w:rPr>
        <w:footnoteReference w:id="8"/>
      </w:r>
    </w:p>
    <w:p w:rsidR="00FF7A5F" w:rsidRDefault="00FF7A5F" w:rsidP="0003732D">
      <w:pPr>
        <w:rPr>
          <w:i/>
        </w:rPr>
      </w:pPr>
    </w:p>
    <w:p w:rsidR="00FF7A5F" w:rsidRDefault="00FF7A5F" w:rsidP="00FF7A5F">
      <w:pPr>
        <w:ind w:left="720"/>
        <w:rPr>
          <w:i/>
        </w:rPr>
      </w:pPr>
      <w:r w:rsidRPr="000737DA">
        <w:rPr>
          <w:i/>
        </w:rPr>
        <w:t>“That sanitation continues to be overlooked by</w:t>
      </w:r>
      <w:r>
        <w:rPr>
          <w:i/>
        </w:rPr>
        <w:t xml:space="preserve"> national governments and donor</w:t>
      </w:r>
      <w:r w:rsidR="004B5C75">
        <w:rPr>
          <w:i/>
        </w:rPr>
        <w:t xml:space="preserve"> </w:t>
      </w:r>
      <w:r w:rsidRPr="000737DA">
        <w:rPr>
          <w:i/>
        </w:rPr>
        <w:t>agencies alike</w:t>
      </w:r>
      <w:r w:rsidR="004B5C75">
        <w:rPr>
          <w:i/>
        </w:rPr>
        <w:t>,</w:t>
      </w:r>
      <w:r w:rsidRPr="000737DA">
        <w:rPr>
          <w:i/>
        </w:rPr>
        <w:t xml:space="preserve"> suggests that policies are defined by attitudes rather than evidence-based analysis”</w:t>
      </w:r>
      <w:r w:rsidRPr="000737DA">
        <w:rPr>
          <w:rStyle w:val="Funotenzeichen"/>
          <w:i/>
        </w:rPr>
        <w:footnoteReference w:id="9"/>
      </w:r>
      <w:r w:rsidRPr="000737DA">
        <w:rPr>
          <w:i/>
        </w:rPr>
        <w:t>.</w:t>
      </w:r>
    </w:p>
    <w:p w:rsidR="00DC2980" w:rsidRDefault="00DC2980" w:rsidP="00FF7A5F">
      <w:pPr>
        <w:ind w:left="720"/>
        <w:rPr>
          <w:i/>
        </w:rPr>
      </w:pPr>
    </w:p>
    <w:p w:rsidR="00DC2980" w:rsidRPr="00DC2980" w:rsidRDefault="00DC2980" w:rsidP="00DC2980">
      <w:pPr>
        <w:rPr>
          <w:b/>
          <w:u w:val="single"/>
        </w:rPr>
      </w:pPr>
      <w:r w:rsidRPr="00DC2980">
        <w:rPr>
          <w:b/>
          <w:u w:val="single"/>
        </w:rPr>
        <w:t>Research Methodology</w:t>
      </w:r>
    </w:p>
    <w:p w:rsidR="00FF7A5F" w:rsidRDefault="00FF7A5F" w:rsidP="004B5C75"/>
    <w:p w:rsidR="00FF7A5F" w:rsidRDefault="00FF7A5F" w:rsidP="00FF7A5F">
      <w:pPr>
        <w:ind w:firstLine="720"/>
        <w:rPr>
          <w:lang w:eastAsia="en-GB"/>
        </w:rPr>
      </w:pPr>
      <w:r>
        <w:rPr>
          <w:lang w:eastAsia="en-GB"/>
        </w:rPr>
        <w:t>This study seeks t</w:t>
      </w:r>
      <w:r w:rsidR="004B5C75">
        <w:rPr>
          <w:lang w:eastAsia="en-GB"/>
        </w:rPr>
        <w:t xml:space="preserve">o apply various theoretical models </w:t>
      </w:r>
      <w:r w:rsidR="0003732D">
        <w:rPr>
          <w:lang w:eastAsia="en-GB"/>
        </w:rPr>
        <w:t>to the</w:t>
      </w:r>
      <w:r w:rsidR="004B5C75">
        <w:rPr>
          <w:lang w:eastAsia="en-GB"/>
        </w:rPr>
        <w:t xml:space="preserve"> analysis of </w:t>
      </w:r>
      <w:r>
        <w:rPr>
          <w:lang w:eastAsia="en-GB"/>
        </w:rPr>
        <w:t>advocacy strategies and campaign frames</w:t>
      </w:r>
      <w:r w:rsidR="004B5C75">
        <w:rPr>
          <w:lang w:eastAsia="en-GB"/>
        </w:rPr>
        <w:t xml:space="preserve"> </w:t>
      </w:r>
      <w:r w:rsidR="0003732D">
        <w:rPr>
          <w:lang w:eastAsia="en-GB"/>
        </w:rPr>
        <w:t>relating</w:t>
      </w:r>
      <w:r w:rsidR="004B5C75">
        <w:rPr>
          <w:lang w:eastAsia="en-GB"/>
        </w:rPr>
        <w:t xml:space="preserve"> to </w:t>
      </w:r>
      <w:r>
        <w:rPr>
          <w:lang w:eastAsia="en-GB"/>
        </w:rPr>
        <w:t>sanitation. Th</w:t>
      </w:r>
      <w:r w:rsidR="007041E7">
        <w:rPr>
          <w:lang w:eastAsia="en-GB"/>
        </w:rPr>
        <w:t xml:space="preserve">is research </w:t>
      </w:r>
      <w:r>
        <w:rPr>
          <w:lang w:eastAsia="en-GB"/>
        </w:rPr>
        <w:t>include</w:t>
      </w:r>
      <w:r w:rsidR="007041E7">
        <w:rPr>
          <w:lang w:eastAsia="en-GB"/>
        </w:rPr>
        <w:t>s</w:t>
      </w:r>
      <w:r>
        <w:rPr>
          <w:lang w:eastAsia="en-GB"/>
        </w:rPr>
        <w:t xml:space="preserve">, but </w:t>
      </w:r>
      <w:r w:rsidR="007041E7">
        <w:rPr>
          <w:lang w:eastAsia="en-GB"/>
        </w:rPr>
        <w:t>is not restricted to</w:t>
      </w:r>
      <w:r w:rsidR="00A62B68">
        <w:rPr>
          <w:lang w:eastAsia="en-GB"/>
        </w:rPr>
        <w:t xml:space="preserve">, discussion of </w:t>
      </w:r>
      <w:r>
        <w:rPr>
          <w:lang w:eastAsia="en-GB"/>
        </w:rPr>
        <w:t xml:space="preserve">Malcolm </w:t>
      </w:r>
      <w:proofErr w:type="spellStart"/>
      <w:r>
        <w:rPr>
          <w:lang w:eastAsia="en-GB"/>
        </w:rPr>
        <w:t>Gladwell’s</w:t>
      </w:r>
      <w:proofErr w:type="spellEnd"/>
      <w:r>
        <w:rPr>
          <w:lang w:eastAsia="en-GB"/>
        </w:rPr>
        <w:t xml:space="preserve"> (200</w:t>
      </w:r>
      <w:r w:rsidR="001706A2">
        <w:rPr>
          <w:lang w:eastAsia="en-GB"/>
        </w:rPr>
        <w:t>1</w:t>
      </w:r>
      <w:r>
        <w:rPr>
          <w:lang w:eastAsia="en-GB"/>
        </w:rPr>
        <w:t xml:space="preserve">) “tipping point” of social epidemics and George </w:t>
      </w:r>
      <w:proofErr w:type="spellStart"/>
      <w:r>
        <w:rPr>
          <w:lang w:eastAsia="en-GB"/>
        </w:rPr>
        <w:t>Lakoff’s</w:t>
      </w:r>
      <w:proofErr w:type="spellEnd"/>
      <w:r>
        <w:rPr>
          <w:lang w:eastAsia="en-GB"/>
        </w:rPr>
        <w:t xml:space="preserve"> (2004) “cognitive frames” and “values” </w:t>
      </w:r>
      <w:r w:rsidR="00D50BB7">
        <w:rPr>
          <w:lang w:eastAsia="en-GB"/>
        </w:rPr>
        <w:t>as</w:t>
      </w:r>
      <w:r>
        <w:rPr>
          <w:lang w:eastAsia="en-GB"/>
        </w:rPr>
        <w:t xml:space="preserve"> appl</w:t>
      </w:r>
      <w:r w:rsidR="00D50BB7">
        <w:rPr>
          <w:lang w:eastAsia="en-GB"/>
        </w:rPr>
        <w:t>ied</w:t>
      </w:r>
      <w:r>
        <w:rPr>
          <w:lang w:eastAsia="en-GB"/>
        </w:rPr>
        <w:t xml:space="preserve"> to campaigns. With regard to NGO campaign and advocacy strategies, this study will discuss Della </w:t>
      </w:r>
      <w:proofErr w:type="spellStart"/>
      <w:r>
        <w:rPr>
          <w:lang w:eastAsia="en-GB"/>
        </w:rPr>
        <w:t>Porta</w:t>
      </w:r>
      <w:proofErr w:type="spellEnd"/>
      <w:r>
        <w:rPr>
          <w:lang w:eastAsia="en-GB"/>
        </w:rPr>
        <w:t xml:space="preserve"> &amp; </w:t>
      </w:r>
      <w:proofErr w:type="spellStart"/>
      <w:r>
        <w:rPr>
          <w:lang w:eastAsia="en-GB"/>
        </w:rPr>
        <w:t>Tarrow’s</w:t>
      </w:r>
      <w:proofErr w:type="spellEnd"/>
      <w:r>
        <w:rPr>
          <w:lang w:eastAsia="en-GB"/>
        </w:rPr>
        <w:t xml:space="preserve"> (200</w:t>
      </w:r>
      <w:r w:rsidR="00950E94">
        <w:rPr>
          <w:lang w:eastAsia="en-GB"/>
        </w:rPr>
        <w:t>5</w:t>
      </w:r>
      <w:r>
        <w:rPr>
          <w:lang w:eastAsia="en-GB"/>
        </w:rPr>
        <w:t>) work on “</w:t>
      </w:r>
      <w:r w:rsidR="00D50BB7">
        <w:rPr>
          <w:lang w:eastAsia="en-GB"/>
        </w:rPr>
        <w:t>Transnational Advocacy Networks” (TANS)</w:t>
      </w:r>
      <w:r>
        <w:rPr>
          <w:lang w:eastAsia="en-GB"/>
        </w:rPr>
        <w:t xml:space="preserve">, Chapman’s (2001) “helpful” campaign criteria, </w:t>
      </w:r>
      <w:proofErr w:type="spellStart"/>
      <w:r>
        <w:rPr>
          <w:lang w:eastAsia="en-GB"/>
        </w:rPr>
        <w:t>Tarrow</w:t>
      </w:r>
      <w:proofErr w:type="spellEnd"/>
      <w:r>
        <w:rPr>
          <w:lang w:eastAsia="en-GB"/>
        </w:rPr>
        <w:t xml:space="preserve"> and </w:t>
      </w:r>
      <w:proofErr w:type="spellStart"/>
      <w:r>
        <w:rPr>
          <w:lang w:eastAsia="en-GB"/>
        </w:rPr>
        <w:t>McAdam’s</w:t>
      </w:r>
      <w:proofErr w:type="spellEnd"/>
      <w:r>
        <w:rPr>
          <w:lang w:eastAsia="en-GB"/>
        </w:rPr>
        <w:t xml:space="preserve"> (2005) “scale shift” and Nelson and </w:t>
      </w:r>
      <w:proofErr w:type="spellStart"/>
      <w:r>
        <w:rPr>
          <w:lang w:eastAsia="en-GB"/>
        </w:rPr>
        <w:t>Dobsons</w:t>
      </w:r>
      <w:proofErr w:type="spellEnd"/>
      <w:r>
        <w:rPr>
          <w:lang w:eastAsia="en-GB"/>
        </w:rPr>
        <w:t xml:space="preserve"> (2008) “ne</w:t>
      </w:r>
      <w:r w:rsidR="00D50BB7">
        <w:rPr>
          <w:lang w:eastAsia="en-GB"/>
        </w:rPr>
        <w:t>w rights advocacy” of E</w:t>
      </w:r>
      <w:r>
        <w:rPr>
          <w:lang w:eastAsia="en-GB"/>
        </w:rPr>
        <w:t xml:space="preserve">conomic, </w:t>
      </w:r>
      <w:r w:rsidR="00D50BB7">
        <w:rPr>
          <w:lang w:eastAsia="en-GB"/>
        </w:rPr>
        <w:t>S</w:t>
      </w:r>
      <w:r>
        <w:rPr>
          <w:lang w:eastAsia="en-GB"/>
        </w:rPr>
        <w:t xml:space="preserve">ocial and </w:t>
      </w:r>
      <w:r w:rsidR="00D50BB7">
        <w:rPr>
          <w:lang w:eastAsia="en-GB"/>
        </w:rPr>
        <w:t>C</w:t>
      </w:r>
      <w:r>
        <w:rPr>
          <w:lang w:eastAsia="en-GB"/>
        </w:rPr>
        <w:t xml:space="preserve">ultural </w:t>
      </w:r>
      <w:r w:rsidR="00D50BB7">
        <w:rPr>
          <w:lang w:eastAsia="en-GB"/>
        </w:rPr>
        <w:t xml:space="preserve">(ESC) </w:t>
      </w:r>
      <w:r>
        <w:rPr>
          <w:lang w:eastAsia="en-GB"/>
        </w:rPr>
        <w:t xml:space="preserve">rights. </w:t>
      </w:r>
      <w:r w:rsidR="00D50BB7">
        <w:rPr>
          <w:lang w:eastAsia="en-GB"/>
        </w:rPr>
        <w:t>T</w:t>
      </w:r>
      <w:r>
        <w:rPr>
          <w:lang w:eastAsia="en-GB"/>
        </w:rPr>
        <w:t xml:space="preserve">his study will </w:t>
      </w:r>
      <w:r w:rsidR="00D50BB7">
        <w:rPr>
          <w:lang w:eastAsia="en-GB"/>
        </w:rPr>
        <w:t xml:space="preserve">also </w:t>
      </w:r>
      <w:r>
        <w:rPr>
          <w:lang w:eastAsia="en-GB"/>
        </w:rPr>
        <w:t xml:space="preserve">refer to Keck and </w:t>
      </w:r>
      <w:proofErr w:type="spellStart"/>
      <w:r>
        <w:rPr>
          <w:lang w:eastAsia="en-GB"/>
        </w:rPr>
        <w:t>Sikkink’s</w:t>
      </w:r>
      <w:proofErr w:type="spellEnd"/>
      <w:r>
        <w:rPr>
          <w:lang w:eastAsia="en-GB"/>
        </w:rPr>
        <w:t xml:space="preserve"> (1998) “boomerang model” and “adjacency claims”, plus </w:t>
      </w:r>
      <w:proofErr w:type="spellStart"/>
      <w:r>
        <w:rPr>
          <w:lang w:eastAsia="en-GB"/>
        </w:rPr>
        <w:t>Risse</w:t>
      </w:r>
      <w:proofErr w:type="spellEnd"/>
      <w:r>
        <w:rPr>
          <w:lang w:eastAsia="en-GB"/>
        </w:rPr>
        <w:t xml:space="preserve">, </w:t>
      </w:r>
      <w:proofErr w:type="spellStart"/>
      <w:r>
        <w:rPr>
          <w:lang w:eastAsia="en-GB"/>
        </w:rPr>
        <w:t>Ropp</w:t>
      </w:r>
      <w:proofErr w:type="spellEnd"/>
      <w:r>
        <w:rPr>
          <w:lang w:eastAsia="en-GB"/>
        </w:rPr>
        <w:t xml:space="preserve"> and </w:t>
      </w:r>
      <w:proofErr w:type="spellStart"/>
      <w:r>
        <w:rPr>
          <w:lang w:eastAsia="en-GB"/>
        </w:rPr>
        <w:t>Sikkink’s</w:t>
      </w:r>
      <w:proofErr w:type="spellEnd"/>
      <w:r>
        <w:rPr>
          <w:lang w:eastAsia="en-GB"/>
        </w:rPr>
        <w:t xml:space="preserve"> (1999) “norms socialisation” and “spiral </w:t>
      </w:r>
      <w:r w:rsidR="00E01D30">
        <w:rPr>
          <w:lang w:eastAsia="en-GB"/>
        </w:rPr>
        <w:t xml:space="preserve">model”. Furthermore, </w:t>
      </w:r>
      <w:r>
        <w:rPr>
          <w:lang w:eastAsia="en-GB"/>
        </w:rPr>
        <w:t xml:space="preserve">Moeller’s (1999) “compassion fatigue” and </w:t>
      </w:r>
      <w:proofErr w:type="spellStart"/>
      <w:r>
        <w:rPr>
          <w:lang w:eastAsia="en-GB"/>
        </w:rPr>
        <w:t>Darnton</w:t>
      </w:r>
      <w:proofErr w:type="spellEnd"/>
      <w:r>
        <w:rPr>
          <w:lang w:eastAsia="en-GB"/>
        </w:rPr>
        <w:t xml:space="preserve"> and Kirk’s (2011) discussion of frames and the “Live Aid legacy” will </w:t>
      </w:r>
      <w:r w:rsidR="00E01D30">
        <w:rPr>
          <w:lang w:eastAsia="en-GB"/>
        </w:rPr>
        <w:t xml:space="preserve">also </w:t>
      </w:r>
      <w:r>
        <w:rPr>
          <w:lang w:eastAsia="en-GB"/>
        </w:rPr>
        <w:t>be explored.</w:t>
      </w:r>
    </w:p>
    <w:p w:rsidR="00FF7A5F" w:rsidRDefault="00FF7A5F" w:rsidP="00FF7A5F"/>
    <w:p w:rsidR="004A479E" w:rsidRDefault="004A479E" w:rsidP="00FF7A5F">
      <w:pPr>
        <w:ind w:firstLine="720"/>
        <w:rPr>
          <w:lang w:eastAsia="en-GB"/>
        </w:rPr>
      </w:pPr>
    </w:p>
    <w:p w:rsidR="00FF7A5F" w:rsidRDefault="00FF7A5F" w:rsidP="00FF7A5F">
      <w:pPr>
        <w:ind w:firstLine="720"/>
        <w:rPr>
          <w:lang w:eastAsia="en-GB"/>
        </w:rPr>
      </w:pPr>
      <w:r>
        <w:rPr>
          <w:lang w:eastAsia="en-GB"/>
        </w:rPr>
        <w:t xml:space="preserve">This study </w:t>
      </w:r>
      <w:r w:rsidR="00A62B68">
        <w:rPr>
          <w:lang w:eastAsia="en-GB"/>
        </w:rPr>
        <w:t>has</w:t>
      </w:r>
      <w:r>
        <w:rPr>
          <w:lang w:eastAsia="en-GB"/>
        </w:rPr>
        <w:t xml:space="preserve"> favour</w:t>
      </w:r>
      <w:r w:rsidR="00A62B68">
        <w:rPr>
          <w:lang w:eastAsia="en-GB"/>
        </w:rPr>
        <w:t>ed</w:t>
      </w:r>
      <w:r>
        <w:rPr>
          <w:lang w:eastAsia="en-GB"/>
        </w:rPr>
        <w:t xml:space="preserve"> a flexible</w:t>
      </w:r>
      <w:r>
        <w:rPr>
          <w:rStyle w:val="Funotenzeichen"/>
          <w:lang w:eastAsia="en-GB"/>
        </w:rPr>
        <w:footnoteReference w:id="10"/>
      </w:r>
      <w:r>
        <w:rPr>
          <w:lang w:eastAsia="en-GB"/>
        </w:rPr>
        <w:t xml:space="preserve">, qualitative methodological framework that can be seen as primarily </w:t>
      </w:r>
      <w:r w:rsidR="0051710A">
        <w:rPr>
          <w:lang w:eastAsia="en-GB"/>
        </w:rPr>
        <w:t>de</w:t>
      </w:r>
      <w:r>
        <w:rPr>
          <w:lang w:eastAsia="en-GB"/>
        </w:rPr>
        <w:t xml:space="preserve">ductive. The research comprises textual analysis, analysis of campaign material and synthesises the results of a number of interviews. This study features an </w:t>
      </w:r>
      <w:proofErr w:type="spellStart"/>
      <w:r>
        <w:rPr>
          <w:lang w:eastAsia="en-GB"/>
        </w:rPr>
        <w:t>interpretivist</w:t>
      </w:r>
      <w:proofErr w:type="spellEnd"/>
      <w:r>
        <w:rPr>
          <w:lang w:eastAsia="en-GB"/>
        </w:rPr>
        <w:t xml:space="preserve"> epistemology</w:t>
      </w:r>
      <w:r>
        <w:rPr>
          <w:rStyle w:val="Funotenzeichen"/>
          <w:lang w:eastAsia="en-GB"/>
        </w:rPr>
        <w:footnoteReference w:id="11"/>
      </w:r>
      <w:r>
        <w:rPr>
          <w:lang w:eastAsia="en-GB"/>
        </w:rPr>
        <w:t>, which contains an element of grounded theory. In this sense, a grounded theory “aims to develop theory through research, not subject the research to theory”</w:t>
      </w:r>
      <w:r>
        <w:rPr>
          <w:rStyle w:val="Funotenzeichen"/>
          <w:lang w:eastAsia="en-GB"/>
        </w:rPr>
        <w:footnoteReference w:id="12"/>
      </w:r>
      <w:r>
        <w:rPr>
          <w:lang w:eastAsia="en-GB"/>
        </w:rPr>
        <w:t xml:space="preserve">. Current sanitation campaigns are often overshadowed by a focus on access to clean water </w:t>
      </w:r>
      <w:r w:rsidR="00AB1CF5">
        <w:rPr>
          <w:lang w:eastAsia="en-GB"/>
        </w:rPr>
        <w:t xml:space="preserve">frame </w:t>
      </w:r>
      <w:r>
        <w:rPr>
          <w:lang w:eastAsia="en-GB"/>
        </w:rPr>
        <w:t xml:space="preserve">and </w:t>
      </w:r>
      <w:r w:rsidR="00AB1CF5">
        <w:rPr>
          <w:lang w:eastAsia="en-GB"/>
        </w:rPr>
        <w:t xml:space="preserve">are perhaps </w:t>
      </w:r>
      <w:r>
        <w:rPr>
          <w:lang w:eastAsia="en-GB"/>
        </w:rPr>
        <w:t>not linked suc</w:t>
      </w:r>
      <w:r w:rsidR="00AB1CF5">
        <w:rPr>
          <w:lang w:eastAsia="en-GB"/>
        </w:rPr>
        <w:t>cessfully enough to other issue frames</w:t>
      </w:r>
      <w:r>
        <w:rPr>
          <w:lang w:eastAsia="en-GB"/>
        </w:rPr>
        <w:t xml:space="preserve">. The recent affirmation of sanitation therefore presents </w:t>
      </w:r>
      <w:r w:rsidR="00AB1CF5">
        <w:rPr>
          <w:lang w:eastAsia="en-GB"/>
        </w:rPr>
        <w:t>opportunities</w:t>
      </w:r>
      <w:r>
        <w:rPr>
          <w:lang w:eastAsia="en-GB"/>
        </w:rPr>
        <w:t xml:space="preserve"> to </w:t>
      </w:r>
      <w:r w:rsidR="00AB1CF5" w:rsidRPr="00AB1CF5">
        <w:rPr>
          <w:i/>
          <w:lang w:eastAsia="en-GB"/>
        </w:rPr>
        <w:t>(a)</w:t>
      </w:r>
      <w:r w:rsidR="00AB1CF5">
        <w:rPr>
          <w:lang w:eastAsia="en-GB"/>
        </w:rPr>
        <w:t xml:space="preserve"> study how this </w:t>
      </w:r>
      <w:r>
        <w:rPr>
          <w:lang w:eastAsia="en-GB"/>
        </w:rPr>
        <w:t xml:space="preserve">right may be practically applied and </w:t>
      </w:r>
      <w:r w:rsidR="00AB1CF5" w:rsidRPr="00AB1CF5">
        <w:rPr>
          <w:i/>
          <w:lang w:eastAsia="en-GB"/>
        </w:rPr>
        <w:t>(b)</w:t>
      </w:r>
      <w:r>
        <w:rPr>
          <w:lang w:eastAsia="en-GB"/>
        </w:rPr>
        <w:t xml:space="preserve"> rethink how sanitation campaigns are currently framed. </w:t>
      </w:r>
      <w:r w:rsidR="0051710A">
        <w:rPr>
          <w:lang w:eastAsia="en-GB"/>
        </w:rPr>
        <w:t>This</w:t>
      </w:r>
      <w:r>
        <w:rPr>
          <w:lang w:eastAsia="en-GB"/>
        </w:rPr>
        <w:t xml:space="preserve"> study </w:t>
      </w:r>
      <w:r w:rsidR="00AB1CF5">
        <w:rPr>
          <w:lang w:eastAsia="en-GB"/>
        </w:rPr>
        <w:t>explores</w:t>
      </w:r>
      <w:r>
        <w:rPr>
          <w:lang w:eastAsia="en-GB"/>
        </w:rPr>
        <w:t xml:space="preserve"> </w:t>
      </w:r>
      <w:r w:rsidR="0051710A">
        <w:rPr>
          <w:lang w:eastAsia="en-GB"/>
        </w:rPr>
        <w:t xml:space="preserve">campaigning for </w:t>
      </w:r>
      <w:r>
        <w:rPr>
          <w:lang w:eastAsia="en-GB"/>
        </w:rPr>
        <w:t xml:space="preserve">the human right sanitation. </w:t>
      </w:r>
      <w:r w:rsidR="00AB1CF5">
        <w:rPr>
          <w:lang w:eastAsia="en-GB"/>
        </w:rPr>
        <w:t xml:space="preserve">However, </w:t>
      </w:r>
      <w:r w:rsidR="00885791">
        <w:rPr>
          <w:lang w:eastAsia="en-GB"/>
        </w:rPr>
        <w:t>e</w:t>
      </w:r>
      <w:r>
        <w:rPr>
          <w:lang w:eastAsia="en-GB"/>
        </w:rPr>
        <w:t xml:space="preserve">ach of the frames identified in </w:t>
      </w:r>
      <w:r w:rsidRPr="00885791">
        <w:rPr>
          <w:i/>
          <w:lang w:eastAsia="en-GB"/>
        </w:rPr>
        <w:t>Chapter Two</w:t>
      </w:r>
      <w:r>
        <w:rPr>
          <w:lang w:eastAsia="en-GB"/>
        </w:rPr>
        <w:t xml:space="preserve"> could be a legitimate study in its own right. </w:t>
      </w:r>
      <w:r w:rsidR="009E0611">
        <w:rPr>
          <w:lang w:eastAsia="en-GB"/>
        </w:rPr>
        <w:t>Although</w:t>
      </w:r>
      <w:r>
        <w:rPr>
          <w:lang w:eastAsia="en-GB"/>
        </w:rPr>
        <w:t xml:space="preserve"> there are </w:t>
      </w:r>
      <w:r w:rsidR="009E0611">
        <w:rPr>
          <w:lang w:eastAsia="en-GB"/>
        </w:rPr>
        <w:t xml:space="preserve">no obvious </w:t>
      </w:r>
      <w:r>
        <w:rPr>
          <w:lang w:eastAsia="en-GB"/>
        </w:rPr>
        <w:t>ethical considerations with this study, it is important to note that trying to judg</w:t>
      </w:r>
      <w:r w:rsidR="00065510">
        <w:rPr>
          <w:lang w:eastAsia="en-GB"/>
        </w:rPr>
        <w:t xml:space="preserve">e </w:t>
      </w:r>
      <w:r>
        <w:rPr>
          <w:lang w:eastAsia="en-GB"/>
        </w:rPr>
        <w:t>NGO advocacy strategy or campaign design detracts from the purpose of this study.  Ultimately</w:t>
      </w:r>
      <w:r w:rsidR="00065510">
        <w:rPr>
          <w:lang w:eastAsia="en-GB"/>
        </w:rPr>
        <w:t>,</w:t>
      </w:r>
      <w:r>
        <w:rPr>
          <w:lang w:eastAsia="en-GB"/>
        </w:rPr>
        <w:t xml:space="preserve"> this study is not seeking to criticise the existing work of NGOs, but rather</w:t>
      </w:r>
      <w:r w:rsidR="009479D7">
        <w:rPr>
          <w:lang w:eastAsia="en-GB"/>
        </w:rPr>
        <w:t>, is</w:t>
      </w:r>
      <w:r>
        <w:rPr>
          <w:lang w:eastAsia="en-GB"/>
        </w:rPr>
        <w:t xml:space="preserve"> looking for </w:t>
      </w:r>
      <w:r w:rsidR="00065510">
        <w:rPr>
          <w:lang w:eastAsia="en-GB"/>
        </w:rPr>
        <w:t xml:space="preserve">potential </w:t>
      </w:r>
      <w:r>
        <w:rPr>
          <w:lang w:eastAsia="en-GB"/>
        </w:rPr>
        <w:t>gaps and fresh opportunities</w:t>
      </w:r>
      <w:r w:rsidR="004E21E5">
        <w:rPr>
          <w:lang w:eastAsia="en-GB"/>
        </w:rPr>
        <w:t xml:space="preserve"> that may help </w:t>
      </w:r>
      <w:r w:rsidR="007C730D">
        <w:rPr>
          <w:lang w:eastAsia="en-GB"/>
        </w:rPr>
        <w:t xml:space="preserve">increase awareness </w:t>
      </w:r>
      <w:r w:rsidR="004E21E5">
        <w:rPr>
          <w:lang w:eastAsia="en-GB"/>
        </w:rPr>
        <w:t>of the right to sanitation</w:t>
      </w:r>
      <w:r>
        <w:rPr>
          <w:lang w:eastAsia="en-GB"/>
        </w:rPr>
        <w:t xml:space="preserve">. </w:t>
      </w:r>
    </w:p>
    <w:p w:rsidR="00FF7A5F" w:rsidRDefault="00FF7A5F" w:rsidP="00FF7A5F">
      <w:pPr>
        <w:ind w:firstLine="720"/>
      </w:pPr>
    </w:p>
    <w:p w:rsidR="00D80543" w:rsidRDefault="00BE26EB" w:rsidP="00257B0C">
      <w:r>
        <w:t>L</w:t>
      </w:r>
      <w:r w:rsidR="00AB1CF5">
        <w:t>ead research question:</w:t>
      </w:r>
      <w:r w:rsidR="00AB1CF5">
        <w:br/>
      </w:r>
      <w:r w:rsidR="000541C5">
        <w:t xml:space="preserve">  </w:t>
      </w:r>
    </w:p>
    <w:p w:rsidR="00A60D02" w:rsidRPr="00943E17" w:rsidRDefault="000541C5" w:rsidP="00AB1CF5">
      <w:pPr>
        <w:rPr>
          <w:b/>
          <w:i/>
          <w:lang w:eastAsia="en-GB"/>
        </w:rPr>
      </w:pPr>
      <w:r w:rsidRPr="00943E17">
        <w:rPr>
          <w:b/>
          <w:i/>
          <w:lang w:eastAsia="en-GB"/>
        </w:rPr>
        <w:t xml:space="preserve">Can the </w:t>
      </w:r>
      <w:r w:rsidR="00257B0C" w:rsidRPr="00943E17">
        <w:rPr>
          <w:b/>
          <w:i/>
          <w:lang w:eastAsia="en-GB"/>
        </w:rPr>
        <w:t xml:space="preserve">new </w:t>
      </w:r>
      <w:r w:rsidRPr="00943E17">
        <w:rPr>
          <w:b/>
          <w:i/>
          <w:lang w:eastAsia="en-GB"/>
        </w:rPr>
        <w:t xml:space="preserve">human right to sanitation </w:t>
      </w:r>
      <w:r w:rsidR="00257B0C" w:rsidRPr="00943E17">
        <w:rPr>
          <w:b/>
          <w:i/>
          <w:lang w:eastAsia="en-GB"/>
        </w:rPr>
        <w:t xml:space="preserve">offer an opportunity to </w:t>
      </w:r>
      <w:r w:rsidRPr="00943E17">
        <w:rPr>
          <w:b/>
          <w:i/>
          <w:lang w:eastAsia="en-GB"/>
        </w:rPr>
        <w:t>reframe and reinvigorate sanitation campaigns?</w:t>
      </w:r>
      <w:r w:rsidR="00D80543" w:rsidRPr="00943E17">
        <w:rPr>
          <w:b/>
          <w:i/>
          <w:lang w:eastAsia="en-GB"/>
        </w:rPr>
        <w:t xml:space="preserve"> </w:t>
      </w:r>
    </w:p>
    <w:p w:rsidR="00257B0C" w:rsidRPr="000541C5" w:rsidRDefault="00257B0C" w:rsidP="00D80543">
      <w:pPr>
        <w:ind w:left="720"/>
      </w:pPr>
    </w:p>
    <w:p w:rsidR="00D80543" w:rsidRDefault="00BE26EB" w:rsidP="00A60D02">
      <w:pPr>
        <w:rPr>
          <w:lang w:eastAsia="en-GB"/>
        </w:rPr>
      </w:pPr>
      <w:r>
        <w:rPr>
          <w:lang w:eastAsia="en-GB"/>
        </w:rPr>
        <w:t>S</w:t>
      </w:r>
      <w:r w:rsidR="00D80543" w:rsidRPr="00D80543">
        <w:rPr>
          <w:lang w:eastAsia="en-GB"/>
        </w:rPr>
        <w:t xml:space="preserve">ub-questions: </w:t>
      </w:r>
    </w:p>
    <w:p w:rsidR="00943E17" w:rsidRDefault="00943E17" w:rsidP="00A60D02">
      <w:pPr>
        <w:rPr>
          <w:lang w:eastAsia="en-GB"/>
        </w:rPr>
      </w:pPr>
    </w:p>
    <w:p w:rsidR="00D80543" w:rsidRPr="00E0349A" w:rsidRDefault="00D80543" w:rsidP="00E0349A">
      <w:pPr>
        <w:pStyle w:val="Listenabsatz"/>
        <w:numPr>
          <w:ilvl w:val="0"/>
          <w:numId w:val="7"/>
        </w:numPr>
        <w:rPr>
          <w:i/>
          <w:lang w:eastAsia="en-GB"/>
        </w:rPr>
      </w:pPr>
      <w:r w:rsidRPr="00E0349A">
        <w:rPr>
          <w:i/>
          <w:lang w:eastAsia="en-GB"/>
        </w:rPr>
        <w:t xml:space="preserve">What </w:t>
      </w:r>
      <w:r w:rsidR="00E0349A">
        <w:rPr>
          <w:i/>
          <w:lang w:eastAsia="en-GB"/>
        </w:rPr>
        <w:t>are the normative foundations for the human</w:t>
      </w:r>
      <w:r w:rsidRPr="00E0349A">
        <w:rPr>
          <w:i/>
          <w:lang w:eastAsia="en-GB"/>
        </w:rPr>
        <w:t xml:space="preserve"> right to sanitation?</w:t>
      </w:r>
    </w:p>
    <w:p w:rsidR="00D80543" w:rsidRDefault="00FA752E" w:rsidP="00E0349A">
      <w:pPr>
        <w:pStyle w:val="Listenabsatz"/>
        <w:numPr>
          <w:ilvl w:val="0"/>
          <w:numId w:val="7"/>
        </w:numPr>
        <w:rPr>
          <w:i/>
          <w:lang w:eastAsia="en-GB"/>
        </w:rPr>
      </w:pPr>
      <w:r w:rsidRPr="00E0349A">
        <w:rPr>
          <w:i/>
          <w:lang w:eastAsia="en-GB"/>
        </w:rPr>
        <w:t xml:space="preserve">How can the right to sanitation </w:t>
      </w:r>
      <w:r w:rsidR="00E0349A" w:rsidRPr="00E0349A">
        <w:rPr>
          <w:i/>
          <w:lang w:eastAsia="en-GB"/>
        </w:rPr>
        <w:t xml:space="preserve">be </w:t>
      </w:r>
      <w:r w:rsidRPr="00E0349A">
        <w:rPr>
          <w:i/>
          <w:lang w:eastAsia="en-GB"/>
        </w:rPr>
        <w:t>claimed</w:t>
      </w:r>
      <w:r w:rsidR="00E0349A" w:rsidRPr="00E0349A">
        <w:rPr>
          <w:i/>
          <w:lang w:eastAsia="en-GB"/>
        </w:rPr>
        <w:t xml:space="preserve"> or enacted</w:t>
      </w:r>
      <w:r w:rsidRPr="00E0349A">
        <w:rPr>
          <w:i/>
          <w:lang w:eastAsia="en-GB"/>
        </w:rPr>
        <w:t>?</w:t>
      </w:r>
    </w:p>
    <w:p w:rsidR="0015764B" w:rsidRPr="0015764B" w:rsidRDefault="0015764B" w:rsidP="0015764B">
      <w:pPr>
        <w:pStyle w:val="Listenabsatz"/>
        <w:numPr>
          <w:ilvl w:val="0"/>
          <w:numId w:val="7"/>
        </w:numPr>
        <w:rPr>
          <w:i/>
        </w:rPr>
      </w:pPr>
      <w:r w:rsidRPr="00E0349A">
        <w:rPr>
          <w:i/>
        </w:rPr>
        <w:t>What influence can the recent ‘right to sanitation’ resolution have on advocacy strategies?</w:t>
      </w:r>
    </w:p>
    <w:p w:rsidR="000C34D7" w:rsidRPr="000C34D7" w:rsidRDefault="000C34D7" w:rsidP="000C34D7">
      <w:pPr>
        <w:pStyle w:val="Listenabsatz"/>
        <w:numPr>
          <w:ilvl w:val="0"/>
          <w:numId w:val="7"/>
        </w:numPr>
        <w:rPr>
          <w:i/>
        </w:rPr>
      </w:pPr>
      <w:r>
        <w:rPr>
          <w:i/>
        </w:rPr>
        <w:t>S</w:t>
      </w:r>
      <w:r w:rsidRPr="000C34D7">
        <w:rPr>
          <w:i/>
        </w:rPr>
        <w:t xml:space="preserve">hould human right to sanitation </w:t>
      </w:r>
      <w:r>
        <w:rPr>
          <w:i/>
        </w:rPr>
        <w:t xml:space="preserve">campaigns </w:t>
      </w:r>
      <w:r w:rsidRPr="000C34D7">
        <w:rPr>
          <w:i/>
        </w:rPr>
        <w:t xml:space="preserve">attempt the ‘name and shame’ formula of rights campaigning?  </w:t>
      </w:r>
    </w:p>
    <w:p w:rsidR="00E0349A" w:rsidRPr="00E0349A" w:rsidRDefault="00E0349A" w:rsidP="00E0349A">
      <w:pPr>
        <w:pStyle w:val="Listenabsatz"/>
        <w:numPr>
          <w:ilvl w:val="0"/>
          <w:numId w:val="7"/>
        </w:numPr>
        <w:rPr>
          <w:i/>
          <w:lang w:eastAsia="en-GB"/>
        </w:rPr>
      </w:pPr>
      <w:r w:rsidRPr="00E0349A">
        <w:rPr>
          <w:i/>
          <w:lang w:eastAsia="en-GB"/>
        </w:rPr>
        <w:t>What sanitation campaigns currently exist and how are these framed?</w:t>
      </w:r>
    </w:p>
    <w:p w:rsidR="00A60D02" w:rsidRDefault="00E0349A" w:rsidP="00A60D02">
      <w:pPr>
        <w:pStyle w:val="Listenabsatz"/>
        <w:numPr>
          <w:ilvl w:val="0"/>
          <w:numId w:val="7"/>
        </w:numPr>
        <w:spacing w:after="200"/>
        <w:rPr>
          <w:i/>
        </w:rPr>
      </w:pPr>
      <w:r w:rsidRPr="00E0349A">
        <w:rPr>
          <w:i/>
        </w:rPr>
        <w:t>Can new</w:t>
      </w:r>
      <w:r>
        <w:rPr>
          <w:i/>
        </w:rPr>
        <w:t xml:space="preserve"> </w:t>
      </w:r>
      <w:r w:rsidRPr="00E0349A">
        <w:rPr>
          <w:i/>
        </w:rPr>
        <w:t xml:space="preserve">frames and </w:t>
      </w:r>
      <w:r w:rsidR="004C0DC1">
        <w:rPr>
          <w:i/>
        </w:rPr>
        <w:t>campaign</w:t>
      </w:r>
      <w:r w:rsidR="004C0DC1" w:rsidRPr="00E0349A">
        <w:rPr>
          <w:i/>
        </w:rPr>
        <w:t xml:space="preserve"> </w:t>
      </w:r>
      <w:r w:rsidRPr="00E0349A">
        <w:rPr>
          <w:i/>
        </w:rPr>
        <w:t>opportunities be identified?</w:t>
      </w:r>
    </w:p>
    <w:p w:rsidR="00812FD4" w:rsidRDefault="00812FD4" w:rsidP="00812FD4">
      <w:pPr>
        <w:spacing w:after="200"/>
        <w:rPr>
          <w:i/>
        </w:rPr>
      </w:pPr>
    </w:p>
    <w:p w:rsidR="00812FD4" w:rsidRDefault="00812FD4" w:rsidP="00812FD4">
      <w:pPr>
        <w:spacing w:after="200"/>
        <w:rPr>
          <w:i/>
        </w:rPr>
      </w:pPr>
    </w:p>
    <w:p w:rsidR="00812FD4" w:rsidRDefault="00812FD4" w:rsidP="00812FD4">
      <w:pPr>
        <w:spacing w:after="200"/>
        <w:rPr>
          <w:i/>
        </w:rPr>
      </w:pPr>
    </w:p>
    <w:p w:rsidR="00812FD4" w:rsidRDefault="00812FD4" w:rsidP="00812FD4">
      <w:pPr>
        <w:spacing w:after="200"/>
        <w:rPr>
          <w:i/>
        </w:rPr>
      </w:pPr>
    </w:p>
    <w:p w:rsidR="00812FD4" w:rsidRDefault="00812FD4" w:rsidP="00812FD4">
      <w:pPr>
        <w:spacing w:after="200"/>
        <w:rPr>
          <w:i/>
        </w:rPr>
      </w:pPr>
    </w:p>
    <w:p w:rsidR="00812FD4" w:rsidRDefault="00812FD4" w:rsidP="00812FD4">
      <w:pPr>
        <w:spacing w:after="200"/>
        <w:rPr>
          <w:i/>
        </w:rPr>
      </w:pPr>
    </w:p>
    <w:p w:rsidR="00812FD4" w:rsidRPr="00812FD4" w:rsidRDefault="00812FD4" w:rsidP="00812FD4">
      <w:pPr>
        <w:spacing w:after="200"/>
        <w:rPr>
          <w:i/>
        </w:rPr>
      </w:pPr>
    </w:p>
    <w:p w:rsidR="006C2D75" w:rsidRPr="00E24659" w:rsidRDefault="00792F91" w:rsidP="00E24659">
      <w:pPr>
        <w:rPr>
          <w:i/>
        </w:rPr>
      </w:pPr>
      <w:r w:rsidRPr="00E27BC1">
        <w:rPr>
          <w:b/>
          <w:u w:val="single"/>
        </w:rPr>
        <w:t xml:space="preserve">Chapter </w:t>
      </w:r>
      <w:r w:rsidR="00614AC2">
        <w:rPr>
          <w:b/>
          <w:u w:val="single"/>
        </w:rPr>
        <w:t>One</w:t>
      </w:r>
      <w:r w:rsidRPr="00E27BC1">
        <w:rPr>
          <w:b/>
          <w:u w:val="single"/>
        </w:rPr>
        <w:t>: The Resolution will not be televised</w:t>
      </w:r>
      <w:r w:rsidR="0001793F">
        <w:rPr>
          <w:b/>
          <w:u w:val="single"/>
        </w:rPr>
        <w:br/>
      </w:r>
      <w:r w:rsidR="006C2D75">
        <w:br/>
      </w:r>
    </w:p>
    <w:p w:rsidR="00C820B6" w:rsidRPr="00C820B6" w:rsidRDefault="00C820B6" w:rsidP="00C820B6">
      <w:pPr>
        <w:spacing w:after="200"/>
        <w:rPr>
          <w:b/>
          <w:i/>
        </w:rPr>
      </w:pPr>
      <w:r>
        <w:rPr>
          <w:b/>
          <w:i/>
        </w:rPr>
        <w:t>1.</w:t>
      </w:r>
      <w:r w:rsidR="001A1A81">
        <w:rPr>
          <w:b/>
          <w:i/>
        </w:rPr>
        <w:t>1</w:t>
      </w:r>
      <w:r>
        <w:rPr>
          <w:b/>
          <w:i/>
        </w:rPr>
        <w:t xml:space="preserve"> </w:t>
      </w:r>
      <w:r w:rsidR="00CF0F99">
        <w:rPr>
          <w:b/>
          <w:i/>
        </w:rPr>
        <w:t xml:space="preserve">     </w:t>
      </w:r>
      <w:r w:rsidRPr="00C820B6">
        <w:rPr>
          <w:b/>
          <w:i/>
        </w:rPr>
        <w:t>What is the right to sanitation?</w:t>
      </w:r>
    </w:p>
    <w:p w:rsidR="00C91823" w:rsidRDefault="005D42A3" w:rsidP="00C91823">
      <w:r>
        <w:tab/>
      </w:r>
      <w:r w:rsidR="00B4263F">
        <w:t xml:space="preserve"> </w:t>
      </w:r>
      <w:r w:rsidR="004752C2">
        <w:t xml:space="preserve">The </w:t>
      </w:r>
      <w:r w:rsidR="00316666">
        <w:t xml:space="preserve">human </w:t>
      </w:r>
      <w:r w:rsidR="004752C2">
        <w:t>right to sanitation entails “access to, and use of, excreta and wastewater facilities that ensure privacy and dignity, ensuring a clean and healthy living environment for all”</w:t>
      </w:r>
      <w:r w:rsidR="004752C2">
        <w:rPr>
          <w:rStyle w:val="Funotenzeichen"/>
        </w:rPr>
        <w:footnoteReference w:id="13"/>
      </w:r>
      <w:r w:rsidR="004752C2">
        <w:t xml:space="preserve">. </w:t>
      </w:r>
      <w:r w:rsidR="00D169FE">
        <w:t xml:space="preserve">The right to sanitation </w:t>
      </w:r>
      <w:r w:rsidR="00316666">
        <w:t>starts with</w:t>
      </w:r>
      <w:r w:rsidR="00D169FE">
        <w:t xml:space="preserve"> not to hav</w:t>
      </w:r>
      <w:r w:rsidR="00316666">
        <w:t>ing</w:t>
      </w:r>
      <w:r w:rsidR="00D169FE">
        <w:t xml:space="preserve"> to defecate in the open. </w:t>
      </w:r>
      <w:r w:rsidR="009805DA">
        <w:t>The Community-Led Total Sanitation (CLTS) model relies on a “sanitary ladder”</w:t>
      </w:r>
      <w:r w:rsidR="009805DA" w:rsidRPr="009805DA">
        <w:rPr>
          <w:rStyle w:val="Funotenzeichen"/>
        </w:rPr>
        <w:t xml:space="preserve"> </w:t>
      </w:r>
      <w:r w:rsidR="009805DA">
        <w:rPr>
          <w:rStyle w:val="Funotenzeichen"/>
        </w:rPr>
        <w:footnoteReference w:id="14"/>
      </w:r>
      <w:r w:rsidR="009805DA">
        <w:t xml:space="preserve"> which depicts </w:t>
      </w:r>
      <w:r w:rsidR="00C23EA1">
        <w:t xml:space="preserve">improved </w:t>
      </w:r>
      <w:r w:rsidR="009805DA">
        <w:t>levels of sanita</w:t>
      </w:r>
      <w:r w:rsidR="00C23EA1">
        <w:t>tion</w:t>
      </w:r>
      <w:r w:rsidR="009805DA">
        <w:t xml:space="preserve"> provision </w:t>
      </w:r>
      <w:r w:rsidR="00C23EA1">
        <w:t xml:space="preserve">as ‘rungs on a ladder’ </w:t>
      </w:r>
      <w:r w:rsidR="009805DA">
        <w:t>that individuals and households can ‘climb’. The CLTS Handbook</w:t>
      </w:r>
      <w:r w:rsidR="00F56FF1">
        <w:rPr>
          <w:rStyle w:val="Funotenzeichen"/>
        </w:rPr>
        <w:footnoteReference w:id="15"/>
      </w:r>
      <w:r w:rsidR="009805DA">
        <w:t xml:space="preserve"> often refers to “moving up the ladder” as a measure of progress from </w:t>
      </w:r>
      <w:r w:rsidR="005504CC">
        <w:t>OD</w:t>
      </w:r>
      <w:r w:rsidR="009805DA">
        <w:t>, through instillation of basic hardware such as pit latrine</w:t>
      </w:r>
      <w:r w:rsidR="00C23EA1">
        <w:t>s</w:t>
      </w:r>
      <w:r w:rsidR="009805DA">
        <w:t xml:space="preserve">, to full implementation of a toilet and hand washing facilities. </w:t>
      </w:r>
      <w:r w:rsidR="00316666">
        <w:t>One interesting distinction is the difference between the right</w:t>
      </w:r>
      <w:r w:rsidR="00023896">
        <w:t>s</w:t>
      </w:r>
      <w:r w:rsidR="00316666">
        <w:t xml:space="preserve"> to “basic”</w:t>
      </w:r>
      <w:r w:rsidR="00316666">
        <w:rPr>
          <w:rStyle w:val="Funotenzeichen"/>
        </w:rPr>
        <w:footnoteReference w:id="16"/>
      </w:r>
      <w:r w:rsidR="00316666">
        <w:t xml:space="preserve"> </w:t>
      </w:r>
      <w:r w:rsidR="00C23EA1">
        <w:t>and the right to</w:t>
      </w:r>
      <w:r w:rsidR="00316666">
        <w:t xml:space="preserve"> “improved”</w:t>
      </w:r>
      <w:r w:rsidR="00316666">
        <w:rPr>
          <w:rStyle w:val="Funotenzeichen"/>
        </w:rPr>
        <w:footnoteReference w:id="17"/>
      </w:r>
      <w:r w:rsidR="00316666">
        <w:t xml:space="preserve"> sanitation. Whereas ‘improved’ sanitation sets no benchmark on quality or sustainability, ‘basic’ can be understood to omit “the treatment and disposal of excreta and wastewater”</w:t>
      </w:r>
      <w:r w:rsidR="00023896">
        <w:rPr>
          <w:rStyle w:val="Funotenzeichen"/>
        </w:rPr>
        <w:footnoteReference w:id="18"/>
      </w:r>
      <w:r w:rsidR="00316666">
        <w:t xml:space="preserve">. </w:t>
      </w:r>
      <w:r w:rsidR="00C91823">
        <w:t>Without the di</w:t>
      </w:r>
      <w:r w:rsidR="00C23EA1">
        <w:t xml:space="preserve">sposal and treatment of excreta, </w:t>
      </w:r>
      <w:r w:rsidR="00316666">
        <w:t>it has been argued</w:t>
      </w:r>
      <w:r w:rsidR="00C23EA1">
        <w:t>,</w:t>
      </w:r>
      <w:r w:rsidR="00316666">
        <w:t xml:space="preserve"> that basic sanitation alone “would not meet the minimum human rights standards”</w:t>
      </w:r>
      <w:r w:rsidR="00316666">
        <w:rPr>
          <w:rStyle w:val="Funotenzeichen"/>
        </w:rPr>
        <w:footnoteReference w:id="19"/>
      </w:r>
      <w:r w:rsidR="00C91823">
        <w:t>. O</w:t>
      </w:r>
      <w:r w:rsidR="006163EC">
        <w:t>ther definitions of sanitation take a wider view. The Water S</w:t>
      </w:r>
      <w:r w:rsidR="00F313A4">
        <w:t>upply</w:t>
      </w:r>
      <w:r w:rsidR="006163EC">
        <w:t xml:space="preserve"> and Sanitation Collaborative Council (WSSCC) advocate</w:t>
      </w:r>
      <w:r w:rsidR="00316666">
        <w:t xml:space="preserve"> for “sustainable</w:t>
      </w:r>
      <w:r w:rsidR="00C91823">
        <w:t xml:space="preserve"> </w:t>
      </w:r>
      <w:r w:rsidR="00316666">
        <w:t>sanitation</w:t>
      </w:r>
      <w:r w:rsidR="00C91823">
        <w:t>”</w:t>
      </w:r>
      <w:r w:rsidR="00F06D99">
        <w:rPr>
          <w:rStyle w:val="Funotenzeichen"/>
        </w:rPr>
        <w:footnoteReference w:id="20"/>
      </w:r>
      <w:r w:rsidR="00316666">
        <w:t xml:space="preserve">, whereas </w:t>
      </w:r>
      <w:r w:rsidR="006163EC">
        <w:t>End Water Pov</w:t>
      </w:r>
      <w:r w:rsidR="00C23EA1">
        <w:t>erty (EWP) campaign simply for ‘sanitation for a</w:t>
      </w:r>
      <w:r w:rsidR="006163EC">
        <w:t>ll</w:t>
      </w:r>
      <w:r w:rsidR="00C23EA1">
        <w:t>’</w:t>
      </w:r>
      <w:r w:rsidR="006163EC">
        <w:t>.</w:t>
      </w:r>
      <w:r w:rsidR="00D169FE">
        <w:t xml:space="preserve"> </w:t>
      </w:r>
      <w:r w:rsidR="00C91823">
        <w:t>In theory, the</w:t>
      </w:r>
      <w:r w:rsidR="00006500">
        <w:t xml:space="preserve"> </w:t>
      </w:r>
      <w:r w:rsidR="006C2D75">
        <w:t xml:space="preserve">binding </w:t>
      </w:r>
      <w:r w:rsidR="00C91823">
        <w:t>human right to sanitation can provide a</w:t>
      </w:r>
      <w:r w:rsidR="000A0894">
        <w:t xml:space="preserve"> </w:t>
      </w:r>
      <w:r w:rsidR="00006500">
        <w:t xml:space="preserve">legal framework </w:t>
      </w:r>
      <w:r w:rsidR="006C2D75">
        <w:t xml:space="preserve">which </w:t>
      </w:r>
      <w:r w:rsidR="00006500">
        <w:t>support</w:t>
      </w:r>
      <w:r w:rsidR="006C2D75">
        <w:t>s</w:t>
      </w:r>
      <w:r w:rsidR="00006500">
        <w:t xml:space="preserve"> the notion that “each person has not only a right to sanitation facilities for their own use, but also a right to be protected from wastewater and excreta produced by others”</w:t>
      </w:r>
      <w:r w:rsidR="00006500">
        <w:rPr>
          <w:rStyle w:val="Funotenzeichen"/>
        </w:rPr>
        <w:footnoteReference w:id="21"/>
      </w:r>
      <w:r w:rsidR="00006500">
        <w:t xml:space="preserve">. </w:t>
      </w:r>
    </w:p>
    <w:p w:rsidR="00604055" w:rsidRPr="00715B8B" w:rsidRDefault="000A0894" w:rsidP="00715B8B">
      <w:pPr>
        <w:pStyle w:val="StandardWeb"/>
        <w:ind w:firstLine="709"/>
      </w:pPr>
      <w:r>
        <w:rPr>
          <w:color w:val="000000"/>
        </w:rPr>
        <w:t xml:space="preserve">The emergence of the right to sanitation in international law asks us to seriously consider exactly what is a human rights violation in denial of this right, how should responsibility be attributed and how might this right be enacted. </w:t>
      </w:r>
      <w:r w:rsidR="00F56FF1">
        <w:rPr>
          <w:color w:val="000000"/>
        </w:rPr>
        <w:t>In 2005</w:t>
      </w:r>
      <w:r w:rsidR="00C23EA1">
        <w:rPr>
          <w:color w:val="000000"/>
        </w:rPr>
        <w:t>,</w:t>
      </w:r>
      <w:r w:rsidR="00F56FF1">
        <w:rPr>
          <w:color w:val="000000"/>
        </w:rPr>
        <w:t xml:space="preserve"> the UN Sub-Commission on the Pro</w:t>
      </w:r>
      <w:r w:rsidR="00C23EA1">
        <w:rPr>
          <w:color w:val="000000"/>
        </w:rPr>
        <w:t>tection</w:t>
      </w:r>
      <w:r w:rsidR="00F56FF1">
        <w:rPr>
          <w:color w:val="000000"/>
        </w:rPr>
        <w:t xml:space="preserve"> and Pro</w:t>
      </w:r>
      <w:r w:rsidR="00C23EA1">
        <w:rPr>
          <w:color w:val="000000"/>
        </w:rPr>
        <w:t>motion</w:t>
      </w:r>
      <w:r w:rsidR="00F56FF1">
        <w:rPr>
          <w:color w:val="000000"/>
        </w:rPr>
        <w:t xml:space="preserve"> of Human Rights </w:t>
      </w:r>
      <w:r w:rsidR="00715B8B">
        <w:rPr>
          <w:color w:val="000000"/>
        </w:rPr>
        <w:t xml:space="preserve">stated: </w:t>
      </w:r>
      <w:r w:rsidR="00715B8B" w:rsidRPr="00715B8B">
        <w:rPr>
          <w:color w:val="000000"/>
        </w:rPr>
        <w:t>“</w:t>
      </w:r>
      <w:r w:rsidR="00715B8B">
        <w:rPr>
          <w:color w:val="000000"/>
        </w:rPr>
        <w:t>people</w:t>
      </w:r>
      <w:r w:rsidR="00715B8B" w:rsidRPr="00715B8B">
        <w:rPr>
          <w:color w:val="000000"/>
        </w:rPr>
        <w:t xml:space="preserve"> who are denied their right to sanitation, should have access to effective judicial or other appropriate remedies”</w:t>
      </w:r>
      <w:r w:rsidR="00715B8B" w:rsidRPr="00715B8B">
        <w:rPr>
          <w:rStyle w:val="Funotenzeichen"/>
          <w:color w:val="000000"/>
        </w:rPr>
        <w:footnoteReference w:id="22"/>
      </w:r>
      <w:r w:rsidR="00715B8B">
        <w:rPr>
          <w:color w:val="000000"/>
        </w:rPr>
        <w:t xml:space="preserve">. </w:t>
      </w:r>
      <w:r>
        <w:rPr>
          <w:color w:val="000000"/>
        </w:rPr>
        <w:t>Jim Ife (2010) suggests that “the role of the State is not only to legislate, but to provide in the form of public services”</w:t>
      </w:r>
      <w:r>
        <w:rPr>
          <w:rStyle w:val="Funotenzeichen"/>
          <w:color w:val="000000"/>
        </w:rPr>
        <w:footnoteReference w:id="23"/>
      </w:r>
      <w:r w:rsidR="00715B8B" w:rsidRPr="00715B8B">
        <w:rPr>
          <w:color w:val="000000"/>
        </w:rPr>
        <w:t xml:space="preserve"> </w:t>
      </w:r>
      <w:r w:rsidR="00715B8B">
        <w:rPr>
          <w:color w:val="000000"/>
        </w:rPr>
        <w:t xml:space="preserve">and cites Thomas Hobbes’ statement </w:t>
      </w:r>
      <w:r w:rsidR="00C23EA1">
        <w:rPr>
          <w:color w:val="000000"/>
        </w:rPr>
        <w:t xml:space="preserve">that </w:t>
      </w:r>
      <w:r w:rsidR="00715B8B">
        <w:rPr>
          <w:color w:val="000000"/>
        </w:rPr>
        <w:t>“rights without responsibilities make no sense, and so the two must be understood together”</w:t>
      </w:r>
      <w:r w:rsidR="00715B8B">
        <w:rPr>
          <w:rStyle w:val="Funotenzeichen"/>
          <w:color w:val="000000"/>
        </w:rPr>
        <w:footnoteReference w:id="24"/>
      </w:r>
      <w:r w:rsidR="00715B8B">
        <w:rPr>
          <w:color w:val="000000"/>
        </w:rPr>
        <w:t xml:space="preserve">. </w:t>
      </w:r>
      <w:r>
        <w:rPr>
          <w:color w:val="000000"/>
        </w:rPr>
        <w:t xml:space="preserve"> </w:t>
      </w:r>
      <w:r w:rsidR="00604055">
        <w:t xml:space="preserve">There are a number of organisations involved in advocacy, lobbying, activism and campaigning that focus on access to sanitation. Though their methods and messages </w:t>
      </w:r>
      <w:r w:rsidR="00C23EA1">
        <w:t xml:space="preserve">may </w:t>
      </w:r>
      <w:r w:rsidR="00604055">
        <w:t xml:space="preserve">vary and target a broad range of actors, it is possible to recognise one overarching goal </w:t>
      </w:r>
      <w:r w:rsidR="00C23EA1">
        <w:t>–</w:t>
      </w:r>
      <w:r w:rsidR="00604055">
        <w:t xml:space="preserve"> </w:t>
      </w:r>
      <w:r w:rsidR="00C23EA1">
        <w:t xml:space="preserve">affordable universal access to </w:t>
      </w:r>
      <w:r w:rsidR="00604055">
        <w:t xml:space="preserve">sanitation. </w:t>
      </w:r>
    </w:p>
    <w:p w:rsidR="00792F91" w:rsidRDefault="00844495" w:rsidP="00446B6B">
      <w:pPr>
        <w:spacing w:after="200" w:line="276" w:lineRule="auto"/>
        <w:rPr>
          <w:b/>
          <w:i/>
        </w:rPr>
      </w:pPr>
      <w:r w:rsidRPr="00E27BC1">
        <w:rPr>
          <w:b/>
          <w:i/>
        </w:rPr>
        <w:t>1.</w:t>
      </w:r>
      <w:r w:rsidR="00A705C0">
        <w:rPr>
          <w:b/>
          <w:i/>
        </w:rPr>
        <w:t>2</w:t>
      </w:r>
      <w:r w:rsidR="005D42A3">
        <w:rPr>
          <w:b/>
          <w:i/>
        </w:rPr>
        <w:tab/>
      </w:r>
      <w:r w:rsidRPr="00E27BC1">
        <w:rPr>
          <w:b/>
          <w:i/>
        </w:rPr>
        <w:t xml:space="preserve"> The </w:t>
      </w:r>
      <w:r w:rsidR="00E27BC1">
        <w:rPr>
          <w:b/>
          <w:i/>
        </w:rPr>
        <w:t>UN ‘</w:t>
      </w:r>
      <w:r w:rsidRPr="00E27BC1">
        <w:rPr>
          <w:b/>
          <w:i/>
        </w:rPr>
        <w:t>right to sanitation</w:t>
      </w:r>
      <w:r w:rsidR="00E27BC1">
        <w:rPr>
          <w:b/>
          <w:i/>
        </w:rPr>
        <w:t>’ Resolutions</w:t>
      </w:r>
    </w:p>
    <w:p w:rsidR="004C21A7" w:rsidRPr="004C0DC1" w:rsidRDefault="00B51837" w:rsidP="00C8633F">
      <w:pPr>
        <w:autoSpaceDE w:val="0"/>
        <w:autoSpaceDN w:val="0"/>
        <w:adjustRightInd w:val="0"/>
        <w:snapToGrid w:val="0"/>
        <w:ind w:firstLine="567"/>
      </w:pPr>
      <w:r>
        <w:t xml:space="preserve">In July </w:t>
      </w:r>
      <w:r w:rsidR="00A253BC">
        <w:t xml:space="preserve">2010, the UN </w:t>
      </w:r>
      <w:r>
        <w:t xml:space="preserve">General Assembly (GA) </w:t>
      </w:r>
      <w:r w:rsidR="00A253BC">
        <w:t xml:space="preserve">passed </w:t>
      </w:r>
      <w:r>
        <w:t>Resolution</w:t>
      </w:r>
      <w:r w:rsidR="00A253BC">
        <w:t xml:space="preserve"> </w:t>
      </w:r>
      <w:r w:rsidR="000D43C7">
        <w:rPr>
          <w:color w:val="111111"/>
        </w:rPr>
        <w:t>64</w:t>
      </w:r>
      <w:r w:rsidRPr="00B51837">
        <w:rPr>
          <w:color w:val="111111"/>
        </w:rPr>
        <w:t>/2</w:t>
      </w:r>
      <w:r w:rsidR="000D43C7">
        <w:rPr>
          <w:color w:val="111111"/>
        </w:rPr>
        <w:t>92</w:t>
      </w:r>
      <w:r>
        <w:t xml:space="preserve"> which</w:t>
      </w:r>
      <w:r w:rsidR="000D43C7">
        <w:t xml:space="preserve"> </w:t>
      </w:r>
      <w:r w:rsidR="00A253BC">
        <w:t xml:space="preserve">affirmed that sanitation </w:t>
      </w:r>
      <w:r>
        <w:t>was a</w:t>
      </w:r>
      <w:r w:rsidR="000D43C7">
        <w:t xml:space="preserve"> human right</w:t>
      </w:r>
      <w:r w:rsidR="00C8633F">
        <w:t xml:space="preserve"> “inextricably linked to the highest standard of physical and mental health, as well as the right t</w:t>
      </w:r>
      <w:r w:rsidR="00C8633F" w:rsidRPr="004C0DC1">
        <w:t>o life and human dignity”</w:t>
      </w:r>
      <w:r w:rsidR="00C8633F" w:rsidRPr="004C0DC1">
        <w:rPr>
          <w:rStyle w:val="Funotenzeichen"/>
        </w:rPr>
        <w:footnoteReference w:id="25"/>
      </w:r>
      <w:r w:rsidRPr="004C0DC1">
        <w:t xml:space="preserve">. In September 2010, the UN Human Rights Council (HRC) passed Resolution </w:t>
      </w:r>
      <w:r w:rsidR="004C21A7" w:rsidRPr="004C0DC1">
        <w:t>15/L.14,</w:t>
      </w:r>
      <w:r w:rsidR="004C21A7" w:rsidRPr="004C0DC1">
        <w:rPr>
          <w:rFonts w:ascii="Arial" w:hAnsi="Arial" w:cs="Arial"/>
          <w:sz w:val="18"/>
          <w:szCs w:val="18"/>
        </w:rPr>
        <w:t xml:space="preserve"> </w:t>
      </w:r>
      <w:r w:rsidR="004C21A7" w:rsidRPr="004C0DC1">
        <w:t xml:space="preserve">which </w:t>
      </w:r>
      <w:r w:rsidR="00C8633F" w:rsidRPr="004C0DC1">
        <w:t xml:space="preserve">confirmed </w:t>
      </w:r>
      <w:r w:rsidR="004C21A7" w:rsidRPr="004C0DC1">
        <w:t>that sanitation was</w:t>
      </w:r>
      <w:r w:rsidR="00A253BC" w:rsidRPr="004C0DC1">
        <w:t xml:space="preserve"> </w:t>
      </w:r>
      <w:r w:rsidR="00C8633F" w:rsidRPr="004C0DC1">
        <w:t>“</w:t>
      </w:r>
      <w:r w:rsidR="00C8633F" w:rsidRPr="004C0DC1">
        <w:rPr>
          <w:lang w:eastAsia="en-GB"/>
        </w:rPr>
        <w:t>essential for the full enjoyment of life and all human rights”</w:t>
      </w:r>
      <w:r w:rsidR="009E5F4C">
        <w:rPr>
          <w:rStyle w:val="Funotenzeichen"/>
          <w:lang w:eastAsia="en-GB"/>
        </w:rPr>
        <w:footnoteReference w:id="26"/>
      </w:r>
      <w:r w:rsidR="00C8633F" w:rsidRPr="004C0DC1">
        <w:rPr>
          <w:i/>
          <w:lang w:eastAsia="en-GB"/>
        </w:rPr>
        <w:t xml:space="preserve"> </w:t>
      </w:r>
      <w:r w:rsidR="00C8633F" w:rsidRPr="004C0DC1">
        <w:rPr>
          <w:lang w:eastAsia="en-GB"/>
        </w:rPr>
        <w:t>and also clarified that</w:t>
      </w:r>
      <w:r w:rsidR="00C8633F" w:rsidRPr="004C0DC1">
        <w:t xml:space="preserve"> the “</w:t>
      </w:r>
      <w:r w:rsidR="00756B76" w:rsidRPr="004C0DC1">
        <w:rPr>
          <w:lang w:eastAsia="en-GB"/>
        </w:rPr>
        <w:t>legally binding treaty obligations of the U</w:t>
      </w:r>
      <w:r w:rsidR="002A0634">
        <w:rPr>
          <w:lang w:eastAsia="en-GB"/>
        </w:rPr>
        <w:t xml:space="preserve">niversal </w:t>
      </w:r>
      <w:r w:rsidR="002A0634" w:rsidRPr="004C0DC1">
        <w:rPr>
          <w:lang w:eastAsia="en-GB"/>
        </w:rPr>
        <w:t>D</w:t>
      </w:r>
      <w:r w:rsidR="002A0634">
        <w:rPr>
          <w:lang w:eastAsia="en-GB"/>
        </w:rPr>
        <w:t xml:space="preserve">eclaration of </w:t>
      </w:r>
      <w:r w:rsidR="00756B76" w:rsidRPr="004C0DC1">
        <w:rPr>
          <w:lang w:eastAsia="en-GB"/>
        </w:rPr>
        <w:t>H</w:t>
      </w:r>
      <w:r w:rsidR="002A0634">
        <w:rPr>
          <w:lang w:eastAsia="en-GB"/>
        </w:rPr>
        <w:t>uman Rights (UDH</w:t>
      </w:r>
      <w:r w:rsidR="00756B76" w:rsidRPr="004C0DC1">
        <w:rPr>
          <w:lang w:eastAsia="en-GB"/>
        </w:rPr>
        <w:t>R</w:t>
      </w:r>
      <w:r w:rsidR="002A0634">
        <w:rPr>
          <w:lang w:eastAsia="en-GB"/>
        </w:rPr>
        <w:t>)</w:t>
      </w:r>
      <w:r w:rsidR="00756B76" w:rsidRPr="004C0DC1">
        <w:rPr>
          <w:lang w:eastAsia="en-GB"/>
        </w:rPr>
        <w:t xml:space="preserve">, the </w:t>
      </w:r>
      <w:r w:rsidR="002A0634">
        <w:rPr>
          <w:lang w:eastAsia="en-GB"/>
        </w:rPr>
        <w:t xml:space="preserve">International Covenant </w:t>
      </w:r>
      <w:proofErr w:type="spellStart"/>
      <w:r w:rsidR="002A0634">
        <w:rPr>
          <w:lang w:eastAsia="en-GB"/>
        </w:rPr>
        <w:t>of</w:t>
      </w:r>
      <w:proofErr w:type="spellEnd"/>
      <w:r w:rsidR="002A0634">
        <w:rPr>
          <w:lang w:eastAsia="en-GB"/>
        </w:rPr>
        <w:t xml:space="preserve"> Civil and Political Rights (</w:t>
      </w:r>
      <w:r w:rsidR="00756B76" w:rsidRPr="004C0DC1">
        <w:rPr>
          <w:lang w:eastAsia="en-GB"/>
        </w:rPr>
        <w:t>ICCPR</w:t>
      </w:r>
      <w:r w:rsidR="002A0634">
        <w:rPr>
          <w:lang w:eastAsia="en-GB"/>
        </w:rPr>
        <w:t>)</w:t>
      </w:r>
      <w:r w:rsidR="00756B76" w:rsidRPr="004C0DC1">
        <w:rPr>
          <w:lang w:eastAsia="en-GB"/>
        </w:rPr>
        <w:t xml:space="preserve">, </w:t>
      </w:r>
      <w:r w:rsidR="002A0634">
        <w:rPr>
          <w:lang w:eastAsia="en-GB"/>
        </w:rPr>
        <w:t>the International Covenant of Economic, Social and Cultural Rights (ICESR)</w:t>
      </w:r>
      <w:r w:rsidR="00756B76" w:rsidRPr="004C0DC1">
        <w:rPr>
          <w:lang w:eastAsia="en-GB"/>
        </w:rPr>
        <w:t xml:space="preserve">, </w:t>
      </w:r>
      <w:r w:rsidR="002A0634">
        <w:rPr>
          <w:lang w:eastAsia="en-GB"/>
        </w:rPr>
        <w:t>the Convention on the Rights of the Child (</w:t>
      </w:r>
      <w:r w:rsidR="00756B76" w:rsidRPr="004C0DC1">
        <w:rPr>
          <w:lang w:eastAsia="en-GB"/>
        </w:rPr>
        <w:t>CRC</w:t>
      </w:r>
      <w:r w:rsidR="002A0634">
        <w:rPr>
          <w:lang w:eastAsia="en-GB"/>
        </w:rPr>
        <w:t>)</w:t>
      </w:r>
      <w:r w:rsidR="00756B76" w:rsidRPr="004C0DC1">
        <w:rPr>
          <w:lang w:eastAsia="en-GB"/>
        </w:rPr>
        <w:t xml:space="preserve"> and </w:t>
      </w:r>
      <w:r w:rsidR="002A0634">
        <w:rPr>
          <w:lang w:eastAsia="en-GB"/>
        </w:rPr>
        <w:t xml:space="preserve">the </w:t>
      </w:r>
      <w:r w:rsidR="002A0634" w:rsidRPr="00480AAA">
        <w:rPr>
          <w:lang w:eastAsia="en-GB"/>
        </w:rPr>
        <w:t xml:space="preserve">Convention </w:t>
      </w:r>
      <w:r w:rsidR="00480AAA" w:rsidRPr="00480AAA">
        <w:rPr>
          <w:lang w:eastAsia="en-GB"/>
        </w:rPr>
        <w:t xml:space="preserve">on the Elimination of All Forms of Discrimination Against Women </w:t>
      </w:r>
      <w:r w:rsidR="00480AAA">
        <w:rPr>
          <w:lang w:eastAsia="en-GB"/>
        </w:rPr>
        <w:t>(</w:t>
      </w:r>
      <w:r w:rsidR="00756B76" w:rsidRPr="004C0DC1">
        <w:rPr>
          <w:lang w:eastAsia="en-GB"/>
        </w:rPr>
        <w:t>CEDAW</w:t>
      </w:r>
      <w:r w:rsidR="00480AAA">
        <w:rPr>
          <w:lang w:eastAsia="en-GB"/>
        </w:rPr>
        <w:t>)</w:t>
      </w:r>
      <w:r w:rsidR="00756B76" w:rsidRPr="004C0DC1">
        <w:rPr>
          <w:lang w:eastAsia="en-GB"/>
        </w:rPr>
        <w:t xml:space="preserve"> also applied to water and sanitation</w:t>
      </w:r>
      <w:r w:rsidR="00D169FE" w:rsidRPr="004C0DC1">
        <w:rPr>
          <w:lang w:eastAsia="en-GB"/>
        </w:rPr>
        <w:t>”</w:t>
      </w:r>
      <w:r w:rsidR="00D169FE" w:rsidRPr="004C0DC1">
        <w:rPr>
          <w:rStyle w:val="Funotenzeichen"/>
          <w:lang w:eastAsia="en-GB"/>
        </w:rPr>
        <w:footnoteReference w:id="27"/>
      </w:r>
      <w:r w:rsidR="000A0894" w:rsidRPr="004C0DC1">
        <w:t xml:space="preserve"> A combined NGO &amp; UN Agency report from 2008 </w:t>
      </w:r>
      <w:r w:rsidR="004812A3">
        <w:t xml:space="preserve">commented that </w:t>
      </w:r>
      <w:r w:rsidR="000A0894" w:rsidRPr="004C0DC1">
        <w:t>sanitation</w:t>
      </w:r>
      <w:r w:rsidR="004812A3">
        <w:t>, seen as a human right, was</w:t>
      </w:r>
      <w:r w:rsidR="000A0894" w:rsidRPr="004C0DC1">
        <w:t xml:space="preserve"> a “valuable tool that can be used by government officials, judges, civil societies and individuals”</w:t>
      </w:r>
      <w:r w:rsidR="004812A3">
        <w:rPr>
          <w:rStyle w:val="Funotenzeichen"/>
        </w:rPr>
        <w:footnoteReference w:id="28"/>
      </w:r>
      <w:r w:rsidR="002A0634">
        <w:t xml:space="preserve">, </w:t>
      </w:r>
      <w:r w:rsidR="000A0894" w:rsidRPr="004C0DC1">
        <w:t>yet notes that recognition of this right “is only the first step”</w:t>
      </w:r>
      <w:r w:rsidR="000A0894" w:rsidRPr="004C0DC1">
        <w:rPr>
          <w:rStyle w:val="Funotenzeichen"/>
        </w:rPr>
        <w:footnoteReference w:id="29"/>
      </w:r>
      <w:r w:rsidR="000A0894" w:rsidRPr="004C0DC1">
        <w:t xml:space="preserve">. </w:t>
      </w:r>
      <w:r w:rsidR="00006500" w:rsidRPr="004C0DC1">
        <w:t xml:space="preserve"> </w:t>
      </w:r>
      <w:r w:rsidR="00C8633F" w:rsidRPr="004C0DC1">
        <w:t>A statement from Amnesty International recognises</w:t>
      </w:r>
      <w:r w:rsidR="007373FF" w:rsidRPr="004C0DC1">
        <w:t xml:space="preserve"> </w:t>
      </w:r>
      <w:r w:rsidR="00C8633F" w:rsidRPr="004C0DC1">
        <w:t>the added relevance of the HRC Resolution</w:t>
      </w:r>
      <w:r w:rsidR="004C21A7" w:rsidRPr="004C0DC1">
        <w:t xml:space="preserve">: </w:t>
      </w:r>
      <w:r w:rsidR="00A253BC" w:rsidRPr="004C0DC1">
        <w:t xml:space="preserve"> </w:t>
      </w:r>
    </w:p>
    <w:p w:rsidR="004C21A7" w:rsidRPr="004C0DC1" w:rsidRDefault="004C21A7" w:rsidP="00C8633F">
      <w:pPr>
        <w:pStyle w:val="Listenabsatz"/>
        <w:spacing w:after="200"/>
        <w:ind w:left="0"/>
      </w:pPr>
    </w:p>
    <w:p w:rsidR="00C8633F" w:rsidRPr="004C0DC1" w:rsidRDefault="004C21A7" w:rsidP="0045689F">
      <w:pPr>
        <w:pStyle w:val="Listenabsatz"/>
        <w:spacing w:after="200"/>
        <w:rPr>
          <w:i/>
        </w:rPr>
      </w:pPr>
      <w:r w:rsidRPr="004C0DC1">
        <w:rPr>
          <w:i/>
        </w:rPr>
        <w:t>“Human Rights Council resolution A/HRC/15/L.14 not only provides the legal basis for the rights to water and sanitation but also recognises that it is inextricably related to the right to the highest attainable standard of physical and mental health, as well as the right to life and human dignity”</w:t>
      </w:r>
      <w:r w:rsidRPr="004C0DC1">
        <w:rPr>
          <w:rStyle w:val="Funotenzeichen"/>
          <w:i/>
        </w:rPr>
        <w:footnoteReference w:id="30"/>
      </w:r>
    </w:p>
    <w:p w:rsidR="006C4792" w:rsidRPr="006C4792" w:rsidRDefault="00C8633F" w:rsidP="004812A3">
      <w:pPr>
        <w:ind w:firstLine="720"/>
      </w:pPr>
      <w:r w:rsidRPr="004C0DC1">
        <w:t xml:space="preserve">Though the adoption of GA Resolution </w:t>
      </w:r>
      <w:r w:rsidR="00F02383">
        <w:t>64</w:t>
      </w:r>
      <w:r w:rsidRPr="004C0DC1">
        <w:t>/2</w:t>
      </w:r>
      <w:r w:rsidR="00F02383">
        <w:t>92</w:t>
      </w:r>
      <w:r w:rsidRPr="004C0DC1">
        <w:t xml:space="preserve"> and HRC Resolution 15/L.14 have been welcomed by many, others express scepticism about the practical application of the right to sanitation.</w:t>
      </w:r>
      <w:r w:rsidR="00E65A69" w:rsidRPr="004C0DC1">
        <w:t xml:space="preserve"> </w:t>
      </w:r>
      <w:r w:rsidR="00E955AF">
        <w:rPr>
          <w:lang w:val="en-US"/>
        </w:rPr>
        <w:t xml:space="preserve">Danielle Morley of the Freshwater Action Network (FAN) </w:t>
      </w:r>
      <w:r w:rsidR="00E65A69">
        <w:rPr>
          <w:lang w:val="en-US"/>
        </w:rPr>
        <w:t>describes the Resolutions as “</w:t>
      </w:r>
      <w:r w:rsidR="00E955AF">
        <w:rPr>
          <w:lang w:val="en-US"/>
        </w:rPr>
        <w:t>a fantastic development</w:t>
      </w:r>
      <w:r w:rsidR="00E65A69">
        <w:rPr>
          <w:lang w:val="en-US"/>
        </w:rPr>
        <w:t>” that</w:t>
      </w:r>
      <w:r w:rsidR="00E955AF">
        <w:rPr>
          <w:lang w:val="en-US"/>
        </w:rPr>
        <w:t xml:space="preserve"> </w:t>
      </w:r>
      <w:r w:rsidR="00E65A69">
        <w:rPr>
          <w:lang w:val="en-US"/>
        </w:rPr>
        <w:t>“</w:t>
      </w:r>
      <w:r w:rsidR="00E955AF">
        <w:rPr>
          <w:lang w:val="en-US"/>
        </w:rPr>
        <w:t>will have a huge impact on the water and sanitation sector”</w:t>
      </w:r>
      <w:r w:rsidR="00E955AF">
        <w:rPr>
          <w:rStyle w:val="Funotenzeichen"/>
          <w:lang w:val="en-US"/>
        </w:rPr>
        <w:footnoteReference w:id="31"/>
      </w:r>
      <w:r w:rsidR="00E955AF">
        <w:rPr>
          <w:lang w:val="en-US"/>
        </w:rPr>
        <w:t xml:space="preserve">. </w:t>
      </w:r>
      <w:proofErr w:type="spellStart"/>
      <w:r w:rsidR="00E65A69">
        <w:t>Thiago</w:t>
      </w:r>
      <w:proofErr w:type="spellEnd"/>
      <w:r w:rsidR="00E65A69">
        <w:t xml:space="preserve"> </w:t>
      </w:r>
      <w:proofErr w:type="spellStart"/>
      <w:r w:rsidR="00E65A69">
        <w:t>Luchesi</w:t>
      </w:r>
      <w:proofErr w:type="spellEnd"/>
      <w:r w:rsidR="00E65A69">
        <w:t xml:space="preserve"> of World Vision sees the </w:t>
      </w:r>
      <w:r w:rsidR="00E65A69" w:rsidRPr="00826659">
        <w:t xml:space="preserve">resolutions </w:t>
      </w:r>
      <w:r w:rsidR="00E65A69">
        <w:t>as “</w:t>
      </w:r>
      <w:r w:rsidR="00E65A69" w:rsidRPr="00826659">
        <w:t>very important for the interpretation of treaties such as the CRC”</w:t>
      </w:r>
      <w:r w:rsidR="00E65A69">
        <w:rPr>
          <w:rStyle w:val="Funotenzeichen"/>
        </w:rPr>
        <w:footnoteReference w:id="32"/>
      </w:r>
      <w:r w:rsidR="00E65A69" w:rsidRPr="00826659">
        <w:t>.</w:t>
      </w:r>
      <w:r w:rsidR="00E65A69">
        <w:t xml:space="preserve"> </w:t>
      </w:r>
      <w:r w:rsidR="00170EBD">
        <w:t xml:space="preserve">Fleur Anderson of </w:t>
      </w:r>
      <w:r w:rsidR="002A0634">
        <w:t xml:space="preserve">EWP </w:t>
      </w:r>
      <w:r w:rsidR="00170EBD">
        <w:t>s</w:t>
      </w:r>
      <w:r w:rsidR="002A0634">
        <w:t xml:space="preserve">ees </w:t>
      </w:r>
      <w:r w:rsidR="00170EBD">
        <w:t xml:space="preserve">the Resolutions </w:t>
      </w:r>
      <w:r w:rsidR="002A0634">
        <w:t>as representing a</w:t>
      </w:r>
      <w:r w:rsidR="00170EBD">
        <w:t xml:space="preserve"> “</w:t>
      </w:r>
      <w:r w:rsidR="00170EBD" w:rsidRPr="000F1610">
        <w:t>huge shift for civil society in different countries.”</w:t>
      </w:r>
      <w:r w:rsidR="00170EBD">
        <w:t xml:space="preserve"> </w:t>
      </w:r>
      <w:r w:rsidR="00170EBD" w:rsidRPr="000F1610">
        <w:t xml:space="preserve">from </w:t>
      </w:r>
      <w:r w:rsidR="00170EBD">
        <w:t>“</w:t>
      </w:r>
      <w:r w:rsidR="00170EBD" w:rsidRPr="000F1610">
        <w:t>begging for a service to be provided to you, to claiming your right</w:t>
      </w:r>
      <w:r w:rsidR="00170EBD">
        <w:t>”</w:t>
      </w:r>
      <w:r w:rsidR="00170EBD">
        <w:rPr>
          <w:rStyle w:val="Funotenzeichen"/>
        </w:rPr>
        <w:footnoteReference w:id="33"/>
      </w:r>
      <w:r w:rsidR="00BC1E0C">
        <w:t xml:space="preserve">. </w:t>
      </w:r>
      <w:r w:rsidR="006C4792">
        <w:t xml:space="preserve">Ben Fawcett </w:t>
      </w:r>
      <w:r w:rsidR="00583EEF">
        <w:t xml:space="preserve">adds </w:t>
      </w:r>
      <w:r w:rsidR="002A0634">
        <w:t>that:</w:t>
      </w:r>
    </w:p>
    <w:p w:rsidR="00A253BC" w:rsidRPr="006C4792" w:rsidRDefault="007373FF" w:rsidP="00034926">
      <w:pPr>
        <w:pStyle w:val="Listenabsatz"/>
        <w:spacing w:after="200"/>
      </w:pPr>
      <w:r w:rsidRPr="006C4792">
        <w:rPr>
          <w:i/>
        </w:rPr>
        <w:t>While I acknowledge and welcome the UN recognition of the huma</w:t>
      </w:r>
      <w:r w:rsidR="002A0634">
        <w:rPr>
          <w:i/>
        </w:rPr>
        <w:t xml:space="preserve">n right to water and sanitation, </w:t>
      </w:r>
      <w:r w:rsidRPr="006C4792">
        <w:rPr>
          <w:i/>
        </w:rPr>
        <w:t xml:space="preserve">I think it will be difficult for states to </w:t>
      </w:r>
      <w:proofErr w:type="spellStart"/>
      <w:r w:rsidRPr="006C4792">
        <w:rPr>
          <w:i/>
        </w:rPr>
        <w:t>operationalise</w:t>
      </w:r>
      <w:proofErr w:type="spellEnd"/>
      <w:r w:rsidRPr="006C4792">
        <w:rPr>
          <w:i/>
        </w:rPr>
        <w:t xml:space="preserve"> this right and for civil society to claim this right in a practical way</w:t>
      </w:r>
      <w:r w:rsidR="00583EEF">
        <w:rPr>
          <w:rStyle w:val="Funotenzeichen"/>
          <w:i/>
        </w:rPr>
        <w:footnoteReference w:id="34"/>
      </w:r>
    </w:p>
    <w:p w:rsidR="004B2FCC" w:rsidRDefault="00583EEF" w:rsidP="00BB757D">
      <w:pPr>
        <w:spacing w:after="200"/>
      </w:pPr>
      <w:proofErr w:type="spellStart"/>
      <w:r>
        <w:t>WaterAid’s</w:t>
      </w:r>
      <w:proofErr w:type="spellEnd"/>
      <w:r>
        <w:t xml:space="preserve"> Kate </w:t>
      </w:r>
      <w:proofErr w:type="spellStart"/>
      <w:r w:rsidRPr="00104F0C">
        <w:t>Norg</w:t>
      </w:r>
      <w:r>
        <w:t>r</w:t>
      </w:r>
      <w:r w:rsidRPr="00104F0C">
        <w:t>ove</w:t>
      </w:r>
      <w:proofErr w:type="spellEnd"/>
      <w:r>
        <w:rPr>
          <w:i/>
        </w:rPr>
        <w:t xml:space="preserve"> </w:t>
      </w:r>
      <w:r w:rsidR="004B2FCC">
        <w:t>acknowledge</w:t>
      </w:r>
      <w:r w:rsidR="002A0634">
        <w:t>d</w:t>
      </w:r>
      <w:r w:rsidR="004B2FCC">
        <w:t xml:space="preserve"> the </w:t>
      </w:r>
      <w:r>
        <w:t>"</w:t>
      </w:r>
      <w:r w:rsidRPr="00C469D0">
        <w:t>good news that the resolution, recognising water and sanitation as a basic human right, has been passed by a majority vote”</w:t>
      </w:r>
      <w:r w:rsidR="00415441">
        <w:rPr>
          <w:rStyle w:val="Funotenzeichen"/>
        </w:rPr>
        <w:footnoteReference w:id="35"/>
      </w:r>
      <w:r>
        <w:t xml:space="preserve"> but </w:t>
      </w:r>
      <w:r w:rsidR="004B2FCC">
        <w:t>highlight</w:t>
      </w:r>
      <w:r w:rsidR="002A0634">
        <w:t xml:space="preserve">ed </w:t>
      </w:r>
      <w:r>
        <w:t xml:space="preserve">that it </w:t>
      </w:r>
      <w:r w:rsidR="002A0634">
        <w:t>was</w:t>
      </w:r>
      <w:r>
        <w:t xml:space="preserve"> “</w:t>
      </w:r>
      <w:r w:rsidRPr="00104F0C">
        <w:t>regretful that the vote wasn't passed by consensus, which exposes a distinct lack of political will on this issue”</w:t>
      </w:r>
      <w:r>
        <w:rPr>
          <w:rStyle w:val="Funotenzeichen"/>
        </w:rPr>
        <w:footnoteReference w:id="36"/>
      </w:r>
      <w:r w:rsidRPr="00104F0C">
        <w:t xml:space="preserve">. </w:t>
      </w:r>
      <w:proofErr w:type="spellStart"/>
      <w:r>
        <w:t>Norgrove</w:t>
      </w:r>
      <w:proofErr w:type="spellEnd"/>
      <w:r>
        <w:t xml:space="preserve"> also </w:t>
      </w:r>
      <w:r w:rsidR="00304627">
        <w:t>underlines the point</w:t>
      </w:r>
      <w:r>
        <w:t xml:space="preserve"> that</w:t>
      </w:r>
      <w:r w:rsidRPr="000F1610">
        <w:t xml:space="preserve"> </w:t>
      </w:r>
      <w:r w:rsidR="00304627">
        <w:t>governments agreeing to a right “</w:t>
      </w:r>
      <w:r w:rsidRPr="000F1610">
        <w:t>doesn’t make any difference really, it’s just about the implementation of that right in practice</w:t>
      </w:r>
      <w:r>
        <w:t>”</w:t>
      </w:r>
      <w:r w:rsidR="00304627">
        <w:rPr>
          <w:rStyle w:val="Funotenzeichen"/>
        </w:rPr>
        <w:footnoteReference w:id="37"/>
      </w:r>
      <w:r>
        <w:t xml:space="preserve">.  </w:t>
      </w:r>
      <w:r w:rsidR="00BB757D">
        <w:t xml:space="preserve">Further reactions to and discussion of the potential impact of the new human right to sanitation will be explored throughout this chapter. </w:t>
      </w:r>
      <w:r w:rsidR="00F75B7B">
        <w:br/>
      </w:r>
    </w:p>
    <w:p w:rsidR="005D42A3" w:rsidRDefault="005D42A3" w:rsidP="005D42A3">
      <w:pPr>
        <w:pStyle w:val="StandardWeb"/>
        <w:rPr>
          <w:b/>
          <w:i/>
        </w:rPr>
      </w:pPr>
      <w:r>
        <w:rPr>
          <w:b/>
          <w:i/>
        </w:rPr>
        <w:t>1.</w:t>
      </w:r>
      <w:r w:rsidR="00A705C0">
        <w:rPr>
          <w:b/>
          <w:i/>
        </w:rPr>
        <w:t>3</w:t>
      </w:r>
      <w:r>
        <w:rPr>
          <w:b/>
          <w:i/>
        </w:rPr>
        <w:tab/>
      </w:r>
      <w:r w:rsidRPr="005D42A3">
        <w:rPr>
          <w:b/>
          <w:i/>
        </w:rPr>
        <w:t>The role of the Special Rapporteur</w:t>
      </w:r>
    </w:p>
    <w:p w:rsidR="00C813A8" w:rsidRDefault="00415441" w:rsidP="00C813A8">
      <w:pPr>
        <w:pStyle w:val="Listenabsatz"/>
        <w:ind w:left="0" w:firstLine="720"/>
        <w:rPr>
          <w:lang w:eastAsia="en-GB"/>
        </w:rPr>
      </w:pPr>
      <w:r>
        <w:t xml:space="preserve">In </w:t>
      </w:r>
      <w:r w:rsidR="00113404">
        <w:t>2008</w:t>
      </w:r>
      <w:r>
        <w:t>, during the UN’s</w:t>
      </w:r>
      <w:r w:rsidR="00C83B7E">
        <w:t xml:space="preserve"> </w:t>
      </w:r>
      <w:r w:rsidR="00113404">
        <w:t xml:space="preserve">‘International Year of Sanitation’, </w:t>
      </w:r>
      <w:proofErr w:type="spellStart"/>
      <w:r w:rsidR="00BB757D">
        <w:t>Catarina</w:t>
      </w:r>
      <w:proofErr w:type="spellEnd"/>
      <w:r w:rsidR="00BB757D">
        <w:t xml:space="preserve"> de Albuquerque was appointed as the</w:t>
      </w:r>
      <w:r w:rsidR="00113404">
        <w:t xml:space="preserve"> first </w:t>
      </w:r>
      <w:r w:rsidR="00BB757D">
        <w:t>thematic</w:t>
      </w:r>
      <w:r w:rsidR="00113404">
        <w:t xml:space="preserve"> Independent Expert on human rights obligations to water and sanitation</w:t>
      </w:r>
      <w:r w:rsidR="00450CBD">
        <w:rPr>
          <w:rStyle w:val="Funotenzeichen"/>
        </w:rPr>
        <w:footnoteReference w:id="38"/>
      </w:r>
      <w:r w:rsidR="00113404">
        <w:t xml:space="preserve">. </w:t>
      </w:r>
      <w:r w:rsidR="00450CBD">
        <w:t>Albuquerque</w:t>
      </w:r>
      <w:r w:rsidR="00516F04">
        <w:t xml:space="preserve"> explains that </w:t>
      </w:r>
      <w:r w:rsidR="00450CBD">
        <w:t xml:space="preserve">her original </w:t>
      </w:r>
      <w:r w:rsidR="00516F04">
        <w:t>“research mandate”</w:t>
      </w:r>
      <w:r w:rsidR="002A0634">
        <w:rPr>
          <w:rStyle w:val="Funotenzeichen"/>
        </w:rPr>
        <w:footnoteReference w:id="39"/>
      </w:r>
      <w:r w:rsidR="00516F04">
        <w:t xml:space="preserve"> </w:t>
      </w:r>
      <w:r w:rsidR="002A0634">
        <w:t xml:space="preserve">was primarily </w:t>
      </w:r>
      <w:r w:rsidR="00516F04">
        <w:t xml:space="preserve">to look into </w:t>
      </w:r>
      <w:r w:rsidR="002A0634">
        <w:t xml:space="preserve">the </w:t>
      </w:r>
      <w:r w:rsidR="00516F04">
        <w:t>“legal aspects of human rights obligations”</w:t>
      </w:r>
      <w:r w:rsidR="00450CBD">
        <w:rPr>
          <w:rStyle w:val="Funotenzeichen"/>
        </w:rPr>
        <w:footnoteReference w:id="40"/>
      </w:r>
      <w:r w:rsidR="00516F04">
        <w:t xml:space="preserve"> </w:t>
      </w:r>
      <w:r w:rsidR="001725B3">
        <w:t>to</w:t>
      </w:r>
      <w:r w:rsidR="00516F04">
        <w:t xml:space="preserve"> water and sanitation</w:t>
      </w:r>
      <w:r w:rsidR="001725B3">
        <w:t xml:space="preserve"> provision </w:t>
      </w:r>
      <w:r w:rsidR="004B2FCC">
        <w:t xml:space="preserve">for </w:t>
      </w:r>
      <w:r w:rsidR="001725B3">
        <w:t>States</w:t>
      </w:r>
      <w:r w:rsidR="00516F04">
        <w:t xml:space="preserve">. </w:t>
      </w:r>
      <w:r w:rsidR="00995810">
        <w:t>The Independent Expert’s</w:t>
      </w:r>
      <w:r w:rsidR="0065581B">
        <w:t xml:space="preserve"> first report to the GA focussed on the normative content of sanitation</w:t>
      </w:r>
      <w:r w:rsidR="008F285A">
        <w:t xml:space="preserve"> and State obligations</w:t>
      </w:r>
      <w:r w:rsidR="00AE7656">
        <w:t xml:space="preserve">. </w:t>
      </w:r>
      <w:r w:rsidR="002D7610">
        <w:t xml:space="preserve">Albuquerque explains </w:t>
      </w:r>
      <w:r w:rsidR="002D7610">
        <w:rPr>
          <w:lang w:eastAsia="en-GB"/>
        </w:rPr>
        <w:t>“my first report was on sanitation</w:t>
      </w:r>
      <w:r w:rsidR="00995810">
        <w:rPr>
          <w:lang w:eastAsia="en-GB"/>
        </w:rPr>
        <w:t>, precisely</w:t>
      </w:r>
      <w:r w:rsidR="002D7610">
        <w:rPr>
          <w:lang w:eastAsia="en-GB"/>
        </w:rPr>
        <w:t xml:space="preserve"> because sanitation is the poor parent - let me put sanitation on the agenda”</w:t>
      </w:r>
      <w:r w:rsidR="002D7610">
        <w:rPr>
          <w:rStyle w:val="Funotenzeichen"/>
          <w:lang w:eastAsia="en-GB"/>
        </w:rPr>
        <w:footnoteReference w:id="41"/>
      </w:r>
      <w:r w:rsidR="00995810">
        <w:rPr>
          <w:lang w:eastAsia="en-GB"/>
        </w:rPr>
        <w:t>.</w:t>
      </w:r>
      <w:r w:rsidR="002D7610">
        <w:rPr>
          <w:lang w:eastAsia="en-GB"/>
        </w:rPr>
        <w:t xml:space="preserve"> </w:t>
      </w:r>
      <w:r w:rsidR="002D7610">
        <w:t xml:space="preserve"> Albuquerque </w:t>
      </w:r>
      <w:r w:rsidR="008F285A">
        <w:t xml:space="preserve">suggests </w:t>
      </w:r>
      <w:r w:rsidR="002D7610">
        <w:t xml:space="preserve">that </w:t>
      </w:r>
      <w:r w:rsidR="0065581B">
        <w:t>her</w:t>
      </w:r>
      <w:r w:rsidR="002D7610">
        <w:t xml:space="preserve"> original mandate was “not a big commitment to sanitation” and inclusion of the term sanitation “was rather used as a mea</w:t>
      </w:r>
      <w:r w:rsidR="008F285A">
        <w:t xml:space="preserve">ns to limit the scope of water”, i.e. </w:t>
      </w:r>
      <w:r w:rsidR="002D7610">
        <w:t>to define water for “personal and domestic use”</w:t>
      </w:r>
      <w:r w:rsidR="002D7610">
        <w:rPr>
          <w:rStyle w:val="Funotenzeichen"/>
        </w:rPr>
        <w:footnoteReference w:id="42"/>
      </w:r>
      <w:r w:rsidR="002D7610">
        <w:t>.</w:t>
      </w:r>
      <w:r w:rsidR="002D7610">
        <w:rPr>
          <w:lang w:eastAsia="en-GB"/>
        </w:rPr>
        <w:t xml:space="preserve"> </w:t>
      </w:r>
      <w:r w:rsidR="00113404">
        <w:t xml:space="preserve">In June 2011, </w:t>
      </w:r>
      <w:r w:rsidR="00993CAC">
        <w:t xml:space="preserve">HRC </w:t>
      </w:r>
      <w:r w:rsidR="003D4519">
        <w:t xml:space="preserve">Resolution </w:t>
      </w:r>
      <w:r w:rsidR="00993CAC">
        <w:t>16</w:t>
      </w:r>
      <w:r w:rsidR="003D4519">
        <w:t xml:space="preserve">/2 extended </w:t>
      </w:r>
      <w:r w:rsidR="00113404">
        <w:t>the mandate of the Independent Expert</w:t>
      </w:r>
      <w:r w:rsidR="00C813A8">
        <w:t>,</w:t>
      </w:r>
      <w:r w:rsidR="002D7610">
        <w:t xml:space="preserve"> </w:t>
      </w:r>
      <w:r w:rsidR="003D4519">
        <w:t>chang</w:t>
      </w:r>
      <w:r w:rsidR="00C813A8">
        <w:t>ing</w:t>
      </w:r>
      <w:r w:rsidR="003D4519">
        <w:t xml:space="preserve"> the role to</w:t>
      </w:r>
      <w:r w:rsidR="00113404">
        <w:t xml:space="preserve"> that of </w:t>
      </w:r>
      <w:r w:rsidR="002D7610">
        <w:t xml:space="preserve">a </w:t>
      </w:r>
      <w:r w:rsidR="00113404" w:rsidRPr="00D07EA5">
        <w:t>Special Rapporteur</w:t>
      </w:r>
      <w:r w:rsidR="00C813A8">
        <w:t xml:space="preserve">. Whereas the previous title of the Independent Expert referred only to </w:t>
      </w:r>
      <w:r w:rsidR="00C813A8" w:rsidRPr="00D07EA5">
        <w:t xml:space="preserve">‘human rights obligations’ </w:t>
      </w:r>
      <w:r w:rsidR="00C813A8">
        <w:t>to water and sanitation, the new</w:t>
      </w:r>
      <w:r w:rsidR="002D7610">
        <w:t xml:space="preserve"> thematic focus </w:t>
      </w:r>
      <w:r w:rsidR="00C813A8">
        <w:t>of the Special Rapporteur explicitly define</w:t>
      </w:r>
      <w:r w:rsidR="00D818A5">
        <w:t>d</w:t>
      </w:r>
      <w:r w:rsidR="00C813A8">
        <w:t xml:space="preserve"> water and sanitation as human rights. Albuquerque explains:</w:t>
      </w:r>
    </w:p>
    <w:p w:rsidR="00C813A8" w:rsidRDefault="00C813A8" w:rsidP="00C813A8"/>
    <w:p w:rsidR="00C813A8" w:rsidRPr="0066786A" w:rsidRDefault="00C813A8" w:rsidP="00C813A8">
      <w:pPr>
        <w:pStyle w:val="Listenabsatz"/>
        <w:rPr>
          <w:i/>
        </w:rPr>
      </w:pPr>
      <w:r w:rsidRPr="0066786A">
        <w:rPr>
          <w:i/>
        </w:rPr>
        <w:t>“</w:t>
      </w:r>
      <w:r w:rsidR="00D818A5">
        <w:rPr>
          <w:i/>
        </w:rPr>
        <w:t>Y</w:t>
      </w:r>
      <w:r w:rsidRPr="0066786A">
        <w:rPr>
          <w:i/>
        </w:rPr>
        <w:t xml:space="preserve">ou have to </w:t>
      </w:r>
      <w:r w:rsidR="00D818A5">
        <w:rPr>
          <w:i/>
        </w:rPr>
        <w:t xml:space="preserve">be </w:t>
      </w:r>
      <w:r w:rsidRPr="0066786A">
        <w:rPr>
          <w:i/>
        </w:rPr>
        <w:t>consistent with what the GA says. If my “human right” is like any other human rights, then I should not have a research mandate, I should rather be a Special Rapporteur, like torture, education or freedom of expression.”</w:t>
      </w:r>
      <w:r w:rsidR="008F285A">
        <w:rPr>
          <w:rStyle w:val="Funotenzeichen"/>
          <w:i/>
        </w:rPr>
        <w:footnoteReference w:id="43"/>
      </w:r>
      <w:r w:rsidRPr="0066786A">
        <w:rPr>
          <w:i/>
        </w:rPr>
        <w:t xml:space="preserve"> </w:t>
      </w:r>
    </w:p>
    <w:p w:rsidR="00C813A8" w:rsidRDefault="00C813A8" w:rsidP="00C813A8">
      <w:pPr>
        <w:pStyle w:val="Listenabsatz"/>
        <w:ind w:left="0"/>
      </w:pPr>
    </w:p>
    <w:p w:rsidR="0066786A" w:rsidRPr="0066786A" w:rsidRDefault="001725B3" w:rsidP="00C813A8">
      <w:pPr>
        <w:pStyle w:val="Listenabsatz"/>
        <w:ind w:left="0"/>
        <w:rPr>
          <w:i/>
        </w:rPr>
      </w:pPr>
      <w:r>
        <w:t xml:space="preserve">Albuquerque </w:t>
      </w:r>
      <w:r w:rsidR="002D7610">
        <w:t xml:space="preserve">acknowledges </w:t>
      </w:r>
      <w:r w:rsidR="00D818A5">
        <w:t xml:space="preserve">that </w:t>
      </w:r>
      <w:r w:rsidR="00113404">
        <w:t xml:space="preserve">“the adoption of the </w:t>
      </w:r>
      <w:r w:rsidR="002D7610">
        <w:t>GA</w:t>
      </w:r>
      <w:r w:rsidR="00113404">
        <w:t xml:space="preserve"> of last </w:t>
      </w:r>
      <w:r w:rsidR="0066786A">
        <w:t>year’s</w:t>
      </w:r>
      <w:r w:rsidR="00113404">
        <w:t xml:space="preserve"> resolution, recognising water and sanitation as a human right had a very important impact in the change of the mandate.”</w:t>
      </w:r>
      <w:r w:rsidR="002D7610">
        <w:rPr>
          <w:rStyle w:val="Funotenzeichen"/>
        </w:rPr>
        <w:footnoteReference w:id="44"/>
      </w:r>
      <w:r w:rsidR="00113404">
        <w:t xml:space="preserve"> </w:t>
      </w:r>
    </w:p>
    <w:p w:rsidR="00B45DA0" w:rsidRPr="00F81B3A" w:rsidRDefault="00B45DA0" w:rsidP="0066786A"/>
    <w:p w:rsidR="00056CC0" w:rsidRDefault="00993CAC" w:rsidP="001D1350">
      <w:r w:rsidRPr="001C7959">
        <w:rPr>
          <w:rFonts w:ascii="Tahoma" w:hAnsi="Tahoma" w:cs="Tahoma"/>
          <w:sz w:val="20"/>
          <w:szCs w:val="20"/>
        </w:rPr>
        <w:tab/>
      </w:r>
      <w:r w:rsidRPr="001C7959">
        <w:t>The Special Rapporteur’s current mandate includes a focus o</w:t>
      </w:r>
      <w:r w:rsidR="00352F22" w:rsidRPr="001C7959">
        <w:t>n</w:t>
      </w:r>
      <w:r w:rsidRPr="001C7959">
        <w:t xml:space="preserve"> </w:t>
      </w:r>
      <w:r w:rsidR="001D1350" w:rsidRPr="001C7959">
        <w:t>“good practices and enabling factors”</w:t>
      </w:r>
      <w:r w:rsidR="001D1350" w:rsidRPr="001C7959">
        <w:rPr>
          <w:rStyle w:val="Funotenzeichen"/>
        </w:rPr>
        <w:footnoteReference w:id="45"/>
      </w:r>
      <w:r w:rsidR="001D1350">
        <w:t xml:space="preserve"> pursuant</w:t>
      </w:r>
      <w:r w:rsidRPr="001C7959">
        <w:t xml:space="preserve"> to the implementation of the human right to water and sanitation</w:t>
      </w:r>
      <w:r w:rsidR="002017C4">
        <w:t xml:space="preserve">. To this end, </w:t>
      </w:r>
      <w:r w:rsidR="00352F22" w:rsidRPr="001C7959">
        <w:t>a ‘</w:t>
      </w:r>
      <w:r w:rsidR="008F285A">
        <w:t>C</w:t>
      </w:r>
      <w:r w:rsidR="00352F22" w:rsidRPr="001C7959">
        <w:t xml:space="preserve">ompendium of </w:t>
      </w:r>
      <w:r w:rsidR="008F285A">
        <w:t>G</w:t>
      </w:r>
      <w:r w:rsidR="00352F22" w:rsidRPr="001C7959">
        <w:t xml:space="preserve">ood </w:t>
      </w:r>
      <w:r w:rsidR="008F285A">
        <w:t>P</w:t>
      </w:r>
      <w:r w:rsidR="00352F22" w:rsidRPr="001C7959">
        <w:t>ractices’</w:t>
      </w:r>
      <w:r w:rsidR="002017C4">
        <w:t xml:space="preserve"> will be presented to the GA in September 2011, </w:t>
      </w:r>
      <w:r w:rsidR="008F285A">
        <w:t>giving</w:t>
      </w:r>
      <w:r w:rsidR="00E6549A">
        <w:t xml:space="preserve"> </w:t>
      </w:r>
      <w:r w:rsidR="002017C4">
        <w:t>examples of</w:t>
      </w:r>
      <w:r w:rsidR="002017C4" w:rsidRPr="002372CB">
        <w:t xml:space="preserve"> </w:t>
      </w:r>
      <w:r w:rsidR="008F285A">
        <w:t xml:space="preserve">positive </w:t>
      </w:r>
      <w:r w:rsidR="002017C4">
        <w:t>“</w:t>
      </w:r>
      <w:r w:rsidR="002017C4" w:rsidRPr="002372CB">
        <w:t>legislation, planning, service delivery, advocacy and capacity building, monitoring and litigation</w:t>
      </w:r>
      <w:r w:rsidR="002017C4">
        <w:t>”</w:t>
      </w:r>
      <w:r w:rsidR="002017C4">
        <w:rPr>
          <w:rStyle w:val="Funotenzeichen"/>
        </w:rPr>
        <w:footnoteReference w:id="46"/>
      </w:r>
      <w:r w:rsidR="002017C4" w:rsidRPr="001C7959">
        <w:t xml:space="preserve"> </w:t>
      </w:r>
      <w:r w:rsidR="00E6549A">
        <w:t>. In compiling these good practices</w:t>
      </w:r>
      <w:r w:rsidR="00C813A8">
        <w:t>,</w:t>
      </w:r>
      <w:r w:rsidR="00E6549A">
        <w:t xml:space="preserve"> </w:t>
      </w:r>
      <w:r w:rsidR="005B2D10" w:rsidRPr="001C7959">
        <w:t>Albuquerque</w:t>
      </w:r>
      <w:r w:rsidR="00E6549A">
        <w:t xml:space="preserve"> </w:t>
      </w:r>
      <w:r w:rsidR="008F285A">
        <w:t xml:space="preserve">(2011) </w:t>
      </w:r>
      <w:r w:rsidR="00E6549A">
        <w:t xml:space="preserve">applied five </w:t>
      </w:r>
      <w:r w:rsidR="00E6549A" w:rsidRPr="002372CB">
        <w:t xml:space="preserve">normative </w:t>
      </w:r>
      <w:r w:rsidR="00E6549A">
        <w:t>criteria; “</w:t>
      </w:r>
      <w:r w:rsidR="00E6549A" w:rsidRPr="002372CB">
        <w:t>availability, accessibility, quality/safety, affordability, acceptability</w:t>
      </w:r>
      <w:r w:rsidR="00E6549A">
        <w:t>”</w:t>
      </w:r>
      <w:r w:rsidR="00E6549A" w:rsidRPr="002372CB">
        <w:t xml:space="preserve"> and five cross-cutting </w:t>
      </w:r>
      <w:r w:rsidR="00E6549A">
        <w:t>criteria; “</w:t>
      </w:r>
      <w:r w:rsidR="00E6549A" w:rsidRPr="002372CB">
        <w:t>non-discrimination, participation, accountability, impact and sustainability</w:t>
      </w:r>
      <w:r w:rsidR="00E6549A">
        <w:t>”</w:t>
      </w:r>
      <w:r w:rsidR="00E6549A">
        <w:rPr>
          <w:rStyle w:val="Funotenzeichen"/>
        </w:rPr>
        <w:footnoteReference w:id="47"/>
      </w:r>
      <w:r w:rsidR="00E6549A" w:rsidRPr="002372CB">
        <w:t xml:space="preserve">. </w:t>
      </w:r>
      <w:r w:rsidR="00457E7C">
        <w:t xml:space="preserve">Albuquerque </w:t>
      </w:r>
      <w:r w:rsidR="008F285A">
        <w:t xml:space="preserve">(2011) </w:t>
      </w:r>
      <w:r w:rsidR="00457E7C">
        <w:t>discusses applicability of the right to sanitation</w:t>
      </w:r>
      <w:r w:rsidR="00D818A5">
        <w:t xml:space="preserve">, </w:t>
      </w:r>
      <w:r w:rsidR="00457E7C">
        <w:t>State accountability and the need to create “reliable and effective judicial and administrative c</w:t>
      </w:r>
      <w:r w:rsidR="00C813A8">
        <w:t>omplaints mechanisms that allow</w:t>
      </w:r>
      <w:r w:rsidR="00457E7C">
        <w:t xml:space="preserve"> individuals to air and satisfactorily redress their governments”</w:t>
      </w:r>
      <w:r w:rsidR="00457E7C">
        <w:rPr>
          <w:rStyle w:val="Funotenzeichen"/>
        </w:rPr>
        <w:footnoteReference w:id="48"/>
      </w:r>
      <w:r w:rsidR="001D1350">
        <w:t xml:space="preserve"> </w:t>
      </w:r>
      <w:r w:rsidR="00E6549A">
        <w:t>The Special Rapporteur highlights the significance of the legally binding right to sanitation to the “formation of international customary law”</w:t>
      </w:r>
      <w:r w:rsidR="00E6549A">
        <w:rPr>
          <w:rStyle w:val="Funotenzeichen"/>
        </w:rPr>
        <w:footnoteReference w:id="49"/>
      </w:r>
      <w:r w:rsidR="00E6549A">
        <w:t xml:space="preserve"> </w:t>
      </w:r>
      <w:r w:rsidR="00E6549A">
        <w:rPr>
          <w:color w:val="000000"/>
        </w:rPr>
        <w:t>and notes that “while there is less jurisprudence in support of the right to sanitation, the body of case law is slowly growing.”</w:t>
      </w:r>
      <w:r w:rsidR="00E6549A">
        <w:rPr>
          <w:rStyle w:val="Funotenzeichen"/>
          <w:color w:val="000000"/>
        </w:rPr>
        <w:footnoteReference w:id="50"/>
      </w:r>
      <w:r w:rsidR="00E6549A" w:rsidRPr="001C7959">
        <w:t xml:space="preserve"> </w:t>
      </w:r>
      <w:r w:rsidR="008F285A">
        <w:t>.</w:t>
      </w:r>
      <w:r w:rsidR="00675059" w:rsidRPr="00675059">
        <w:t xml:space="preserve"> </w:t>
      </w:r>
      <w:r w:rsidR="00675059">
        <w:t xml:space="preserve">The </w:t>
      </w:r>
      <w:r w:rsidR="00D818A5">
        <w:t xml:space="preserve">legal </w:t>
      </w:r>
      <w:r w:rsidR="00675059">
        <w:t xml:space="preserve">right to sanitation </w:t>
      </w:r>
      <w:r w:rsidR="00D818A5">
        <w:t xml:space="preserve">can therefore </w:t>
      </w:r>
      <w:r w:rsidR="00675059">
        <w:t>be understood as “</w:t>
      </w:r>
      <w:proofErr w:type="spellStart"/>
      <w:r w:rsidR="00675059" w:rsidRPr="007679F0">
        <w:rPr>
          <w:i/>
        </w:rPr>
        <w:t>lex</w:t>
      </w:r>
      <w:proofErr w:type="spellEnd"/>
      <w:r w:rsidR="00675059" w:rsidRPr="007679F0">
        <w:rPr>
          <w:i/>
        </w:rPr>
        <w:t xml:space="preserve"> </w:t>
      </w:r>
      <w:proofErr w:type="spellStart"/>
      <w:r w:rsidR="00675059" w:rsidRPr="007679F0">
        <w:rPr>
          <w:i/>
        </w:rPr>
        <w:t>ferenda</w:t>
      </w:r>
      <w:proofErr w:type="spellEnd"/>
      <w:r w:rsidR="00675059">
        <w:t>,</w:t>
      </w:r>
      <w:r w:rsidR="00675059" w:rsidRPr="00675059">
        <w:t xml:space="preserve"> </w:t>
      </w:r>
      <w:r w:rsidR="00675059">
        <w:t>part of the body of law being developed”</w:t>
      </w:r>
      <w:r w:rsidR="00675059">
        <w:rPr>
          <w:rStyle w:val="Funotenzeichen"/>
        </w:rPr>
        <w:footnoteReference w:id="51"/>
      </w:r>
      <w:r w:rsidR="00675059">
        <w:t xml:space="preserve">. </w:t>
      </w:r>
    </w:p>
    <w:p w:rsidR="001667B2" w:rsidRDefault="001667B2" w:rsidP="001D1350"/>
    <w:p w:rsidR="001667B2" w:rsidRDefault="0014340E" w:rsidP="001667B2">
      <w:pPr>
        <w:pStyle w:val="Listenabsatz"/>
        <w:ind w:left="0" w:firstLine="720"/>
        <w:rPr>
          <w:rStyle w:val="Hervorhebung"/>
          <w:i w:val="0"/>
          <w:color w:val="000000"/>
        </w:rPr>
      </w:pPr>
      <w:r>
        <w:t xml:space="preserve">Crucially, the </w:t>
      </w:r>
      <w:r w:rsidR="00877A2A">
        <w:t>Special Rapporteur</w:t>
      </w:r>
      <w:r w:rsidR="00872841">
        <w:t>’s mandate helps establish</w:t>
      </w:r>
      <w:r w:rsidR="00675059">
        <w:t xml:space="preserve"> </w:t>
      </w:r>
      <w:r>
        <w:t xml:space="preserve">sanitation a distinct human </w:t>
      </w:r>
      <w:r w:rsidR="00872841">
        <w:t>right that can be independent of the right to</w:t>
      </w:r>
      <w:r>
        <w:t xml:space="preserve"> water. </w:t>
      </w:r>
      <w:r w:rsidR="00872841">
        <w:t xml:space="preserve">Special procedures tasked to the Office of the High Commissioner of Human Rights (OHCHR) enable the Special Rapporteur to conduct State visits, which have focussed on access to sanitation. </w:t>
      </w:r>
      <w:r w:rsidR="005527ED">
        <w:t>Regarding</w:t>
      </w:r>
      <w:r>
        <w:t xml:space="preserve"> a recent</w:t>
      </w:r>
      <w:r w:rsidR="00877A2A">
        <w:t xml:space="preserve"> country visit to the United States</w:t>
      </w:r>
      <w:r w:rsidR="005527ED">
        <w:t>, Albuquerque reflects:</w:t>
      </w:r>
      <w:r w:rsidR="002D270F">
        <w:t xml:space="preserve"> “one of the things that shocked me most in all my country visits was a discussion with a homeles</w:t>
      </w:r>
      <w:r w:rsidR="00872841">
        <w:t>s man in Sacramento, California</w:t>
      </w:r>
      <w:r w:rsidR="002D270F">
        <w:t>”</w:t>
      </w:r>
      <w:r w:rsidR="002D270F">
        <w:rPr>
          <w:rStyle w:val="Funotenzeichen"/>
        </w:rPr>
        <w:footnoteReference w:id="52"/>
      </w:r>
      <w:r w:rsidR="00872841">
        <w:t>.</w:t>
      </w:r>
      <w:r w:rsidR="002D270F" w:rsidRPr="004C7669">
        <w:t xml:space="preserve"> </w:t>
      </w:r>
      <w:r w:rsidR="00794930">
        <w:t>The US country report brings</w:t>
      </w:r>
      <w:r w:rsidR="008053B2">
        <w:t xml:space="preserve"> attention to </w:t>
      </w:r>
      <w:r w:rsidR="002D270F">
        <w:t xml:space="preserve">fact that </w:t>
      </w:r>
      <w:r w:rsidR="001667B2">
        <w:rPr>
          <w:rStyle w:val="Hervorhebung"/>
          <w:i w:val="0"/>
          <w:color w:val="000000"/>
        </w:rPr>
        <w:t>“access to water and sanitation must be ensured for homeless people”</w:t>
      </w:r>
      <w:r w:rsidR="001667B2">
        <w:rPr>
          <w:rStyle w:val="Funotenzeichen"/>
          <w:iCs/>
          <w:color w:val="000000"/>
        </w:rPr>
        <w:footnoteReference w:id="53"/>
      </w:r>
      <w:r w:rsidR="001667B2">
        <w:rPr>
          <w:rStyle w:val="Hervorhebung"/>
          <w:i w:val="0"/>
          <w:color w:val="000000"/>
        </w:rPr>
        <w:t>. Without access to public toilets, the flipside is that national laws “prohibiting public urination and defection can be discriminatory”</w:t>
      </w:r>
      <w:r w:rsidR="001667B2">
        <w:rPr>
          <w:rStyle w:val="Funotenzeichen"/>
          <w:iCs/>
          <w:color w:val="000000"/>
        </w:rPr>
        <w:footnoteReference w:id="54"/>
      </w:r>
      <w:r w:rsidR="00872841">
        <w:rPr>
          <w:rStyle w:val="Hervorhebung"/>
          <w:i w:val="0"/>
          <w:color w:val="000000"/>
        </w:rPr>
        <w:t>.</w:t>
      </w:r>
      <w:r w:rsidR="001667B2">
        <w:rPr>
          <w:rStyle w:val="Hervorhebung"/>
          <w:i w:val="0"/>
          <w:color w:val="000000"/>
        </w:rPr>
        <w:t xml:space="preserve"> </w:t>
      </w:r>
      <w:r w:rsidR="001667B2">
        <w:t xml:space="preserve">Interestingly, the Special Rapporteur has </w:t>
      </w:r>
      <w:r w:rsidR="002D270F">
        <w:t xml:space="preserve">since </w:t>
      </w:r>
      <w:r w:rsidR="001667B2">
        <w:t xml:space="preserve">received a correspondence from Sacramento which she intends to raise with the US government. </w:t>
      </w:r>
      <w:r w:rsidR="006C30ED">
        <w:rPr>
          <w:rStyle w:val="Hervorhebung"/>
          <w:i w:val="0"/>
          <w:color w:val="000000"/>
        </w:rPr>
        <w:t xml:space="preserve">Charting the progress of this new rights claim from Sacramento could be very </w:t>
      </w:r>
      <w:r w:rsidR="00A025BF">
        <w:rPr>
          <w:rStyle w:val="Hervorhebung"/>
          <w:i w:val="0"/>
          <w:color w:val="000000"/>
        </w:rPr>
        <w:t>significant</w:t>
      </w:r>
      <w:r w:rsidR="006C30ED">
        <w:rPr>
          <w:rStyle w:val="Hervorhebung"/>
          <w:i w:val="0"/>
          <w:color w:val="000000"/>
        </w:rPr>
        <w:t xml:space="preserve">. </w:t>
      </w:r>
      <w:r w:rsidR="006C30ED">
        <w:t xml:space="preserve">This may be one of the first </w:t>
      </w:r>
      <w:r w:rsidR="00872841">
        <w:t>‘</w:t>
      </w:r>
      <w:r w:rsidR="006C30ED">
        <w:t>right to sanitation</w:t>
      </w:r>
      <w:r w:rsidR="00872841">
        <w:t>’</w:t>
      </w:r>
      <w:r w:rsidR="006C30ED">
        <w:t xml:space="preserve"> individual petitions raised at the UN and</w:t>
      </w:r>
      <w:r w:rsidR="00F76ED7">
        <w:t xml:space="preserve"> theoretically, </w:t>
      </w:r>
      <w:r w:rsidR="006C30ED">
        <w:t xml:space="preserve">the US response could help set a </w:t>
      </w:r>
      <w:r w:rsidR="00F86336">
        <w:t xml:space="preserve">new </w:t>
      </w:r>
      <w:r w:rsidR="006C30ED">
        <w:t>legal precedent.</w:t>
      </w:r>
      <w:r w:rsidR="002D270F" w:rsidRPr="002D270F">
        <w:t xml:space="preserve"> </w:t>
      </w:r>
      <w:r w:rsidR="002D270F">
        <w:t xml:space="preserve">The human right to sanitation </w:t>
      </w:r>
      <w:r w:rsidR="00A025BF">
        <w:t xml:space="preserve">for homeless people </w:t>
      </w:r>
      <w:r w:rsidR="002D270F">
        <w:t>would negate the argument that a State is unable to recognise ‘illegal’ or ‘unofficial’ slum dwellers</w:t>
      </w:r>
      <w:r w:rsidR="006517A4">
        <w:t>.</w:t>
      </w:r>
      <w:r w:rsidR="00A025BF">
        <w:t xml:space="preserve"> </w:t>
      </w:r>
      <w:r w:rsidR="006517A4">
        <w:t xml:space="preserve">The </w:t>
      </w:r>
      <w:r w:rsidR="00D818A5">
        <w:t xml:space="preserve">universal </w:t>
      </w:r>
      <w:r w:rsidR="006517A4">
        <w:t>right to sanitation</w:t>
      </w:r>
      <w:r w:rsidR="002D270F">
        <w:rPr>
          <w:rStyle w:val="Hervorhebung"/>
          <w:i w:val="0"/>
          <w:color w:val="000000"/>
        </w:rPr>
        <w:t xml:space="preserve"> appl</w:t>
      </w:r>
      <w:r w:rsidR="00D818A5">
        <w:rPr>
          <w:rStyle w:val="Hervorhebung"/>
          <w:i w:val="0"/>
          <w:color w:val="000000"/>
        </w:rPr>
        <w:t>ies</w:t>
      </w:r>
      <w:r w:rsidR="002D270F">
        <w:rPr>
          <w:rStyle w:val="Hervorhebung"/>
          <w:i w:val="0"/>
          <w:color w:val="000000"/>
        </w:rPr>
        <w:t xml:space="preserve"> regardless of </w:t>
      </w:r>
      <w:r w:rsidR="00A025BF">
        <w:rPr>
          <w:rStyle w:val="Hervorhebung"/>
          <w:i w:val="0"/>
          <w:color w:val="000000"/>
        </w:rPr>
        <w:t xml:space="preserve">the </w:t>
      </w:r>
      <w:r w:rsidR="002D270F">
        <w:rPr>
          <w:rStyle w:val="Hervorhebung"/>
          <w:i w:val="0"/>
          <w:color w:val="000000"/>
        </w:rPr>
        <w:t>domestic situation of the individual raising the claim.</w:t>
      </w:r>
    </w:p>
    <w:p w:rsidR="001667B2" w:rsidRDefault="001667B2" w:rsidP="001667B2">
      <w:pPr>
        <w:pStyle w:val="Listenabsatz"/>
        <w:ind w:left="0" w:firstLine="720"/>
        <w:rPr>
          <w:rStyle w:val="Hervorhebung"/>
          <w:i w:val="0"/>
          <w:color w:val="000000"/>
        </w:rPr>
      </w:pPr>
    </w:p>
    <w:p w:rsidR="003A54C2" w:rsidRPr="008C02EC" w:rsidRDefault="003A54C2" w:rsidP="008C02EC">
      <w:pPr>
        <w:rPr>
          <w:rFonts w:ascii="Tahoma" w:hAnsi="Tahoma" w:cs="Tahoma"/>
          <w:color w:val="2A2A2A"/>
          <w:sz w:val="20"/>
          <w:szCs w:val="20"/>
        </w:rPr>
      </w:pPr>
    </w:p>
    <w:p w:rsidR="00CF10EB" w:rsidRPr="00773532" w:rsidRDefault="00773532" w:rsidP="00CF10EB">
      <w:pPr>
        <w:spacing w:after="200" w:line="276" w:lineRule="auto"/>
        <w:rPr>
          <w:b/>
          <w:i/>
        </w:rPr>
      </w:pPr>
      <w:r w:rsidRPr="00773532">
        <w:rPr>
          <w:b/>
          <w:i/>
        </w:rPr>
        <w:t>1.</w:t>
      </w:r>
      <w:r w:rsidR="00855394">
        <w:rPr>
          <w:b/>
          <w:i/>
        </w:rPr>
        <w:t>4</w:t>
      </w:r>
      <w:r w:rsidR="005D42A3">
        <w:rPr>
          <w:b/>
          <w:i/>
        </w:rPr>
        <w:tab/>
      </w:r>
      <w:r w:rsidRPr="00773532">
        <w:rPr>
          <w:b/>
          <w:i/>
        </w:rPr>
        <w:t xml:space="preserve"> </w:t>
      </w:r>
      <w:r w:rsidR="00A253BC">
        <w:rPr>
          <w:b/>
          <w:i/>
        </w:rPr>
        <w:t>I</w:t>
      </w:r>
      <w:r w:rsidRPr="00773532">
        <w:rPr>
          <w:b/>
          <w:i/>
        </w:rPr>
        <w:t xml:space="preserve">nternational </w:t>
      </w:r>
      <w:r w:rsidR="005A6926">
        <w:rPr>
          <w:b/>
          <w:i/>
        </w:rPr>
        <w:t xml:space="preserve">campaigns and </w:t>
      </w:r>
      <w:r w:rsidR="007243AE">
        <w:rPr>
          <w:b/>
          <w:i/>
        </w:rPr>
        <w:t>advocacy</w:t>
      </w:r>
    </w:p>
    <w:p w:rsidR="001B0392" w:rsidRDefault="006461C1" w:rsidP="001B0392">
      <w:pPr>
        <w:pStyle w:val="StandardWeb"/>
        <w:ind w:firstLine="720"/>
        <w:rPr>
          <w:color w:val="000000"/>
        </w:rPr>
      </w:pPr>
      <w:r>
        <w:t>This sectio</w:t>
      </w:r>
      <w:r w:rsidR="003D16EC">
        <w:t xml:space="preserve">n will </w:t>
      </w:r>
      <w:r w:rsidR="00FD14F6">
        <w:t>explore how the human right to sanitation may impact international advocacy work</w:t>
      </w:r>
      <w:r w:rsidR="00694BDA" w:rsidRPr="00694BDA">
        <w:t xml:space="preserve"> </w:t>
      </w:r>
      <w:r w:rsidR="00694BDA">
        <w:t xml:space="preserve">and </w:t>
      </w:r>
      <w:r w:rsidR="007F32CE">
        <w:t xml:space="preserve">will discuss </w:t>
      </w:r>
      <w:r w:rsidR="00694BDA">
        <w:t xml:space="preserve">what a distinct human right to sanitation </w:t>
      </w:r>
      <w:r w:rsidR="00855394">
        <w:t>might offer</w:t>
      </w:r>
      <w:r w:rsidR="00694BDA">
        <w:t xml:space="preserve"> a safe-shit advocate’s toolkit. </w:t>
      </w:r>
      <w:r w:rsidR="00FD14F6">
        <w:t xml:space="preserve"> </w:t>
      </w:r>
      <w:r w:rsidR="007243AE">
        <w:t xml:space="preserve">Specifically, this section will consider the work of </w:t>
      </w:r>
      <w:r w:rsidR="007F32CE">
        <w:t>EWP</w:t>
      </w:r>
      <w:r w:rsidR="007243AE">
        <w:t>, the Water Security and Sanitation Collaborative Council (WSSCC), the Sanitation and Water for All (SWA) global initiative, World Vision</w:t>
      </w:r>
      <w:r w:rsidR="001706A2">
        <w:t xml:space="preserve">, </w:t>
      </w:r>
      <w:proofErr w:type="spellStart"/>
      <w:r w:rsidR="001706A2">
        <w:t>WaterAid</w:t>
      </w:r>
      <w:proofErr w:type="spellEnd"/>
      <w:r w:rsidR="007243AE">
        <w:t xml:space="preserve"> and UNICEF. </w:t>
      </w:r>
      <w:r w:rsidR="00C20D41">
        <w:t xml:space="preserve">Clifford Bob (2009) </w:t>
      </w:r>
      <w:r w:rsidR="001B0392">
        <w:t>argues</w:t>
      </w:r>
      <w:r w:rsidR="00C20D41">
        <w:t xml:space="preserve"> that “for international audiences, invoking a right can suggest a cause’s worthiness – even if the underlying grievance is complicated, ambiguous or contested”</w:t>
      </w:r>
      <w:r w:rsidR="00C20D41">
        <w:rPr>
          <w:rStyle w:val="Funotenzeichen"/>
        </w:rPr>
        <w:footnoteReference w:id="55"/>
      </w:r>
      <w:r w:rsidR="007F32CE">
        <w:t xml:space="preserve">. </w:t>
      </w:r>
      <w:proofErr w:type="spellStart"/>
      <w:r w:rsidR="00E65A69">
        <w:t>Thiago</w:t>
      </w:r>
      <w:proofErr w:type="spellEnd"/>
      <w:r w:rsidR="00E65A69">
        <w:t xml:space="preserve"> </w:t>
      </w:r>
      <w:proofErr w:type="spellStart"/>
      <w:r w:rsidR="00E65A69">
        <w:t>Luchesi</w:t>
      </w:r>
      <w:proofErr w:type="spellEnd"/>
      <w:r w:rsidR="00E65A69">
        <w:t xml:space="preserve"> of World Vision suggests that </w:t>
      </w:r>
      <w:r w:rsidR="00E65A69" w:rsidRPr="00826659">
        <w:t>“resolutions such as the one on the right to sanitation help us in structuring our advocacy strategies”</w:t>
      </w:r>
      <w:r w:rsidR="00F878C0">
        <w:rPr>
          <w:rStyle w:val="Funotenzeichen"/>
        </w:rPr>
        <w:footnoteReference w:id="56"/>
      </w:r>
      <w:r w:rsidR="00E65A69">
        <w:t xml:space="preserve"> </w:t>
      </w:r>
      <w:r w:rsidR="001B0392">
        <w:t>Th</w:t>
      </w:r>
      <w:r w:rsidR="008F5D76">
        <w:t xml:space="preserve">e </w:t>
      </w:r>
      <w:r w:rsidR="001B0392">
        <w:t xml:space="preserve">role of TANs in furthering a cause can be understood through Della </w:t>
      </w:r>
      <w:proofErr w:type="spellStart"/>
      <w:r w:rsidR="001B0392">
        <w:t>Porta</w:t>
      </w:r>
      <w:proofErr w:type="spellEnd"/>
      <w:r w:rsidR="001B0392">
        <w:t xml:space="preserve"> and </w:t>
      </w:r>
      <w:proofErr w:type="spellStart"/>
      <w:r w:rsidR="001B0392">
        <w:t>Tarrow’s</w:t>
      </w:r>
      <w:proofErr w:type="spellEnd"/>
      <w:r w:rsidR="001B0392">
        <w:t xml:space="preserve"> (200</w:t>
      </w:r>
      <w:r w:rsidR="00950E94">
        <w:t>5</w:t>
      </w:r>
      <w:r w:rsidR="001B0392">
        <w:t>) d</w:t>
      </w:r>
      <w:r w:rsidR="008F5D76">
        <w:t>iscussion</w:t>
      </w:r>
      <w:r w:rsidR="001B0392">
        <w:t xml:space="preserve"> of </w:t>
      </w:r>
      <w:r w:rsidR="0092165F">
        <w:t xml:space="preserve">Kathryn </w:t>
      </w:r>
      <w:proofErr w:type="spellStart"/>
      <w:r w:rsidR="0092165F">
        <w:t>Sikkink’s</w:t>
      </w:r>
      <w:proofErr w:type="spellEnd"/>
      <w:r w:rsidR="0092165F">
        <w:t xml:space="preserve"> (1998) “insider-outsider coalitions”, </w:t>
      </w:r>
      <w:r w:rsidR="001B0392">
        <w:t>in that “transnational actors must gain access to the political systems of their target State and contribute to the winning coalitions in order to change decisions”</w:t>
      </w:r>
      <w:r w:rsidR="001B0392">
        <w:rPr>
          <w:rStyle w:val="Funotenzeichen"/>
        </w:rPr>
        <w:footnoteReference w:id="57"/>
      </w:r>
      <w:r w:rsidR="001B0392">
        <w:t xml:space="preserve">. </w:t>
      </w:r>
      <w:proofErr w:type="spellStart"/>
      <w:r w:rsidR="001B0392">
        <w:t>Ri</w:t>
      </w:r>
      <w:r w:rsidR="0045689F">
        <w:t>s</w:t>
      </w:r>
      <w:r w:rsidR="001B0392">
        <w:t>se</w:t>
      </w:r>
      <w:proofErr w:type="spellEnd"/>
      <w:r w:rsidR="001B0392">
        <w:t xml:space="preserve">, </w:t>
      </w:r>
      <w:proofErr w:type="spellStart"/>
      <w:r w:rsidR="001B0392">
        <w:t>Ropp</w:t>
      </w:r>
      <w:proofErr w:type="spellEnd"/>
      <w:r w:rsidR="001B0392">
        <w:t xml:space="preserve"> </w:t>
      </w:r>
      <w:r w:rsidR="00D010A0">
        <w:t xml:space="preserve">and </w:t>
      </w:r>
      <w:proofErr w:type="spellStart"/>
      <w:r w:rsidR="00D010A0">
        <w:t>Sikkink</w:t>
      </w:r>
      <w:proofErr w:type="spellEnd"/>
      <w:r w:rsidR="00D010A0">
        <w:t xml:space="preserve"> (199</w:t>
      </w:r>
      <w:r w:rsidR="001B0392">
        <w:t xml:space="preserve">9) suggest that </w:t>
      </w:r>
      <w:r w:rsidR="00DC751F">
        <w:t xml:space="preserve">the successful socialisation of new norms involves </w:t>
      </w:r>
      <w:r w:rsidR="001B0392">
        <w:t>“moral discourse</w:t>
      </w:r>
      <w:r w:rsidR="00DC751F">
        <w:t>” which “</w:t>
      </w:r>
      <w:r w:rsidR="001B0392">
        <w:t xml:space="preserve">emphasises </w:t>
      </w:r>
      <w:r w:rsidR="00DC751F">
        <w:t>processes of communication, argumentation and persuasion”</w:t>
      </w:r>
      <w:r w:rsidR="00DC751F">
        <w:rPr>
          <w:rStyle w:val="Funotenzeichen"/>
        </w:rPr>
        <w:footnoteReference w:id="58"/>
      </w:r>
      <w:r w:rsidR="00C80354">
        <w:t>. Such a</w:t>
      </w:r>
      <w:r w:rsidR="001B0392">
        <w:t>dvocacy networks</w:t>
      </w:r>
      <w:r w:rsidR="00C80354">
        <w:t xml:space="preserve"> </w:t>
      </w:r>
      <w:r w:rsidR="001B0392">
        <w:t>can contribute to the acceptance of new international norms</w:t>
      </w:r>
      <w:r w:rsidR="0045689F">
        <w:t xml:space="preserve"> and often correspond to the over-arching goals of specific campaigns. </w:t>
      </w:r>
    </w:p>
    <w:p w:rsidR="0073253F" w:rsidRDefault="00DC751F" w:rsidP="0073253F">
      <w:pPr>
        <w:ind w:firstLine="720"/>
      </w:pPr>
      <w:r>
        <w:t xml:space="preserve">EWP </w:t>
      </w:r>
      <w:r w:rsidR="00010BEB">
        <w:t>represent</w:t>
      </w:r>
      <w:r w:rsidR="00804A8A">
        <w:t xml:space="preserve"> a global network of some 180 organisations </w:t>
      </w:r>
      <w:r w:rsidR="00010BEB">
        <w:t>which</w:t>
      </w:r>
      <w:r w:rsidR="00804A8A">
        <w:t xml:space="preserve"> works to harmonise water an</w:t>
      </w:r>
      <w:r>
        <w:t>d sanitation campaign messages</w:t>
      </w:r>
      <w:r w:rsidR="00111C12">
        <w:t>. EWP aims</w:t>
      </w:r>
      <w:r>
        <w:t xml:space="preserve"> </w:t>
      </w:r>
      <w:r w:rsidR="00804A8A">
        <w:t xml:space="preserve">to </w:t>
      </w:r>
      <w:r>
        <w:t xml:space="preserve">act as </w:t>
      </w:r>
      <w:r w:rsidR="00804A8A" w:rsidRPr="000F1610">
        <w:t>“</w:t>
      </w:r>
      <w:r w:rsidR="00804A8A" w:rsidRPr="00651155">
        <w:rPr>
          <w:i/>
        </w:rPr>
        <w:t>the</w:t>
      </w:r>
      <w:r w:rsidR="00804A8A" w:rsidRPr="000F1610">
        <w:t xml:space="preserve"> targeted campaign for people campaigning on water and sanitation.”</w:t>
      </w:r>
      <w:r>
        <w:rPr>
          <w:rStyle w:val="Funotenzeichen"/>
        </w:rPr>
        <w:footnoteReference w:id="59"/>
      </w:r>
      <w:r w:rsidR="00111C12" w:rsidRPr="00111C12">
        <w:t xml:space="preserve"> </w:t>
      </w:r>
      <w:r w:rsidR="00111C12">
        <w:t>Andersen explains that EWP primarily “</w:t>
      </w:r>
      <w:r w:rsidR="00111C12" w:rsidRPr="000F1610">
        <w:t>looks a</w:t>
      </w:r>
      <w:r w:rsidR="00111C12">
        <w:t xml:space="preserve">t other International NGOs and asks - how can </w:t>
      </w:r>
      <w:r w:rsidR="00111C12" w:rsidRPr="000F1610">
        <w:t>we increase their influence</w:t>
      </w:r>
      <w:r w:rsidR="00111C12">
        <w:t>?</w:t>
      </w:r>
      <w:r w:rsidR="00111C12" w:rsidRPr="000F1610">
        <w:t>”</w:t>
      </w:r>
      <w:r w:rsidR="00010BEB">
        <w:rPr>
          <w:rStyle w:val="Funotenzeichen"/>
        </w:rPr>
        <w:footnoteReference w:id="60"/>
      </w:r>
      <w:r w:rsidR="00111C12">
        <w:t xml:space="preserve"> In this sense, EWP can be seen to have a focal role in coordinating a TAN on water and sanitation.</w:t>
      </w:r>
      <w:r w:rsidR="00804A8A">
        <w:t xml:space="preserve"> EWP’s campaign strategy for 2011-2013 </w:t>
      </w:r>
      <w:r w:rsidR="00111C12">
        <w:t>s</w:t>
      </w:r>
      <w:r w:rsidR="00804A8A">
        <w:t>eek</w:t>
      </w:r>
      <w:r w:rsidR="00111C12">
        <w:t>s</w:t>
      </w:r>
      <w:r w:rsidR="00804A8A">
        <w:t xml:space="preserve"> to focus on three underlying aims</w:t>
      </w:r>
      <w:r w:rsidR="00C80354">
        <w:t xml:space="preserve">: </w:t>
      </w:r>
      <w:r w:rsidR="00C80354" w:rsidRPr="00C80354">
        <w:t>(</w:t>
      </w:r>
      <w:proofErr w:type="spellStart"/>
      <w:r w:rsidR="00C80354">
        <w:t>i</w:t>
      </w:r>
      <w:proofErr w:type="spellEnd"/>
      <w:r w:rsidR="00C80354" w:rsidRPr="00C80354">
        <w:t>)</w:t>
      </w:r>
      <w:r w:rsidR="00C80354">
        <w:t xml:space="preserve"> </w:t>
      </w:r>
      <w:r w:rsidR="00804A8A">
        <w:t xml:space="preserve">to raise </w:t>
      </w:r>
      <w:r w:rsidR="00804A8A" w:rsidRPr="00E732D3">
        <w:t>“water and sanitation higher on the agenda”</w:t>
      </w:r>
      <w:r w:rsidR="008F64A2">
        <w:rPr>
          <w:rStyle w:val="Funotenzeichen"/>
        </w:rPr>
        <w:footnoteReference w:id="61"/>
      </w:r>
      <w:r w:rsidR="00C80354">
        <w:t xml:space="preserve"> (ii)</w:t>
      </w:r>
      <w:r w:rsidR="00722B78">
        <w:t xml:space="preserve"> to</w:t>
      </w:r>
      <w:r w:rsidR="00804A8A" w:rsidRPr="00E732D3">
        <w:t xml:space="preserve"> see that </w:t>
      </w:r>
      <w:r w:rsidR="00804A8A" w:rsidRPr="00E732D3">
        <w:rPr>
          <w:color w:val="3D514F"/>
        </w:rPr>
        <w:t>“</w:t>
      </w:r>
      <w:r w:rsidR="00804A8A" w:rsidRPr="00E732D3">
        <w:t>WASH funding is allocated to the most marginalised countries”</w:t>
      </w:r>
      <w:r w:rsidR="008F64A2">
        <w:rPr>
          <w:rStyle w:val="Funotenzeichen"/>
        </w:rPr>
        <w:footnoteReference w:id="62"/>
      </w:r>
      <w:r w:rsidR="00C80354">
        <w:t xml:space="preserve"> and (iii) </w:t>
      </w:r>
      <w:r w:rsidR="00722B78">
        <w:t>to</w:t>
      </w:r>
      <w:r w:rsidR="00804A8A">
        <w:t xml:space="preserve"> “</w:t>
      </w:r>
      <w:r w:rsidR="00804A8A" w:rsidRPr="00E732D3">
        <w:t xml:space="preserve">become an </w:t>
      </w:r>
      <w:r w:rsidR="00804A8A">
        <w:t>effective mechanism for </w:t>
      </w:r>
      <w:r w:rsidR="00804A8A" w:rsidRPr="00E732D3">
        <w:t>better access to safe and sustainable sanitation and water services for a larger number of poor and marginali</w:t>
      </w:r>
      <w:r w:rsidR="007B0C48">
        <w:t>s</w:t>
      </w:r>
      <w:r w:rsidR="00804A8A" w:rsidRPr="00E732D3">
        <w:t>ed people</w:t>
      </w:r>
      <w:r w:rsidR="00804A8A">
        <w:t>”</w:t>
      </w:r>
      <w:r w:rsidR="00736BA1">
        <w:rPr>
          <w:rStyle w:val="Funotenzeichen"/>
        </w:rPr>
        <w:footnoteReference w:id="63"/>
      </w:r>
      <w:r w:rsidR="00804A8A">
        <w:t xml:space="preserve">. </w:t>
      </w:r>
      <w:r w:rsidR="008C5068">
        <w:t xml:space="preserve">Jennifer </w:t>
      </w:r>
      <w:r w:rsidR="00111C12">
        <w:t xml:space="preserve">Chapman (2001) offers five core criteria that are “helpful” to campaigning at the international level. These are </w:t>
      </w:r>
      <w:r w:rsidR="00111C12" w:rsidRPr="008F5D76">
        <w:rPr>
          <w:i/>
        </w:rPr>
        <w:t>international legislation, conventions, an active international campaign, consumer activism and independent monitoring</w:t>
      </w:r>
      <w:r w:rsidR="00111C12">
        <w:rPr>
          <w:rStyle w:val="Funotenzeichen"/>
        </w:rPr>
        <w:footnoteReference w:id="64"/>
      </w:r>
      <w:r w:rsidR="00111C12">
        <w:t xml:space="preserve">. </w:t>
      </w:r>
      <w:r w:rsidR="00736BA1">
        <w:t xml:space="preserve">Taking the first of EWP’s three campaign aims, the </w:t>
      </w:r>
      <w:r w:rsidR="007B0C48">
        <w:t xml:space="preserve">human </w:t>
      </w:r>
      <w:r w:rsidR="00736BA1">
        <w:t xml:space="preserve">right to sanitation has </w:t>
      </w:r>
      <w:r w:rsidR="007B0C48">
        <w:t xml:space="preserve">helped </w:t>
      </w:r>
      <w:r w:rsidR="00736BA1">
        <w:t>raise sanitation higher on the global agenda</w:t>
      </w:r>
      <w:r w:rsidR="008E67DD">
        <w:t>.</w:t>
      </w:r>
      <w:r w:rsidR="008C5068">
        <w:t xml:space="preserve"> </w:t>
      </w:r>
      <w:r w:rsidR="008E67DD">
        <w:t>A</w:t>
      </w:r>
      <w:r w:rsidR="008C5068">
        <w:t>s it is</w:t>
      </w:r>
      <w:r w:rsidR="008C5068" w:rsidRPr="008C5068">
        <w:t xml:space="preserve"> </w:t>
      </w:r>
      <w:r w:rsidR="008C5068">
        <w:t xml:space="preserve">now a legally binding treaty commitment, </w:t>
      </w:r>
      <w:r w:rsidR="00C80354">
        <w:t xml:space="preserve">there is greater impetus for </w:t>
      </w:r>
      <w:r w:rsidR="008C5068">
        <w:t xml:space="preserve">States to address </w:t>
      </w:r>
      <w:r w:rsidR="008E67DD">
        <w:t xml:space="preserve">sanitation </w:t>
      </w:r>
      <w:r w:rsidR="008C5068">
        <w:t>in Universal Periodic Reviews (UPRs)</w:t>
      </w:r>
      <w:r w:rsidR="00C80354">
        <w:t xml:space="preserve"> to the UN Human Rights Council (HRC)</w:t>
      </w:r>
      <w:r w:rsidR="00736BA1">
        <w:t xml:space="preserve">. </w:t>
      </w:r>
      <w:r w:rsidR="007B0C48">
        <w:t xml:space="preserve">The remaining two core campaign aims of EWP </w:t>
      </w:r>
      <w:r w:rsidR="00C80354">
        <w:t xml:space="preserve">refer </w:t>
      </w:r>
      <w:r w:rsidR="007B0C48">
        <w:t xml:space="preserve">to marginalised people and countries. </w:t>
      </w:r>
      <w:r w:rsidR="00AE4822">
        <w:t>D</w:t>
      </w:r>
      <w:r w:rsidR="007B0C48">
        <w:t>iscussi</w:t>
      </w:r>
      <w:r w:rsidR="00AE4822">
        <w:t>ng</w:t>
      </w:r>
      <w:r w:rsidR="007B0C48">
        <w:t xml:space="preserve"> her country visit to Namibia, </w:t>
      </w:r>
      <w:r w:rsidR="00A370E9">
        <w:t>the Special Rapporteur</w:t>
      </w:r>
      <w:r w:rsidR="007B0C48">
        <w:t xml:space="preserve"> </w:t>
      </w:r>
      <w:r w:rsidR="0073253F">
        <w:t>emphasise</w:t>
      </w:r>
      <w:r w:rsidR="00AE4822">
        <w:t>s</w:t>
      </w:r>
      <w:r w:rsidR="0073253F">
        <w:t xml:space="preserve"> </w:t>
      </w:r>
      <w:r w:rsidR="007B0C48">
        <w:t xml:space="preserve">the significance </w:t>
      </w:r>
      <w:r w:rsidR="00AE4822">
        <w:t xml:space="preserve">of </w:t>
      </w:r>
      <w:r w:rsidR="007B0C48">
        <w:t xml:space="preserve">human rights </w:t>
      </w:r>
      <w:r w:rsidR="00AE4822">
        <w:t>in</w:t>
      </w:r>
      <w:r w:rsidR="00A370E9">
        <w:t xml:space="preserve"> understanding the links between access and discrimination: </w:t>
      </w:r>
      <w:r w:rsidR="007B0C48">
        <w:t>“I do think that human rights ask</w:t>
      </w:r>
      <w:r w:rsidR="0073253F">
        <w:t>s this important question – who</w:t>
      </w:r>
      <w:r w:rsidR="007B0C48">
        <w:t>?”</w:t>
      </w:r>
      <w:r w:rsidR="00D63AF5">
        <w:rPr>
          <w:rStyle w:val="Funotenzeichen"/>
        </w:rPr>
        <w:footnoteReference w:id="65"/>
      </w:r>
      <w:r w:rsidR="00AE4822">
        <w:t>.</w:t>
      </w:r>
      <w:r w:rsidR="0073253F">
        <w:t xml:space="preserve"> Albuquerque adds:</w:t>
      </w:r>
      <w:r w:rsidR="007B0C48">
        <w:t xml:space="preserve"> </w:t>
      </w:r>
    </w:p>
    <w:p w:rsidR="0073253F" w:rsidRPr="0073253F" w:rsidRDefault="0073253F" w:rsidP="0073253F">
      <w:pPr>
        <w:ind w:left="720" w:firstLine="720"/>
        <w:rPr>
          <w:i/>
        </w:rPr>
      </w:pPr>
      <w:r>
        <w:br/>
      </w:r>
      <w:r w:rsidR="007B0C48" w:rsidRPr="0073253F">
        <w:rPr>
          <w:i/>
        </w:rPr>
        <w:t>“</w:t>
      </w:r>
      <w:r>
        <w:rPr>
          <w:i/>
        </w:rPr>
        <w:t>W</w:t>
      </w:r>
      <w:r w:rsidRPr="0073253F">
        <w:rPr>
          <w:i/>
        </w:rPr>
        <w:t>ho does not have access</w:t>
      </w:r>
      <w:r>
        <w:t>?</w:t>
      </w:r>
      <w:r w:rsidRPr="0073253F">
        <w:rPr>
          <w:i/>
        </w:rPr>
        <w:t xml:space="preserve"> T</w:t>
      </w:r>
      <w:r w:rsidR="007B0C48" w:rsidRPr="0073253F">
        <w:rPr>
          <w:i/>
        </w:rPr>
        <w:t>his simple question makes governments nervous and makes them realise that it’s always the same people and that it’s not a coincidence that it is always the same that are deprived from sanitation”</w:t>
      </w:r>
      <w:r w:rsidR="00D63AF5" w:rsidRPr="0073253F">
        <w:rPr>
          <w:rStyle w:val="Funotenzeichen"/>
          <w:i/>
        </w:rPr>
        <w:footnoteReference w:id="66"/>
      </w:r>
      <w:r w:rsidR="007B0C48" w:rsidRPr="0073253F">
        <w:rPr>
          <w:i/>
        </w:rPr>
        <w:t xml:space="preserve">. </w:t>
      </w:r>
    </w:p>
    <w:p w:rsidR="0073253F" w:rsidRDefault="0073253F" w:rsidP="0073253F"/>
    <w:p w:rsidR="00AE4822" w:rsidRDefault="00A370E9" w:rsidP="00AE4822">
      <w:pPr>
        <w:rPr>
          <w:i/>
        </w:rPr>
      </w:pPr>
      <w:r>
        <w:t>EWP</w:t>
      </w:r>
      <w:r w:rsidR="006821C0">
        <w:t xml:space="preserve"> identif</w:t>
      </w:r>
      <w:r w:rsidR="00CD1B10">
        <w:t>ied</w:t>
      </w:r>
      <w:r w:rsidR="006821C0">
        <w:t xml:space="preserve"> </w:t>
      </w:r>
      <w:r w:rsidR="0073253F">
        <w:t>links between</w:t>
      </w:r>
      <w:r>
        <w:t xml:space="preserve"> sanitation </w:t>
      </w:r>
      <w:r w:rsidR="0073253F">
        <w:t xml:space="preserve">and </w:t>
      </w:r>
      <w:r>
        <w:t>“health, education, economic and gender equality”</w:t>
      </w:r>
      <w:r>
        <w:rPr>
          <w:rStyle w:val="Funotenzeichen"/>
        </w:rPr>
        <w:footnoteReference w:id="67"/>
      </w:r>
      <w:r w:rsidR="00AE4822" w:rsidRPr="00AE4822">
        <w:t xml:space="preserve"> </w:t>
      </w:r>
      <w:r w:rsidR="00AE4822">
        <w:t>in their 2008 ‘The Stink Goes On’ campaign</w:t>
      </w:r>
      <w:r w:rsidR="00236F91">
        <w:t>.</w:t>
      </w:r>
      <w:r w:rsidR="006821C0">
        <w:t xml:space="preserve"> </w:t>
      </w:r>
      <w:r w:rsidR="00AE4822">
        <w:t>Fleur Anderson of EWP suggests that:</w:t>
      </w:r>
      <w:r w:rsidR="00AE4822" w:rsidRPr="000B3F12">
        <w:rPr>
          <w:i/>
        </w:rPr>
        <w:t xml:space="preserve"> </w:t>
      </w:r>
    </w:p>
    <w:p w:rsidR="00AE4822" w:rsidRDefault="00AE4822" w:rsidP="00AE4822">
      <w:pPr>
        <w:rPr>
          <w:i/>
        </w:rPr>
      </w:pPr>
    </w:p>
    <w:p w:rsidR="00AE4822" w:rsidRDefault="00AE4822" w:rsidP="00AE4822">
      <w:pPr>
        <w:ind w:left="720"/>
        <w:rPr>
          <w:i/>
        </w:rPr>
      </w:pPr>
      <w:r w:rsidRPr="000B3F12">
        <w:rPr>
          <w:i/>
        </w:rPr>
        <w:t>“Rights are very good for motivating people to see things differently, to see that they can be speaking out, that they can have a voice, it is something that they can be claiming. But I think it doesn’t work so well with governments.”</w:t>
      </w:r>
      <w:r>
        <w:rPr>
          <w:rStyle w:val="Funotenzeichen"/>
          <w:i/>
        </w:rPr>
        <w:footnoteReference w:id="68"/>
      </w:r>
    </w:p>
    <w:p w:rsidR="00AC6842" w:rsidRDefault="00AC6842" w:rsidP="00AE4822">
      <w:pPr>
        <w:ind w:left="720"/>
        <w:rPr>
          <w:i/>
        </w:rPr>
      </w:pPr>
    </w:p>
    <w:p w:rsidR="000B666C" w:rsidRPr="00BD4409" w:rsidRDefault="00AE4822" w:rsidP="000B666C">
      <w:pPr>
        <w:rPr>
          <w:i/>
        </w:rPr>
      </w:pPr>
      <w:r>
        <w:t xml:space="preserve">EWP’s </w:t>
      </w:r>
      <w:r w:rsidR="00CD1B10">
        <w:t xml:space="preserve">three </w:t>
      </w:r>
      <w:r w:rsidR="0073253F">
        <w:t>campaign aims</w:t>
      </w:r>
      <w:r>
        <w:t xml:space="preserve"> can be seen to</w:t>
      </w:r>
      <w:r w:rsidR="0073253F">
        <w:t xml:space="preserve"> </w:t>
      </w:r>
      <w:r w:rsidR="00451A50">
        <w:t>support</w:t>
      </w:r>
      <w:r>
        <w:t xml:space="preserve"> a </w:t>
      </w:r>
      <w:r w:rsidR="0073253F">
        <w:t xml:space="preserve">human right to sanitation </w:t>
      </w:r>
      <w:r>
        <w:t>message</w:t>
      </w:r>
      <w:r w:rsidR="00451A50">
        <w:t xml:space="preserve">. But </w:t>
      </w:r>
      <w:r>
        <w:t xml:space="preserve">as Anderson </w:t>
      </w:r>
      <w:r w:rsidR="00451A50">
        <w:t>suggests</w:t>
      </w:r>
      <w:r>
        <w:t xml:space="preserve">, </w:t>
      </w:r>
      <w:r w:rsidR="0073253F">
        <w:t xml:space="preserve">EWP do not overtly apply human rights </w:t>
      </w:r>
      <w:r w:rsidR="00CD1B10">
        <w:t>language</w:t>
      </w:r>
      <w:r w:rsidR="00BD4409">
        <w:t xml:space="preserve">. </w:t>
      </w:r>
    </w:p>
    <w:p w:rsidR="005B1E22" w:rsidRDefault="005B1E22" w:rsidP="00105B39"/>
    <w:p w:rsidR="000F7ED5" w:rsidRDefault="00975E5E" w:rsidP="000F7ED5">
      <w:pPr>
        <w:ind w:firstLine="720"/>
        <w:rPr>
          <w:lang w:val="en-US"/>
        </w:rPr>
      </w:pPr>
      <w:r>
        <w:rPr>
          <w:color w:val="000000"/>
        </w:rPr>
        <w:t xml:space="preserve">The SWA initiative </w:t>
      </w:r>
      <w:r w:rsidR="00F84B88">
        <w:rPr>
          <w:color w:val="000000"/>
        </w:rPr>
        <w:t>is designed to work as</w:t>
      </w:r>
      <w:r>
        <w:rPr>
          <w:color w:val="000000"/>
        </w:rPr>
        <w:t xml:space="preserve"> </w:t>
      </w:r>
      <w:r w:rsidRPr="00975E5E">
        <w:t>“a global partnership which aims to address critical barriers to achieving long term sanitation and drinking water for everyone</w:t>
      </w:r>
      <w:r>
        <w:t>”</w:t>
      </w:r>
      <w:r>
        <w:rPr>
          <w:rFonts w:ascii="Verdana" w:hAnsi="Verdana"/>
          <w:sz w:val="19"/>
          <w:szCs w:val="19"/>
        </w:rPr>
        <w:t xml:space="preserve"> </w:t>
      </w:r>
      <w:r w:rsidRPr="00975E5E">
        <w:t>by linking</w:t>
      </w:r>
      <w:r>
        <w:rPr>
          <w:rFonts w:ascii="Verdana" w:hAnsi="Verdana"/>
          <w:sz w:val="19"/>
          <w:szCs w:val="19"/>
        </w:rPr>
        <w:t xml:space="preserve"> </w:t>
      </w:r>
      <w:r w:rsidRPr="00975E5E">
        <w:rPr>
          <w:color w:val="000000"/>
          <w:lang w:eastAsia="en-GB"/>
        </w:rPr>
        <w:t>“national, regional and international processes</w:t>
      </w:r>
      <w:r>
        <w:rPr>
          <w:color w:val="000000"/>
          <w:lang w:eastAsia="en-GB"/>
        </w:rPr>
        <w:t>”</w:t>
      </w:r>
      <w:r w:rsidR="00236F91">
        <w:rPr>
          <w:rStyle w:val="Funotenzeichen"/>
          <w:color w:val="000000"/>
          <w:lang w:eastAsia="en-GB"/>
        </w:rPr>
        <w:footnoteReference w:id="69"/>
      </w:r>
      <w:r w:rsidR="00451A50">
        <w:rPr>
          <w:color w:val="000000"/>
          <w:lang w:eastAsia="en-GB"/>
        </w:rPr>
        <w:t>.</w:t>
      </w:r>
      <w:r>
        <w:rPr>
          <w:color w:val="000000"/>
          <w:lang w:eastAsia="en-GB"/>
        </w:rPr>
        <w:t xml:space="preserve"> </w:t>
      </w:r>
      <w:r>
        <w:rPr>
          <w:color w:val="000000"/>
        </w:rPr>
        <w:t>T</w:t>
      </w:r>
      <w:r w:rsidR="009807F8">
        <w:rPr>
          <w:color w:val="000000"/>
        </w:rPr>
        <w:t xml:space="preserve">he SWA guidelines do not mention human rights, and instead assert that </w:t>
      </w:r>
      <w:r>
        <w:rPr>
          <w:color w:val="000000"/>
        </w:rPr>
        <w:t xml:space="preserve">the </w:t>
      </w:r>
      <w:r w:rsidR="009807F8">
        <w:rPr>
          <w:color w:val="000000"/>
        </w:rPr>
        <w:t xml:space="preserve">SWA </w:t>
      </w:r>
      <w:r>
        <w:rPr>
          <w:color w:val="000000"/>
        </w:rPr>
        <w:t xml:space="preserve">partnership </w:t>
      </w:r>
      <w:r w:rsidR="009807F8" w:rsidRPr="00954D63">
        <w:rPr>
          <w:color w:val="000000"/>
        </w:rPr>
        <w:t>“should build on and support existing country and regional institutions, processes and sector networks”</w:t>
      </w:r>
      <w:r w:rsidR="009807F8">
        <w:rPr>
          <w:rStyle w:val="Funotenzeichen"/>
          <w:color w:val="000000"/>
        </w:rPr>
        <w:footnoteReference w:id="70"/>
      </w:r>
      <w:r w:rsidR="009807F8" w:rsidRPr="00954D63">
        <w:rPr>
          <w:color w:val="000000"/>
        </w:rPr>
        <w:t>.</w:t>
      </w:r>
      <w:r w:rsidR="009807F8">
        <w:rPr>
          <w:color w:val="000000"/>
        </w:rPr>
        <w:t xml:space="preserve"> The important caveat </w:t>
      </w:r>
      <w:r>
        <w:rPr>
          <w:color w:val="000000"/>
        </w:rPr>
        <w:t>in the S</w:t>
      </w:r>
      <w:r w:rsidR="00236F91">
        <w:rPr>
          <w:color w:val="000000"/>
        </w:rPr>
        <w:t>WA</w:t>
      </w:r>
      <w:r>
        <w:rPr>
          <w:color w:val="000000"/>
        </w:rPr>
        <w:t xml:space="preserve"> guiding </w:t>
      </w:r>
      <w:r w:rsidR="00236F91">
        <w:rPr>
          <w:color w:val="000000"/>
        </w:rPr>
        <w:t>principles</w:t>
      </w:r>
      <w:r>
        <w:rPr>
          <w:color w:val="000000"/>
        </w:rPr>
        <w:t xml:space="preserve"> </w:t>
      </w:r>
      <w:r w:rsidR="00105B39">
        <w:rPr>
          <w:color w:val="000000"/>
        </w:rPr>
        <w:t>is</w:t>
      </w:r>
      <w:r w:rsidR="009807F8">
        <w:rPr>
          <w:color w:val="000000"/>
        </w:rPr>
        <w:t xml:space="preserve"> the absence of any reference to international treaty commitments. </w:t>
      </w:r>
      <w:r w:rsidR="00451A50">
        <w:rPr>
          <w:color w:val="000000"/>
        </w:rPr>
        <w:t xml:space="preserve">The SWA frame their advocacy work in the language of the </w:t>
      </w:r>
      <w:r w:rsidR="00AC4CE8">
        <w:rPr>
          <w:color w:val="000000"/>
        </w:rPr>
        <w:t xml:space="preserve">Millennium </w:t>
      </w:r>
      <w:r w:rsidR="00451A50">
        <w:rPr>
          <w:color w:val="000000"/>
        </w:rPr>
        <w:t>D</w:t>
      </w:r>
      <w:r w:rsidR="00AC4CE8">
        <w:rPr>
          <w:color w:val="000000"/>
        </w:rPr>
        <w:t xml:space="preserve">evelopment </w:t>
      </w:r>
      <w:r w:rsidR="00451A50">
        <w:rPr>
          <w:color w:val="000000"/>
        </w:rPr>
        <w:t>G</w:t>
      </w:r>
      <w:r w:rsidR="00AC4CE8">
        <w:rPr>
          <w:color w:val="000000"/>
        </w:rPr>
        <w:t>oal</w:t>
      </w:r>
      <w:r w:rsidR="00451A50">
        <w:rPr>
          <w:color w:val="000000"/>
        </w:rPr>
        <w:t>s</w:t>
      </w:r>
      <w:r w:rsidR="00AC4CE8">
        <w:rPr>
          <w:color w:val="000000"/>
        </w:rPr>
        <w:t xml:space="preserve"> (MDGs)</w:t>
      </w:r>
      <w:r w:rsidR="00236F91">
        <w:rPr>
          <w:color w:val="000000"/>
        </w:rPr>
        <w:t xml:space="preserve">. </w:t>
      </w:r>
      <w:r w:rsidR="00BD545C">
        <w:rPr>
          <w:color w:val="000000"/>
        </w:rPr>
        <w:t>This suggests that there is a “two level game”</w:t>
      </w:r>
      <w:r w:rsidR="00BD545C">
        <w:rPr>
          <w:rStyle w:val="Funotenzeichen"/>
          <w:color w:val="000000"/>
        </w:rPr>
        <w:footnoteReference w:id="71"/>
      </w:r>
      <w:r w:rsidR="00BD545C">
        <w:rPr>
          <w:color w:val="000000"/>
        </w:rPr>
        <w:t xml:space="preserve"> developing with regard to the international advocacy work of TANs </w:t>
      </w:r>
      <w:r w:rsidR="00706CD2">
        <w:rPr>
          <w:color w:val="000000"/>
        </w:rPr>
        <w:t xml:space="preserve">involved in sanitation. </w:t>
      </w:r>
      <w:r w:rsidR="00BD545C">
        <w:rPr>
          <w:color w:val="000000"/>
        </w:rPr>
        <w:t>Putnam’s (1998) model</w:t>
      </w:r>
      <w:r w:rsidR="00706CD2">
        <w:rPr>
          <w:color w:val="000000"/>
        </w:rPr>
        <w:t xml:space="preserve"> of the “two level game” is </w:t>
      </w:r>
      <w:r w:rsidR="00451A50">
        <w:rPr>
          <w:color w:val="000000"/>
        </w:rPr>
        <w:t>applied</w:t>
      </w:r>
      <w:r w:rsidR="00706CD2">
        <w:rPr>
          <w:color w:val="000000"/>
        </w:rPr>
        <w:t xml:space="preserve"> by </w:t>
      </w:r>
      <w:r w:rsidR="00BD545C">
        <w:rPr>
          <w:color w:val="000000"/>
        </w:rPr>
        <w:t xml:space="preserve">Della </w:t>
      </w:r>
      <w:proofErr w:type="spellStart"/>
      <w:r w:rsidR="00BD545C">
        <w:rPr>
          <w:color w:val="000000"/>
        </w:rPr>
        <w:t>Porta</w:t>
      </w:r>
      <w:proofErr w:type="spellEnd"/>
      <w:r w:rsidR="00BD545C">
        <w:rPr>
          <w:color w:val="000000"/>
        </w:rPr>
        <w:t xml:space="preserve"> and </w:t>
      </w:r>
      <w:proofErr w:type="spellStart"/>
      <w:r w:rsidR="00BD545C">
        <w:rPr>
          <w:color w:val="000000"/>
        </w:rPr>
        <w:t>Tarrow</w:t>
      </w:r>
      <w:proofErr w:type="spellEnd"/>
      <w:r w:rsidR="00BD545C">
        <w:rPr>
          <w:color w:val="000000"/>
        </w:rPr>
        <w:t xml:space="preserve"> (200</w:t>
      </w:r>
      <w:r w:rsidR="00950E94">
        <w:rPr>
          <w:color w:val="000000"/>
        </w:rPr>
        <w:t>5</w:t>
      </w:r>
      <w:r w:rsidR="00BD545C">
        <w:rPr>
          <w:color w:val="000000"/>
        </w:rPr>
        <w:t>)</w:t>
      </w:r>
      <w:r w:rsidR="00451A50">
        <w:rPr>
          <w:color w:val="000000"/>
        </w:rPr>
        <w:t xml:space="preserve"> in instances where</w:t>
      </w:r>
      <w:r w:rsidR="008C6064">
        <w:rPr>
          <w:color w:val="000000"/>
        </w:rPr>
        <w:t xml:space="preserve"> </w:t>
      </w:r>
      <w:r w:rsidR="00BD545C">
        <w:rPr>
          <w:color w:val="000000"/>
        </w:rPr>
        <w:t>“social movements interacting in the domestic and international realm often bypass heads of governments and engage directly with cross-table lobbying”</w:t>
      </w:r>
      <w:r w:rsidR="00BD545C">
        <w:rPr>
          <w:rStyle w:val="Funotenzeichen"/>
          <w:color w:val="000000"/>
        </w:rPr>
        <w:footnoteReference w:id="72"/>
      </w:r>
      <w:r>
        <w:rPr>
          <w:color w:val="000000"/>
        </w:rPr>
        <w:t>.</w:t>
      </w:r>
      <w:r w:rsidR="00F57AD3">
        <w:rPr>
          <w:color w:val="000000"/>
        </w:rPr>
        <w:t xml:space="preserve"> T</w:t>
      </w:r>
      <w:r w:rsidR="005A2AFA">
        <w:rPr>
          <w:color w:val="000000"/>
        </w:rPr>
        <w:t>he</w:t>
      </w:r>
      <w:r w:rsidR="005A704C">
        <w:rPr>
          <w:color w:val="000000"/>
        </w:rPr>
        <w:t xml:space="preserve"> SWA global partnership</w:t>
      </w:r>
      <w:r w:rsidR="00882002">
        <w:rPr>
          <w:color w:val="000000"/>
        </w:rPr>
        <w:t xml:space="preserve"> </w:t>
      </w:r>
      <w:r w:rsidR="00451A50">
        <w:rPr>
          <w:color w:val="000000"/>
        </w:rPr>
        <w:t>can be seen to present</w:t>
      </w:r>
      <w:r w:rsidR="00882002">
        <w:rPr>
          <w:color w:val="000000"/>
        </w:rPr>
        <w:t xml:space="preserve"> </w:t>
      </w:r>
      <w:r w:rsidR="005A704C">
        <w:rPr>
          <w:color w:val="000000"/>
        </w:rPr>
        <w:t>a lighter commitment</w:t>
      </w:r>
      <w:r w:rsidR="00F57AD3">
        <w:rPr>
          <w:color w:val="000000"/>
        </w:rPr>
        <w:t xml:space="preserve"> than the international law of human rights treaties</w:t>
      </w:r>
      <w:r w:rsidR="005A704C">
        <w:rPr>
          <w:color w:val="000000"/>
        </w:rPr>
        <w:t>.</w:t>
      </w:r>
      <w:r w:rsidR="00A94F02">
        <w:rPr>
          <w:color w:val="000000"/>
        </w:rPr>
        <w:t xml:space="preserve"> </w:t>
      </w:r>
      <w:r w:rsidR="005A2AFA">
        <w:t>To illustrate</w:t>
      </w:r>
      <w:r w:rsidR="00A94F02">
        <w:t>, the UK abstained from GA Res</w:t>
      </w:r>
      <w:r w:rsidR="005A2AFA">
        <w:t>olution</w:t>
      </w:r>
      <w:r w:rsidR="00A94F02">
        <w:t xml:space="preserve"> 64/292 </w:t>
      </w:r>
      <w:r w:rsidR="00D1123F">
        <w:t xml:space="preserve">in July 2010 </w:t>
      </w:r>
      <w:r w:rsidR="00A94F02">
        <w:t xml:space="preserve">and </w:t>
      </w:r>
      <w:r w:rsidR="00AC4CE8">
        <w:t>does not</w:t>
      </w:r>
      <w:r w:rsidR="00A94F02">
        <w:t xml:space="preserve"> recognise the human right </w:t>
      </w:r>
      <w:r w:rsidR="00AC4CE8">
        <w:t xml:space="preserve">to </w:t>
      </w:r>
      <w:r w:rsidR="00A94F02">
        <w:t xml:space="preserve">sanitation. </w:t>
      </w:r>
      <w:r w:rsidR="00D1123F">
        <w:t xml:space="preserve">But as late as </w:t>
      </w:r>
      <w:r w:rsidR="00A94F02">
        <w:t>April 2010, the UK w</w:t>
      </w:r>
      <w:r w:rsidR="00D1123F">
        <w:t xml:space="preserve">ere </w:t>
      </w:r>
      <w:r w:rsidR="00A94F02">
        <w:t>making strong rhetorical and financial comm</w:t>
      </w:r>
      <w:r w:rsidR="005A2AFA">
        <w:t>i</w:t>
      </w:r>
      <w:r w:rsidR="00AC4CE8">
        <w:t xml:space="preserve">tments to water and sanitation, </w:t>
      </w:r>
      <w:r w:rsidR="00D1123F">
        <w:t xml:space="preserve">still </w:t>
      </w:r>
      <w:r w:rsidR="00A94F02">
        <w:t>keen to acknowledge their role as a co-founder of the SWA initiative</w:t>
      </w:r>
      <w:r w:rsidR="00D1123F">
        <w:t>.</w:t>
      </w:r>
      <w:r w:rsidR="00A94F02">
        <w:rPr>
          <w:rStyle w:val="Funotenzeichen"/>
        </w:rPr>
        <w:footnoteReference w:id="73"/>
      </w:r>
      <w:r w:rsidR="00D1123F">
        <w:t xml:space="preserve"> </w:t>
      </w:r>
      <w:r w:rsidR="00AC4CE8">
        <w:t xml:space="preserve">This suggests that </w:t>
      </w:r>
      <w:r w:rsidR="000F7ED5">
        <w:t xml:space="preserve">on one level, </w:t>
      </w:r>
      <w:r w:rsidR="00AC4CE8">
        <w:t>a State can retain a commitment to sanitation through development partnership</w:t>
      </w:r>
      <w:r w:rsidR="00F57AD3">
        <w:t>s</w:t>
      </w:r>
      <w:r w:rsidR="00AC4CE8">
        <w:t xml:space="preserve"> such as the SWA or the MDG targets. </w:t>
      </w:r>
      <w:r w:rsidR="000F7ED5">
        <w:t>Whereas on another level</w:t>
      </w:r>
      <w:r w:rsidR="00F57AD3">
        <w:t>,</w:t>
      </w:r>
      <w:r w:rsidR="000F7ED5">
        <w:t xml:space="preserve"> a State can refuse to accept </w:t>
      </w:r>
      <w:r w:rsidR="00F57AD3">
        <w:t>that sanitation is</w:t>
      </w:r>
      <w:r w:rsidR="000F7ED5">
        <w:t xml:space="preserve"> an</w:t>
      </w:r>
      <w:r w:rsidR="00AC4CE8">
        <w:t xml:space="preserve"> essential component of the right to life</w:t>
      </w:r>
      <w:r w:rsidR="000F7ED5">
        <w:t xml:space="preserve">, </w:t>
      </w:r>
      <w:r w:rsidR="00F57AD3">
        <w:t>thus sidestepping any potential</w:t>
      </w:r>
      <w:r w:rsidR="00F57AD3">
        <w:rPr>
          <w:color w:val="000000"/>
        </w:rPr>
        <w:t xml:space="preserve"> legal ramifications that may come with accepting sanitation as a distinct human right</w:t>
      </w:r>
      <w:r w:rsidR="000F7ED5">
        <w:t xml:space="preserve">. </w:t>
      </w:r>
      <w:r w:rsidR="00AC4CE8">
        <w:t xml:space="preserve"> </w:t>
      </w:r>
      <w:r w:rsidR="00F86336">
        <w:rPr>
          <w:color w:val="000000"/>
        </w:rPr>
        <w:br/>
      </w:r>
    </w:p>
    <w:p w:rsidR="0080042C" w:rsidRDefault="00ED2B1B" w:rsidP="0080042C">
      <w:pPr>
        <w:ind w:firstLine="720"/>
      </w:pPr>
      <w:r>
        <w:rPr>
          <w:lang w:val="en-US"/>
        </w:rPr>
        <w:t>Between 2000 and 2002 the</w:t>
      </w:r>
      <w:r w:rsidR="00016362">
        <w:rPr>
          <w:lang w:val="en-US"/>
        </w:rPr>
        <w:t xml:space="preserve"> WSSCC ran a </w:t>
      </w:r>
      <w:r>
        <w:rPr>
          <w:lang w:val="en-US"/>
        </w:rPr>
        <w:t xml:space="preserve">high profile </w:t>
      </w:r>
      <w:r w:rsidR="00016362">
        <w:rPr>
          <w:lang w:val="en-US"/>
        </w:rPr>
        <w:t>campaign which sought to address the lack o</w:t>
      </w:r>
      <w:r>
        <w:rPr>
          <w:lang w:val="en-US"/>
        </w:rPr>
        <w:t>f a sanitation goal in the MDGs</w:t>
      </w:r>
      <w:r>
        <w:rPr>
          <w:rStyle w:val="Funotenzeichen"/>
          <w:lang w:val="en-US"/>
        </w:rPr>
        <w:footnoteReference w:id="74"/>
      </w:r>
      <w:r>
        <w:rPr>
          <w:lang w:val="en-US"/>
        </w:rPr>
        <w:t>.</w:t>
      </w:r>
      <w:r w:rsidR="00016362">
        <w:rPr>
          <w:lang w:val="en-US"/>
        </w:rPr>
        <w:t xml:space="preserve"> </w:t>
      </w:r>
      <w:r>
        <w:rPr>
          <w:color w:val="000000"/>
        </w:rPr>
        <w:t>Amanda Marlin explains that “</w:t>
      </w:r>
      <w:r w:rsidR="00016362">
        <w:t>the WSSCC developed the</w:t>
      </w:r>
      <w:r w:rsidR="008035EA">
        <w:t>ir</w:t>
      </w:r>
      <w:r w:rsidR="00016362">
        <w:t xml:space="preserve"> W</w:t>
      </w:r>
      <w:r w:rsidR="008035EA">
        <w:t>ash</w:t>
      </w:r>
      <w:r w:rsidR="00016362">
        <w:t xml:space="preserve"> campaign, with a very clear objective of wanting to introduce a sanitation target</w:t>
      </w:r>
      <w:r>
        <w:t>”</w:t>
      </w:r>
      <w:r>
        <w:rPr>
          <w:rStyle w:val="Funotenzeichen"/>
        </w:rPr>
        <w:footnoteReference w:id="75"/>
      </w:r>
      <w:r w:rsidR="00F57AD3">
        <w:t>.</w:t>
      </w:r>
      <w:r w:rsidR="00016362">
        <w:rPr>
          <w:lang w:val="en-US"/>
        </w:rPr>
        <w:t xml:space="preserve"> </w:t>
      </w:r>
      <w:r>
        <w:rPr>
          <w:lang w:val="en-US"/>
        </w:rPr>
        <w:t xml:space="preserve">Rose </w:t>
      </w:r>
      <w:r w:rsidR="00177A66">
        <w:t xml:space="preserve">George (2008) describes </w:t>
      </w:r>
      <w:r w:rsidR="008035EA">
        <w:t>this</w:t>
      </w:r>
      <w:r>
        <w:t xml:space="preserve"> WSSCC</w:t>
      </w:r>
      <w:r w:rsidR="00A14CC1">
        <w:t xml:space="preserve"> Wash</w:t>
      </w:r>
      <w:r>
        <w:t xml:space="preserve"> campaign as</w:t>
      </w:r>
      <w:r w:rsidR="00177A66">
        <w:t xml:space="preserve"> “perhaps </w:t>
      </w:r>
      <w:r w:rsidR="00177A66" w:rsidRPr="00F57AD3">
        <w:rPr>
          <w:i/>
        </w:rPr>
        <w:t>the</w:t>
      </w:r>
      <w:r w:rsidR="00177A66">
        <w:t xml:space="preserve"> best media campaign for sanitation and hand washing”</w:t>
      </w:r>
      <w:r w:rsidR="00177A66">
        <w:rPr>
          <w:rStyle w:val="Funotenzeichen"/>
        </w:rPr>
        <w:footnoteReference w:id="76"/>
      </w:r>
      <w:r w:rsidR="00177A66">
        <w:t xml:space="preserve">. George (2008) </w:t>
      </w:r>
      <w:r w:rsidR="008035EA">
        <w:t xml:space="preserve">praises </w:t>
      </w:r>
      <w:r w:rsidR="00177A66">
        <w:t>the</w:t>
      </w:r>
      <w:r w:rsidR="00177A66" w:rsidRPr="00A14CC1">
        <w:t xml:space="preserve"> </w:t>
      </w:r>
      <w:r w:rsidR="00C664B5" w:rsidRPr="00A14CC1">
        <w:t xml:space="preserve">innovative </w:t>
      </w:r>
      <w:r w:rsidR="00177A66">
        <w:t>use of “posters and postcards with smart slogans”</w:t>
      </w:r>
      <w:r w:rsidR="00A14CC1">
        <w:rPr>
          <w:rStyle w:val="Funotenzeichen"/>
        </w:rPr>
        <w:footnoteReference w:id="77"/>
      </w:r>
      <w:r w:rsidR="0080042C">
        <w:t>. One such image</w:t>
      </w:r>
      <w:r w:rsidR="00177A66">
        <w:t xml:space="preserve"> </w:t>
      </w:r>
      <w:r w:rsidR="005A6926">
        <w:t>featured</w:t>
      </w:r>
      <w:r w:rsidR="00177A66">
        <w:t xml:space="preserve"> </w:t>
      </w:r>
      <w:r w:rsidR="005A6926">
        <w:t>a picture of a W.C. stick figure above the phrase “h</w:t>
      </w:r>
      <w:r w:rsidR="00177A66">
        <w:t xml:space="preserve">urry up! 1.2 billion </w:t>
      </w:r>
      <w:proofErr w:type="gramStart"/>
      <w:r w:rsidR="00177A66">
        <w:t>people</w:t>
      </w:r>
      <w:proofErr w:type="gramEnd"/>
      <w:r w:rsidR="00177A66">
        <w:t xml:space="preserve"> want to use the toilet”</w:t>
      </w:r>
      <w:r w:rsidR="005A6926">
        <w:rPr>
          <w:rStyle w:val="Funotenzeichen"/>
        </w:rPr>
        <w:footnoteReference w:id="78"/>
      </w:r>
      <w:r w:rsidR="005A6926">
        <w:t xml:space="preserve">. </w:t>
      </w:r>
      <w:r w:rsidR="00AD558B">
        <w:t>As Marlin</w:t>
      </w:r>
      <w:r w:rsidR="00C664B5">
        <w:t xml:space="preserve"> explains</w:t>
      </w:r>
      <w:r w:rsidR="0080042C">
        <w:t>,</w:t>
      </w:r>
      <w:r w:rsidR="00C664B5">
        <w:t xml:space="preserve"> </w:t>
      </w:r>
      <w:r w:rsidR="006D6085">
        <w:t xml:space="preserve">the </w:t>
      </w:r>
      <w:r w:rsidR="00C664B5">
        <w:t>“nature of advocacy” requires fluidity and adaptability, in that “</w:t>
      </w:r>
      <w:r w:rsidR="006D6085">
        <w:t>different things work in different geographical regions and different things work with different target audiences</w:t>
      </w:r>
      <w:r w:rsidR="00C664B5">
        <w:t>”</w:t>
      </w:r>
      <w:r w:rsidR="005B07B4">
        <w:rPr>
          <w:rStyle w:val="Funotenzeichen"/>
        </w:rPr>
        <w:footnoteReference w:id="79"/>
      </w:r>
      <w:r w:rsidR="006D6085">
        <w:t>.</w:t>
      </w:r>
      <w:r w:rsidR="00C664B5">
        <w:t xml:space="preserve"> The WSSCC’s advocacy work may vary </w:t>
      </w:r>
      <w:r w:rsidR="009F7129">
        <w:t>its</w:t>
      </w:r>
      <w:r w:rsidR="00C664B5">
        <w:t xml:space="preserve"> rights focus </w:t>
      </w:r>
      <w:r w:rsidR="005B07B4">
        <w:t>depending on the target State. Marlin suggests that “the human rights argument might be very important in some countries where there is a vibrant debate about human rights</w:t>
      </w:r>
      <w:r w:rsidR="0080042C" w:rsidRPr="0080042C">
        <w:rPr>
          <w:i/>
          <w:color w:val="548DD4" w:themeColor="text2" w:themeTint="99"/>
        </w:rPr>
        <w:t xml:space="preserve"> </w:t>
      </w:r>
      <w:r w:rsidR="0080042C" w:rsidRPr="0080042C">
        <w:t>and where they are seen as a positive way to promote development.</w:t>
      </w:r>
      <w:r w:rsidR="005B07B4" w:rsidRPr="0080042C">
        <w:t>”</w:t>
      </w:r>
      <w:r w:rsidR="00A14CC1" w:rsidRPr="0080042C">
        <w:rPr>
          <w:rStyle w:val="Funotenzeichen"/>
        </w:rPr>
        <w:footnoteReference w:id="80"/>
      </w:r>
      <w:r w:rsidR="0080042C">
        <w:t xml:space="preserve"> Alternatively</w:t>
      </w:r>
      <w:r w:rsidR="00A14CC1">
        <w:t>, f</w:t>
      </w:r>
      <w:r w:rsidR="005B07B4">
        <w:t xml:space="preserve">or States with a poor track record on human rights, </w:t>
      </w:r>
      <w:r w:rsidR="0080042C">
        <w:t>the WSSCC may pursue a different</w:t>
      </w:r>
      <w:r w:rsidR="005B07B4">
        <w:t xml:space="preserve"> line of advocacy. </w:t>
      </w:r>
      <w:r w:rsidR="0080042C">
        <w:t>Marlin proposes that the language of human rights</w:t>
      </w:r>
      <w:r w:rsidR="000C3341">
        <w:t>:</w:t>
      </w:r>
    </w:p>
    <w:p w:rsidR="000C3341" w:rsidRDefault="000C3341" w:rsidP="0080042C">
      <w:pPr>
        <w:ind w:firstLine="720"/>
      </w:pPr>
    </w:p>
    <w:p w:rsidR="0080042C" w:rsidRPr="000C3341" w:rsidRDefault="000C3341" w:rsidP="0080042C">
      <w:pPr>
        <w:ind w:left="720"/>
        <w:rPr>
          <w:i/>
        </w:rPr>
      </w:pPr>
      <w:proofErr w:type="gramStart"/>
      <w:r w:rsidRPr="000C3341">
        <w:rPr>
          <w:i/>
        </w:rPr>
        <w:t>“I</w:t>
      </w:r>
      <w:r w:rsidR="0080042C" w:rsidRPr="000C3341">
        <w:rPr>
          <w:i/>
        </w:rPr>
        <w:t>s not so useful in situations where, for example, governments are sensitive to accusations of violation of human rights.</w:t>
      </w:r>
      <w:proofErr w:type="gramEnd"/>
      <w:r w:rsidR="0080042C" w:rsidRPr="000C3341">
        <w:rPr>
          <w:i/>
        </w:rPr>
        <w:t xml:space="preserve"> In these places, raising the issue of rights may simply have the result of shutting down the conversation.”</w:t>
      </w:r>
      <w:r w:rsidR="00D1320A">
        <w:rPr>
          <w:rStyle w:val="Funotenzeichen"/>
          <w:i/>
        </w:rPr>
        <w:footnoteReference w:id="81"/>
      </w:r>
    </w:p>
    <w:p w:rsidR="0080042C" w:rsidRDefault="0080042C" w:rsidP="0080042C">
      <w:pPr>
        <w:ind w:firstLine="720"/>
      </w:pPr>
    </w:p>
    <w:p w:rsidR="00DB4350" w:rsidRPr="0080042C" w:rsidRDefault="00F44B07" w:rsidP="000C3341">
      <w:r>
        <w:t xml:space="preserve">However, as </w:t>
      </w:r>
      <w:proofErr w:type="spellStart"/>
      <w:r>
        <w:rPr>
          <w:color w:val="000000"/>
        </w:rPr>
        <w:t>Gready</w:t>
      </w:r>
      <w:proofErr w:type="spellEnd"/>
      <w:r>
        <w:rPr>
          <w:color w:val="000000"/>
        </w:rPr>
        <w:t xml:space="preserve"> (2004) suggests</w:t>
      </w:r>
      <w:r w:rsidR="000C3341">
        <w:rPr>
          <w:color w:val="000000"/>
        </w:rPr>
        <w:t>;</w:t>
      </w:r>
      <w:r>
        <w:rPr>
          <w:color w:val="000000"/>
        </w:rPr>
        <w:t xml:space="preserve"> “campaigns and norms can play a role in redefining State self-interest”</w:t>
      </w:r>
      <w:r>
        <w:rPr>
          <w:rStyle w:val="Funotenzeichen"/>
          <w:color w:val="000000"/>
        </w:rPr>
        <w:footnoteReference w:id="82"/>
      </w:r>
      <w:r>
        <w:rPr>
          <w:color w:val="000000"/>
        </w:rPr>
        <w:t>. If sanitation is truly considered a fundamental human right, should th</w:t>
      </w:r>
      <w:r w:rsidR="00A14CC1">
        <w:rPr>
          <w:color w:val="000000"/>
        </w:rPr>
        <w:t>at</w:t>
      </w:r>
      <w:r w:rsidR="00304B29">
        <w:rPr>
          <w:color w:val="000000"/>
        </w:rPr>
        <w:t xml:space="preserve"> universality</w:t>
      </w:r>
      <w:r w:rsidR="00607E3C">
        <w:rPr>
          <w:color w:val="000000"/>
        </w:rPr>
        <w:t xml:space="preserve"> ever</w:t>
      </w:r>
      <w:r w:rsidR="00304B29">
        <w:rPr>
          <w:color w:val="000000"/>
        </w:rPr>
        <w:t xml:space="preserve"> </w:t>
      </w:r>
      <w:r w:rsidR="00A14CC1">
        <w:rPr>
          <w:color w:val="000000"/>
        </w:rPr>
        <w:t>be tempered?</w:t>
      </w:r>
      <w:r>
        <w:rPr>
          <w:color w:val="000000"/>
        </w:rPr>
        <w:t xml:space="preserve"> </w:t>
      </w:r>
      <w:r w:rsidR="00A14CC1">
        <w:rPr>
          <w:color w:val="000000"/>
        </w:rPr>
        <w:t>Or</w:t>
      </w:r>
      <w:r>
        <w:rPr>
          <w:color w:val="000000"/>
        </w:rPr>
        <w:t xml:space="preserve"> does pragmatism lend us to read that</w:t>
      </w:r>
      <w:r w:rsidR="00607E3C">
        <w:rPr>
          <w:color w:val="000000"/>
        </w:rPr>
        <w:t xml:space="preserve"> </w:t>
      </w:r>
      <w:r w:rsidR="00DB4350">
        <w:rPr>
          <w:color w:val="000000"/>
        </w:rPr>
        <w:t>tho</w:t>
      </w:r>
      <w:r w:rsidR="001F3F76">
        <w:rPr>
          <w:color w:val="000000"/>
        </w:rPr>
        <w:t>ugh the human right to sanitation can help contribute to an advocacy toolkit, it cannot provide an all-encompassing approach</w:t>
      </w:r>
      <w:r>
        <w:rPr>
          <w:color w:val="000000"/>
        </w:rPr>
        <w:t xml:space="preserve">? </w:t>
      </w:r>
    </w:p>
    <w:p w:rsidR="0080042C" w:rsidRPr="000F7ED5" w:rsidRDefault="0080042C" w:rsidP="000F7ED5">
      <w:pPr>
        <w:ind w:firstLine="720"/>
        <w:rPr>
          <w:rFonts w:ascii="Verdana" w:hAnsi="Verdana"/>
          <w:sz w:val="19"/>
          <w:szCs w:val="19"/>
        </w:rPr>
      </w:pPr>
    </w:p>
    <w:p w:rsidR="006D412B" w:rsidRDefault="00BD7031" w:rsidP="00F75B7B">
      <w:pPr>
        <w:ind w:firstLine="720"/>
      </w:pPr>
      <w:r>
        <w:t>Edwards (1993) proposes two</w:t>
      </w:r>
      <w:r w:rsidR="00873B6D">
        <w:t xml:space="preserve"> modes</w:t>
      </w:r>
      <w:r w:rsidR="009B2C0B">
        <w:t xml:space="preserve"> of advocacy</w:t>
      </w:r>
      <w:r w:rsidR="002318B3">
        <w:t>. T</w:t>
      </w:r>
      <w:r>
        <w:t>he first “attempts to influence global level processes, structures and ideologies”</w:t>
      </w:r>
      <w:r w:rsidR="00873B6D">
        <w:rPr>
          <w:rStyle w:val="Funotenzeichen"/>
        </w:rPr>
        <w:footnoteReference w:id="83"/>
      </w:r>
      <w:r w:rsidR="002318B3">
        <w:t xml:space="preserve"> and is perhaps more attuned to the philosophical foundations of</w:t>
      </w:r>
      <w:r>
        <w:t xml:space="preserve"> </w:t>
      </w:r>
      <w:r w:rsidR="0040636C">
        <w:t xml:space="preserve">universal </w:t>
      </w:r>
      <w:r>
        <w:t xml:space="preserve">human </w:t>
      </w:r>
      <w:r w:rsidR="0040636C">
        <w:t xml:space="preserve">rights. Whereas </w:t>
      </w:r>
      <w:r>
        <w:t xml:space="preserve">Edward’s </w:t>
      </w:r>
      <w:r w:rsidR="002318B3">
        <w:t xml:space="preserve">(1993) </w:t>
      </w:r>
      <w:r>
        <w:t>second type of advocacy</w:t>
      </w:r>
      <w:r w:rsidR="002318B3">
        <w:t xml:space="preserve"> </w:t>
      </w:r>
      <w:r>
        <w:t>“attempts to influence specific policies, programmes or projects”</w:t>
      </w:r>
      <w:r>
        <w:rPr>
          <w:rStyle w:val="Funotenzeichen"/>
        </w:rPr>
        <w:footnoteReference w:id="84"/>
      </w:r>
      <w:r w:rsidR="0040636C">
        <w:t xml:space="preserve">. This approach </w:t>
      </w:r>
      <w:r w:rsidR="002318B3">
        <w:t xml:space="preserve">seems to </w:t>
      </w:r>
      <w:r w:rsidR="0040636C">
        <w:t xml:space="preserve">better </w:t>
      </w:r>
      <w:r w:rsidR="002318B3">
        <w:t xml:space="preserve">relate to the current </w:t>
      </w:r>
      <w:r w:rsidR="00944593">
        <w:t>a</w:t>
      </w:r>
      <w:r w:rsidR="0040636C">
        <w:t>dvocacy</w:t>
      </w:r>
      <w:r w:rsidR="002318B3">
        <w:t xml:space="preserve"> of the SWA, EWP and</w:t>
      </w:r>
      <w:r w:rsidR="004473D8">
        <w:t xml:space="preserve"> </w:t>
      </w:r>
      <w:proofErr w:type="spellStart"/>
      <w:r w:rsidR="004473D8">
        <w:t>WaterAid</w:t>
      </w:r>
      <w:proofErr w:type="spellEnd"/>
      <w:r w:rsidR="00202540">
        <w:t xml:space="preserve">. </w:t>
      </w:r>
      <w:r w:rsidR="002318B3">
        <w:t xml:space="preserve">Where the UN </w:t>
      </w:r>
      <w:r w:rsidR="00026A14">
        <w:t>‘</w:t>
      </w:r>
      <w:r w:rsidR="002318B3">
        <w:t>Five Year Drive</w:t>
      </w:r>
      <w:r w:rsidR="00026A14">
        <w:t>’</w:t>
      </w:r>
      <w:r w:rsidR="002318B3">
        <w:t xml:space="preserve"> would fall into Edward’s (1993) first advocacy category, </w:t>
      </w:r>
      <w:r w:rsidR="00B315C4">
        <w:t xml:space="preserve">the WSSCC’s </w:t>
      </w:r>
      <w:r w:rsidR="004473D8">
        <w:t>‘</w:t>
      </w:r>
      <w:r w:rsidR="002318B3">
        <w:t>Wash</w:t>
      </w:r>
      <w:r w:rsidR="004473D8">
        <w:t>’</w:t>
      </w:r>
      <w:r w:rsidR="002318B3">
        <w:t xml:space="preserve"> campaign would </w:t>
      </w:r>
      <w:r w:rsidR="004B2290">
        <w:t xml:space="preserve">also </w:t>
      </w:r>
      <w:r w:rsidR="00B315C4">
        <w:t xml:space="preserve">better align with </w:t>
      </w:r>
      <w:r w:rsidR="004B2290">
        <w:t>Edward’s second</w:t>
      </w:r>
      <w:r w:rsidR="00026A14">
        <w:t xml:space="preserve"> category</w:t>
      </w:r>
      <w:r w:rsidR="00B315C4">
        <w:t xml:space="preserve">.  </w:t>
      </w:r>
      <w:r>
        <w:t xml:space="preserve">Nelson and Dobson (2008) argue that successful </w:t>
      </w:r>
      <w:r w:rsidR="00D63AF5">
        <w:t xml:space="preserve">ESC </w:t>
      </w:r>
      <w:r>
        <w:t>rights advoca</w:t>
      </w:r>
      <w:r w:rsidR="00D63AF5">
        <w:t>cy involves working with States to</w:t>
      </w:r>
      <w:r>
        <w:t xml:space="preserve"> develop</w:t>
      </w:r>
      <w:r w:rsidR="00D63AF5">
        <w:t xml:space="preserve"> </w:t>
      </w:r>
      <w:r>
        <w:t xml:space="preserve">policy and capacity, </w:t>
      </w:r>
      <w:r w:rsidR="00D63AF5">
        <w:t xml:space="preserve">in a way </w:t>
      </w:r>
      <w:r>
        <w:t>which “reinforces their sovereignty rather than challenging it”</w:t>
      </w:r>
      <w:r>
        <w:rPr>
          <w:rStyle w:val="Funotenzeichen"/>
        </w:rPr>
        <w:footnoteReference w:id="85"/>
      </w:r>
      <w:r w:rsidR="00C34101">
        <w:t xml:space="preserve">. </w:t>
      </w:r>
      <w:proofErr w:type="spellStart"/>
      <w:r w:rsidR="006D412B">
        <w:t>Tarrow</w:t>
      </w:r>
      <w:proofErr w:type="spellEnd"/>
      <w:r w:rsidR="006D412B">
        <w:t xml:space="preserve"> and </w:t>
      </w:r>
      <w:proofErr w:type="spellStart"/>
      <w:r w:rsidR="006D412B">
        <w:t>McAdam</w:t>
      </w:r>
      <w:proofErr w:type="spellEnd"/>
      <w:r w:rsidR="006D412B">
        <w:t xml:space="preserve"> (2005) use the term “brokerage” to </w:t>
      </w:r>
      <w:r w:rsidR="00D22B90">
        <w:t>describe</w:t>
      </w:r>
      <w:r w:rsidR="006D412B">
        <w:t xml:space="preserve"> information transfer from local to international that “depends on the linking of two or more previously unconnected social sites”</w:t>
      </w:r>
      <w:r w:rsidR="00ED0946">
        <w:rPr>
          <w:rStyle w:val="Funotenzeichen"/>
        </w:rPr>
        <w:footnoteReference w:id="86"/>
      </w:r>
      <w:r w:rsidR="006D412B">
        <w:t xml:space="preserve">. </w:t>
      </w:r>
      <w:proofErr w:type="spellStart"/>
      <w:r w:rsidR="006D412B">
        <w:t>Tarrow</w:t>
      </w:r>
      <w:proofErr w:type="spellEnd"/>
      <w:r w:rsidR="006D412B">
        <w:t xml:space="preserve"> and </w:t>
      </w:r>
      <w:proofErr w:type="spellStart"/>
      <w:r w:rsidR="006D412B">
        <w:t>McAdam</w:t>
      </w:r>
      <w:proofErr w:type="spellEnd"/>
      <w:r w:rsidR="006D412B">
        <w:t xml:space="preserve"> (2005) argue that successful brokerage “promotes attribution of similarity”</w:t>
      </w:r>
      <w:r w:rsidR="006D412B">
        <w:rPr>
          <w:rStyle w:val="Funotenzeichen"/>
        </w:rPr>
        <w:footnoteReference w:id="87"/>
      </w:r>
      <w:r w:rsidR="006D412B">
        <w:t xml:space="preserve"> as opposed to the name and shame strategy of </w:t>
      </w:r>
      <w:r w:rsidR="006D185D">
        <w:t>C</w:t>
      </w:r>
      <w:r w:rsidR="006D412B">
        <w:t xml:space="preserve">ivil and </w:t>
      </w:r>
      <w:r w:rsidR="006D185D">
        <w:t>P</w:t>
      </w:r>
      <w:r w:rsidR="006D412B">
        <w:t xml:space="preserve">olitical </w:t>
      </w:r>
      <w:r w:rsidR="006D185D">
        <w:t xml:space="preserve">(CP) </w:t>
      </w:r>
      <w:r w:rsidR="006D412B">
        <w:t xml:space="preserve">rights campaigns which broker “the recognition of difference”. </w:t>
      </w:r>
    </w:p>
    <w:p w:rsidR="00EE27C1" w:rsidRDefault="00EE27C1" w:rsidP="00D22B90">
      <w:pPr>
        <w:ind w:firstLine="720"/>
      </w:pPr>
    </w:p>
    <w:p w:rsidR="00EE27C1" w:rsidRDefault="00EE27C1" w:rsidP="00EE27C1">
      <w:pPr>
        <w:ind w:firstLine="720"/>
      </w:pPr>
      <w:r>
        <w:t xml:space="preserve">Daniel Yeo </w:t>
      </w:r>
      <w:r w:rsidR="00187691">
        <w:t>underlines</w:t>
      </w:r>
      <w:r>
        <w:t xml:space="preserve"> that </w:t>
      </w:r>
      <w:proofErr w:type="spellStart"/>
      <w:r>
        <w:t>WaterAid’s</w:t>
      </w:r>
      <w:proofErr w:type="spellEnd"/>
      <w:r>
        <w:t xml:space="preserve"> advocacy relies on understanding </w:t>
      </w:r>
      <w:r w:rsidRPr="0017403C">
        <w:t>“the power relationships, the politics of the situation and wh</w:t>
      </w:r>
      <w:r>
        <w:t>at governments are focussing on”</w:t>
      </w:r>
      <w:r>
        <w:rPr>
          <w:rStyle w:val="Funotenzeichen"/>
        </w:rPr>
        <w:footnoteReference w:id="88"/>
      </w:r>
      <w:r>
        <w:t xml:space="preserve">. Yeo states </w:t>
      </w:r>
      <w:r w:rsidR="00187691">
        <w:t xml:space="preserve">that </w:t>
      </w:r>
      <w:r>
        <w:t>“if the political focus is on economic growth, then it’s translating it into that language”</w:t>
      </w:r>
      <w:r>
        <w:rPr>
          <w:rStyle w:val="Funotenzeichen"/>
        </w:rPr>
        <w:footnoteReference w:id="89"/>
      </w:r>
      <w:r>
        <w:t xml:space="preserve">. An example of this approach can also </w:t>
      </w:r>
      <w:r w:rsidR="00187691">
        <w:t xml:space="preserve">be </w:t>
      </w:r>
      <w:r>
        <w:t>seen in the WSSCC’s current Wash campaign, which features the tag line “GDP for GDP: Good Dignity Practices for Gross Domestic Product”</w:t>
      </w:r>
      <w:r>
        <w:rPr>
          <w:rStyle w:val="Funotenzeichen"/>
        </w:rPr>
        <w:footnoteReference w:id="90"/>
      </w:r>
      <w:r>
        <w:t>. Marlin</w:t>
      </w:r>
      <w:r w:rsidR="0010673E">
        <w:t xml:space="preserve"> </w:t>
      </w:r>
      <w:r>
        <w:t>explains the core economic argument: “by adequately addressing sanitation you reduce healthcare costs, you increase productivity; you stand to gain”</w:t>
      </w:r>
      <w:r>
        <w:rPr>
          <w:rStyle w:val="Funotenzeichen"/>
        </w:rPr>
        <w:footnoteReference w:id="91"/>
      </w:r>
      <w:r w:rsidR="00187691">
        <w:t xml:space="preserve">. </w:t>
      </w:r>
      <w:r w:rsidR="00C55C9F">
        <w:t xml:space="preserve"> </w:t>
      </w:r>
      <w:r w:rsidR="001E547F">
        <w:t xml:space="preserve">The WSSCC boil this argument </w:t>
      </w:r>
      <w:r w:rsidR="00C55C9F">
        <w:t>down to the simple campaig</w:t>
      </w:r>
      <w:r w:rsidR="001E547F">
        <w:t>n</w:t>
      </w:r>
      <w:r w:rsidR="00C55C9F">
        <w:t xml:space="preserve"> line “Turning Shit into Gold”</w:t>
      </w:r>
      <w:r w:rsidR="00C55C9F">
        <w:rPr>
          <w:rStyle w:val="Funotenzeichen"/>
        </w:rPr>
        <w:footnoteReference w:id="92"/>
      </w:r>
      <w:r w:rsidR="001E547F">
        <w:t xml:space="preserve">. </w:t>
      </w:r>
      <w:r>
        <w:t xml:space="preserve">Keck and </w:t>
      </w:r>
      <w:proofErr w:type="spellStart"/>
      <w:r>
        <w:t>Sikkink’s</w:t>
      </w:r>
      <w:proofErr w:type="spellEnd"/>
      <w:r>
        <w:t xml:space="preserve"> (1998) “opportunity structure” also identifies the understanding of political context as “key to a movement’s emergence and to </w:t>
      </w:r>
      <w:r w:rsidR="001E547F">
        <w:t>gauging</w:t>
      </w:r>
      <w:r>
        <w:t xml:space="preserve"> its success.”</w:t>
      </w:r>
      <w:r>
        <w:rPr>
          <w:rStyle w:val="Funotenzeichen"/>
        </w:rPr>
        <w:footnoteReference w:id="93"/>
      </w:r>
      <w:r>
        <w:t xml:space="preserve"> Advocacy that seems to centre on political will as the key to cha</w:t>
      </w:r>
      <w:r w:rsidR="002F4AD1">
        <w:t xml:space="preserve">nge surely raises the question: </w:t>
      </w:r>
      <w:r>
        <w:t>where does political will come from?</w:t>
      </w:r>
      <w:r w:rsidRPr="00DB4350">
        <w:t xml:space="preserve"> </w:t>
      </w:r>
      <w:r>
        <w:t xml:space="preserve">The theoretical frameworks of Keck and </w:t>
      </w:r>
      <w:proofErr w:type="spellStart"/>
      <w:r>
        <w:t>Sikkink’s</w:t>
      </w:r>
      <w:proofErr w:type="spellEnd"/>
      <w:r>
        <w:t xml:space="preserve"> “boomerang model” (1998) and Kec</w:t>
      </w:r>
      <w:r w:rsidR="002F4AD1">
        <w:t xml:space="preserve">k, </w:t>
      </w:r>
      <w:proofErr w:type="spellStart"/>
      <w:r w:rsidR="002F4AD1">
        <w:t>Sikkink</w:t>
      </w:r>
      <w:proofErr w:type="spellEnd"/>
      <w:r w:rsidR="002F4AD1">
        <w:t xml:space="preserve"> and </w:t>
      </w:r>
      <w:proofErr w:type="spellStart"/>
      <w:r w:rsidR="002F4AD1">
        <w:t>Risse’s</w:t>
      </w:r>
      <w:proofErr w:type="spellEnd"/>
      <w:r w:rsidR="002F4AD1">
        <w:t xml:space="preserve"> (1999) “spiral m</w:t>
      </w:r>
      <w:r>
        <w:t xml:space="preserve">odel” suggest that political will is produced as a reaction to pressure. And that pressure is brought about by campaigning, by advocacy and by activism from both above - in the international arena, and from below - through domestic movements. </w:t>
      </w:r>
      <w:proofErr w:type="spellStart"/>
      <w:r>
        <w:t>WaterAid’s</w:t>
      </w:r>
      <w:proofErr w:type="spellEnd"/>
      <w:r>
        <w:t xml:space="preserve"> Henry </w:t>
      </w:r>
      <w:proofErr w:type="spellStart"/>
      <w:r>
        <w:t>Northover</w:t>
      </w:r>
      <w:proofErr w:type="spellEnd"/>
      <w:r>
        <w:t xml:space="preserve"> believes “if the rights language helps generate the necessary political will then I think it certainly has some traction and some value”</w:t>
      </w:r>
      <w:r>
        <w:rPr>
          <w:rStyle w:val="Funotenzeichen"/>
        </w:rPr>
        <w:footnoteReference w:id="94"/>
      </w:r>
      <w:r>
        <w:t>.</w:t>
      </w:r>
      <w:r w:rsidRPr="008D6E1E">
        <w:t xml:space="preserve"> </w:t>
      </w:r>
      <w:r>
        <w:t xml:space="preserve">Without context, political will </w:t>
      </w:r>
      <w:r w:rsidR="003408C2">
        <w:t>can be accused of being</w:t>
      </w:r>
      <w:r w:rsidR="002F4AD1">
        <w:t xml:space="preserve"> </w:t>
      </w:r>
      <w:r>
        <w:t xml:space="preserve">as ethereal an entity as </w:t>
      </w:r>
      <w:r w:rsidR="004F43AF">
        <w:t>the human right to sanitation</w:t>
      </w:r>
      <w:r>
        <w:t xml:space="preserve"> without </w:t>
      </w:r>
      <w:r w:rsidR="004F43AF">
        <w:t>the bedrock</w:t>
      </w:r>
      <w:r w:rsidR="002F4AD1">
        <w:t xml:space="preserve"> of </w:t>
      </w:r>
      <w:r>
        <w:t xml:space="preserve">international law. </w:t>
      </w:r>
    </w:p>
    <w:p w:rsidR="006D412B" w:rsidRDefault="006D412B" w:rsidP="00EC3CCD">
      <w:pPr>
        <w:pStyle w:val="Listenabsatz"/>
        <w:spacing w:after="200"/>
        <w:ind w:left="0" w:firstLine="720"/>
      </w:pPr>
    </w:p>
    <w:p w:rsidR="00A86615" w:rsidRDefault="008E7B8F" w:rsidP="00EC3CCD">
      <w:pPr>
        <w:pStyle w:val="Listenabsatz"/>
        <w:spacing w:after="200"/>
        <w:ind w:left="0" w:firstLine="720"/>
      </w:pPr>
      <w:r>
        <w:rPr>
          <w:lang w:eastAsia="en-GB"/>
        </w:rPr>
        <w:t xml:space="preserve">Perhaps one way of </w:t>
      </w:r>
      <w:r w:rsidR="00C34101">
        <w:rPr>
          <w:lang w:eastAsia="en-GB"/>
        </w:rPr>
        <w:t xml:space="preserve">better </w:t>
      </w:r>
      <w:r>
        <w:rPr>
          <w:lang w:eastAsia="en-GB"/>
        </w:rPr>
        <w:t>understanding sanitation</w:t>
      </w:r>
      <w:r w:rsidR="002A50C7">
        <w:rPr>
          <w:lang w:eastAsia="en-GB"/>
        </w:rPr>
        <w:t xml:space="preserve"> as </w:t>
      </w:r>
      <w:r>
        <w:rPr>
          <w:lang w:eastAsia="en-GB"/>
        </w:rPr>
        <w:t>an ESC right is through Jim Ife’s (2010) discuss</w:t>
      </w:r>
      <w:r w:rsidR="00C34101">
        <w:rPr>
          <w:lang w:eastAsia="en-GB"/>
        </w:rPr>
        <w:t>ion</w:t>
      </w:r>
      <w:r>
        <w:rPr>
          <w:lang w:eastAsia="en-GB"/>
        </w:rPr>
        <w:t xml:space="preserve"> of different categories of ESC rights. Ife </w:t>
      </w:r>
      <w:r w:rsidR="002A50C7">
        <w:rPr>
          <w:lang w:eastAsia="en-GB"/>
        </w:rPr>
        <w:t xml:space="preserve">(2010) </w:t>
      </w:r>
      <w:r>
        <w:rPr>
          <w:lang w:eastAsia="en-GB"/>
        </w:rPr>
        <w:t>argues that there is potential for the “disaggregation of the ‘grab-bag’ category of economic, social and cultural rights”</w:t>
      </w:r>
      <w:r>
        <w:rPr>
          <w:rStyle w:val="Funotenzeichen"/>
          <w:lang w:eastAsia="en-GB"/>
        </w:rPr>
        <w:footnoteReference w:id="95"/>
      </w:r>
      <w:r w:rsidR="004F43AF">
        <w:rPr>
          <w:lang w:eastAsia="en-GB"/>
        </w:rPr>
        <w:t>.</w:t>
      </w:r>
      <w:r>
        <w:rPr>
          <w:lang w:eastAsia="en-GB"/>
        </w:rPr>
        <w:t xml:space="preserve"> As well as concentrating on </w:t>
      </w:r>
      <w:r w:rsidR="00C34101">
        <w:rPr>
          <w:lang w:eastAsia="en-GB"/>
        </w:rPr>
        <w:t>‘</w:t>
      </w:r>
      <w:r>
        <w:rPr>
          <w:lang w:eastAsia="en-GB"/>
        </w:rPr>
        <w:t>economic</w:t>
      </w:r>
      <w:r w:rsidR="00C34101">
        <w:rPr>
          <w:lang w:eastAsia="en-GB"/>
        </w:rPr>
        <w:t>’</w:t>
      </w:r>
      <w:r>
        <w:rPr>
          <w:lang w:eastAsia="en-GB"/>
        </w:rPr>
        <w:t xml:space="preserve">, </w:t>
      </w:r>
      <w:r w:rsidR="00C34101">
        <w:rPr>
          <w:lang w:eastAsia="en-GB"/>
        </w:rPr>
        <w:t>‘</w:t>
      </w:r>
      <w:r>
        <w:rPr>
          <w:lang w:eastAsia="en-GB"/>
        </w:rPr>
        <w:t>social</w:t>
      </w:r>
      <w:r w:rsidR="00C34101">
        <w:rPr>
          <w:lang w:eastAsia="en-GB"/>
        </w:rPr>
        <w:t>’</w:t>
      </w:r>
      <w:r>
        <w:rPr>
          <w:lang w:eastAsia="en-GB"/>
        </w:rPr>
        <w:t xml:space="preserve"> and </w:t>
      </w:r>
      <w:r w:rsidR="00C34101">
        <w:rPr>
          <w:lang w:eastAsia="en-GB"/>
        </w:rPr>
        <w:t>‘</w:t>
      </w:r>
      <w:r>
        <w:rPr>
          <w:lang w:eastAsia="en-GB"/>
        </w:rPr>
        <w:t xml:space="preserve">cultural </w:t>
      </w:r>
      <w:r w:rsidR="00C34101">
        <w:rPr>
          <w:lang w:eastAsia="en-GB"/>
        </w:rPr>
        <w:t>‘</w:t>
      </w:r>
      <w:r>
        <w:rPr>
          <w:lang w:eastAsia="en-GB"/>
        </w:rPr>
        <w:t xml:space="preserve">rights as separate </w:t>
      </w:r>
      <w:r w:rsidR="002A50C7">
        <w:rPr>
          <w:lang w:eastAsia="en-GB"/>
        </w:rPr>
        <w:t>factions</w:t>
      </w:r>
      <w:r>
        <w:rPr>
          <w:lang w:eastAsia="en-GB"/>
        </w:rPr>
        <w:t xml:space="preserve">, Ife (2010) </w:t>
      </w:r>
      <w:r w:rsidR="004F43AF">
        <w:rPr>
          <w:lang w:eastAsia="en-GB"/>
        </w:rPr>
        <w:t>also suggests a fourth category:</w:t>
      </w:r>
      <w:r>
        <w:rPr>
          <w:lang w:eastAsia="en-GB"/>
        </w:rPr>
        <w:t xml:space="preserve"> “survival rights”</w:t>
      </w:r>
      <w:r w:rsidR="00C34101">
        <w:rPr>
          <w:lang w:eastAsia="en-GB"/>
        </w:rPr>
        <w:t>. Ife (2010) describes survival rights</w:t>
      </w:r>
      <w:r>
        <w:rPr>
          <w:lang w:eastAsia="en-GB"/>
        </w:rPr>
        <w:t xml:space="preserve"> as the “basic things needed for simple human survival: food, water, shelter, clothing and health services”</w:t>
      </w:r>
      <w:r>
        <w:rPr>
          <w:rStyle w:val="Funotenzeichen"/>
          <w:lang w:eastAsia="en-GB"/>
        </w:rPr>
        <w:footnoteReference w:id="96"/>
      </w:r>
      <w:r>
        <w:rPr>
          <w:lang w:eastAsia="en-GB"/>
        </w:rPr>
        <w:t xml:space="preserve">. </w:t>
      </w:r>
      <w:r w:rsidR="00E107E0">
        <w:t xml:space="preserve">Nelson and Dobson (2008) suggest that the successful ESC rights advocacy relies on both “the development of new movements and organisations that explicitly link critical human needs to social and </w:t>
      </w:r>
      <w:proofErr w:type="spellStart"/>
      <w:r w:rsidR="00E107E0">
        <w:t>economics</w:t>
      </w:r>
      <w:proofErr w:type="spellEnd"/>
      <w:r w:rsidR="00E107E0">
        <w:t xml:space="preserve"> rights standards”</w:t>
      </w:r>
      <w:r w:rsidR="00E107E0">
        <w:rPr>
          <w:rStyle w:val="Funotenzeichen"/>
        </w:rPr>
        <w:footnoteReference w:id="97"/>
      </w:r>
      <w:r w:rsidR="00E107E0">
        <w:t xml:space="preserve"> and “the expansion of mandates by traditional civil and political rights groups to cover economic and social rights”</w:t>
      </w:r>
      <w:r w:rsidR="00E107E0">
        <w:rPr>
          <w:rStyle w:val="Funotenzeichen"/>
        </w:rPr>
        <w:footnoteReference w:id="98"/>
      </w:r>
      <w:r w:rsidR="004F43AF">
        <w:t xml:space="preserve">. </w:t>
      </w:r>
      <w:r w:rsidR="00F9153A">
        <w:t xml:space="preserve">On developing their </w:t>
      </w:r>
      <w:r w:rsidR="00E107E0">
        <w:t xml:space="preserve">‘Demand Dignity’ ESC rights campaign, </w:t>
      </w:r>
      <w:r w:rsidR="00F9153A">
        <w:t xml:space="preserve">Amnesty International </w:t>
      </w:r>
      <w:r w:rsidR="00696456">
        <w:t xml:space="preserve">(AI) </w:t>
      </w:r>
      <w:r w:rsidR="00F9153A">
        <w:t>stated: “the campaign would focus on human dignity, demonstrating how ESC rights violations lead to poverty”</w:t>
      </w:r>
      <w:r w:rsidR="00F9153A">
        <w:rPr>
          <w:rStyle w:val="Funotenzeichen"/>
        </w:rPr>
        <w:footnoteReference w:id="99"/>
      </w:r>
      <w:r w:rsidR="00F9153A">
        <w:t xml:space="preserve">. </w:t>
      </w:r>
      <w:r w:rsidR="00586330">
        <w:rPr>
          <w:lang w:eastAsia="en-GB"/>
        </w:rPr>
        <w:t xml:space="preserve">International </w:t>
      </w:r>
      <w:r w:rsidR="00586330" w:rsidRPr="0090357F">
        <w:rPr>
          <w:lang w:eastAsia="en-GB"/>
        </w:rPr>
        <w:t xml:space="preserve">human rights law </w:t>
      </w:r>
      <w:r w:rsidR="00586330">
        <w:rPr>
          <w:lang w:eastAsia="en-GB"/>
        </w:rPr>
        <w:t>has an essential role to play in</w:t>
      </w:r>
      <w:r w:rsidR="00586330" w:rsidRPr="0090357F">
        <w:rPr>
          <w:lang w:eastAsia="en-GB"/>
        </w:rPr>
        <w:t xml:space="preserve"> enshrining </w:t>
      </w:r>
      <w:r w:rsidR="003F2B06">
        <w:rPr>
          <w:lang w:eastAsia="en-GB"/>
        </w:rPr>
        <w:t xml:space="preserve">the right to sanitation </w:t>
      </w:r>
      <w:r w:rsidR="00586330" w:rsidRPr="0090357F">
        <w:rPr>
          <w:lang w:eastAsia="en-GB"/>
        </w:rPr>
        <w:t>in legal protection</w:t>
      </w:r>
      <w:r w:rsidR="00586330">
        <w:rPr>
          <w:lang w:eastAsia="en-GB"/>
        </w:rPr>
        <w:t>,</w:t>
      </w:r>
      <w:r w:rsidR="00586330" w:rsidRPr="0090357F">
        <w:rPr>
          <w:lang w:eastAsia="en-GB"/>
        </w:rPr>
        <w:t xml:space="preserve"> </w:t>
      </w:r>
      <w:r w:rsidR="00865FDC">
        <w:t>forging links between poverty, economic deprivation and human rights violations</w:t>
      </w:r>
      <w:r w:rsidR="002A50C7">
        <w:t>, o</w:t>
      </w:r>
      <w:r w:rsidR="00586330" w:rsidRPr="0090357F">
        <w:rPr>
          <w:lang w:eastAsia="en-GB"/>
        </w:rPr>
        <w:t xml:space="preserve">ffering </w:t>
      </w:r>
      <w:r w:rsidR="00586330">
        <w:rPr>
          <w:lang w:eastAsia="en-GB"/>
        </w:rPr>
        <w:t xml:space="preserve">potential </w:t>
      </w:r>
      <w:r w:rsidR="003F2B06">
        <w:rPr>
          <w:lang w:eastAsia="en-GB"/>
        </w:rPr>
        <w:t xml:space="preserve">routes of recompense for violations of ESC rights. </w:t>
      </w:r>
      <w:r w:rsidR="00EC3CCD">
        <w:rPr>
          <w:lang w:eastAsia="en-GB"/>
        </w:rPr>
        <w:br/>
      </w:r>
    </w:p>
    <w:p w:rsidR="00257784" w:rsidRDefault="002A63B7" w:rsidP="002A63B7">
      <w:pPr>
        <w:spacing w:after="200" w:line="276" w:lineRule="auto"/>
        <w:rPr>
          <w:b/>
          <w:i/>
        </w:rPr>
      </w:pPr>
      <w:r w:rsidRPr="00773532">
        <w:rPr>
          <w:b/>
          <w:i/>
        </w:rPr>
        <w:t>1.</w:t>
      </w:r>
      <w:r w:rsidR="00F0339D">
        <w:rPr>
          <w:b/>
          <w:i/>
        </w:rPr>
        <w:t>5</w:t>
      </w:r>
      <w:r>
        <w:rPr>
          <w:b/>
          <w:i/>
        </w:rPr>
        <w:tab/>
      </w:r>
      <w:r w:rsidRPr="00773532">
        <w:rPr>
          <w:b/>
          <w:i/>
        </w:rPr>
        <w:t xml:space="preserve"> </w:t>
      </w:r>
      <w:r w:rsidR="00F0339D">
        <w:rPr>
          <w:b/>
          <w:i/>
        </w:rPr>
        <w:t>Enacting the right to sanitation</w:t>
      </w:r>
    </w:p>
    <w:p w:rsidR="00CF0D9F" w:rsidRDefault="00257784" w:rsidP="00CF0D9F">
      <w:pPr>
        <w:pStyle w:val="StandardWeb"/>
        <w:ind w:firstLine="720"/>
        <w:rPr>
          <w:lang w:val="en-US"/>
        </w:rPr>
      </w:pPr>
      <w:r>
        <w:t xml:space="preserve">This section will explore how the right to sanitation has been received in the United Kingdom, and how the right to sanitation might be enacted in Namibia. It is important to note that </w:t>
      </w:r>
      <w:r w:rsidR="00CF0D9F">
        <w:t xml:space="preserve">State reactions to the recent UN ‘right to sanitation’ Resolutions </w:t>
      </w:r>
      <w:r w:rsidR="000A54FF">
        <w:t>must</w:t>
      </w:r>
      <w:r w:rsidR="00CF0D9F">
        <w:t xml:space="preserve"> be understood </w:t>
      </w:r>
      <w:r w:rsidR="000A54FF">
        <w:t>alongside</w:t>
      </w:r>
      <w:r w:rsidR="00CF0D9F">
        <w:t xml:space="preserve"> existing treaty obligations and domestic laws. </w:t>
      </w:r>
      <w:r w:rsidR="000A54FF">
        <w:t xml:space="preserve">States </w:t>
      </w:r>
      <w:r w:rsidR="00F0339D">
        <w:t xml:space="preserve">who </w:t>
      </w:r>
      <w:r w:rsidR="000A54FF">
        <w:t>are</w:t>
      </w:r>
      <w:r w:rsidR="003A54C2">
        <w:t xml:space="preserve"> party to the ICCPR,</w:t>
      </w:r>
      <w:r w:rsidR="00F0339D">
        <w:t xml:space="preserve"> the ICESCR, CEDAW and/or the CRC </w:t>
      </w:r>
      <w:r w:rsidR="000A54FF">
        <w:t xml:space="preserve">may </w:t>
      </w:r>
      <w:r w:rsidR="000834C1">
        <w:t xml:space="preserve">also </w:t>
      </w:r>
      <w:r w:rsidR="00A12240">
        <w:t xml:space="preserve">show </w:t>
      </w:r>
      <w:r w:rsidR="000A54FF">
        <w:t>a greater receptiveness to campaigns and advocacy that focus</w:t>
      </w:r>
      <w:r w:rsidR="000834C1">
        <w:t>es</w:t>
      </w:r>
      <w:r w:rsidR="000A54FF">
        <w:t xml:space="preserve"> on sanitation</w:t>
      </w:r>
      <w:r w:rsidR="000834C1">
        <w:t xml:space="preserve"> as a human right. </w:t>
      </w:r>
      <w:r w:rsidR="00CF0D9F">
        <w:rPr>
          <w:lang w:val="en-US"/>
        </w:rPr>
        <w:t xml:space="preserve">Morley </w:t>
      </w:r>
      <w:r w:rsidR="00F0339D">
        <w:rPr>
          <w:lang w:val="en-US"/>
        </w:rPr>
        <w:t xml:space="preserve">(2010) </w:t>
      </w:r>
      <w:r w:rsidR="00CF0D9F">
        <w:rPr>
          <w:lang w:val="en-US"/>
        </w:rPr>
        <w:t>notes the legally binding status of</w:t>
      </w:r>
      <w:r w:rsidR="00F62A53">
        <w:rPr>
          <w:lang w:val="en-US"/>
        </w:rPr>
        <w:t xml:space="preserve"> HRC</w:t>
      </w:r>
      <w:r w:rsidR="00CF0D9F">
        <w:rPr>
          <w:lang w:val="en-US"/>
        </w:rPr>
        <w:t xml:space="preserve"> Resolution </w:t>
      </w:r>
      <w:r w:rsidR="00F62A53" w:rsidRPr="004C21A7">
        <w:rPr>
          <w:color w:val="111111"/>
        </w:rPr>
        <w:t>15/L.14</w:t>
      </w:r>
      <w:r w:rsidR="00CF0D9F">
        <w:rPr>
          <w:lang w:val="en-US"/>
        </w:rPr>
        <w:t xml:space="preserve">: </w:t>
      </w:r>
    </w:p>
    <w:p w:rsidR="000B666C" w:rsidRPr="00257784" w:rsidRDefault="00257784" w:rsidP="00257784">
      <w:pPr>
        <w:pStyle w:val="StandardWeb"/>
        <w:ind w:left="720"/>
        <w:rPr>
          <w:i/>
          <w:lang w:val="en-US"/>
        </w:rPr>
      </w:pPr>
      <w:r w:rsidRPr="00CC39FD">
        <w:rPr>
          <w:i/>
          <w:lang w:val="en-US"/>
        </w:rPr>
        <w:t>“In 160 countries</w:t>
      </w:r>
      <w:r w:rsidR="00E8257C">
        <w:rPr>
          <w:rStyle w:val="Funotenzeichen"/>
          <w:i/>
          <w:lang w:val="en-US"/>
        </w:rPr>
        <w:footnoteReference w:id="100"/>
      </w:r>
      <w:r w:rsidRPr="00CC39FD">
        <w:rPr>
          <w:i/>
          <w:lang w:val="en-US"/>
        </w:rPr>
        <w:t xml:space="preserve"> in all regions of the world, governments can no longer deny their legal responsibility to ensure that water and sanitation services are provided to the billions of poor people lacking access”</w:t>
      </w:r>
      <w:r>
        <w:rPr>
          <w:rStyle w:val="Funotenzeichen"/>
          <w:i/>
          <w:lang w:val="en-US"/>
        </w:rPr>
        <w:footnoteReference w:id="101"/>
      </w:r>
    </w:p>
    <w:p w:rsidR="000B666C" w:rsidRDefault="000834C1" w:rsidP="000B666C">
      <w:pPr>
        <w:autoSpaceDE w:val="0"/>
        <w:autoSpaceDN w:val="0"/>
        <w:adjustRightInd w:val="0"/>
        <w:snapToGrid w:val="0"/>
        <w:ind w:firstLine="720"/>
        <w:rPr>
          <w:i/>
          <w:color w:val="111111"/>
        </w:rPr>
      </w:pPr>
      <w:r>
        <w:rPr>
          <w:bCs/>
        </w:rPr>
        <w:t xml:space="preserve">The UK has ratified the ICESCR, </w:t>
      </w:r>
      <w:r w:rsidR="00F92D0D">
        <w:rPr>
          <w:bCs/>
        </w:rPr>
        <w:t xml:space="preserve">but refuses to acknowledge the human right to sanitation. </w:t>
      </w:r>
      <w:r w:rsidR="006463F6">
        <w:t>Outwardly, the UK</w:t>
      </w:r>
      <w:r w:rsidR="00A7339B">
        <w:t xml:space="preserve"> </w:t>
      </w:r>
      <w:r w:rsidR="00723259">
        <w:t xml:space="preserve">government </w:t>
      </w:r>
      <w:r w:rsidR="00A7339B">
        <w:t>justifies th</w:t>
      </w:r>
      <w:r w:rsidR="00723259">
        <w:t>is</w:t>
      </w:r>
      <w:r w:rsidR="00A7339B">
        <w:t xml:space="preserve"> </w:t>
      </w:r>
      <w:r w:rsidR="006463F6">
        <w:t xml:space="preserve">decision </w:t>
      </w:r>
      <w:r w:rsidR="00723259">
        <w:t>by</w:t>
      </w:r>
      <w:r w:rsidR="00A7339B">
        <w:t xml:space="preserve"> the lack of an agreed </w:t>
      </w:r>
      <w:r w:rsidR="006463F6">
        <w:t xml:space="preserve">definition of sanitation. </w:t>
      </w:r>
      <w:r w:rsidR="00DE6AF6">
        <w:rPr>
          <w:lang w:eastAsia="en-GB"/>
        </w:rPr>
        <w:t>However, the UK government seemed confident enough of the definition of sanitation in 2006 when the</w:t>
      </w:r>
      <w:r w:rsidR="00B00F84">
        <w:rPr>
          <w:lang w:eastAsia="en-GB"/>
        </w:rPr>
        <w:t>ir</w:t>
      </w:r>
      <w:r w:rsidR="00DE6AF6">
        <w:rPr>
          <w:lang w:eastAsia="en-GB"/>
        </w:rPr>
        <w:t xml:space="preserve"> Department of International Development (</w:t>
      </w:r>
      <w:proofErr w:type="spellStart"/>
      <w:r w:rsidR="00DE6AF6">
        <w:rPr>
          <w:lang w:eastAsia="en-GB"/>
        </w:rPr>
        <w:t>DfID</w:t>
      </w:r>
      <w:proofErr w:type="spellEnd"/>
      <w:r w:rsidR="00DE6AF6">
        <w:rPr>
          <w:lang w:eastAsia="en-GB"/>
        </w:rPr>
        <w:t>) produced a booklet entitled ‘</w:t>
      </w:r>
      <w:r w:rsidR="00DE6AF6" w:rsidRPr="00E96983">
        <w:rPr>
          <w:i/>
          <w:lang w:eastAsia="en-GB"/>
        </w:rPr>
        <w:t>Why we need a global action plan on water and sanitation</w:t>
      </w:r>
      <w:r w:rsidR="00DE6AF6">
        <w:rPr>
          <w:lang w:eastAsia="en-GB"/>
        </w:rPr>
        <w:t>’</w:t>
      </w:r>
      <w:r w:rsidR="00DE6AF6">
        <w:rPr>
          <w:rStyle w:val="Funotenzeichen"/>
          <w:lang w:eastAsia="en-GB"/>
        </w:rPr>
        <w:footnoteReference w:id="102"/>
      </w:r>
      <w:r w:rsidR="00DE6AF6">
        <w:rPr>
          <w:lang w:eastAsia="en-GB"/>
        </w:rPr>
        <w:t>.</w:t>
      </w:r>
      <w:r w:rsidR="000B666C">
        <w:t xml:space="preserve">The </w:t>
      </w:r>
      <w:r w:rsidR="006463F6">
        <w:t xml:space="preserve">position </w:t>
      </w:r>
      <w:r w:rsidR="000B666C">
        <w:t xml:space="preserve">of the UK in abstaining from GA Resolution </w:t>
      </w:r>
      <w:r w:rsidR="00103149">
        <w:rPr>
          <w:color w:val="111111"/>
        </w:rPr>
        <w:t>64</w:t>
      </w:r>
      <w:r w:rsidR="000B666C" w:rsidRPr="00B51837">
        <w:rPr>
          <w:color w:val="111111"/>
        </w:rPr>
        <w:t>/2</w:t>
      </w:r>
      <w:r w:rsidR="00103149">
        <w:rPr>
          <w:color w:val="111111"/>
        </w:rPr>
        <w:t>92</w:t>
      </w:r>
      <w:r w:rsidR="000B666C">
        <w:t xml:space="preserve"> highlights a wider unwillingness among the international community to recognise sanitation as a human right. World Vision’s Jennifer Philpot-</w:t>
      </w:r>
      <w:proofErr w:type="spellStart"/>
      <w:r w:rsidR="000B666C">
        <w:t>Nissen</w:t>
      </w:r>
      <w:proofErr w:type="spellEnd"/>
      <w:r w:rsidR="00103149">
        <w:t xml:space="preserve"> comments: </w:t>
      </w:r>
      <w:r w:rsidR="000B666C" w:rsidRPr="00B714E0">
        <w:t xml:space="preserve">“sanitation is still struggling to be accepted as a right, despite </w:t>
      </w:r>
      <w:r w:rsidR="000B666C">
        <w:t>the GA</w:t>
      </w:r>
      <w:r w:rsidR="000B666C" w:rsidRPr="00B714E0">
        <w:t xml:space="preserve"> and HRC resolutions - look at the UK government’s position for a start”</w:t>
      </w:r>
      <w:r w:rsidR="000B666C">
        <w:rPr>
          <w:rStyle w:val="Funotenzeichen"/>
        </w:rPr>
        <w:footnoteReference w:id="103"/>
      </w:r>
      <w:r w:rsidR="000B666C" w:rsidRPr="00B714E0">
        <w:t xml:space="preserve">. </w:t>
      </w:r>
      <w:r w:rsidR="000B666C">
        <w:t>It is worth noting that at both signature and ratification of the ICESCR</w:t>
      </w:r>
      <w:r w:rsidR="00F92D0D">
        <w:t>, the UK</w:t>
      </w:r>
      <w:r w:rsidR="000B666C">
        <w:t xml:space="preserve"> </w:t>
      </w:r>
      <w:r w:rsidR="00F92D0D">
        <w:t>made</w:t>
      </w:r>
      <w:r w:rsidR="000B666C">
        <w:t xml:space="preserve"> no reservations relat</w:t>
      </w:r>
      <w:r w:rsidR="00F92D0D">
        <w:t>ing</w:t>
      </w:r>
      <w:r w:rsidR="000B666C">
        <w:t xml:space="preserve"> to the right to life aspects of Article 11. Their position therefore certainly seems to contradict their binding treaty commitments</w:t>
      </w:r>
      <w:r w:rsidR="00817416">
        <w:t xml:space="preserve"> as it</w:t>
      </w:r>
      <w:r w:rsidR="00817416">
        <w:rPr>
          <w:lang w:eastAsia="en-GB"/>
        </w:rPr>
        <w:t xml:space="preserve"> can argued to go against the restrictions placed on derogations under Article 5 of the ICESCR. This </w:t>
      </w:r>
      <w:r w:rsidR="004B3405">
        <w:rPr>
          <w:lang w:eastAsia="en-GB"/>
        </w:rPr>
        <w:t>would put</w:t>
      </w:r>
      <w:r w:rsidR="00817416">
        <w:rPr>
          <w:lang w:eastAsia="en-GB"/>
        </w:rPr>
        <w:t xml:space="preserve"> the UK in breach of its treaty obligations</w:t>
      </w:r>
      <w:r w:rsidR="000B666C">
        <w:t>. A</w:t>
      </w:r>
      <w:r w:rsidR="00723259">
        <w:t>mnesty</w:t>
      </w:r>
      <w:r w:rsidR="00103149">
        <w:t xml:space="preserve"> (2011) </w:t>
      </w:r>
      <w:r w:rsidR="000B666C">
        <w:t xml:space="preserve">note: </w:t>
      </w:r>
      <w:r w:rsidR="000B666C">
        <w:br/>
      </w:r>
      <w:r w:rsidR="000B666C">
        <w:br/>
      </w:r>
      <w:r w:rsidR="000B666C">
        <w:rPr>
          <w:i/>
          <w:color w:val="111111"/>
        </w:rPr>
        <w:t xml:space="preserve">            “</w:t>
      </w:r>
      <w:r w:rsidR="000B666C" w:rsidRPr="00E61210">
        <w:rPr>
          <w:i/>
          <w:color w:val="111111"/>
        </w:rPr>
        <w:t xml:space="preserve">The UK justified its position on the grounds that there is no international </w:t>
      </w:r>
      <w:r w:rsidR="000B666C">
        <w:rPr>
          <w:i/>
          <w:color w:val="111111"/>
        </w:rPr>
        <w:t xml:space="preserve">agreement </w:t>
      </w:r>
    </w:p>
    <w:p w:rsidR="000B666C" w:rsidRDefault="000B666C" w:rsidP="000B666C">
      <w:pPr>
        <w:autoSpaceDE w:val="0"/>
        <w:autoSpaceDN w:val="0"/>
        <w:adjustRightInd w:val="0"/>
        <w:snapToGrid w:val="0"/>
        <w:ind w:firstLine="720"/>
        <w:rPr>
          <w:i/>
          <w:color w:val="111111"/>
        </w:rPr>
      </w:pPr>
      <w:proofErr w:type="gramStart"/>
      <w:r>
        <w:rPr>
          <w:i/>
          <w:color w:val="111111"/>
        </w:rPr>
        <w:t>on</w:t>
      </w:r>
      <w:proofErr w:type="gramEnd"/>
      <w:r w:rsidRPr="00E61210">
        <w:rPr>
          <w:i/>
          <w:color w:val="111111"/>
        </w:rPr>
        <w:t xml:space="preserve"> what the right comprises and that there is no clear internationally agreed </w:t>
      </w:r>
      <w:r>
        <w:rPr>
          <w:i/>
          <w:color w:val="111111"/>
        </w:rPr>
        <w:br/>
      </w:r>
      <w:r>
        <w:rPr>
          <w:i/>
          <w:color w:val="111111"/>
        </w:rPr>
        <w:tab/>
      </w:r>
      <w:r w:rsidRPr="00E61210">
        <w:rPr>
          <w:i/>
          <w:color w:val="111111"/>
        </w:rPr>
        <w:t xml:space="preserve">definition of sanitation. Amnesty International deplores the UK’s position on the right </w:t>
      </w:r>
      <w:r>
        <w:rPr>
          <w:i/>
          <w:color w:val="111111"/>
        </w:rPr>
        <w:br/>
      </w:r>
      <w:r>
        <w:rPr>
          <w:i/>
          <w:color w:val="111111"/>
        </w:rPr>
        <w:tab/>
      </w:r>
      <w:r w:rsidRPr="00E61210">
        <w:rPr>
          <w:i/>
          <w:color w:val="111111"/>
        </w:rPr>
        <w:t>to sanitation</w:t>
      </w:r>
      <w:r>
        <w:rPr>
          <w:rStyle w:val="Funotenzeichen"/>
          <w:i/>
          <w:color w:val="111111"/>
        </w:rPr>
        <w:footnoteReference w:id="104"/>
      </w:r>
      <w:r>
        <w:rPr>
          <w:i/>
          <w:color w:val="111111"/>
        </w:rPr>
        <w:t>”</w:t>
      </w:r>
      <w:r w:rsidRPr="00E61210">
        <w:rPr>
          <w:i/>
          <w:color w:val="111111"/>
        </w:rPr>
        <w:t>.</w:t>
      </w:r>
    </w:p>
    <w:p w:rsidR="000B666C" w:rsidRDefault="000B666C" w:rsidP="000B666C">
      <w:pPr>
        <w:autoSpaceDE w:val="0"/>
        <w:autoSpaceDN w:val="0"/>
        <w:adjustRightInd w:val="0"/>
        <w:snapToGrid w:val="0"/>
        <w:ind w:firstLine="720"/>
        <w:rPr>
          <w:rFonts w:ascii="Arial" w:hAnsi="Arial" w:cs="Arial"/>
          <w:color w:val="111111"/>
          <w:sz w:val="18"/>
          <w:szCs w:val="18"/>
        </w:rPr>
      </w:pPr>
    </w:p>
    <w:p w:rsidR="000B666C" w:rsidRDefault="000B666C" w:rsidP="000B666C">
      <w:pPr>
        <w:rPr>
          <w:lang w:eastAsia="en-GB"/>
        </w:rPr>
      </w:pPr>
      <w:r>
        <w:t xml:space="preserve">Henry </w:t>
      </w:r>
      <w:proofErr w:type="spellStart"/>
      <w:r>
        <w:t>Northover</w:t>
      </w:r>
      <w:proofErr w:type="spellEnd"/>
      <w:r>
        <w:t xml:space="preserve"> </w:t>
      </w:r>
      <w:r w:rsidR="00F92D0D">
        <w:rPr>
          <w:lang w:eastAsia="en-GB"/>
        </w:rPr>
        <w:t>indicates</w:t>
      </w:r>
      <w:r w:rsidR="00103149">
        <w:t xml:space="preserve"> that behind the scenes, </w:t>
      </w:r>
      <w:r>
        <w:t>the UK’s position</w:t>
      </w:r>
      <w:r>
        <w:rPr>
          <w:lang w:eastAsia="en-GB"/>
        </w:rPr>
        <w:t xml:space="preserve"> may reflect view</w:t>
      </w:r>
      <w:r w:rsidR="00103149">
        <w:rPr>
          <w:lang w:eastAsia="en-GB"/>
        </w:rPr>
        <w:t>s</w:t>
      </w:r>
      <w:r>
        <w:rPr>
          <w:lang w:eastAsia="en-GB"/>
        </w:rPr>
        <w:t xml:space="preserve"> that applying sanitation as a human right “is hindered from a </w:t>
      </w:r>
      <w:r w:rsidR="00723259">
        <w:rPr>
          <w:lang w:eastAsia="en-GB"/>
        </w:rPr>
        <w:t>complexity in i</w:t>
      </w:r>
      <w:r>
        <w:rPr>
          <w:lang w:eastAsia="en-GB"/>
        </w:rPr>
        <w:t>dentifying who are the duty holders and duty bearers involved”</w:t>
      </w:r>
      <w:r>
        <w:rPr>
          <w:rStyle w:val="Funotenzeichen"/>
          <w:lang w:eastAsia="en-GB"/>
        </w:rPr>
        <w:footnoteReference w:id="105"/>
      </w:r>
      <w:r>
        <w:rPr>
          <w:lang w:eastAsia="en-GB"/>
        </w:rPr>
        <w:t xml:space="preserve">. </w:t>
      </w:r>
      <w:proofErr w:type="spellStart"/>
      <w:r>
        <w:rPr>
          <w:lang w:eastAsia="en-GB"/>
        </w:rPr>
        <w:t>Northover</w:t>
      </w:r>
      <w:proofErr w:type="spellEnd"/>
      <w:r>
        <w:rPr>
          <w:lang w:eastAsia="en-GB"/>
        </w:rPr>
        <w:t xml:space="preserve"> also </w:t>
      </w:r>
      <w:r w:rsidR="00F92D0D">
        <w:rPr>
          <w:lang w:eastAsia="en-GB"/>
        </w:rPr>
        <w:t xml:space="preserve">suggests </w:t>
      </w:r>
      <w:r>
        <w:rPr>
          <w:lang w:eastAsia="en-GB"/>
        </w:rPr>
        <w:t xml:space="preserve">that accepting the binding status of this </w:t>
      </w:r>
      <w:r w:rsidR="00F92D0D">
        <w:rPr>
          <w:lang w:eastAsia="en-GB"/>
        </w:rPr>
        <w:t>new human right</w:t>
      </w:r>
      <w:r>
        <w:rPr>
          <w:lang w:eastAsia="en-GB"/>
        </w:rPr>
        <w:t xml:space="preserve"> may have “adverse implications for the home </w:t>
      </w:r>
      <w:r w:rsidR="00103149">
        <w:rPr>
          <w:lang w:eastAsia="en-GB"/>
        </w:rPr>
        <w:t xml:space="preserve">office and home office budgets”, </w:t>
      </w:r>
      <w:r>
        <w:rPr>
          <w:lang w:eastAsia="en-GB"/>
        </w:rPr>
        <w:t>for example “prisoners slopping out would be declared illegal or could be challenged”</w:t>
      </w:r>
      <w:r>
        <w:rPr>
          <w:rStyle w:val="Funotenzeichen"/>
          <w:lang w:eastAsia="en-GB"/>
        </w:rPr>
        <w:footnoteReference w:id="106"/>
      </w:r>
      <w:r>
        <w:rPr>
          <w:lang w:eastAsia="en-GB"/>
        </w:rPr>
        <w:t xml:space="preserve">. </w:t>
      </w:r>
      <w:r w:rsidR="00E96983">
        <w:rPr>
          <w:lang w:eastAsia="en-GB"/>
        </w:rPr>
        <w:t xml:space="preserve">This would certainly appear to be a controversial issue worthy of further </w:t>
      </w:r>
      <w:r w:rsidR="00102945">
        <w:rPr>
          <w:lang w:eastAsia="en-GB"/>
        </w:rPr>
        <w:t>research</w:t>
      </w:r>
      <w:r w:rsidR="00E96983">
        <w:rPr>
          <w:lang w:eastAsia="en-GB"/>
        </w:rPr>
        <w:t xml:space="preserve">. </w:t>
      </w:r>
    </w:p>
    <w:p w:rsidR="000B666C" w:rsidRDefault="000B666C" w:rsidP="000B666C">
      <w:pPr>
        <w:rPr>
          <w:lang w:eastAsia="en-GB"/>
        </w:rPr>
      </w:pPr>
    </w:p>
    <w:p w:rsidR="000B666C" w:rsidRDefault="000B666C" w:rsidP="000B666C">
      <w:pPr>
        <w:ind w:firstLine="720"/>
        <w:rPr>
          <w:lang w:eastAsia="en-GB"/>
        </w:rPr>
      </w:pPr>
      <w:r>
        <w:rPr>
          <w:lang w:eastAsia="en-GB"/>
        </w:rPr>
        <w:t xml:space="preserve">The overriding impression from </w:t>
      </w:r>
      <w:proofErr w:type="spellStart"/>
      <w:r>
        <w:rPr>
          <w:lang w:eastAsia="en-GB"/>
        </w:rPr>
        <w:t>WaterAid</w:t>
      </w:r>
      <w:proofErr w:type="spellEnd"/>
      <w:r>
        <w:rPr>
          <w:lang w:eastAsia="en-GB"/>
        </w:rPr>
        <w:t xml:space="preserve"> UK is that the human right to sanitation can help gain public support for campaigns, but the language of human rights is not a major part of their advocacy strategy. </w:t>
      </w:r>
      <w:r>
        <w:t xml:space="preserve">As Henry </w:t>
      </w:r>
      <w:proofErr w:type="spellStart"/>
      <w:r>
        <w:t>Northover</w:t>
      </w:r>
      <w:proofErr w:type="spellEnd"/>
      <w:r>
        <w:t xml:space="preserve"> explains: </w:t>
      </w:r>
    </w:p>
    <w:p w:rsidR="000B666C" w:rsidRDefault="000B666C" w:rsidP="000B666C"/>
    <w:p w:rsidR="000B666C" w:rsidRDefault="000B666C" w:rsidP="000B666C">
      <w:pPr>
        <w:ind w:left="720"/>
        <w:rPr>
          <w:i/>
          <w:lang w:eastAsia="en-GB"/>
        </w:rPr>
      </w:pPr>
      <w:r w:rsidRPr="001647CB">
        <w:rPr>
          <w:i/>
        </w:rPr>
        <w:t>“</w:t>
      </w:r>
      <w:r w:rsidRPr="001647CB">
        <w:rPr>
          <w:i/>
          <w:lang w:eastAsia="en-GB"/>
        </w:rPr>
        <w:t xml:space="preserve">I think there are two perspectives in </w:t>
      </w:r>
      <w:proofErr w:type="spellStart"/>
      <w:r w:rsidRPr="001647CB">
        <w:rPr>
          <w:i/>
          <w:lang w:eastAsia="en-GB"/>
        </w:rPr>
        <w:t>WaterAid</w:t>
      </w:r>
      <w:proofErr w:type="spellEnd"/>
      <w:r w:rsidRPr="001647CB">
        <w:rPr>
          <w:i/>
          <w:lang w:eastAsia="en-GB"/>
        </w:rPr>
        <w:t>. Some are very keen on it as being a sort of vehicle for which to deliver on water and san</w:t>
      </w:r>
      <w:r w:rsidR="00B00F84">
        <w:rPr>
          <w:i/>
          <w:lang w:eastAsia="en-GB"/>
        </w:rPr>
        <w:t xml:space="preserve">itation. Others, such as </w:t>
      </w:r>
      <w:proofErr w:type="gramStart"/>
      <w:r w:rsidR="00B00F84">
        <w:rPr>
          <w:i/>
          <w:lang w:eastAsia="en-GB"/>
        </w:rPr>
        <w:t>myself</w:t>
      </w:r>
      <w:proofErr w:type="gramEnd"/>
      <w:r w:rsidRPr="001647CB">
        <w:rPr>
          <w:i/>
          <w:lang w:eastAsia="en-GB"/>
        </w:rPr>
        <w:t xml:space="preserve"> are </w:t>
      </w:r>
      <w:r w:rsidRPr="00C469D0">
        <w:rPr>
          <w:i/>
          <w:lang w:eastAsia="en-GB"/>
        </w:rPr>
        <w:t>sceptical</w:t>
      </w:r>
      <w:r w:rsidRPr="001647CB">
        <w:rPr>
          <w:i/>
          <w:lang w:eastAsia="en-GB"/>
        </w:rPr>
        <w:t xml:space="preserve"> about just how far the rights agenda can deliver outcomes”</w:t>
      </w:r>
      <w:r w:rsidR="004177AA">
        <w:rPr>
          <w:rStyle w:val="Funotenzeichen"/>
          <w:i/>
          <w:lang w:eastAsia="en-GB"/>
        </w:rPr>
        <w:footnoteReference w:id="107"/>
      </w:r>
    </w:p>
    <w:p w:rsidR="000B666C" w:rsidRDefault="000B666C" w:rsidP="000B666C">
      <w:pPr>
        <w:ind w:firstLine="720"/>
        <w:rPr>
          <w:lang w:eastAsia="en-GB"/>
        </w:rPr>
      </w:pPr>
    </w:p>
    <w:p w:rsidR="009F0E5E" w:rsidRDefault="000B666C" w:rsidP="00407D56">
      <w:pPr>
        <w:rPr>
          <w:lang w:eastAsia="en-GB"/>
        </w:rPr>
      </w:pPr>
      <w:r w:rsidRPr="007A5758">
        <w:t xml:space="preserve">Rose George suggests that </w:t>
      </w:r>
      <w:r>
        <w:t xml:space="preserve">the new human right to sanitation may give </w:t>
      </w:r>
      <w:r w:rsidRPr="007A5758">
        <w:t>“more voice</w:t>
      </w:r>
      <w:r>
        <w:t>” to the arguments made by</w:t>
      </w:r>
      <w:r w:rsidRPr="007A5758">
        <w:t xml:space="preserve"> </w:t>
      </w:r>
      <w:r>
        <w:t xml:space="preserve">sanitation campaigners, </w:t>
      </w:r>
      <w:r w:rsidRPr="007A5758">
        <w:t>so “more politicians are willing to listen to their arguments”</w:t>
      </w:r>
      <w:r>
        <w:rPr>
          <w:rStyle w:val="Funotenzeichen"/>
        </w:rPr>
        <w:footnoteReference w:id="108"/>
      </w:r>
      <w:r w:rsidRPr="007A5758">
        <w:t xml:space="preserve">. </w:t>
      </w:r>
      <w:r>
        <w:t xml:space="preserve">According to Chapman (2001), </w:t>
      </w:r>
      <w:r w:rsidR="00817416">
        <w:t xml:space="preserve">national </w:t>
      </w:r>
      <w:r>
        <w:t>campaigns are aided progressive rights legislation, an effective higher court, a history of social activism and NGO activity, strong public awareness as well as independent monitoring</w:t>
      </w:r>
      <w:r>
        <w:rPr>
          <w:rStyle w:val="Funotenzeichen"/>
        </w:rPr>
        <w:footnoteReference w:id="109"/>
      </w:r>
      <w:r>
        <w:t xml:space="preserve">. </w:t>
      </w:r>
      <w:r w:rsidR="00A50A52">
        <w:t>It</w:t>
      </w:r>
      <w:r w:rsidR="00A50A52">
        <w:rPr>
          <w:lang w:eastAsia="en-GB"/>
        </w:rPr>
        <w:t xml:space="preserve"> is important to note that </w:t>
      </w:r>
      <w:proofErr w:type="spellStart"/>
      <w:r w:rsidR="00A50A52">
        <w:rPr>
          <w:lang w:eastAsia="en-GB"/>
        </w:rPr>
        <w:t>WaterAid</w:t>
      </w:r>
      <w:proofErr w:type="spellEnd"/>
      <w:r w:rsidR="00A50A52">
        <w:rPr>
          <w:lang w:eastAsia="en-GB"/>
        </w:rPr>
        <w:t xml:space="preserve"> are not a human rights </w:t>
      </w:r>
      <w:r w:rsidR="00D079F6">
        <w:rPr>
          <w:lang w:eastAsia="en-GB"/>
        </w:rPr>
        <w:t xml:space="preserve">or social justice </w:t>
      </w:r>
      <w:r w:rsidR="00A50A52">
        <w:rPr>
          <w:lang w:eastAsia="en-GB"/>
        </w:rPr>
        <w:t xml:space="preserve">organisation and do not </w:t>
      </w:r>
      <w:r w:rsidR="005042F9">
        <w:rPr>
          <w:lang w:eastAsia="en-GB"/>
        </w:rPr>
        <w:t xml:space="preserve">generally </w:t>
      </w:r>
      <w:r w:rsidR="00A50A52">
        <w:rPr>
          <w:lang w:eastAsia="en-GB"/>
        </w:rPr>
        <w:t xml:space="preserve">employ a ‘name and shame’ strategy in their campaigns or advocacy. </w:t>
      </w:r>
    </w:p>
    <w:p w:rsidR="00407D56" w:rsidRDefault="00407D56" w:rsidP="00407D56">
      <w:pPr>
        <w:rPr>
          <w:lang w:eastAsia="en-GB"/>
        </w:rPr>
      </w:pPr>
    </w:p>
    <w:p w:rsidR="00407D56" w:rsidRDefault="00A50A52" w:rsidP="00407D56">
      <w:pPr>
        <w:ind w:firstLine="720"/>
      </w:pPr>
      <w:r>
        <w:t xml:space="preserve">One State where the human right to sanitation might be enacted is Namibia. The Special Rapporteur </w:t>
      </w:r>
      <w:r w:rsidR="00A455A8">
        <w:t>note</w:t>
      </w:r>
      <w:r w:rsidR="00723259">
        <w:t>d</w:t>
      </w:r>
      <w:r w:rsidR="00A455A8">
        <w:t xml:space="preserve"> following</w:t>
      </w:r>
      <w:r>
        <w:t xml:space="preserve"> a countr</w:t>
      </w:r>
      <w:r w:rsidR="00A455A8">
        <w:t xml:space="preserve">y visit to Namibia in July 2011: </w:t>
      </w:r>
      <w:r>
        <w:t>“the constitution of Namibia makes international human righ</w:t>
      </w:r>
      <w:r w:rsidR="006105FE">
        <w:t xml:space="preserve">ts treaties directly applicable, </w:t>
      </w:r>
      <w:r>
        <w:t>which mean that these rights can be claimed in court”</w:t>
      </w:r>
      <w:r>
        <w:rPr>
          <w:rStyle w:val="Funotenzeichen"/>
        </w:rPr>
        <w:footnoteReference w:id="110"/>
      </w:r>
      <w:r w:rsidR="00723259">
        <w:t xml:space="preserve">. </w:t>
      </w:r>
      <w:r>
        <w:t xml:space="preserve"> Though there is no specific mention of water and sanitation in the Constitution of the State of Namibia, A</w:t>
      </w:r>
      <w:r w:rsidRPr="00331D7A">
        <w:t xml:space="preserve">rticle 144 </w:t>
      </w:r>
      <w:r>
        <w:t>does</w:t>
      </w:r>
      <w:r w:rsidRPr="00331D7A">
        <w:t xml:space="preserve"> </w:t>
      </w:r>
      <w:r>
        <w:t>indeed state</w:t>
      </w:r>
      <w:r w:rsidRPr="00331D7A">
        <w:t xml:space="preserve"> that “the general rules of public international law and international agreements binding upon Namibia under this </w:t>
      </w:r>
      <w:r w:rsidR="00DC433B">
        <w:t>c</w:t>
      </w:r>
      <w:r w:rsidRPr="00331D7A">
        <w:t>onstitution shall form part of the law of Namibia”</w:t>
      </w:r>
      <w:r>
        <w:rPr>
          <w:rStyle w:val="Funotenzeichen"/>
        </w:rPr>
        <w:footnoteReference w:id="111"/>
      </w:r>
      <w:r w:rsidRPr="00331D7A">
        <w:t>.</w:t>
      </w:r>
      <w:r>
        <w:t xml:space="preserve"> Though the report on Namibia is quite positive, </w:t>
      </w:r>
      <w:r w:rsidR="00A24D13">
        <w:t xml:space="preserve">Albuquerque </w:t>
      </w:r>
      <w:r w:rsidR="00A455A8">
        <w:t xml:space="preserve">recognises </w:t>
      </w:r>
      <w:r w:rsidR="009D7192">
        <w:t>“a lack of knowledge about the rights to water and sanitation, as well as economic and social rights more broadly</w:t>
      </w:r>
      <w:r w:rsidR="00A24D13">
        <w:t xml:space="preserve">” </w:t>
      </w:r>
      <w:r w:rsidR="009D7192">
        <w:t xml:space="preserve">has </w:t>
      </w:r>
      <w:r w:rsidR="00A24D13">
        <w:t>“</w:t>
      </w:r>
      <w:r w:rsidR="009D7192">
        <w:t xml:space="preserve">an impact on </w:t>
      </w:r>
      <w:r w:rsidR="00A24D13">
        <w:t>people’s</w:t>
      </w:r>
      <w:r w:rsidR="00560040">
        <w:t xml:space="preserve"> ability to claim them</w:t>
      </w:r>
      <w:r w:rsidR="009D7192">
        <w:t>”</w:t>
      </w:r>
      <w:r w:rsidR="00A455A8">
        <w:t>.</w:t>
      </w:r>
      <w:r w:rsidR="009D7192">
        <w:rPr>
          <w:rStyle w:val="Funotenzeichen"/>
        </w:rPr>
        <w:footnoteReference w:id="112"/>
      </w:r>
      <w:r w:rsidR="00DC433B" w:rsidRPr="00DC433B">
        <w:t xml:space="preserve"> </w:t>
      </w:r>
      <w:r w:rsidR="009F0E5E">
        <w:t xml:space="preserve">Henry </w:t>
      </w:r>
      <w:proofErr w:type="spellStart"/>
      <w:r w:rsidR="009F0E5E">
        <w:t>Northover</w:t>
      </w:r>
      <w:proofErr w:type="spellEnd"/>
      <w:r w:rsidR="009F0E5E">
        <w:t xml:space="preserve"> </w:t>
      </w:r>
      <w:r w:rsidR="006E2EE6">
        <w:t xml:space="preserve">(2008) </w:t>
      </w:r>
      <w:r w:rsidR="009F0E5E">
        <w:t xml:space="preserve">writes of </w:t>
      </w:r>
      <w:proofErr w:type="spellStart"/>
      <w:r w:rsidR="009F0E5E">
        <w:t>WaterAid’s</w:t>
      </w:r>
      <w:proofErr w:type="spellEnd"/>
      <w:r w:rsidR="009F0E5E">
        <w:t xml:space="preserve"> experiences in Mozambique and Ethiopia</w:t>
      </w:r>
      <w:r w:rsidR="00F76A49">
        <w:t>:</w:t>
      </w:r>
      <w:r w:rsidR="009F0E5E">
        <w:t xml:space="preserve"> </w:t>
      </w:r>
      <w:r w:rsidR="009F0E5E" w:rsidRPr="009F0E5E">
        <w:t>“the best way NGOs can influence the official policy-making processes is to work with government or State, and not to exercise claims against it through legal redress”</w:t>
      </w:r>
      <w:r w:rsidR="009F0E5E" w:rsidRPr="009F0E5E">
        <w:rPr>
          <w:rStyle w:val="Funotenzeichen"/>
        </w:rPr>
        <w:footnoteReference w:id="113"/>
      </w:r>
      <w:r w:rsidR="009F0E5E" w:rsidRPr="009F0E5E">
        <w:t xml:space="preserve">. </w:t>
      </w:r>
      <w:r w:rsidR="009F0E5E">
        <w:t xml:space="preserve"> </w:t>
      </w:r>
      <w:proofErr w:type="spellStart"/>
      <w:r w:rsidR="009F0E5E">
        <w:t>Northover</w:t>
      </w:r>
      <w:proofErr w:type="spellEnd"/>
      <w:r w:rsidR="009F0E5E">
        <w:t xml:space="preserve"> </w:t>
      </w:r>
      <w:r w:rsidR="00F76A49">
        <w:t xml:space="preserve">notes </w:t>
      </w:r>
      <w:r w:rsidR="00560040">
        <w:t xml:space="preserve">that </w:t>
      </w:r>
      <w:r w:rsidR="009F0E5E">
        <w:t>a legal framework “</w:t>
      </w:r>
      <w:r w:rsidR="00560040">
        <w:t>could help bring greater traction in delivering services</w:t>
      </w:r>
      <w:r w:rsidR="009F0E5E">
        <w:t>”</w:t>
      </w:r>
      <w:r w:rsidR="00560040">
        <w:t xml:space="preserve"> </w:t>
      </w:r>
      <w:r w:rsidR="00F76A49">
        <w:t>but</w:t>
      </w:r>
      <w:r w:rsidR="009F0E5E">
        <w:t xml:space="preserve"> </w:t>
      </w:r>
      <w:r w:rsidR="00512CDB">
        <w:t>adds</w:t>
      </w:r>
      <w:r w:rsidR="009F0E5E">
        <w:t xml:space="preserve"> that “</w:t>
      </w:r>
      <w:r w:rsidR="00560040">
        <w:t>in India it would take and estimated 500 years to clear the backlog of court cases”</w:t>
      </w:r>
      <w:r w:rsidR="009F0E5E">
        <w:rPr>
          <w:rStyle w:val="Funotenzeichen"/>
        </w:rPr>
        <w:footnoteReference w:id="114"/>
      </w:r>
      <w:r w:rsidR="00723259">
        <w:t xml:space="preserve">. </w:t>
      </w:r>
      <w:r w:rsidR="00560040">
        <w:t xml:space="preserve">Though a successful legal case </w:t>
      </w:r>
      <w:r w:rsidR="00407D56">
        <w:t>in India</w:t>
      </w:r>
      <w:r w:rsidR="00C23438">
        <w:rPr>
          <w:rStyle w:val="Funotenzeichen"/>
        </w:rPr>
        <w:footnoteReference w:id="115"/>
      </w:r>
      <w:r w:rsidR="00407D56">
        <w:t xml:space="preserve"> </w:t>
      </w:r>
      <w:r w:rsidR="00560040">
        <w:t xml:space="preserve">would </w:t>
      </w:r>
      <w:r w:rsidR="00A70261">
        <w:t xml:space="preserve">help </w:t>
      </w:r>
      <w:r w:rsidR="00560040">
        <w:t xml:space="preserve">set a new nominative standard, it is unlikely that any pre-existing case would </w:t>
      </w:r>
      <w:r w:rsidR="00512CDB">
        <w:t xml:space="preserve">ever </w:t>
      </w:r>
      <w:r w:rsidR="00560040">
        <w:t>gain legitimacy</w:t>
      </w:r>
      <w:r w:rsidR="00F76A49">
        <w:t xml:space="preserve"> due to</w:t>
      </w:r>
      <w:r w:rsidR="00560040">
        <w:t xml:space="preserve"> the legal rule of non-retroactivity</w:t>
      </w:r>
      <w:r w:rsidR="00AA3F16">
        <w:t xml:space="preserve">. </w:t>
      </w:r>
      <w:r w:rsidR="00560040">
        <w:t xml:space="preserve"> </w:t>
      </w:r>
      <w:r w:rsidR="00723259">
        <w:t xml:space="preserve">The right to sanitation needs a test caste that will challenge the boundaries of this emerging legal norm. </w:t>
      </w:r>
      <w:r w:rsidR="00407D56">
        <w:t xml:space="preserve">Namibia is a State with the appropriate constitution, and a population that lacks awareness on the right to sanitation. </w:t>
      </w:r>
    </w:p>
    <w:p w:rsidR="00920476" w:rsidRDefault="00920476" w:rsidP="00407D56">
      <w:pPr>
        <w:ind w:firstLine="720"/>
      </w:pPr>
    </w:p>
    <w:p w:rsidR="007158A4" w:rsidRDefault="007158A4" w:rsidP="007158A4"/>
    <w:p w:rsidR="00374C23" w:rsidRDefault="00374C23" w:rsidP="007158A4">
      <w:pPr>
        <w:rPr>
          <w:b/>
          <w:i/>
        </w:rPr>
      </w:pPr>
    </w:p>
    <w:p w:rsidR="00942CF7" w:rsidRDefault="00942CF7" w:rsidP="007158A4">
      <w:pPr>
        <w:rPr>
          <w:b/>
          <w:i/>
        </w:rPr>
      </w:pPr>
    </w:p>
    <w:p w:rsidR="00942CF7" w:rsidRDefault="00942CF7" w:rsidP="007158A4">
      <w:pPr>
        <w:rPr>
          <w:b/>
          <w:i/>
        </w:rPr>
      </w:pPr>
    </w:p>
    <w:p w:rsidR="00942CF7" w:rsidRDefault="00942CF7" w:rsidP="007158A4">
      <w:pPr>
        <w:rPr>
          <w:b/>
          <w:i/>
        </w:rPr>
      </w:pPr>
    </w:p>
    <w:p w:rsidR="00942CF7" w:rsidRDefault="00942CF7" w:rsidP="007158A4">
      <w:pPr>
        <w:rPr>
          <w:b/>
          <w:i/>
        </w:rPr>
      </w:pPr>
    </w:p>
    <w:p w:rsidR="00942CF7" w:rsidRDefault="00942CF7" w:rsidP="007158A4">
      <w:pPr>
        <w:rPr>
          <w:b/>
          <w:i/>
        </w:rPr>
      </w:pPr>
    </w:p>
    <w:p w:rsidR="00942CF7" w:rsidRDefault="00942CF7" w:rsidP="007158A4">
      <w:pPr>
        <w:rPr>
          <w:b/>
          <w:i/>
        </w:rPr>
      </w:pPr>
    </w:p>
    <w:p w:rsidR="00942CF7" w:rsidRDefault="00942CF7" w:rsidP="007158A4">
      <w:pPr>
        <w:rPr>
          <w:b/>
          <w:i/>
        </w:rPr>
      </w:pPr>
    </w:p>
    <w:p w:rsidR="00942CF7" w:rsidRDefault="00942CF7" w:rsidP="007158A4">
      <w:pPr>
        <w:rPr>
          <w:b/>
          <w:i/>
        </w:rPr>
      </w:pPr>
    </w:p>
    <w:p w:rsidR="00942CF7" w:rsidRPr="00374C23" w:rsidRDefault="00942CF7" w:rsidP="007158A4">
      <w:pPr>
        <w:rPr>
          <w:b/>
          <w:i/>
        </w:rPr>
      </w:pPr>
    </w:p>
    <w:p w:rsidR="00D27F2E" w:rsidRPr="006E6AB1" w:rsidRDefault="00366D2E" w:rsidP="00EC574B">
      <w:pPr>
        <w:pStyle w:val="Listenabsatz"/>
        <w:spacing w:after="200" w:line="276" w:lineRule="auto"/>
        <w:ind w:left="0"/>
        <w:rPr>
          <w:b/>
          <w:u w:val="single"/>
        </w:rPr>
      </w:pPr>
      <w:r w:rsidRPr="006E6AB1">
        <w:rPr>
          <w:b/>
          <w:u w:val="single"/>
        </w:rPr>
        <w:t xml:space="preserve">Chapter </w:t>
      </w:r>
      <w:r w:rsidR="00920476">
        <w:rPr>
          <w:b/>
          <w:u w:val="single"/>
        </w:rPr>
        <w:t>Two</w:t>
      </w:r>
      <w:r w:rsidRPr="006E6AB1">
        <w:rPr>
          <w:b/>
          <w:u w:val="single"/>
        </w:rPr>
        <w:t xml:space="preserve">: </w:t>
      </w:r>
      <w:r w:rsidR="00890D8B" w:rsidRPr="006E6AB1">
        <w:rPr>
          <w:b/>
          <w:u w:val="single"/>
        </w:rPr>
        <w:t>Harnessing Disgust and Accessing Dignity</w:t>
      </w:r>
      <w:r w:rsidR="002C431B">
        <w:rPr>
          <w:b/>
          <w:u w:val="single"/>
        </w:rPr>
        <w:br/>
      </w:r>
    </w:p>
    <w:p w:rsidR="00973635" w:rsidRDefault="003F05F2" w:rsidP="00973635">
      <w:pPr>
        <w:ind w:firstLine="567"/>
      </w:pPr>
      <w:r>
        <w:t xml:space="preserve">This </w:t>
      </w:r>
      <w:r w:rsidR="00F85D85">
        <w:t>chapter</w:t>
      </w:r>
      <w:r>
        <w:t xml:space="preserve"> </w:t>
      </w:r>
      <w:r w:rsidR="002C431B">
        <w:t>focuses</w:t>
      </w:r>
      <w:r w:rsidR="009D6886">
        <w:t xml:space="preserve"> on </w:t>
      </w:r>
      <w:r w:rsidR="00EC1AA5">
        <w:t xml:space="preserve">the </w:t>
      </w:r>
      <w:r w:rsidR="00915C47">
        <w:t xml:space="preserve">cognitive </w:t>
      </w:r>
      <w:r w:rsidR="00EC1AA5">
        <w:t>frames that surround sanitation</w:t>
      </w:r>
      <w:r w:rsidR="00942CF7">
        <w:t>,</w:t>
      </w:r>
      <w:r w:rsidR="00EA471C">
        <w:t xml:space="preserve"> begin</w:t>
      </w:r>
      <w:r w:rsidR="00942CF7">
        <w:t>ning</w:t>
      </w:r>
      <w:r w:rsidR="00EA471C">
        <w:t xml:space="preserve"> with an initial discus</w:t>
      </w:r>
      <w:r w:rsidR="00915C47">
        <w:t xml:space="preserve">sion of the nature of campaigns and the impact of framing. </w:t>
      </w:r>
      <w:r w:rsidR="006F3F3D">
        <w:t xml:space="preserve">Challenges with engaging the UK public on issues of global poverty will also be discussed. </w:t>
      </w:r>
      <w:r w:rsidR="002C431B">
        <w:t>This study</w:t>
      </w:r>
      <w:r w:rsidR="009D6886">
        <w:t xml:space="preserve"> will </w:t>
      </w:r>
      <w:r w:rsidR="00EA471C">
        <w:t xml:space="preserve">establish </w:t>
      </w:r>
      <w:r w:rsidR="000E395C">
        <w:t>six</w:t>
      </w:r>
      <w:r>
        <w:t xml:space="preserve"> dominant frames around campaigns whi</w:t>
      </w:r>
      <w:r w:rsidR="009D6886">
        <w:t>ch focus on access to sanitation</w:t>
      </w:r>
      <w:r>
        <w:t xml:space="preserve">. These </w:t>
      </w:r>
      <w:r w:rsidR="006F3F3D">
        <w:t xml:space="preserve">cognitive </w:t>
      </w:r>
      <w:r>
        <w:t xml:space="preserve">frames are: </w:t>
      </w:r>
      <w:r w:rsidRPr="00A43D2C">
        <w:rPr>
          <w:i/>
        </w:rPr>
        <w:t xml:space="preserve">the development frame, the water frame, health frame, </w:t>
      </w:r>
      <w:r w:rsidR="002C431B">
        <w:rPr>
          <w:i/>
        </w:rPr>
        <w:t xml:space="preserve">education frame, </w:t>
      </w:r>
      <w:r w:rsidRPr="00A43D2C">
        <w:rPr>
          <w:i/>
        </w:rPr>
        <w:t>housing frame and the dignity frame</w:t>
      </w:r>
      <w:r>
        <w:t xml:space="preserve">. </w:t>
      </w:r>
      <w:r w:rsidR="006F3F3D">
        <w:t xml:space="preserve">Frames were identified through intrinsic links between sanitation and other human rights. </w:t>
      </w:r>
      <w:r w:rsidR="00EA471C">
        <w:t xml:space="preserve">This study will then examine how a distinct human right to sanitation </w:t>
      </w:r>
      <w:r w:rsidR="00A353D1">
        <w:t xml:space="preserve">campaign message might </w:t>
      </w:r>
      <w:r w:rsidR="00EA471C">
        <w:t>impact these dominant frames</w:t>
      </w:r>
      <w:r w:rsidR="002C431B">
        <w:t>.</w:t>
      </w:r>
    </w:p>
    <w:p w:rsidR="00516182" w:rsidRDefault="00516182" w:rsidP="009A4579">
      <w:pPr>
        <w:spacing w:after="200"/>
        <w:ind w:firstLine="720"/>
      </w:pPr>
    </w:p>
    <w:p w:rsidR="00671D10" w:rsidRDefault="00671D10" w:rsidP="00671D10">
      <w:pPr>
        <w:pStyle w:val="StandardWeb"/>
        <w:rPr>
          <w:b/>
          <w:i/>
        </w:rPr>
      </w:pPr>
      <w:r>
        <w:rPr>
          <w:b/>
          <w:i/>
        </w:rPr>
        <w:t xml:space="preserve">2.1  </w:t>
      </w:r>
      <w:r>
        <w:rPr>
          <w:b/>
          <w:i/>
        </w:rPr>
        <w:tab/>
        <w:t>Fram</w:t>
      </w:r>
      <w:r w:rsidR="00C228AB">
        <w:rPr>
          <w:b/>
          <w:i/>
        </w:rPr>
        <w:t>ing</w:t>
      </w:r>
      <w:r>
        <w:rPr>
          <w:b/>
          <w:i/>
        </w:rPr>
        <w:t xml:space="preserve"> and </w:t>
      </w:r>
      <w:r w:rsidR="00C228AB">
        <w:rPr>
          <w:b/>
          <w:i/>
        </w:rPr>
        <w:t>Campaigning</w:t>
      </w:r>
    </w:p>
    <w:p w:rsidR="001E118D" w:rsidRDefault="00C11BFB" w:rsidP="00EA471C">
      <w:pPr>
        <w:spacing w:after="200"/>
        <w:ind w:firstLine="567"/>
      </w:pPr>
      <w:r>
        <w:t>E</w:t>
      </w:r>
      <w:r w:rsidR="001618BF">
        <w:t>ffective campaign messag</w:t>
      </w:r>
      <w:r>
        <w:t>ing</w:t>
      </w:r>
      <w:r w:rsidR="001618BF">
        <w:t xml:space="preserve"> </w:t>
      </w:r>
      <w:r>
        <w:t xml:space="preserve">relies on </w:t>
      </w:r>
      <w:r w:rsidR="00EA471C">
        <w:t xml:space="preserve">the </w:t>
      </w:r>
      <w:r w:rsidR="001618BF">
        <w:t>“making and telling of stories and the extent to which different parties accept their validity”</w:t>
      </w:r>
      <w:r w:rsidR="001618BF">
        <w:rPr>
          <w:rStyle w:val="Funotenzeichen"/>
        </w:rPr>
        <w:footnoteReference w:id="116"/>
      </w:r>
      <w:r w:rsidR="001618BF">
        <w:t xml:space="preserve">. </w:t>
      </w:r>
      <w:r w:rsidR="00671D10">
        <w:t xml:space="preserve">Framing </w:t>
      </w:r>
      <w:r w:rsidR="001618BF">
        <w:t>a campaign correctly</w:t>
      </w:r>
      <w:r w:rsidR="00671D10">
        <w:t xml:space="preserve"> </w:t>
      </w:r>
      <w:r>
        <w:t>is</w:t>
      </w:r>
      <w:r w:rsidR="001618BF">
        <w:t xml:space="preserve"> essential </w:t>
      </w:r>
      <w:r>
        <w:t>in</w:t>
      </w:r>
      <w:r w:rsidR="001618BF">
        <w:t xml:space="preserve"> conveying the heart of </w:t>
      </w:r>
      <w:r w:rsidR="00EA471C">
        <w:t>an</w:t>
      </w:r>
      <w:r w:rsidR="001618BF">
        <w:t xml:space="preserve"> issue. </w:t>
      </w:r>
      <w:r w:rsidR="00671D10">
        <w:t xml:space="preserve">Paul </w:t>
      </w:r>
      <w:proofErr w:type="spellStart"/>
      <w:r w:rsidR="00671D10">
        <w:t>Gready</w:t>
      </w:r>
      <w:proofErr w:type="spellEnd"/>
      <w:r w:rsidR="00671D10">
        <w:t xml:space="preserve"> (2005) defines frames as </w:t>
      </w:r>
      <w:r w:rsidR="00671D10" w:rsidRPr="00D56E7F">
        <w:t>“</w:t>
      </w:r>
      <w:r w:rsidR="00671D10">
        <w:t>a</w:t>
      </w:r>
      <w:r w:rsidR="00671D10" w:rsidRPr="00D56E7F">
        <w:t>n interpretation or explanation, an attempt to create shared understandings as the basis of a campaign”</w:t>
      </w:r>
      <w:r w:rsidR="001618BF">
        <w:rPr>
          <w:rStyle w:val="Funotenzeichen"/>
        </w:rPr>
        <w:footnoteReference w:id="117"/>
      </w:r>
      <w:r w:rsidR="00671D10">
        <w:t xml:space="preserve">. A successful campaign frame can encapsulate </w:t>
      </w:r>
      <w:r w:rsidR="00AB59EE">
        <w:t>an</w:t>
      </w:r>
      <w:r w:rsidR="00671D10">
        <w:t xml:space="preserve"> issue </w:t>
      </w:r>
      <w:r w:rsidR="00671D10" w:rsidRPr="0091174A">
        <w:t>“in a way that engages the general public a</w:t>
      </w:r>
      <w:r w:rsidR="00942CF7">
        <w:t>nd sets the terms of the debate</w:t>
      </w:r>
      <w:r w:rsidR="00671D10" w:rsidRPr="0091174A">
        <w:t>”</w:t>
      </w:r>
      <w:r w:rsidR="00671D10" w:rsidRPr="0091174A">
        <w:rPr>
          <w:rStyle w:val="Funotenzeichen"/>
        </w:rPr>
        <w:footnoteReference w:id="118"/>
      </w:r>
      <w:r w:rsidR="00671D10">
        <w:t xml:space="preserve"> . </w:t>
      </w:r>
      <w:r w:rsidR="001618BF">
        <w:t>Framing can also be understood as “the simplification of complex problems into an easily communicable form”</w:t>
      </w:r>
      <w:r w:rsidR="001618BF">
        <w:rPr>
          <w:rStyle w:val="Funotenzeichen"/>
        </w:rPr>
        <w:footnoteReference w:id="119"/>
      </w:r>
      <w:r w:rsidR="001618BF">
        <w:t xml:space="preserve"> </w:t>
      </w:r>
      <w:r w:rsidR="00671D10">
        <w:t xml:space="preserve">Keck and </w:t>
      </w:r>
      <w:proofErr w:type="spellStart"/>
      <w:r w:rsidR="00671D10">
        <w:t>Sikkink</w:t>
      </w:r>
      <w:proofErr w:type="spellEnd"/>
      <w:r w:rsidR="00671D10">
        <w:t xml:space="preserve"> (1998) speak of the importance of “frame resonance”</w:t>
      </w:r>
      <w:r w:rsidR="00AB59EE">
        <w:rPr>
          <w:rStyle w:val="Funotenzeichen"/>
        </w:rPr>
        <w:footnoteReference w:id="120"/>
      </w:r>
      <w:r w:rsidR="00671D10">
        <w:t xml:space="preserve"> and </w:t>
      </w:r>
      <w:r w:rsidR="001618BF">
        <w:t xml:space="preserve">of </w:t>
      </w:r>
      <w:r w:rsidR="00671D10">
        <w:t>understanding the “political context or opportunity structure”</w:t>
      </w:r>
      <w:r w:rsidR="001618BF">
        <w:rPr>
          <w:rStyle w:val="Funotenzeichen"/>
        </w:rPr>
        <w:footnoteReference w:id="121"/>
      </w:r>
      <w:r w:rsidR="00671D10">
        <w:t xml:space="preserve"> of a campaign’s emergence. </w:t>
      </w:r>
      <w:proofErr w:type="spellStart"/>
      <w:r w:rsidR="00671D10">
        <w:t>Gready</w:t>
      </w:r>
      <w:proofErr w:type="spellEnd"/>
      <w:r w:rsidR="00671D10">
        <w:t xml:space="preserve"> </w:t>
      </w:r>
      <w:r w:rsidR="001618BF">
        <w:t>(200</w:t>
      </w:r>
      <w:r w:rsidR="00244E65">
        <w:t>4</w:t>
      </w:r>
      <w:r w:rsidR="001618BF">
        <w:t xml:space="preserve">) also </w:t>
      </w:r>
      <w:r w:rsidR="00671D10">
        <w:t>notes that “frames forge shared identities, expectations and action from often diverse constituencies”</w:t>
      </w:r>
      <w:r w:rsidR="00671D10">
        <w:rPr>
          <w:rStyle w:val="Funotenzeichen"/>
        </w:rPr>
        <w:footnoteReference w:id="122"/>
      </w:r>
      <w:r w:rsidR="00671D10">
        <w:t xml:space="preserve">. </w:t>
      </w:r>
      <w:r w:rsidR="001618BF">
        <w:t>Importantly, the correct fram</w:t>
      </w:r>
      <w:r w:rsidR="00244E65">
        <w:t>ing</w:t>
      </w:r>
      <w:r w:rsidR="001618BF">
        <w:t xml:space="preserve"> </w:t>
      </w:r>
      <w:r w:rsidR="00244E65">
        <w:t xml:space="preserve">of </w:t>
      </w:r>
      <w:r w:rsidR="001618BF">
        <w:t>an issue can transform the direction of a campaign</w:t>
      </w:r>
      <w:r w:rsidR="001618BF">
        <w:rPr>
          <w:rStyle w:val="Funotenzeichen"/>
        </w:rPr>
        <w:footnoteReference w:id="123"/>
      </w:r>
      <w:r w:rsidR="001618BF">
        <w:t xml:space="preserve">. </w:t>
      </w:r>
    </w:p>
    <w:p w:rsidR="00BD5A40" w:rsidRPr="001E118D" w:rsidRDefault="00671D10" w:rsidP="001E118D">
      <w:pPr>
        <w:spacing w:after="200"/>
        <w:ind w:firstLine="567"/>
        <w:rPr>
          <w:i/>
          <w:color w:val="000000"/>
        </w:rPr>
      </w:pPr>
      <w:r>
        <w:t xml:space="preserve">George </w:t>
      </w:r>
      <w:proofErr w:type="spellStart"/>
      <w:r>
        <w:t>Lakoff</w:t>
      </w:r>
      <w:proofErr w:type="spellEnd"/>
      <w:r>
        <w:t xml:space="preserve"> (2004) </w:t>
      </w:r>
      <w:r w:rsidR="00942CF7">
        <w:t>describes</w:t>
      </w:r>
      <w:r>
        <w:t xml:space="preserve"> the interpret</w:t>
      </w:r>
      <w:r w:rsidR="00942CF7">
        <w:t>ation of</w:t>
      </w:r>
      <w:r>
        <w:t xml:space="preserve"> frames </w:t>
      </w:r>
      <w:r w:rsidR="00942CF7">
        <w:t xml:space="preserve">as </w:t>
      </w:r>
      <w:r>
        <w:t>involv</w:t>
      </w:r>
      <w:r w:rsidR="00942CF7">
        <w:t>ing</w:t>
      </w:r>
      <w:r>
        <w:t xml:space="preserve"> “not just the dicti</w:t>
      </w:r>
      <w:r w:rsidR="00C335D7">
        <w:t xml:space="preserve">onary definition” but a </w:t>
      </w:r>
      <w:r>
        <w:t>“whole chunk of related knowledge”</w:t>
      </w:r>
      <w:r w:rsidR="00EF7B48">
        <w:rPr>
          <w:rStyle w:val="Funotenzeichen"/>
        </w:rPr>
        <w:footnoteReference w:id="124"/>
      </w:r>
      <w:r>
        <w:t xml:space="preserve">. </w:t>
      </w:r>
      <w:proofErr w:type="spellStart"/>
      <w:r w:rsidR="00BD5A40">
        <w:t>Darnton</w:t>
      </w:r>
      <w:proofErr w:type="spellEnd"/>
      <w:r w:rsidR="00BD5A40">
        <w:t xml:space="preserve"> and Kirk’s (2011) ‘Finding Frames’ </w:t>
      </w:r>
      <w:r w:rsidR="0016055B">
        <w:t xml:space="preserve">report </w:t>
      </w:r>
      <w:r w:rsidR="00BD5A40">
        <w:t xml:space="preserve">proposes that successful campaigns use </w:t>
      </w:r>
      <w:r w:rsidR="0016055B">
        <w:t xml:space="preserve">cognitive </w:t>
      </w:r>
      <w:r w:rsidR="00BD5A40">
        <w:t xml:space="preserve">frames that tap into </w:t>
      </w:r>
      <w:r w:rsidR="0016055B">
        <w:t>your</w:t>
      </w:r>
      <w:r w:rsidR="00BD5A40">
        <w:t xml:space="preserve"> individual values. The report takes George </w:t>
      </w:r>
      <w:proofErr w:type="spellStart"/>
      <w:r w:rsidR="00BD5A40">
        <w:t>Lakoff’s</w:t>
      </w:r>
      <w:proofErr w:type="spellEnd"/>
      <w:r w:rsidR="00BD5A40">
        <w:t xml:space="preserve"> (2004) theoretical model of cognitive “surface frames” and “deep frames” and applies them to UK campaigns, with a particular focus on Make Poverty History (MPH). </w:t>
      </w:r>
      <w:r w:rsidR="007F150E">
        <w:t>Whereas deep frames “essentially represent worldviews”, surface frames are “closer to the simple meanings or words”</w:t>
      </w:r>
      <w:r w:rsidR="007F150E">
        <w:rPr>
          <w:rStyle w:val="Funotenzeichen"/>
        </w:rPr>
        <w:footnoteReference w:id="125"/>
      </w:r>
      <w:r w:rsidR="007F150E">
        <w:t xml:space="preserve"> </w:t>
      </w:r>
      <w:proofErr w:type="spellStart"/>
      <w:r w:rsidR="00BD5A40">
        <w:t>Darton</w:t>
      </w:r>
      <w:proofErr w:type="spellEnd"/>
      <w:r w:rsidR="00BD5A40">
        <w:t xml:space="preserve"> and Kir</w:t>
      </w:r>
      <w:r w:rsidR="007F150E">
        <w:t>k (2011) suggest that</w:t>
      </w:r>
      <w:r w:rsidR="00BD5A40">
        <w:t xml:space="preserve"> “values are seen to be at the root of our motivational system: they are the guiding principles by which we act”</w:t>
      </w:r>
      <w:r w:rsidR="00BD5A40">
        <w:rPr>
          <w:rStyle w:val="Funotenzeichen"/>
        </w:rPr>
        <w:footnoteReference w:id="126"/>
      </w:r>
      <w:r w:rsidR="00BD5A40">
        <w:t xml:space="preserve">. </w:t>
      </w:r>
      <w:proofErr w:type="spellStart"/>
      <w:r w:rsidR="00BD5A40">
        <w:t>Lakoff</w:t>
      </w:r>
      <w:proofErr w:type="spellEnd"/>
      <w:r w:rsidR="00BD5A40">
        <w:t xml:space="preserve"> (2004) </w:t>
      </w:r>
      <w:r w:rsidR="007F150E">
        <w:t xml:space="preserve">argues </w:t>
      </w:r>
      <w:r w:rsidR="00BD5A40">
        <w:t xml:space="preserve">that an individual will interpret information according to a pre-existing structure of beliefs, associations and preconceived connections. Therefore campaign frames that hit the right note </w:t>
      </w:r>
      <w:r w:rsidR="007F150E">
        <w:t xml:space="preserve">appeal to our values and </w:t>
      </w:r>
      <w:r w:rsidR="00BD5A40">
        <w:t xml:space="preserve">evoke our personal belief systems. </w:t>
      </w:r>
      <w:r w:rsidR="00973635">
        <w:t>As Chapman (2001) proposes; “campaigns are both fluid and difficult to access. They cannot be understood as a linear or logical sequence of separate events”</w:t>
      </w:r>
      <w:r w:rsidR="00973635">
        <w:rPr>
          <w:rStyle w:val="Funotenzeichen"/>
        </w:rPr>
        <w:footnoteReference w:id="127"/>
      </w:r>
      <w:r w:rsidR="00973635">
        <w:t xml:space="preserve">. </w:t>
      </w:r>
      <w:r w:rsidR="000C6553">
        <w:t xml:space="preserve">There is no ‘holy grail’ that will apply to all sanitation campaigning, and defining purported success in the project cycle of a campaign is problematic. </w:t>
      </w:r>
      <w:r w:rsidR="00973635">
        <w:t xml:space="preserve">This study will focus on the framing of campaign messages. </w:t>
      </w:r>
    </w:p>
    <w:p w:rsidR="00E07092" w:rsidRDefault="00E07092" w:rsidP="00C228AB"/>
    <w:p w:rsidR="00D50B5F" w:rsidRDefault="0091174A" w:rsidP="008D52E4">
      <w:pPr>
        <w:spacing w:after="200"/>
        <w:ind w:firstLine="567"/>
      </w:pPr>
      <w:r>
        <w:t>Ma</w:t>
      </w:r>
      <w:r w:rsidR="003B681C">
        <w:t xml:space="preserve">lcolm </w:t>
      </w:r>
      <w:proofErr w:type="spellStart"/>
      <w:r w:rsidR="003B681C">
        <w:t>Gladwell</w:t>
      </w:r>
      <w:proofErr w:type="spellEnd"/>
      <w:r w:rsidR="003B681C">
        <w:t xml:space="preserve"> (200</w:t>
      </w:r>
      <w:r w:rsidR="001706A2">
        <w:t>1</w:t>
      </w:r>
      <w:r w:rsidR="003B681C">
        <w:t xml:space="preserve">) </w:t>
      </w:r>
      <w:r w:rsidR="00C228AB">
        <w:t>uses</w:t>
      </w:r>
      <w:r w:rsidR="003B681C">
        <w:t xml:space="preserve"> the </w:t>
      </w:r>
      <w:r w:rsidR="00C228AB">
        <w:t xml:space="preserve">term </w:t>
      </w:r>
      <w:r w:rsidR="003B681C">
        <w:t>“tipping point”</w:t>
      </w:r>
      <w:r w:rsidR="001D753E">
        <w:rPr>
          <w:rStyle w:val="Funotenzeichen"/>
        </w:rPr>
        <w:footnoteReference w:id="128"/>
      </w:r>
      <w:r w:rsidR="003B681C">
        <w:t xml:space="preserve"> </w:t>
      </w:r>
      <w:r w:rsidR="00C228AB">
        <w:t xml:space="preserve">to discuss </w:t>
      </w:r>
      <w:r w:rsidR="006A7DEC">
        <w:t xml:space="preserve">the phase at which </w:t>
      </w:r>
      <w:r w:rsidR="003B681C">
        <w:t xml:space="preserve">a </w:t>
      </w:r>
      <w:r w:rsidR="006A7DEC">
        <w:t>“</w:t>
      </w:r>
      <w:r w:rsidR="003B681C">
        <w:t xml:space="preserve">social </w:t>
      </w:r>
      <w:r w:rsidR="00BC5BF8">
        <w:t>epidemic</w:t>
      </w:r>
      <w:r w:rsidR="006A7DEC">
        <w:t>”</w:t>
      </w:r>
      <w:r w:rsidR="001D753E">
        <w:rPr>
          <w:rStyle w:val="Funotenzeichen"/>
        </w:rPr>
        <w:footnoteReference w:id="129"/>
      </w:r>
      <w:r w:rsidR="00BC5BF8">
        <w:t xml:space="preserve"> </w:t>
      </w:r>
      <w:r w:rsidR="003B681C">
        <w:t xml:space="preserve">reaches a critical mass, which moves it from the periphery of </w:t>
      </w:r>
      <w:r w:rsidR="00A07F1A">
        <w:t>society</w:t>
      </w:r>
      <w:r w:rsidR="003B681C">
        <w:t xml:space="preserve"> to the forefront of public consciousness. </w:t>
      </w:r>
      <w:proofErr w:type="spellStart"/>
      <w:r w:rsidR="006A7DEC">
        <w:t>Darnton</w:t>
      </w:r>
      <w:proofErr w:type="spellEnd"/>
      <w:r w:rsidR="006A7DEC">
        <w:t xml:space="preserve"> &amp; Kirk (2011) apply </w:t>
      </w:r>
      <w:proofErr w:type="spellStart"/>
      <w:r w:rsidR="006A7DEC">
        <w:t>Gladwell’s</w:t>
      </w:r>
      <w:proofErr w:type="spellEnd"/>
      <w:r w:rsidR="006A7DEC">
        <w:t xml:space="preserve"> (200</w:t>
      </w:r>
      <w:r w:rsidR="001706A2">
        <w:t>1</w:t>
      </w:r>
      <w:r w:rsidR="006A7DEC">
        <w:t xml:space="preserve">) tipping point to a study of UK campaigns. </w:t>
      </w:r>
      <w:r w:rsidR="001039A2">
        <w:t xml:space="preserve">The </w:t>
      </w:r>
      <w:r w:rsidR="00E92A9E">
        <w:t>t</w:t>
      </w:r>
      <w:r w:rsidR="001039A2">
        <w:t>ipping point can also refer to th</w:t>
      </w:r>
      <w:r w:rsidR="00C228AB">
        <w:t>at</w:t>
      </w:r>
      <w:r w:rsidR="001039A2">
        <w:t xml:space="preserve"> stage of a </w:t>
      </w:r>
      <w:r w:rsidR="001039A2" w:rsidRPr="00C75234">
        <w:t xml:space="preserve">norms socialisation </w:t>
      </w:r>
      <w:r w:rsidR="001039A2">
        <w:t>process when new norm</w:t>
      </w:r>
      <w:r w:rsidR="00C228AB">
        <w:t>s</w:t>
      </w:r>
      <w:r w:rsidR="001039A2">
        <w:t xml:space="preserve"> gain acceptance</w:t>
      </w:r>
      <w:r w:rsidR="00C228AB">
        <w:t xml:space="preserve"> and trigger a</w:t>
      </w:r>
      <w:r w:rsidR="001039A2">
        <w:t xml:space="preserve"> “</w:t>
      </w:r>
      <w:r w:rsidR="001039A2" w:rsidRPr="00C75234">
        <w:t>norms cascade</w:t>
      </w:r>
      <w:r w:rsidR="001039A2">
        <w:t>”</w:t>
      </w:r>
      <w:r w:rsidR="001039A2">
        <w:rPr>
          <w:rStyle w:val="Funotenzeichen"/>
        </w:rPr>
        <w:footnoteReference w:id="130"/>
      </w:r>
      <w:r w:rsidR="001039A2">
        <w:t xml:space="preserve"> </w:t>
      </w:r>
      <w:r w:rsidR="001039A2" w:rsidRPr="00C75234">
        <w:t xml:space="preserve">of behavioural change to filter through </w:t>
      </w:r>
      <w:r w:rsidR="00A07F1A">
        <w:t>a</w:t>
      </w:r>
      <w:r w:rsidR="001039A2" w:rsidRPr="00C75234">
        <w:t xml:space="preserve"> community</w:t>
      </w:r>
      <w:r w:rsidR="001039A2">
        <w:t xml:space="preserve">. </w:t>
      </w:r>
      <w:r w:rsidR="006A7DEC">
        <w:t xml:space="preserve">When </w:t>
      </w:r>
      <w:proofErr w:type="spellStart"/>
      <w:r w:rsidR="003B681C">
        <w:t>Gladwell</w:t>
      </w:r>
      <w:proofErr w:type="spellEnd"/>
      <w:r w:rsidR="003B681C">
        <w:t xml:space="preserve"> (200</w:t>
      </w:r>
      <w:r w:rsidR="001706A2">
        <w:t>1</w:t>
      </w:r>
      <w:r w:rsidR="003B681C">
        <w:t xml:space="preserve">) speaks of </w:t>
      </w:r>
      <w:r w:rsidR="006A7DEC">
        <w:t xml:space="preserve">successful </w:t>
      </w:r>
      <w:r w:rsidR="003B681C">
        <w:t xml:space="preserve">social epidemics, </w:t>
      </w:r>
      <w:r w:rsidR="006A7DEC">
        <w:t>he</w:t>
      </w:r>
      <w:r w:rsidR="003B681C">
        <w:t xml:space="preserve"> identifies three </w:t>
      </w:r>
      <w:r w:rsidR="006A7DEC">
        <w:t>common factors</w:t>
      </w:r>
      <w:r w:rsidR="00E92A9E">
        <w:t xml:space="preserve">. These are, “the </w:t>
      </w:r>
      <w:r w:rsidR="003B681C">
        <w:t>law of the few”, “the stickiness factor” and “the power of context”</w:t>
      </w:r>
      <w:r w:rsidR="00A07F1A">
        <w:rPr>
          <w:rStyle w:val="Funotenzeichen"/>
        </w:rPr>
        <w:footnoteReference w:id="131"/>
      </w:r>
      <w:r w:rsidR="00511230">
        <w:t>. Essentially, the “stickiness factor” in a campaigns context require</w:t>
      </w:r>
      <w:r w:rsidR="006A7DEC">
        <w:t>s</w:t>
      </w:r>
      <w:r w:rsidR="00511230">
        <w:t xml:space="preserve"> powerful, contagious and attractive messages which stick in the public consciousness. A </w:t>
      </w:r>
      <w:r w:rsidR="001D753E">
        <w:t>“</w:t>
      </w:r>
      <w:r w:rsidR="00511230">
        <w:t>tipping point</w:t>
      </w:r>
      <w:r w:rsidR="001D753E">
        <w:t>”</w:t>
      </w:r>
      <w:r w:rsidR="00511230">
        <w:t xml:space="preserve"> also requires the correct set of circumstances to generate momentum and change – the “power of context”. </w:t>
      </w:r>
      <w:r w:rsidR="00950E94">
        <w:rPr>
          <w:lang w:val="en-US"/>
        </w:rPr>
        <w:t>As</w:t>
      </w:r>
      <w:r w:rsidR="00F65730">
        <w:rPr>
          <w:lang w:val="en-US"/>
        </w:rPr>
        <w:t xml:space="preserve"> </w:t>
      </w:r>
      <w:proofErr w:type="spellStart"/>
      <w:r w:rsidR="00F65730">
        <w:rPr>
          <w:lang w:val="en-US"/>
        </w:rPr>
        <w:t>Tarrow</w:t>
      </w:r>
      <w:proofErr w:type="spellEnd"/>
      <w:r w:rsidR="00F65730">
        <w:rPr>
          <w:lang w:val="en-US"/>
        </w:rPr>
        <w:t xml:space="preserve"> and </w:t>
      </w:r>
      <w:proofErr w:type="spellStart"/>
      <w:r w:rsidR="00F65730">
        <w:rPr>
          <w:lang w:val="en-US"/>
        </w:rPr>
        <w:t>McAdam’s</w:t>
      </w:r>
      <w:proofErr w:type="spellEnd"/>
      <w:r w:rsidR="00F65730">
        <w:rPr>
          <w:lang w:val="en-US"/>
        </w:rPr>
        <w:t xml:space="preserve"> (2005) </w:t>
      </w:r>
      <w:r w:rsidR="006A7DEC">
        <w:rPr>
          <w:lang w:val="en-US"/>
        </w:rPr>
        <w:t>suggest</w:t>
      </w:r>
      <w:r w:rsidR="00950E94">
        <w:rPr>
          <w:lang w:val="en-US"/>
        </w:rPr>
        <w:t>:</w:t>
      </w:r>
      <w:r w:rsidR="00F65730">
        <w:rPr>
          <w:lang w:val="en-US"/>
        </w:rPr>
        <w:t xml:space="preserve"> “information alone will not lead someone to adopt a new idea, cultural object or practice</w:t>
      </w:r>
      <w:r w:rsidR="00F65730">
        <w:rPr>
          <w:rStyle w:val="Funotenzeichen"/>
          <w:lang w:val="en-US"/>
        </w:rPr>
        <w:footnoteReference w:id="132"/>
      </w:r>
      <w:r w:rsidR="006A7DEC" w:rsidRPr="006A7DEC">
        <w:t xml:space="preserve"> </w:t>
      </w:r>
      <w:r w:rsidR="00AE3EDE">
        <w:t>. The “law of the few” refers to the role of high impact individuals</w:t>
      </w:r>
      <w:r w:rsidR="00973635">
        <w:t xml:space="preserve"> and t</w:t>
      </w:r>
      <w:r w:rsidR="00AE3EDE">
        <w:t xml:space="preserve">his theme will be discussed further in </w:t>
      </w:r>
      <w:r w:rsidR="00AE3EDE" w:rsidRPr="00AE3EDE">
        <w:rPr>
          <w:i/>
        </w:rPr>
        <w:t>Chapter Three</w:t>
      </w:r>
      <w:r w:rsidR="00AE3EDE">
        <w:t xml:space="preserve">. </w:t>
      </w:r>
    </w:p>
    <w:p w:rsidR="000802E1" w:rsidRPr="000802E1" w:rsidRDefault="000802E1" w:rsidP="000802E1">
      <w:pPr>
        <w:spacing w:after="200"/>
        <w:ind w:firstLine="567"/>
        <w:rPr>
          <w:color w:val="000000"/>
        </w:rPr>
      </w:pPr>
      <w:r>
        <w:rPr>
          <w:color w:val="000000"/>
        </w:rPr>
        <w:t xml:space="preserve">As Albuquerque (2011) notes, beyond the courtroom, the impact of a legally binding human right also has the potential to impact campaigns: </w:t>
      </w:r>
      <w:r>
        <w:rPr>
          <w:color w:val="000000"/>
        </w:rPr>
        <w:br/>
      </w:r>
      <w:r>
        <w:rPr>
          <w:color w:val="000000"/>
        </w:rPr>
        <w:br/>
      </w:r>
      <w:r>
        <w:rPr>
          <w:i/>
          <w:color w:val="000000"/>
        </w:rPr>
        <w:t xml:space="preserve">         </w:t>
      </w:r>
      <w:r w:rsidRPr="00C65432">
        <w:rPr>
          <w:i/>
          <w:color w:val="000000"/>
        </w:rPr>
        <w:t xml:space="preserve">“Even when litigation is not ultimately successful, it can have a positive impact when </w:t>
      </w:r>
      <w:r>
        <w:rPr>
          <w:i/>
          <w:color w:val="000000"/>
        </w:rPr>
        <w:t xml:space="preserve"> </w:t>
      </w:r>
      <w:r>
        <w:rPr>
          <w:i/>
          <w:color w:val="000000"/>
        </w:rPr>
        <w:br/>
        <w:t xml:space="preserve">          </w:t>
      </w:r>
      <w:r w:rsidRPr="00C65432">
        <w:rPr>
          <w:i/>
          <w:color w:val="000000"/>
        </w:rPr>
        <w:t xml:space="preserve">combined with civil society campaigns exerting pressure on policy makers and can </w:t>
      </w:r>
      <w:r>
        <w:rPr>
          <w:i/>
          <w:color w:val="000000"/>
        </w:rPr>
        <w:br/>
        <w:t xml:space="preserve">          </w:t>
      </w:r>
      <w:r w:rsidRPr="00C65432">
        <w:rPr>
          <w:i/>
          <w:color w:val="000000"/>
        </w:rPr>
        <w:t>lead to policy change”</w:t>
      </w:r>
      <w:r>
        <w:rPr>
          <w:rStyle w:val="Funotenzeichen"/>
          <w:i/>
          <w:color w:val="000000"/>
        </w:rPr>
        <w:footnoteReference w:id="133"/>
      </w:r>
    </w:p>
    <w:p w:rsidR="006B7D03" w:rsidRPr="000802E1" w:rsidRDefault="005C51A4" w:rsidP="000802E1">
      <w:pPr>
        <w:spacing w:after="200"/>
        <w:rPr>
          <w:i/>
          <w:color w:val="000000"/>
        </w:rPr>
      </w:pPr>
      <w:r>
        <w:t>Chapman (2001) proposes that “campaigns may focus at the international level, the national level – or the grassroots level – or in a combination of all three, with different actors as targets in each.”</w:t>
      </w:r>
      <w:r>
        <w:rPr>
          <w:rStyle w:val="Funotenzeichen"/>
        </w:rPr>
        <w:footnoteReference w:id="134"/>
      </w:r>
      <w:r>
        <w:t xml:space="preserve"> </w:t>
      </w:r>
      <w:r w:rsidR="00EA471C">
        <w:t xml:space="preserve">In addition, </w:t>
      </w:r>
      <w:proofErr w:type="spellStart"/>
      <w:r w:rsidR="00D86169">
        <w:t>Tarrow</w:t>
      </w:r>
      <w:proofErr w:type="spellEnd"/>
      <w:r w:rsidR="00D86169">
        <w:t xml:space="preserve"> and </w:t>
      </w:r>
      <w:proofErr w:type="spellStart"/>
      <w:r w:rsidR="00D86169">
        <w:t>McAdam</w:t>
      </w:r>
      <w:proofErr w:type="spellEnd"/>
      <w:r w:rsidR="00D86169">
        <w:t xml:space="preserve"> (2005) describe “scale shift” as the “transposition of frames, networks and forms of collective action to the international level</w:t>
      </w:r>
      <w:r w:rsidR="008D52E4">
        <w:t>.</w:t>
      </w:r>
      <w:r w:rsidR="00D86169">
        <w:t>”</w:t>
      </w:r>
      <w:r w:rsidR="00D86169">
        <w:rPr>
          <w:rStyle w:val="Funotenzeichen"/>
        </w:rPr>
        <w:footnoteReference w:id="135"/>
      </w:r>
      <w:r w:rsidR="008D52E4">
        <w:t xml:space="preserve"> </w:t>
      </w:r>
      <w:r w:rsidR="00D86169">
        <w:t xml:space="preserve">When combining the two theories of “tipping point” and “scale shift”, it is possible to see how local level campaigning can feed an international movement. </w:t>
      </w:r>
      <w:r w:rsidR="008D52E4">
        <w:t xml:space="preserve">Della </w:t>
      </w:r>
      <w:proofErr w:type="spellStart"/>
      <w:r w:rsidR="008D52E4">
        <w:t>Porta</w:t>
      </w:r>
      <w:proofErr w:type="spellEnd"/>
      <w:r w:rsidR="008D52E4">
        <w:t xml:space="preserve"> and </w:t>
      </w:r>
      <w:proofErr w:type="spellStart"/>
      <w:r w:rsidR="008D52E4">
        <w:t>Tarrow</w:t>
      </w:r>
      <w:proofErr w:type="spellEnd"/>
      <w:r w:rsidR="008D52E4">
        <w:t xml:space="preserve"> (2005) identify “diffusion, domestication and externalisation”</w:t>
      </w:r>
      <w:r w:rsidR="008D52E4">
        <w:rPr>
          <w:rStyle w:val="Funotenzeichen"/>
        </w:rPr>
        <w:footnoteReference w:id="136"/>
      </w:r>
      <w:r w:rsidR="000060EC">
        <w:t xml:space="preserve"> </w:t>
      </w:r>
      <w:r w:rsidR="008D52E4">
        <w:t xml:space="preserve">as key to a social movement’s transfer from local to global. </w:t>
      </w:r>
      <w:r>
        <w:t>One aspect</w:t>
      </w:r>
      <w:r w:rsidR="00E12CA2">
        <w:t xml:space="preserve"> of a </w:t>
      </w:r>
      <w:r>
        <w:t xml:space="preserve">successful </w:t>
      </w:r>
      <w:r w:rsidR="00E12CA2">
        <w:t xml:space="preserve">campaign message </w:t>
      </w:r>
      <w:r>
        <w:t xml:space="preserve">is the ability to </w:t>
      </w:r>
      <w:r w:rsidR="00E12CA2">
        <w:t>convey change</w:t>
      </w:r>
      <w:r w:rsidR="00D86169">
        <w:t xml:space="preserve"> from local to international and vice versa</w:t>
      </w:r>
      <w:r w:rsidR="00E12CA2">
        <w:t xml:space="preserve">. </w:t>
      </w:r>
      <w:r>
        <w:t xml:space="preserve">This can be </w:t>
      </w:r>
      <w:r w:rsidR="00C379E7">
        <w:t>understood</w:t>
      </w:r>
      <w:r>
        <w:t xml:space="preserve"> as positive framing and works from </w:t>
      </w:r>
      <w:r w:rsidR="002C4CE8">
        <w:t xml:space="preserve">“a bedrock belief that change is possible, the fact that people can radically change their </w:t>
      </w:r>
      <w:r w:rsidR="00BC5BF8">
        <w:t>behaviour or beliefs in the face of the right kind of impetus”</w:t>
      </w:r>
      <w:r w:rsidR="00BC5BF8">
        <w:rPr>
          <w:rStyle w:val="Funotenzeichen"/>
        </w:rPr>
        <w:footnoteReference w:id="137"/>
      </w:r>
      <w:r w:rsidR="00B93E31" w:rsidRPr="00B93E31">
        <w:t xml:space="preserve"> </w:t>
      </w:r>
      <w:proofErr w:type="spellStart"/>
      <w:r w:rsidR="00911662">
        <w:t>Darnton</w:t>
      </w:r>
      <w:proofErr w:type="spellEnd"/>
      <w:r w:rsidR="00911662">
        <w:t xml:space="preserve"> and Kirk (2011) believe a common problem in the framing of campaigns is that they are often “framed not in the language of emancipation or justice, but with the vocabulary of charity, technical expertise, neutrality and a deep paternalism”</w:t>
      </w:r>
      <w:r w:rsidR="00911662">
        <w:rPr>
          <w:rStyle w:val="Funotenzeichen"/>
        </w:rPr>
        <w:footnoteReference w:id="138"/>
      </w:r>
      <w:r w:rsidR="00911662">
        <w:t xml:space="preserve">. </w:t>
      </w:r>
      <w:r w:rsidR="00BD4C34">
        <w:t xml:space="preserve">This can be understood as negative framing. Through discussion of the six dominant </w:t>
      </w:r>
      <w:r w:rsidR="00C379E7">
        <w:t xml:space="preserve">cognitive </w:t>
      </w:r>
      <w:r w:rsidR="00BD4C34">
        <w:t>frames around sanitation, this study will seek to draw out example</w:t>
      </w:r>
      <w:r w:rsidR="00C379E7">
        <w:t>s</w:t>
      </w:r>
      <w:r w:rsidR="00BD4C34">
        <w:t xml:space="preserve"> of positive framing opportunities.</w:t>
      </w:r>
      <w:r w:rsidR="00EA471C" w:rsidRPr="00EA471C">
        <w:rPr>
          <w:color w:val="000000"/>
        </w:rPr>
        <w:t xml:space="preserve"> </w:t>
      </w:r>
    </w:p>
    <w:p w:rsidR="000031C0" w:rsidRPr="00882FF5" w:rsidRDefault="000031C0" w:rsidP="006C7D64">
      <w:pPr>
        <w:spacing w:after="200"/>
      </w:pPr>
    </w:p>
    <w:p w:rsidR="00AD0178" w:rsidRDefault="00AD0178" w:rsidP="00AD0178">
      <w:pPr>
        <w:rPr>
          <w:b/>
          <w:i/>
        </w:rPr>
      </w:pPr>
      <w:r w:rsidRPr="00AD0178">
        <w:rPr>
          <w:b/>
          <w:i/>
        </w:rPr>
        <w:t xml:space="preserve">2.1 </w:t>
      </w:r>
      <w:r w:rsidRPr="00AD0178">
        <w:rPr>
          <w:b/>
          <w:i/>
        </w:rPr>
        <w:tab/>
        <w:t>Water and sanitation</w:t>
      </w:r>
    </w:p>
    <w:p w:rsidR="00AD0178" w:rsidRDefault="00AD0178" w:rsidP="00AD0178"/>
    <w:p w:rsidR="00C8507A" w:rsidRDefault="00A93F1B" w:rsidP="00A16D59">
      <w:pPr>
        <w:ind w:firstLine="720"/>
      </w:pPr>
      <w:r>
        <w:t xml:space="preserve">Though it </w:t>
      </w:r>
      <w:r w:rsidR="001356F8">
        <w:t>tends to be</w:t>
      </w:r>
      <w:r>
        <w:t xml:space="preserve"> the ‘first home’ of sanitation campaigns, w</w:t>
      </w:r>
      <w:r w:rsidR="00D848AA">
        <w:t xml:space="preserve">hen </w:t>
      </w:r>
      <w:r w:rsidR="006C7D64">
        <w:t>framed</w:t>
      </w:r>
      <w:r w:rsidR="00D848AA">
        <w:t xml:space="preserve"> with water, sanitation often gets overlooked</w:t>
      </w:r>
      <w:r>
        <w:t>. As Fawcett and Black (2008) suggest</w:t>
      </w:r>
      <w:r w:rsidR="00D848AA">
        <w:t xml:space="preserve"> </w:t>
      </w:r>
      <w:r>
        <w:t>“t</w:t>
      </w:r>
      <w:r w:rsidRPr="00BD4065">
        <w:t>he problem is that whenever sanitation is bracketed with water, it becomes the quintessentially poor relation</w:t>
      </w:r>
      <w:r>
        <w:t>”</w:t>
      </w:r>
      <w:r>
        <w:rPr>
          <w:rStyle w:val="Funotenzeichen"/>
        </w:rPr>
        <w:footnoteReference w:id="139"/>
      </w:r>
      <w:r w:rsidRPr="00C75234">
        <w:t>.</w:t>
      </w:r>
      <w:r w:rsidRPr="00C8507A">
        <w:t xml:space="preserve"> </w:t>
      </w:r>
      <w:r w:rsidR="001356F8">
        <w:t xml:space="preserve">Fleur Anderson </w:t>
      </w:r>
      <w:r w:rsidR="00550109">
        <w:t>states that</w:t>
      </w:r>
      <w:r w:rsidR="00890AAC">
        <w:t xml:space="preserve"> water </w:t>
      </w:r>
      <w:r w:rsidR="00550109">
        <w:t>provides</w:t>
      </w:r>
      <w:r w:rsidR="001356F8">
        <w:t xml:space="preserve"> </w:t>
      </w:r>
      <w:r w:rsidR="00890AAC" w:rsidRPr="000F1610">
        <w:t>“an easier message, it’s a clearly understood message - people don’t have drinking water, anyone can understand that</w:t>
      </w:r>
      <w:r w:rsidR="00890AAC">
        <w:t>”</w:t>
      </w:r>
      <w:r w:rsidR="001356F8">
        <w:rPr>
          <w:rStyle w:val="Funotenzeichen"/>
        </w:rPr>
        <w:footnoteReference w:id="140"/>
      </w:r>
      <w:r w:rsidR="00890AAC" w:rsidRPr="000F1610">
        <w:t xml:space="preserve">. </w:t>
      </w:r>
      <w:r w:rsidR="00F94FC9">
        <w:t xml:space="preserve">In contrast, </w:t>
      </w:r>
      <w:r w:rsidR="00890AAC">
        <w:t>“</w:t>
      </w:r>
      <w:r w:rsidR="00890AAC" w:rsidRPr="000F1610">
        <w:t>the message about sanitation is more difficult and the answers are more difficult as well</w:t>
      </w:r>
      <w:r w:rsidR="00890AAC">
        <w:t>”</w:t>
      </w:r>
      <w:r w:rsidR="001356F8">
        <w:rPr>
          <w:rStyle w:val="Funotenzeichen"/>
        </w:rPr>
        <w:footnoteReference w:id="141"/>
      </w:r>
      <w:r w:rsidR="00890AAC" w:rsidRPr="000F1610">
        <w:t>.</w:t>
      </w:r>
      <w:r w:rsidR="00890AAC">
        <w:t xml:space="preserve"> Anderson underli</w:t>
      </w:r>
      <w:r w:rsidR="00A16D59">
        <w:t>n</w:t>
      </w:r>
      <w:r w:rsidR="00A22928">
        <w:t>es the difference in water and sanitation</w:t>
      </w:r>
      <w:r w:rsidR="00A16D59">
        <w:t xml:space="preserve"> campaign</w:t>
      </w:r>
      <w:r w:rsidR="00550109">
        <w:t xml:space="preserve"> messages</w:t>
      </w:r>
      <w:r w:rsidR="00A22928">
        <w:t>. With water</w:t>
      </w:r>
      <w:r w:rsidR="00890AAC">
        <w:t xml:space="preserve"> “y</w:t>
      </w:r>
      <w:r w:rsidR="00890AAC" w:rsidRPr="000F1610">
        <w:t>ou want to provide a pump, people get water – it seems such an easy thing”</w:t>
      </w:r>
      <w:r w:rsidR="00A22928">
        <w:t>, w</w:t>
      </w:r>
      <w:r w:rsidR="00A16D59">
        <w:t>hereas</w:t>
      </w:r>
      <w:r w:rsidR="0084504A">
        <w:t xml:space="preserve"> “s</w:t>
      </w:r>
      <w:r w:rsidR="00890AAC" w:rsidRPr="000F1610">
        <w:t>anitation has a few more steps to it and</w:t>
      </w:r>
      <w:r w:rsidR="000060EC">
        <w:t xml:space="preserve"> is not so generally understood</w:t>
      </w:r>
      <w:r w:rsidR="00890AAC" w:rsidRPr="000F1610">
        <w:t>”</w:t>
      </w:r>
      <w:r w:rsidR="00A22928">
        <w:rPr>
          <w:rStyle w:val="Funotenzeichen"/>
        </w:rPr>
        <w:footnoteReference w:id="142"/>
      </w:r>
      <w:r w:rsidR="000060EC">
        <w:t>.</w:t>
      </w:r>
      <w:r w:rsidR="008B0D7B" w:rsidRPr="008B0D7B">
        <w:t xml:space="preserve"> </w:t>
      </w:r>
      <w:r w:rsidR="00D848AA">
        <w:t xml:space="preserve"> These views </w:t>
      </w:r>
      <w:r w:rsidR="000802E1">
        <w:t>reflect both</w:t>
      </w:r>
      <w:r w:rsidR="00D848AA">
        <w:t xml:space="preserve"> the tougher challenges of campaigning on sanitation </w:t>
      </w:r>
      <w:r w:rsidR="00CC53DE">
        <w:t>and the difficulties in finding simple messages</w:t>
      </w:r>
      <w:r w:rsidR="00A16D59">
        <w:t xml:space="preserve"> about sanitation solutions</w:t>
      </w:r>
      <w:r w:rsidR="00CC53DE">
        <w:t xml:space="preserve">. </w:t>
      </w:r>
      <w:r w:rsidR="001356F8">
        <w:t>Though solutions exist, they are often more complex than those relating to clean water access and rely more on behavioural change, as do the outcomes.</w:t>
      </w:r>
      <w:r w:rsidR="00A16D59">
        <w:t xml:space="preserve"> UN</w:t>
      </w:r>
      <w:r w:rsidR="00607935">
        <w:t>-Water</w:t>
      </w:r>
      <w:r w:rsidR="00A16D59">
        <w:t xml:space="preserve"> </w:t>
      </w:r>
      <w:r w:rsidR="00607935">
        <w:t>highlights</w:t>
      </w:r>
      <w:r w:rsidR="00A16D59">
        <w:t xml:space="preserve"> this disparity:</w:t>
      </w:r>
    </w:p>
    <w:p w:rsidR="00C8507A" w:rsidRDefault="00C8507A" w:rsidP="00C8507A"/>
    <w:p w:rsidR="00C8507A" w:rsidRDefault="00F86336" w:rsidP="00C8507A">
      <w:pPr>
        <w:autoSpaceDE w:val="0"/>
        <w:autoSpaceDN w:val="0"/>
        <w:adjustRightInd w:val="0"/>
        <w:snapToGrid w:val="0"/>
        <w:ind w:left="720"/>
        <w:rPr>
          <w:i/>
          <w:color w:val="000000"/>
        </w:rPr>
      </w:pPr>
      <w:r>
        <w:rPr>
          <w:i/>
          <w:color w:val="000000"/>
        </w:rPr>
        <w:t>A</w:t>
      </w:r>
      <w:r w:rsidR="00C8507A" w:rsidRPr="004472AE">
        <w:rPr>
          <w:i/>
          <w:color w:val="000000"/>
        </w:rPr>
        <w:t xml:space="preserve"> focus on drinking water alone does not necessarily result in improved access to sanitation. Indeed, given the social taboos around the subject of bodily wastes, sanitation has been </w:t>
      </w:r>
      <w:proofErr w:type="spellStart"/>
      <w:r w:rsidR="00C8507A" w:rsidRPr="004472AE">
        <w:rPr>
          <w:i/>
          <w:color w:val="000000"/>
        </w:rPr>
        <w:t>sidelined</w:t>
      </w:r>
      <w:proofErr w:type="spellEnd"/>
      <w:r w:rsidR="00C8507A" w:rsidRPr="004472AE">
        <w:rPr>
          <w:i/>
          <w:color w:val="000000"/>
        </w:rPr>
        <w:t>, both as a topic of conversation and an investment priority</w:t>
      </w:r>
      <w:r w:rsidR="00C8507A">
        <w:rPr>
          <w:rStyle w:val="Funotenzeichen"/>
          <w:i/>
          <w:color w:val="000000"/>
        </w:rPr>
        <w:footnoteReference w:id="143"/>
      </w:r>
      <w:r w:rsidR="00C8507A" w:rsidRPr="004472AE">
        <w:rPr>
          <w:i/>
          <w:color w:val="000000"/>
        </w:rPr>
        <w:t>.</w:t>
      </w:r>
    </w:p>
    <w:p w:rsidR="00324388" w:rsidRDefault="00324388" w:rsidP="00C8507A">
      <w:pPr>
        <w:autoSpaceDE w:val="0"/>
        <w:autoSpaceDN w:val="0"/>
        <w:adjustRightInd w:val="0"/>
        <w:snapToGrid w:val="0"/>
        <w:ind w:left="720"/>
        <w:rPr>
          <w:i/>
          <w:color w:val="000000"/>
        </w:rPr>
      </w:pPr>
    </w:p>
    <w:p w:rsidR="00100D72" w:rsidRPr="00C13017" w:rsidRDefault="004930A8" w:rsidP="00C13017">
      <w:pPr>
        <w:ind w:firstLine="720"/>
        <w:rPr>
          <w:i/>
        </w:rPr>
      </w:pPr>
      <w:r>
        <w:rPr>
          <w:color w:val="000000"/>
        </w:rPr>
        <w:t xml:space="preserve">The use of positive frames is of most obvious use in water campaigns. </w:t>
      </w:r>
      <w:r w:rsidR="000802E1">
        <w:rPr>
          <w:color w:val="000000"/>
        </w:rPr>
        <w:t>With the use of positive imagery around water campaigns,</w:t>
      </w:r>
      <w:r>
        <w:rPr>
          <w:color w:val="000000"/>
        </w:rPr>
        <w:t xml:space="preserve"> </w:t>
      </w:r>
      <w:r w:rsidR="00324388" w:rsidRPr="00324388">
        <w:rPr>
          <w:color w:val="000000"/>
        </w:rPr>
        <w:t xml:space="preserve">Amanda Marlin </w:t>
      </w:r>
      <w:r w:rsidR="00324388">
        <w:rPr>
          <w:color w:val="000000"/>
        </w:rPr>
        <w:t>notes: “</w:t>
      </w:r>
      <w:r w:rsidR="00324388">
        <w:t>you can get fabulous photos...very appealing and attractive photos of water projects and children drinking water...it’s much harder to visually depict sanitation”</w:t>
      </w:r>
      <w:r w:rsidR="00324388">
        <w:rPr>
          <w:rStyle w:val="Funotenzeichen"/>
        </w:rPr>
        <w:footnoteReference w:id="144"/>
      </w:r>
      <w:r w:rsidR="00F014DF">
        <w:t xml:space="preserve">. </w:t>
      </w:r>
      <w:proofErr w:type="spellStart"/>
      <w:r w:rsidR="00781247">
        <w:t>WaterAid’s</w:t>
      </w:r>
      <w:proofErr w:type="spellEnd"/>
      <w:r w:rsidR="00781247">
        <w:t xml:space="preserve"> Kate </w:t>
      </w:r>
      <w:proofErr w:type="spellStart"/>
      <w:r w:rsidR="00781247">
        <w:t>Norgrove</w:t>
      </w:r>
      <w:proofErr w:type="spellEnd"/>
      <w:r w:rsidR="00781247">
        <w:t xml:space="preserve"> admits “i</w:t>
      </w:r>
      <w:r w:rsidR="00781247" w:rsidRPr="000F1610">
        <w:t>t’s much harder to campaign on sanitation as an issue as opposed to water”</w:t>
      </w:r>
      <w:r w:rsidR="00781247">
        <w:rPr>
          <w:rStyle w:val="Funotenzeichen"/>
        </w:rPr>
        <w:footnoteReference w:id="145"/>
      </w:r>
      <w:r w:rsidR="00781247">
        <w:t xml:space="preserve">. </w:t>
      </w:r>
      <w:r w:rsidR="00F014DF">
        <w:t>Many NGOs promote a sanitation message that favours</w:t>
      </w:r>
      <w:r w:rsidR="00100D72">
        <w:t xml:space="preserve"> a</w:t>
      </w:r>
      <w:r w:rsidR="00976FC3">
        <w:t xml:space="preserve"> </w:t>
      </w:r>
      <w:r w:rsidR="00EB7E6C">
        <w:t>combined water, sanitation and</w:t>
      </w:r>
      <w:r w:rsidR="00F014DF">
        <w:t xml:space="preserve"> hygiene </w:t>
      </w:r>
      <w:r w:rsidR="000802E1">
        <w:t>(</w:t>
      </w:r>
      <w:r w:rsidR="00F014DF">
        <w:t>WASH</w:t>
      </w:r>
      <w:r w:rsidR="000802E1">
        <w:t>)</w:t>
      </w:r>
      <w:r w:rsidR="00F014DF">
        <w:t xml:space="preserve"> approach</w:t>
      </w:r>
      <w:r w:rsidR="00F014DF">
        <w:rPr>
          <w:rStyle w:val="Funotenzeichen"/>
        </w:rPr>
        <w:footnoteReference w:id="146"/>
      </w:r>
      <w:r w:rsidR="00F014DF">
        <w:t xml:space="preserve">. </w:t>
      </w:r>
      <w:r w:rsidR="00EB7E6C">
        <w:t xml:space="preserve">Of these, </w:t>
      </w:r>
      <w:r w:rsidR="00F014DF">
        <w:t>the natural choice of positive fram</w:t>
      </w:r>
      <w:r w:rsidR="00976FC3">
        <w:t>e</w:t>
      </w:r>
      <w:r w:rsidR="00F014DF">
        <w:t xml:space="preserve"> would be </w:t>
      </w:r>
      <w:r w:rsidR="00344778">
        <w:t xml:space="preserve">clean, fresh </w:t>
      </w:r>
      <w:r w:rsidR="00F014DF">
        <w:t xml:space="preserve">water. And the </w:t>
      </w:r>
      <w:r w:rsidR="00EB7E6C">
        <w:t xml:space="preserve">most likely </w:t>
      </w:r>
      <w:r w:rsidR="00F014DF">
        <w:t>choice of image might be</w:t>
      </w:r>
      <w:r w:rsidR="00467AB3">
        <w:t xml:space="preserve"> that</w:t>
      </w:r>
      <w:r w:rsidR="00F014DF">
        <w:t xml:space="preserve"> of smiling child by a </w:t>
      </w:r>
      <w:r w:rsidR="00467AB3">
        <w:t>gleaming</w:t>
      </w:r>
      <w:r w:rsidR="00F014DF">
        <w:t xml:space="preserve"> new water pump. </w:t>
      </w:r>
      <w:r w:rsidR="00C13017" w:rsidRPr="00C13017">
        <w:t xml:space="preserve">But </w:t>
      </w:r>
      <w:r w:rsidR="00100D72">
        <w:t xml:space="preserve">an over-emphasis on </w:t>
      </w:r>
      <w:r w:rsidR="00DF3543">
        <w:t>waterborne</w:t>
      </w:r>
      <w:r w:rsidR="00100D72">
        <w:t xml:space="preserve"> illnesses can serve to overshadow the health rationale of sanitation improvement</w:t>
      </w:r>
      <w:r w:rsidR="00467AB3">
        <w:t>. Fawcett and Black (2008) argue that</w:t>
      </w:r>
      <w:r w:rsidR="00C13017">
        <w:t xml:space="preserve"> </w:t>
      </w:r>
      <w:r w:rsidR="00100D72">
        <w:t>“</w:t>
      </w:r>
      <w:r w:rsidR="00856312">
        <w:t xml:space="preserve">a </w:t>
      </w:r>
      <w:r w:rsidR="00100D72">
        <w:t xml:space="preserve">much higher </w:t>
      </w:r>
      <w:r w:rsidR="00856312">
        <w:t xml:space="preserve">proportion </w:t>
      </w:r>
      <w:r w:rsidR="00100D72">
        <w:t>of th</w:t>
      </w:r>
      <w:r w:rsidR="00467AB3">
        <w:t>e</w:t>
      </w:r>
      <w:r w:rsidR="00100D72">
        <w:t xml:space="preserve"> disease burden is to do with poor excreta control and lack of hygiene”</w:t>
      </w:r>
      <w:r w:rsidR="00100D72">
        <w:rPr>
          <w:rStyle w:val="Funotenzeichen"/>
        </w:rPr>
        <w:footnoteReference w:id="147"/>
      </w:r>
      <w:r w:rsidR="00100D72">
        <w:t xml:space="preserve">. </w:t>
      </w:r>
      <w:r w:rsidR="00467AB3">
        <w:t xml:space="preserve">For example, </w:t>
      </w:r>
      <w:proofErr w:type="spellStart"/>
      <w:r w:rsidR="00276566">
        <w:t>WaterAid</w:t>
      </w:r>
      <w:proofErr w:type="spellEnd"/>
      <w:r w:rsidR="00276566">
        <w:t xml:space="preserve"> UK’s homepage currently carries the picture of a child drinking water from a bowl</w:t>
      </w:r>
      <w:r w:rsidR="007E0165">
        <w:t xml:space="preserve">. </w:t>
      </w:r>
      <w:r w:rsidR="000E4EDA">
        <w:t xml:space="preserve">A link on the image encourages donations and </w:t>
      </w:r>
      <w:r w:rsidR="007E0165">
        <w:t>carries</w:t>
      </w:r>
      <w:r w:rsidR="00276566">
        <w:t xml:space="preserve"> the phrase “today 4,000 children will die from drinking dirty water”</w:t>
      </w:r>
      <w:r w:rsidR="00276566">
        <w:rPr>
          <w:rStyle w:val="Funotenzeichen"/>
        </w:rPr>
        <w:footnoteReference w:id="148"/>
      </w:r>
      <w:r w:rsidR="00276566">
        <w:t xml:space="preserve">. </w:t>
      </w:r>
      <w:r w:rsidR="000E4EDA">
        <w:t>D</w:t>
      </w:r>
      <w:r w:rsidR="00276566">
        <w:t xml:space="preserve">efecation is not mentioned. </w:t>
      </w:r>
      <w:r w:rsidR="00467AB3">
        <w:t>The subtext being that dirty water is the problem, so clean water is the solution. However</w:t>
      </w:r>
      <w:r w:rsidR="000E4EDA">
        <w:t xml:space="preserve">, </w:t>
      </w:r>
      <w:r w:rsidR="009B71A9">
        <w:t xml:space="preserve">as Fawcett states </w:t>
      </w:r>
      <w:r w:rsidR="009B71A9" w:rsidRPr="009B71A9">
        <w:t>“</w:t>
      </w:r>
      <w:r w:rsidR="009B71A9" w:rsidRPr="009B71A9">
        <w:rPr>
          <w:lang w:eastAsia="en-GB"/>
        </w:rPr>
        <w:t>the majority of 'water and sanitation related' diseases, and resulting mortality an</w:t>
      </w:r>
      <w:r w:rsidR="009B71A9">
        <w:rPr>
          <w:lang w:eastAsia="en-GB"/>
        </w:rPr>
        <w:t xml:space="preserve">d morbidity are actually </w:t>
      </w:r>
      <w:r w:rsidR="009B71A9" w:rsidRPr="009B71A9">
        <w:rPr>
          <w:lang w:eastAsia="en-GB"/>
        </w:rPr>
        <w:t>shit-related</w:t>
      </w:r>
      <w:r w:rsidR="009B71A9">
        <w:rPr>
          <w:lang w:eastAsia="en-GB"/>
        </w:rPr>
        <w:t>”</w:t>
      </w:r>
      <w:r w:rsidR="009B71A9">
        <w:rPr>
          <w:rStyle w:val="Funotenzeichen"/>
          <w:lang w:eastAsia="en-GB"/>
        </w:rPr>
        <w:footnoteReference w:id="149"/>
      </w:r>
      <w:r w:rsidR="00467AB3">
        <w:rPr>
          <w:lang w:eastAsia="en-GB"/>
        </w:rPr>
        <w:t>.</w:t>
      </w:r>
      <w:proofErr w:type="spellStart"/>
      <w:r w:rsidR="00100D72">
        <w:t>WaterAid’s</w:t>
      </w:r>
      <w:proofErr w:type="spellEnd"/>
      <w:r w:rsidR="00100D72">
        <w:t xml:space="preserve"> ‘Dig Toilet’s Not Graves’</w:t>
      </w:r>
      <w:r w:rsidR="00743F94">
        <w:t xml:space="preserve"> campaign</w:t>
      </w:r>
      <w:r w:rsidR="00276566">
        <w:t xml:space="preserve"> </w:t>
      </w:r>
      <w:r w:rsidR="009B71A9">
        <w:t>does</w:t>
      </w:r>
      <w:r w:rsidR="00276566">
        <w:t xml:space="preserve"> has a strong sanitation focus, </w:t>
      </w:r>
      <w:r w:rsidR="009B71A9">
        <w:t xml:space="preserve">which </w:t>
      </w:r>
      <w:r w:rsidR="00100D72">
        <w:t xml:space="preserve">will be discussed further </w:t>
      </w:r>
      <w:r w:rsidR="00276566">
        <w:t xml:space="preserve">in </w:t>
      </w:r>
      <w:r w:rsidR="00100D72">
        <w:t>the ‘</w:t>
      </w:r>
      <w:r w:rsidR="00100D72" w:rsidRPr="00100D72">
        <w:rPr>
          <w:i/>
        </w:rPr>
        <w:t>health frame</w:t>
      </w:r>
      <w:r w:rsidR="00100D72">
        <w:rPr>
          <w:i/>
        </w:rPr>
        <w:t>’</w:t>
      </w:r>
      <w:r w:rsidR="00100D72">
        <w:t xml:space="preserve"> section of this chapter</w:t>
      </w:r>
      <w:r w:rsidR="00100D72" w:rsidRPr="00A16D59">
        <w:t xml:space="preserve"> </w:t>
      </w:r>
      <w:r w:rsidR="00276566">
        <w:t xml:space="preserve">. </w:t>
      </w:r>
    </w:p>
    <w:p w:rsidR="00100D72" w:rsidRPr="00100D72" w:rsidRDefault="00100D72" w:rsidP="00100D72">
      <w:pPr>
        <w:ind w:left="720"/>
        <w:rPr>
          <w:i/>
        </w:rPr>
      </w:pPr>
    </w:p>
    <w:p w:rsidR="00DF3543" w:rsidRDefault="00100D72" w:rsidP="00835889">
      <w:r>
        <w:t xml:space="preserve"> </w:t>
      </w:r>
      <w:r w:rsidR="00276566">
        <w:tab/>
      </w:r>
      <w:r w:rsidR="00C16858">
        <w:t>T</w:t>
      </w:r>
      <w:r w:rsidR="00324388">
        <w:t xml:space="preserve">here is also a negative </w:t>
      </w:r>
      <w:r w:rsidR="00276566">
        <w:t>frame evident in</w:t>
      </w:r>
      <w:r w:rsidR="00324388">
        <w:t xml:space="preserve"> </w:t>
      </w:r>
      <w:r w:rsidR="00276566">
        <w:t>water campaigns</w:t>
      </w:r>
      <w:r w:rsidR="00C16858">
        <w:t xml:space="preserve">. </w:t>
      </w:r>
      <w:r w:rsidR="00276566">
        <w:t xml:space="preserve">EWP’s Fleur Anderson </w:t>
      </w:r>
      <w:r w:rsidR="008B469A">
        <w:t xml:space="preserve">defines </w:t>
      </w:r>
      <w:r w:rsidR="00276566">
        <w:t xml:space="preserve">this </w:t>
      </w:r>
      <w:r w:rsidR="008B469A">
        <w:t>as the “</w:t>
      </w:r>
      <w:r w:rsidR="00324388" w:rsidRPr="000F1610">
        <w:t>pity agenda</w:t>
      </w:r>
      <w:r w:rsidR="00DF3543">
        <w:t>”:</w:t>
      </w:r>
    </w:p>
    <w:p w:rsidR="00DF3543" w:rsidRDefault="00DF3543" w:rsidP="00835889"/>
    <w:p w:rsidR="00DF3543" w:rsidRDefault="00DF3543" w:rsidP="00DF3543">
      <w:pPr>
        <w:ind w:left="720"/>
        <w:rPr>
          <w:i/>
        </w:rPr>
      </w:pPr>
      <w:r w:rsidRPr="00DF3543">
        <w:rPr>
          <w:i/>
        </w:rPr>
        <w:t>“Water is always seen as sad situation</w:t>
      </w:r>
      <w:r>
        <w:rPr>
          <w:i/>
        </w:rPr>
        <w:t xml:space="preserve">. </w:t>
      </w:r>
      <w:r w:rsidRPr="00DF3543">
        <w:rPr>
          <w:i/>
        </w:rPr>
        <w:t>P</w:t>
      </w:r>
      <w:r w:rsidR="00324388" w:rsidRPr="00DF3543">
        <w:rPr>
          <w:i/>
        </w:rPr>
        <w:t xml:space="preserve">eople don’t have a </w:t>
      </w:r>
      <w:r w:rsidR="00C16858" w:rsidRPr="00DF3543">
        <w:rPr>
          <w:i/>
        </w:rPr>
        <w:t>pump;</w:t>
      </w:r>
      <w:r w:rsidR="00324388" w:rsidRPr="00DF3543">
        <w:rPr>
          <w:i/>
        </w:rPr>
        <w:t xml:space="preserve"> you see dry ground and people stood around fishing out water from a dirty river.</w:t>
      </w:r>
      <w:r w:rsidRPr="00DF3543">
        <w:rPr>
          <w:i/>
        </w:rPr>
        <w:t xml:space="preserve">  </w:t>
      </w:r>
      <w:r w:rsidR="00276566" w:rsidRPr="00DF3543">
        <w:rPr>
          <w:i/>
        </w:rPr>
        <w:t>You are encouraged to pity people in the</w:t>
      </w:r>
      <w:r>
        <w:rPr>
          <w:i/>
        </w:rPr>
        <w:t xml:space="preserve"> public representation of water</w:t>
      </w:r>
      <w:r w:rsidRPr="00DF3543">
        <w:rPr>
          <w:i/>
        </w:rPr>
        <w:t xml:space="preserve">. </w:t>
      </w:r>
      <w:r w:rsidR="00276566" w:rsidRPr="00DF3543">
        <w:rPr>
          <w:i/>
        </w:rPr>
        <w:t>So it’s not very empowering and therefore a difficult angle to campaign on</w:t>
      </w:r>
      <w:r w:rsidR="00324388" w:rsidRPr="00DF3543">
        <w:rPr>
          <w:i/>
        </w:rPr>
        <w:t>”</w:t>
      </w:r>
      <w:r w:rsidR="007753B1">
        <w:rPr>
          <w:rStyle w:val="Funotenzeichen"/>
          <w:i/>
        </w:rPr>
        <w:footnoteReference w:id="150"/>
      </w:r>
      <w:r w:rsidR="004930A8" w:rsidRPr="00DF3543">
        <w:rPr>
          <w:i/>
        </w:rPr>
        <w:t xml:space="preserve"> </w:t>
      </w:r>
    </w:p>
    <w:p w:rsidR="0084504A" w:rsidRDefault="0084504A" w:rsidP="00324388"/>
    <w:p w:rsidR="0019532F" w:rsidRPr="00B84D63" w:rsidRDefault="00DF3543" w:rsidP="00B84D63">
      <w:r>
        <w:t xml:space="preserve">If campaigns around water are successfully engaging people more than those surrounding sanitation, this suggests that the </w:t>
      </w:r>
      <w:r w:rsidR="00F56C7C">
        <w:t xml:space="preserve">cognitive </w:t>
      </w:r>
      <w:r>
        <w:t xml:space="preserve">framing around water campaigns is more effective. </w:t>
      </w:r>
      <w:r w:rsidR="005338C7">
        <w:t>Water and sanitation are clearly heavily interlinked, but are not always interdependent. The “frame bridging”</w:t>
      </w:r>
      <w:r w:rsidR="005338C7">
        <w:rPr>
          <w:rStyle w:val="Funotenzeichen"/>
        </w:rPr>
        <w:footnoteReference w:id="151"/>
      </w:r>
      <w:r w:rsidR="005338C7">
        <w:t xml:space="preserve"> between water and sanitation is perhaps too strong</w:t>
      </w:r>
      <w:r w:rsidR="00F425B0">
        <w:t>. T</w:t>
      </w:r>
      <w:r w:rsidR="005338C7">
        <w:t xml:space="preserve">he result being that water </w:t>
      </w:r>
      <w:r w:rsidR="00E965FE">
        <w:t>has “hijacked the centre ground”</w:t>
      </w:r>
      <w:r w:rsidR="00E965FE">
        <w:rPr>
          <w:rStyle w:val="Funotenzeichen"/>
        </w:rPr>
        <w:footnoteReference w:id="152"/>
      </w:r>
      <w:r w:rsidR="00F425B0">
        <w:t xml:space="preserve"> and is </w:t>
      </w:r>
      <w:r w:rsidR="005338C7">
        <w:t>distort</w:t>
      </w:r>
      <w:r w:rsidR="00F425B0">
        <w:t>ing</w:t>
      </w:r>
      <w:r w:rsidR="005338C7">
        <w:t xml:space="preserve"> understandings of waterborne illness</w:t>
      </w:r>
      <w:r w:rsidR="00147346">
        <w:t xml:space="preserve"> and disproportionately balanc</w:t>
      </w:r>
      <w:r w:rsidR="00F425B0">
        <w:t>ing</w:t>
      </w:r>
      <w:r w:rsidR="00147346">
        <w:t xml:space="preserve"> funding in favour of water</w:t>
      </w:r>
      <w:r w:rsidR="005338C7">
        <w:t xml:space="preserve">. </w:t>
      </w:r>
      <w:r w:rsidR="00202C62">
        <w:t>Research undertaken by Perlman and Sheehan (2007) suggests that improved toilets have been shown to reduced diarrhoeal disease “by an average of 32%, whereas an improved water supply does so only by 6%”</w:t>
      </w:r>
      <w:r w:rsidR="00202C62">
        <w:rPr>
          <w:rStyle w:val="Funotenzeichen"/>
        </w:rPr>
        <w:footnoteReference w:id="153"/>
      </w:r>
      <w:r w:rsidR="00DA7F09">
        <w:t>.</w:t>
      </w:r>
      <w:r w:rsidR="0019532F">
        <w:t xml:space="preserve">The water frame brings attention to sanitation, but as a Lancet article from 2008 highlights: </w:t>
      </w:r>
      <w:r w:rsidR="0019532F" w:rsidRPr="0019532F">
        <w:rPr>
          <w:rFonts w:ascii="aker2Lancet-Regular" w:hAnsi="aker2Lancet-Regular" w:cs="aker2Lancet-Regular"/>
          <w:color w:val="221E1F"/>
          <w:sz w:val="20"/>
        </w:rPr>
        <w:t xml:space="preserve"> </w:t>
      </w:r>
      <w:r w:rsidR="0019532F">
        <w:rPr>
          <w:rFonts w:ascii="aker2Lancet-Regular" w:hAnsi="aker2Lancet-Regular" w:cs="aker2Lancet-Regular"/>
          <w:color w:val="221E1F"/>
          <w:sz w:val="20"/>
        </w:rPr>
        <w:t xml:space="preserve"> </w:t>
      </w:r>
      <w:r w:rsidR="0019532F">
        <w:rPr>
          <w:rFonts w:ascii="aker2Lancet-Regular" w:hAnsi="aker2Lancet-Regular" w:cs="aker2Lancet-Regular"/>
          <w:color w:val="221E1F"/>
          <w:sz w:val="20"/>
        </w:rPr>
        <w:br/>
      </w:r>
      <w:r w:rsidR="0019532F">
        <w:rPr>
          <w:rFonts w:ascii="aker2Lancet-Regular" w:hAnsi="aker2Lancet-Regular" w:cs="aker2Lancet-Regular"/>
          <w:color w:val="221E1F"/>
          <w:sz w:val="20"/>
        </w:rPr>
        <w:br/>
      </w:r>
      <w:r w:rsidR="0019532F">
        <w:tab/>
      </w:r>
      <w:r w:rsidR="0019532F">
        <w:rPr>
          <w:i/>
          <w:color w:val="221E1F"/>
        </w:rPr>
        <w:t>“</w:t>
      </w:r>
      <w:r w:rsidR="0019532F" w:rsidRPr="0019532F">
        <w:rPr>
          <w:i/>
          <w:color w:val="221E1F"/>
        </w:rPr>
        <w:t>Sanitation is often in the shadow of water, a situation which is reﬂected in the</w:t>
      </w:r>
      <w:r w:rsidR="0019532F">
        <w:rPr>
          <w:i/>
          <w:color w:val="221E1F"/>
        </w:rPr>
        <w:br/>
      </w:r>
      <w:r w:rsidR="0019532F">
        <w:rPr>
          <w:i/>
          <w:color w:val="221E1F"/>
        </w:rPr>
        <w:tab/>
      </w:r>
      <w:r w:rsidR="0019532F" w:rsidRPr="0019532F">
        <w:rPr>
          <w:i/>
          <w:color w:val="221E1F"/>
        </w:rPr>
        <w:t xml:space="preserve">amount of funding, priority, and attention given to each entity. However, although </w:t>
      </w:r>
      <w:r w:rsidR="0019532F">
        <w:rPr>
          <w:i/>
          <w:color w:val="221E1F"/>
        </w:rPr>
        <w:br/>
      </w:r>
      <w:r w:rsidR="0019532F">
        <w:rPr>
          <w:i/>
          <w:color w:val="221E1F"/>
        </w:rPr>
        <w:tab/>
      </w:r>
      <w:r w:rsidR="0019532F" w:rsidRPr="0019532F">
        <w:rPr>
          <w:i/>
          <w:color w:val="221E1F"/>
        </w:rPr>
        <w:t>these di</w:t>
      </w:r>
      <w:r w:rsidR="0019532F" w:rsidRPr="0019532F">
        <w:rPr>
          <w:rFonts w:ascii="Cambria Math" w:hAnsi="Cambria Math"/>
          <w:i/>
          <w:color w:val="221E1F"/>
        </w:rPr>
        <w:t>ﬀ</w:t>
      </w:r>
      <w:r w:rsidR="0019532F" w:rsidRPr="0019532F">
        <w:rPr>
          <w:i/>
          <w:color w:val="221E1F"/>
        </w:rPr>
        <w:t xml:space="preserve">erences must be acknowledged, they must not be used to further widen the </w:t>
      </w:r>
      <w:r w:rsidR="0019532F">
        <w:rPr>
          <w:i/>
          <w:color w:val="221E1F"/>
        </w:rPr>
        <w:br/>
      </w:r>
      <w:r w:rsidR="0019532F">
        <w:rPr>
          <w:i/>
          <w:color w:val="221E1F"/>
        </w:rPr>
        <w:tab/>
      </w:r>
      <w:proofErr w:type="spellStart"/>
      <w:r w:rsidR="0019532F" w:rsidRPr="0019532F">
        <w:rPr>
          <w:i/>
          <w:color w:val="221E1F"/>
        </w:rPr>
        <w:t>sectoral</w:t>
      </w:r>
      <w:proofErr w:type="spellEnd"/>
      <w:r w:rsidR="0019532F" w:rsidRPr="0019532F">
        <w:rPr>
          <w:i/>
          <w:color w:val="221E1F"/>
        </w:rPr>
        <w:t xml:space="preserve"> approach. The water and sanitation sectors must ﬁnd ways of working </w:t>
      </w:r>
    </w:p>
    <w:p w:rsidR="0019532F" w:rsidRPr="0019532F" w:rsidRDefault="00077B8D" w:rsidP="0019532F">
      <w:pPr>
        <w:autoSpaceDE w:val="0"/>
        <w:autoSpaceDN w:val="0"/>
        <w:adjustRightInd w:val="0"/>
        <w:snapToGrid w:val="0"/>
        <w:ind w:firstLine="720"/>
      </w:pPr>
      <w:proofErr w:type="gramStart"/>
      <w:r>
        <w:rPr>
          <w:i/>
          <w:color w:val="221E1F"/>
        </w:rPr>
        <w:t>t</w:t>
      </w:r>
      <w:r w:rsidR="0019532F" w:rsidRPr="0019532F">
        <w:rPr>
          <w:i/>
          <w:color w:val="221E1F"/>
        </w:rPr>
        <w:t>ogether</w:t>
      </w:r>
      <w:proofErr w:type="gramEnd"/>
      <w:r>
        <w:rPr>
          <w:i/>
          <w:color w:val="221E1F"/>
        </w:rPr>
        <w:t>”</w:t>
      </w:r>
      <w:r>
        <w:rPr>
          <w:rStyle w:val="Funotenzeichen"/>
          <w:i/>
          <w:color w:val="221E1F"/>
        </w:rPr>
        <w:footnoteReference w:id="154"/>
      </w:r>
      <w:r w:rsidR="0019532F" w:rsidRPr="0019532F">
        <w:rPr>
          <w:i/>
          <w:color w:val="221E1F"/>
        </w:rPr>
        <w:t>.</w:t>
      </w:r>
    </w:p>
    <w:p w:rsidR="0019532F" w:rsidRDefault="0019532F" w:rsidP="0019532F">
      <w:pPr>
        <w:autoSpaceDE w:val="0"/>
        <w:autoSpaceDN w:val="0"/>
        <w:adjustRightInd w:val="0"/>
        <w:snapToGrid w:val="0"/>
        <w:rPr>
          <w:i/>
          <w:color w:val="221E1F"/>
        </w:rPr>
      </w:pPr>
    </w:p>
    <w:p w:rsidR="0019532F" w:rsidRPr="00A74E2C" w:rsidRDefault="00976FC3" w:rsidP="00A74E2C">
      <w:pPr>
        <w:spacing w:after="200"/>
        <w:rPr>
          <w:i/>
        </w:rPr>
      </w:pPr>
      <w:r>
        <w:rPr>
          <w:lang w:eastAsia="en-GB"/>
        </w:rPr>
        <w:t xml:space="preserve">Rose </w:t>
      </w:r>
      <w:r w:rsidRPr="0055238A">
        <w:t xml:space="preserve">George </w:t>
      </w:r>
      <w:r>
        <w:t>believes that the renewed focus on sanitation offered by this new human right “</w:t>
      </w:r>
      <w:r w:rsidRPr="0055238A">
        <w:t>may also address the vast disparity in attention and funding given to clean water advoca</w:t>
      </w:r>
      <w:r w:rsidR="006D4560">
        <w:t>cy over sanitation</w:t>
      </w:r>
      <w:r>
        <w:t>”</w:t>
      </w:r>
      <w:r>
        <w:rPr>
          <w:rStyle w:val="Funotenzeichen"/>
        </w:rPr>
        <w:footnoteReference w:id="155"/>
      </w:r>
      <w:r w:rsidRPr="0055238A">
        <w:t>.</w:t>
      </w:r>
      <w:r>
        <w:t xml:space="preserve"> </w:t>
      </w:r>
      <w:r w:rsidR="009B71A9">
        <w:t xml:space="preserve">Ben Fawcett </w:t>
      </w:r>
      <w:r w:rsidR="0019532F">
        <w:t>believes that</w:t>
      </w:r>
      <w:r w:rsidR="009B71A9">
        <w:t xml:space="preserve"> sanitation should be campaigned </w:t>
      </w:r>
      <w:r w:rsidR="000E4EDA">
        <w:t>for</w:t>
      </w:r>
      <w:r w:rsidR="009B71A9">
        <w:t xml:space="preserve"> as a separate issue as water</w:t>
      </w:r>
      <w:r w:rsidR="005338C7">
        <w:t xml:space="preserve"> </w:t>
      </w:r>
      <w:r w:rsidR="009B71A9">
        <w:t xml:space="preserve">and </w:t>
      </w:r>
      <w:r w:rsidR="00077B8D">
        <w:t>speaks of the</w:t>
      </w:r>
      <w:r w:rsidR="009B71A9">
        <w:t xml:space="preserve"> </w:t>
      </w:r>
      <w:r w:rsidR="009B71A9" w:rsidRPr="009B71A9">
        <w:t>“</w:t>
      </w:r>
      <w:r w:rsidR="009B71A9" w:rsidRPr="009B71A9">
        <w:rPr>
          <w:lang w:eastAsia="en-GB"/>
        </w:rPr>
        <w:t xml:space="preserve">nature of the topic, needing a different campaigning approach in order to reach our audiences - </w:t>
      </w:r>
      <w:r w:rsidR="0019532F">
        <w:rPr>
          <w:lang w:eastAsia="en-GB"/>
        </w:rPr>
        <w:t xml:space="preserve">the influential, the public </w:t>
      </w:r>
      <w:proofErr w:type="spellStart"/>
      <w:r w:rsidR="0019532F">
        <w:rPr>
          <w:lang w:eastAsia="en-GB"/>
        </w:rPr>
        <w:t>etc</w:t>
      </w:r>
      <w:proofErr w:type="spellEnd"/>
      <w:r w:rsidR="009B71A9" w:rsidRPr="009B71A9">
        <w:rPr>
          <w:lang w:eastAsia="en-GB"/>
        </w:rPr>
        <w:t>”</w:t>
      </w:r>
      <w:r w:rsidR="009B71A9">
        <w:rPr>
          <w:rStyle w:val="Funotenzeichen"/>
          <w:lang w:eastAsia="en-GB"/>
        </w:rPr>
        <w:footnoteReference w:id="156"/>
      </w:r>
      <w:r w:rsidR="0019532F">
        <w:t xml:space="preserve">. </w:t>
      </w:r>
      <w:r w:rsidR="00A0758B">
        <w:t>If water does overshadow sanitation in combined campaigns</w:t>
      </w:r>
      <w:r w:rsidR="00DF05E1">
        <w:t xml:space="preserve">, to the detriment of the sanitation side, then </w:t>
      </w:r>
      <w:r w:rsidR="00A8463E">
        <w:t xml:space="preserve">perhaps </w:t>
      </w:r>
      <w:r w:rsidR="00DF05E1">
        <w:t xml:space="preserve">other </w:t>
      </w:r>
      <w:r w:rsidR="000B53AD">
        <w:t xml:space="preserve">cognitive </w:t>
      </w:r>
      <w:r w:rsidR="00DF05E1">
        <w:t xml:space="preserve">frames </w:t>
      </w:r>
      <w:r w:rsidR="00A8463E">
        <w:t>can</w:t>
      </w:r>
      <w:r w:rsidR="00DF05E1">
        <w:t xml:space="preserve"> be identified that </w:t>
      </w:r>
      <w:r w:rsidR="000B53AD">
        <w:t>can help reframe</w:t>
      </w:r>
      <w:r w:rsidR="00B356A1">
        <w:t xml:space="preserve"> </w:t>
      </w:r>
      <w:r w:rsidR="00DF05E1">
        <w:t xml:space="preserve">sanitation as a separate </w:t>
      </w:r>
      <w:r w:rsidR="000B53AD">
        <w:t>campaign issue</w:t>
      </w:r>
      <w:r w:rsidR="00DF05E1">
        <w:t>.</w:t>
      </w:r>
      <w:r w:rsidR="00500A0C" w:rsidRPr="00500A0C">
        <w:t xml:space="preserve"> </w:t>
      </w:r>
    </w:p>
    <w:p w:rsidR="0084504A" w:rsidRDefault="0084504A" w:rsidP="0084504A"/>
    <w:p w:rsidR="00BE2BA9" w:rsidRDefault="00AD0178" w:rsidP="0084504A">
      <w:pPr>
        <w:rPr>
          <w:b/>
          <w:i/>
        </w:rPr>
      </w:pPr>
      <w:r>
        <w:rPr>
          <w:b/>
          <w:i/>
        </w:rPr>
        <w:t>2.</w:t>
      </w:r>
      <w:r w:rsidR="002D28B1">
        <w:rPr>
          <w:b/>
          <w:i/>
        </w:rPr>
        <w:t>3</w:t>
      </w:r>
      <w:r>
        <w:rPr>
          <w:b/>
          <w:i/>
        </w:rPr>
        <w:tab/>
      </w:r>
      <w:r w:rsidR="00BE2BA9">
        <w:rPr>
          <w:b/>
          <w:i/>
        </w:rPr>
        <w:t xml:space="preserve">Health </w:t>
      </w:r>
      <w:r w:rsidR="00B23603">
        <w:rPr>
          <w:b/>
          <w:i/>
        </w:rPr>
        <w:t>and human rights</w:t>
      </w:r>
    </w:p>
    <w:p w:rsidR="00BE2BA9" w:rsidRDefault="00BE2BA9" w:rsidP="0084504A">
      <w:pPr>
        <w:rPr>
          <w:b/>
          <w:i/>
        </w:rPr>
      </w:pPr>
    </w:p>
    <w:p w:rsidR="008A09FE" w:rsidRDefault="00BE2BA9" w:rsidP="00F07E10">
      <w:r>
        <w:rPr>
          <w:b/>
          <w:i/>
        </w:rPr>
        <w:tab/>
      </w:r>
      <w:r w:rsidR="008551FC" w:rsidRPr="008551FC">
        <w:t xml:space="preserve">The </w:t>
      </w:r>
      <w:r w:rsidR="008551FC">
        <w:t xml:space="preserve">human right to </w:t>
      </w:r>
      <w:r w:rsidR="008551FC" w:rsidRPr="008551FC">
        <w:t xml:space="preserve">health </w:t>
      </w:r>
      <w:r w:rsidR="008551FC">
        <w:t xml:space="preserve">and health care </w:t>
      </w:r>
      <w:r w:rsidR="0071702F">
        <w:t>strongly links</w:t>
      </w:r>
      <w:r w:rsidR="008551FC" w:rsidRPr="008551FC">
        <w:t xml:space="preserve"> to the right to</w:t>
      </w:r>
      <w:r w:rsidR="0071702F">
        <w:t xml:space="preserve"> sanitation</w:t>
      </w:r>
      <w:r w:rsidR="002D28B1">
        <w:t xml:space="preserve">. </w:t>
      </w:r>
      <w:r w:rsidR="008551FC">
        <w:t xml:space="preserve">In terms of </w:t>
      </w:r>
      <w:r w:rsidR="00D1287B">
        <w:t>“</w:t>
      </w:r>
      <w:r w:rsidR="008551FC">
        <w:t>adjacency claims</w:t>
      </w:r>
      <w:r w:rsidR="00D1287B">
        <w:t>”</w:t>
      </w:r>
      <w:r w:rsidR="008551FC">
        <w:t xml:space="preserve">, sanitation </w:t>
      </w:r>
      <w:r w:rsidR="00D1287B">
        <w:t xml:space="preserve">campaigns are </w:t>
      </w:r>
      <w:r w:rsidR="008551FC">
        <w:t xml:space="preserve">predominantly framed </w:t>
      </w:r>
      <w:r w:rsidR="00D1287B">
        <w:t>around</w:t>
      </w:r>
      <w:r w:rsidR="008551FC">
        <w:t xml:space="preserve"> health</w:t>
      </w:r>
      <w:r w:rsidR="00D1287B">
        <w:t xml:space="preserve"> issues</w:t>
      </w:r>
      <w:r w:rsidR="008551FC">
        <w:t xml:space="preserve">. </w:t>
      </w:r>
      <w:r w:rsidR="00D1287B">
        <w:t xml:space="preserve">The global sanitation crisis is essentially </w:t>
      </w:r>
      <w:r w:rsidR="00B51202">
        <w:t>a health crisis</w:t>
      </w:r>
      <w:r w:rsidR="008551FC">
        <w:t xml:space="preserve">. </w:t>
      </w:r>
      <w:proofErr w:type="spellStart"/>
      <w:r w:rsidR="00DA7F09">
        <w:t>Prof.</w:t>
      </w:r>
      <w:proofErr w:type="spellEnd"/>
      <w:r w:rsidR="00DA7F09">
        <w:t xml:space="preserve"> Vivienne </w:t>
      </w:r>
      <w:proofErr w:type="spellStart"/>
      <w:r w:rsidR="00DA7F09">
        <w:t>Nathanson</w:t>
      </w:r>
      <w:proofErr w:type="spellEnd"/>
      <w:r w:rsidR="00DA7F09">
        <w:t xml:space="preserve"> of the British Medical Association notes that “these are avoidable deaths; we have known their cause and the means</w:t>
      </w:r>
      <w:r w:rsidR="00B24698">
        <w:t xml:space="preserve"> to reduce them for generations</w:t>
      </w:r>
      <w:r w:rsidR="00DA7F09">
        <w:t>”</w:t>
      </w:r>
      <w:r w:rsidR="00DA7F09">
        <w:rPr>
          <w:rStyle w:val="Funotenzeichen"/>
        </w:rPr>
        <w:footnoteReference w:id="157"/>
      </w:r>
      <w:r w:rsidR="00B24698">
        <w:t>.</w:t>
      </w:r>
      <w:r w:rsidR="00DA7F09">
        <w:t xml:space="preserve"> </w:t>
      </w:r>
      <w:proofErr w:type="spellStart"/>
      <w:r w:rsidR="00B51202">
        <w:t>WaterAid</w:t>
      </w:r>
      <w:proofErr w:type="spellEnd"/>
      <w:r w:rsidR="00B51202">
        <w:t xml:space="preserve"> </w:t>
      </w:r>
      <w:r w:rsidR="00202C62">
        <w:t>declare</w:t>
      </w:r>
      <w:r w:rsidR="00B51202">
        <w:t xml:space="preserve"> that poor sanitation kills an estimated 4,000 children each day and </w:t>
      </w:r>
      <w:r w:rsidR="00B51202">
        <w:rPr>
          <w:lang w:val="en-US"/>
        </w:rPr>
        <w:t>diarrheal diseases are responsible for an estimated 88% of all under-five deaths worldwide</w:t>
      </w:r>
      <w:r w:rsidR="00B51202">
        <w:rPr>
          <w:rStyle w:val="Funotenzeichen"/>
          <w:lang w:val="en-US"/>
        </w:rPr>
        <w:footnoteReference w:id="158"/>
      </w:r>
      <w:r w:rsidR="00B51202">
        <w:rPr>
          <w:lang w:val="en-US"/>
        </w:rPr>
        <w:t xml:space="preserve">. </w:t>
      </w:r>
      <w:r w:rsidR="00F07E10">
        <w:t xml:space="preserve">Kate </w:t>
      </w:r>
      <w:proofErr w:type="spellStart"/>
      <w:r w:rsidR="00F07E10">
        <w:t>Norgrove</w:t>
      </w:r>
      <w:proofErr w:type="spellEnd"/>
      <w:r w:rsidR="00F07E10">
        <w:t xml:space="preserve"> </w:t>
      </w:r>
      <w:r w:rsidR="008A09FE">
        <w:t xml:space="preserve">explains how child health is central to </w:t>
      </w:r>
      <w:proofErr w:type="spellStart"/>
      <w:r w:rsidR="00F07E10">
        <w:t>WaterAid</w:t>
      </w:r>
      <w:proofErr w:type="spellEnd"/>
      <w:r w:rsidR="00F07E10">
        <w:t xml:space="preserve"> UK’</w:t>
      </w:r>
      <w:r w:rsidR="008A09FE">
        <w:t>s campaigning</w:t>
      </w:r>
      <w:r w:rsidR="00B51202">
        <w:t>:</w:t>
      </w:r>
      <w:r w:rsidR="008A09FE">
        <w:t xml:space="preserve"> </w:t>
      </w:r>
    </w:p>
    <w:p w:rsidR="008A09FE" w:rsidRDefault="008A09FE" w:rsidP="00F07E10"/>
    <w:p w:rsidR="00F07E10" w:rsidRPr="008A09FE" w:rsidRDefault="00B51202" w:rsidP="008A09FE">
      <w:pPr>
        <w:ind w:left="720"/>
        <w:rPr>
          <w:i/>
        </w:rPr>
      </w:pPr>
      <w:r>
        <w:rPr>
          <w:i/>
        </w:rPr>
        <w:t>“O</w:t>
      </w:r>
      <w:r w:rsidR="008A09FE" w:rsidRPr="008A09FE">
        <w:rPr>
          <w:i/>
        </w:rPr>
        <w:t xml:space="preserve">ur messaging isn’t around water and sanitation as a sector, but around child health, </w:t>
      </w:r>
      <w:r w:rsidR="00F07E10" w:rsidRPr="008A09FE">
        <w:rPr>
          <w:i/>
        </w:rPr>
        <w:t xml:space="preserve">in which case you bring in sanitation, health care, water into one campaigning lump </w:t>
      </w:r>
      <w:r w:rsidR="008A09FE" w:rsidRPr="008A09FE">
        <w:rPr>
          <w:i/>
        </w:rPr>
        <w:t>which is easier to rally around</w:t>
      </w:r>
      <w:r>
        <w:rPr>
          <w:i/>
        </w:rPr>
        <w:t>”</w:t>
      </w:r>
      <w:r>
        <w:rPr>
          <w:rStyle w:val="Funotenzeichen"/>
          <w:i/>
        </w:rPr>
        <w:footnoteReference w:id="159"/>
      </w:r>
    </w:p>
    <w:p w:rsidR="00AD6D81" w:rsidRDefault="00AD6D81" w:rsidP="00AD6D81">
      <w:pPr>
        <w:rPr>
          <w:i/>
        </w:rPr>
      </w:pPr>
    </w:p>
    <w:p w:rsidR="00DA7F09" w:rsidRDefault="00AD6D81" w:rsidP="00DA7F09">
      <w:proofErr w:type="spellStart"/>
      <w:r>
        <w:t>WaterAid’s</w:t>
      </w:r>
      <w:proofErr w:type="spellEnd"/>
      <w:r>
        <w:t xml:space="preserve"> ‘Dig Toilets, Not Graves’ campaign </w:t>
      </w:r>
      <w:r w:rsidR="00DA7F09">
        <w:t xml:space="preserve">contains </w:t>
      </w:r>
      <w:r>
        <w:t>strong right to health messag</w:t>
      </w:r>
      <w:r w:rsidR="00DA7F09">
        <w:t>ing and t</w:t>
      </w:r>
      <w:r>
        <w:t>he phrase “hope mired in excrement”</w:t>
      </w:r>
      <w:r w:rsidR="00DA7F09">
        <w:rPr>
          <w:rStyle w:val="Funotenzeichen"/>
        </w:rPr>
        <w:footnoteReference w:id="160"/>
      </w:r>
      <w:r>
        <w:t xml:space="preserve"> </w:t>
      </w:r>
      <w:r w:rsidR="00DA7F09">
        <w:t>also plays upon</w:t>
      </w:r>
      <w:r>
        <w:t xml:space="preserve"> our innate disgust at human faeces.  </w:t>
      </w:r>
      <w:r w:rsidR="00DA7F09">
        <w:t>This campaign was launched on the back of a report entitled ‘Ignored: biggest child killer – the world is neglecting sanitation’ which states that “millions of lives are being lost because of governments and the aid community’s blind spot when it comes to sanitation</w:t>
      </w:r>
      <w:r w:rsidR="00A332FF">
        <w:t>.</w:t>
      </w:r>
      <w:r w:rsidR="00DA7F09">
        <w:t>”</w:t>
      </w:r>
      <w:r w:rsidR="00DA7F09">
        <w:rPr>
          <w:rStyle w:val="Funotenzeichen"/>
        </w:rPr>
        <w:footnoteReference w:id="161"/>
      </w:r>
      <w:r w:rsidR="00DA7F09">
        <w:t xml:space="preserve"> </w:t>
      </w:r>
      <w:proofErr w:type="spellStart"/>
      <w:r w:rsidR="00A332FF">
        <w:t>WaterAid’s</w:t>
      </w:r>
      <w:proofErr w:type="spellEnd"/>
      <w:r w:rsidR="00A332FF">
        <w:t xml:space="preserve"> key campaign messages on sanitation focus on health and the preventable loss of life.</w:t>
      </w:r>
    </w:p>
    <w:p w:rsidR="003667FA" w:rsidRDefault="003667FA" w:rsidP="00DA7F09"/>
    <w:p w:rsidR="006D1912" w:rsidRPr="00431E71" w:rsidRDefault="0024335D" w:rsidP="00431E71">
      <w:pPr>
        <w:ind w:firstLine="720"/>
      </w:pPr>
      <w:r>
        <w:t xml:space="preserve">Paul Farmer (2005) </w:t>
      </w:r>
      <w:r w:rsidR="00DA7F09">
        <w:t>argues</w:t>
      </w:r>
      <w:r>
        <w:t xml:space="preserve"> that “human rights can and should be declared universal, but the risk of having ones risks violated is not universal”</w:t>
      </w:r>
      <w:r>
        <w:rPr>
          <w:rStyle w:val="Funotenzeichen"/>
        </w:rPr>
        <w:footnoteReference w:id="162"/>
      </w:r>
      <w:r w:rsidR="00B24698">
        <w:t>.</w:t>
      </w:r>
      <w:r>
        <w:t xml:space="preserve"> </w:t>
      </w:r>
      <w:r w:rsidR="00431E71">
        <w:t xml:space="preserve">This comment emphasises the fact the some of the health risks posed by poor sanitation are </w:t>
      </w:r>
      <w:r w:rsidR="003667FA">
        <w:t>not the same</w:t>
      </w:r>
      <w:r w:rsidR="00431E71">
        <w:t xml:space="preserve"> in all parts of the world. As Kate </w:t>
      </w:r>
      <w:proofErr w:type="spellStart"/>
      <w:r w:rsidR="00431E71">
        <w:t>Norgrove</w:t>
      </w:r>
      <w:proofErr w:type="spellEnd"/>
      <w:r w:rsidR="00431E71">
        <w:t xml:space="preserve"> suggests, because “y</w:t>
      </w:r>
      <w:r w:rsidR="00431E71" w:rsidRPr="000F1610">
        <w:t>ou don’t die of diarrhoea here (in the UK)</w:t>
      </w:r>
      <w:r w:rsidR="00431E71">
        <w:t>,</w:t>
      </w:r>
      <w:r w:rsidR="00431E71" w:rsidRPr="000F1610">
        <w:t xml:space="preserve"> </w:t>
      </w:r>
      <w:r w:rsidR="003667FA" w:rsidRPr="000F1610">
        <w:t>it’s</w:t>
      </w:r>
      <w:r w:rsidR="00431E71" w:rsidRPr="000F1610">
        <w:t xml:space="preserve"> harder to understand why people would</w:t>
      </w:r>
      <w:r w:rsidR="00431E71">
        <w:t xml:space="preserve"> die of diarrhoea anywhere else</w:t>
      </w:r>
      <w:r w:rsidR="00431E71" w:rsidRPr="000F1610">
        <w:t>”</w:t>
      </w:r>
      <w:r w:rsidR="00431E71">
        <w:rPr>
          <w:rStyle w:val="Funotenzeichen"/>
        </w:rPr>
        <w:footnoteReference w:id="163"/>
      </w:r>
      <w:r w:rsidR="00B24698">
        <w:t>.</w:t>
      </w:r>
      <w:r w:rsidR="00431E71">
        <w:t xml:space="preserve"> </w:t>
      </w:r>
      <w:r w:rsidR="001E6A3D">
        <w:t xml:space="preserve">An innovative approach to addressing this disconnection can be found on the homepage for </w:t>
      </w:r>
      <w:proofErr w:type="spellStart"/>
      <w:r w:rsidR="001E6A3D">
        <w:t>WaterAid’s</w:t>
      </w:r>
      <w:proofErr w:type="spellEnd"/>
      <w:r w:rsidR="001E6A3D">
        <w:t xml:space="preserve"> ‘Dig Toilets Not Graves</w:t>
      </w:r>
      <w:r w:rsidR="006471A7">
        <w:t xml:space="preserve">’ campaign. A </w:t>
      </w:r>
      <w:r w:rsidR="001E6A3D">
        <w:t>short film featur</w:t>
      </w:r>
      <w:r w:rsidR="006471A7">
        <w:t>es</w:t>
      </w:r>
      <w:r w:rsidR="001E6A3D">
        <w:t xml:space="preserve"> British school children singing the infamous </w:t>
      </w:r>
      <w:r w:rsidR="001E6A3D" w:rsidRPr="003667FA">
        <w:rPr>
          <w:i/>
        </w:rPr>
        <w:t>‘diarrhoea, diarrhoea’</w:t>
      </w:r>
      <w:r w:rsidR="001E6A3D">
        <w:t xml:space="preserve"> rhyme</w:t>
      </w:r>
      <w:r w:rsidR="00431E71">
        <w:t>. The film then cuts</w:t>
      </w:r>
      <w:r w:rsidR="001E6A3D">
        <w:t xml:space="preserve"> to an African child who adds the line “when it’s just killed your sister and </w:t>
      </w:r>
      <w:r w:rsidR="003667FA">
        <w:t>you’re</w:t>
      </w:r>
      <w:r w:rsidR="001E6A3D">
        <w:t xml:space="preserve"> really going to miss her”</w:t>
      </w:r>
      <w:r w:rsidR="00431E71">
        <w:rPr>
          <w:rStyle w:val="Funotenzeichen"/>
        </w:rPr>
        <w:footnoteReference w:id="164"/>
      </w:r>
      <w:r w:rsidR="001E6A3D">
        <w:t xml:space="preserve"> </w:t>
      </w:r>
      <w:r w:rsidR="006471A7">
        <w:t>followed by the statistic that “every minute, diarrhoea kills three more children</w:t>
      </w:r>
      <w:r w:rsidR="003667FA">
        <w:t>.</w:t>
      </w:r>
      <w:r w:rsidR="006471A7">
        <w:t>”</w:t>
      </w:r>
      <w:r w:rsidR="00CA5AD2">
        <w:rPr>
          <w:rStyle w:val="Funotenzeichen"/>
        </w:rPr>
        <w:footnoteReference w:id="165"/>
      </w:r>
      <w:r w:rsidR="003667FA">
        <w:t xml:space="preserve"> </w:t>
      </w:r>
      <w:r w:rsidR="00CA5AD2">
        <w:t xml:space="preserve">Diarrhoea </w:t>
      </w:r>
      <w:r w:rsidR="006D1912">
        <w:t>is clea</w:t>
      </w:r>
      <w:r w:rsidR="006471A7">
        <w:t>r</w:t>
      </w:r>
      <w:r w:rsidR="00B24698">
        <w:t xml:space="preserve">ly too </w:t>
      </w:r>
      <w:r w:rsidR="006D1912">
        <w:t xml:space="preserve">important an issue to misrepresent, and crucial to understanding the interconnections of </w:t>
      </w:r>
      <w:r w:rsidR="00CA5AD2">
        <w:t xml:space="preserve">sanitation and child mortality. </w:t>
      </w:r>
    </w:p>
    <w:p w:rsidR="0006013B" w:rsidRDefault="0006013B" w:rsidP="0084504A"/>
    <w:p w:rsidR="002A42F1" w:rsidRPr="00660D80" w:rsidRDefault="002C7D31" w:rsidP="00660D80">
      <w:pPr>
        <w:ind w:firstLine="720"/>
        <w:rPr>
          <w:rStyle w:val="ecxgoogqs-tidbit1"/>
        </w:rPr>
      </w:pPr>
      <w:r>
        <w:t xml:space="preserve">One major problem with the overreliance of health frames for sanitation </w:t>
      </w:r>
      <w:r w:rsidR="00CF241D">
        <w:t>campaig</w:t>
      </w:r>
      <w:r w:rsidR="00264FC9">
        <w:t>n</w:t>
      </w:r>
      <w:r w:rsidR="00CF241D">
        <w:t xml:space="preserve">s </w:t>
      </w:r>
      <w:r>
        <w:t>is the priorities</w:t>
      </w:r>
      <w:r w:rsidR="00264FC9" w:rsidRPr="00264FC9">
        <w:t xml:space="preserve"> </w:t>
      </w:r>
      <w:r w:rsidR="00264FC9">
        <w:t>of the medical community</w:t>
      </w:r>
      <w:r w:rsidR="00264FC9">
        <w:rPr>
          <w:rStyle w:val="Funotenzeichen"/>
        </w:rPr>
        <w:footnoteReference w:id="166"/>
      </w:r>
      <w:r>
        <w:t xml:space="preserve">. </w:t>
      </w:r>
      <w:r w:rsidR="008551FC">
        <w:t>Ben Fawcett suggests that the priority of the health sector in is “</w:t>
      </w:r>
      <w:r w:rsidR="00BE2BA9" w:rsidRPr="00BE2BA9">
        <w:t>treating disease rather than preventing it</w:t>
      </w:r>
      <w:r w:rsidR="00157B16">
        <w:t>” and as a result</w:t>
      </w:r>
      <w:r w:rsidR="00BE2BA9" w:rsidRPr="00BE2BA9">
        <w:t xml:space="preserve"> </w:t>
      </w:r>
      <w:r w:rsidR="00157B16">
        <w:t>“</w:t>
      </w:r>
      <w:r w:rsidR="00BE2BA9" w:rsidRPr="00BE2BA9">
        <w:t>funds go into hospitals rather than public health campaigns</w:t>
      </w:r>
      <w:r w:rsidR="008551FC">
        <w:t>”</w:t>
      </w:r>
      <w:r w:rsidR="00157B16">
        <w:rPr>
          <w:rStyle w:val="Funotenzeichen"/>
        </w:rPr>
        <w:footnoteReference w:id="167"/>
      </w:r>
      <w:r w:rsidR="00BE2BA9" w:rsidRPr="00BE2BA9">
        <w:t>.</w:t>
      </w:r>
      <w:r w:rsidR="008551FC">
        <w:t xml:space="preserve"> </w:t>
      </w:r>
      <w:proofErr w:type="spellStart"/>
      <w:r w:rsidR="008551FC">
        <w:t>WaterAid’s</w:t>
      </w:r>
      <w:proofErr w:type="spellEnd"/>
      <w:r w:rsidR="008551FC">
        <w:t xml:space="preserve"> Henry </w:t>
      </w:r>
      <w:proofErr w:type="spellStart"/>
      <w:r w:rsidR="008551FC">
        <w:t>Northover</w:t>
      </w:r>
      <w:proofErr w:type="spellEnd"/>
      <w:r w:rsidR="008551FC">
        <w:t xml:space="preserve"> </w:t>
      </w:r>
      <w:r w:rsidR="00660D80">
        <w:t>explains that the health sector is “</w:t>
      </w:r>
      <w:r w:rsidR="00266BB5" w:rsidRPr="00660D80">
        <w:rPr>
          <w:rStyle w:val="ecxgoogqs-tidbit1"/>
        </w:rPr>
        <w:t>dominated by health systems approaches that are looking at the delivery of pharmaceutical curative treatments rather than preventative care</w:t>
      </w:r>
      <w:r w:rsidR="00660D80">
        <w:rPr>
          <w:rStyle w:val="ecxgoogqs-tidbit1"/>
        </w:rPr>
        <w:t>”</w:t>
      </w:r>
      <w:r w:rsidR="00660D80">
        <w:rPr>
          <w:rStyle w:val="Funotenzeichen"/>
        </w:rPr>
        <w:footnoteReference w:id="168"/>
      </w:r>
      <w:r w:rsidR="00660D80">
        <w:rPr>
          <w:rStyle w:val="ecxgoogqs-tidbit1"/>
        </w:rPr>
        <w:t xml:space="preserve">. </w:t>
      </w:r>
      <w:r w:rsidR="00266BB5">
        <w:rPr>
          <w:rStyle w:val="ecxgoogqs-tidbit1"/>
        </w:rPr>
        <w:t xml:space="preserve">As </w:t>
      </w:r>
      <w:proofErr w:type="spellStart"/>
      <w:r w:rsidR="00266BB5">
        <w:rPr>
          <w:rStyle w:val="ecxgoogqs-tidbit1"/>
        </w:rPr>
        <w:t>Northover</w:t>
      </w:r>
      <w:proofErr w:type="spellEnd"/>
      <w:r w:rsidR="00266BB5">
        <w:rPr>
          <w:rStyle w:val="ecxgoogqs-tidbit1"/>
        </w:rPr>
        <w:t xml:space="preserve"> notes, a Health Ministry would normally “measure their budgets and performance on</w:t>
      </w:r>
      <w:r w:rsidR="00FA0BF5">
        <w:rPr>
          <w:rStyle w:val="ecxgoogqs-tidbit1"/>
        </w:rPr>
        <w:t xml:space="preserve"> </w:t>
      </w:r>
      <w:r w:rsidR="00266BB5">
        <w:rPr>
          <w:rStyle w:val="ecxgoogqs-tidbit1"/>
        </w:rPr>
        <w:t>the delivery of outputs rather than outcomes”</w:t>
      </w:r>
      <w:r w:rsidR="00FA0BF5">
        <w:rPr>
          <w:rStyle w:val="Funotenzeichen"/>
        </w:rPr>
        <w:footnoteReference w:id="169"/>
      </w:r>
      <w:r w:rsidR="00266BB5">
        <w:rPr>
          <w:rStyle w:val="ecxgoogqs-tidbit1"/>
        </w:rPr>
        <w:t>. In terms of transparency, accountability and justifying</w:t>
      </w:r>
      <w:r w:rsidR="00D70787">
        <w:rPr>
          <w:rStyle w:val="ecxgoogqs-tidbit1"/>
        </w:rPr>
        <w:t xml:space="preserve"> expenditure, </w:t>
      </w:r>
      <w:proofErr w:type="spellStart"/>
      <w:r w:rsidR="00D70787">
        <w:rPr>
          <w:rStyle w:val="ecxgoogqs-tidbit1"/>
        </w:rPr>
        <w:t>Northover</w:t>
      </w:r>
      <w:proofErr w:type="spellEnd"/>
      <w:r w:rsidR="00D70787">
        <w:rPr>
          <w:rStyle w:val="ecxgoogqs-tidbit1"/>
        </w:rPr>
        <w:t xml:space="preserve"> notes “y</w:t>
      </w:r>
      <w:r w:rsidR="00266BB5">
        <w:rPr>
          <w:rStyle w:val="ecxgoogqs-tidbit1"/>
        </w:rPr>
        <w:t>ou can count vaccines as fairly clear on being deliver</w:t>
      </w:r>
      <w:r w:rsidR="00D70787">
        <w:rPr>
          <w:rStyle w:val="ecxgoogqs-tidbit1"/>
        </w:rPr>
        <w:t>ed</w:t>
      </w:r>
      <w:r w:rsidR="00266BB5">
        <w:rPr>
          <w:rStyle w:val="ecxgoogqs-tidbit1"/>
        </w:rPr>
        <w:t>, much less clear how you ca</w:t>
      </w:r>
      <w:r w:rsidR="00B24698">
        <w:rPr>
          <w:rStyle w:val="ecxgoogqs-tidbit1"/>
        </w:rPr>
        <w:t>n deliver success to sanitation</w:t>
      </w:r>
      <w:r w:rsidR="00266BB5">
        <w:rPr>
          <w:rStyle w:val="ecxgoogqs-tidbit1"/>
        </w:rPr>
        <w:t>”</w:t>
      </w:r>
      <w:r w:rsidR="00B24698">
        <w:rPr>
          <w:rStyle w:val="ecxgoogqs-tidbit1"/>
        </w:rPr>
        <w:t>.</w:t>
      </w:r>
      <w:r w:rsidR="00D70787">
        <w:rPr>
          <w:rStyle w:val="ecxgoogqs-tidbit1"/>
        </w:rPr>
        <w:t xml:space="preserve"> </w:t>
      </w:r>
      <w:r w:rsidR="00EA6335">
        <w:rPr>
          <w:rStyle w:val="ecxgoogqs-tidbit1"/>
        </w:rPr>
        <w:t xml:space="preserve">World Vision’s </w:t>
      </w:r>
      <w:proofErr w:type="spellStart"/>
      <w:r w:rsidR="00EA6335">
        <w:rPr>
          <w:rStyle w:val="ecxgoogqs-tidbit1"/>
        </w:rPr>
        <w:t>Thiago</w:t>
      </w:r>
      <w:proofErr w:type="spellEnd"/>
      <w:r w:rsidR="00EA6335">
        <w:rPr>
          <w:rStyle w:val="ecxgoogqs-tidbit1"/>
        </w:rPr>
        <w:t xml:space="preserve"> </w:t>
      </w:r>
      <w:proofErr w:type="spellStart"/>
      <w:r w:rsidR="00EA6335">
        <w:rPr>
          <w:rStyle w:val="ecxgoogqs-tidbit1"/>
        </w:rPr>
        <w:t>Luchesi</w:t>
      </w:r>
      <w:proofErr w:type="spellEnd"/>
      <w:r w:rsidR="00EA6335">
        <w:rPr>
          <w:rStyle w:val="ecxgoogqs-tidbit1"/>
        </w:rPr>
        <w:t xml:space="preserve"> recognises how a focus on vaccine delivery feeds into National policy-making </w:t>
      </w:r>
      <w:r w:rsidR="00EA6335" w:rsidRPr="005E4FB8">
        <w:t>“it is much easier to create a success story out of the delivery of vaccines (which are indeed very important) than building sanitation facilities”.</w:t>
      </w:r>
      <w:r w:rsidR="00EA6335">
        <w:t xml:space="preserve"> </w:t>
      </w:r>
      <w:r w:rsidR="00D70787">
        <w:rPr>
          <w:rStyle w:val="ecxgoogqs-tidbit1"/>
        </w:rPr>
        <w:t>If</w:t>
      </w:r>
      <w:r w:rsidR="00266BB5" w:rsidRPr="00266BB5">
        <w:rPr>
          <w:rStyle w:val="ecxgoogqs-tidbit1"/>
        </w:rPr>
        <w:t xml:space="preserve"> you are a health</w:t>
      </w:r>
      <w:r w:rsidR="00D70787">
        <w:rPr>
          <w:rStyle w:val="ecxgoogqs-tidbit1"/>
        </w:rPr>
        <w:t xml:space="preserve"> ministry with a limited budget and there are numerous</w:t>
      </w:r>
      <w:r w:rsidR="00266BB5" w:rsidRPr="00266BB5">
        <w:rPr>
          <w:rStyle w:val="ecxgoogqs-tidbit1"/>
        </w:rPr>
        <w:t xml:space="preserve"> </w:t>
      </w:r>
      <w:r w:rsidR="00D70787">
        <w:rPr>
          <w:rStyle w:val="ecxgoogqs-tidbit1"/>
        </w:rPr>
        <w:t>competing human rights issues</w:t>
      </w:r>
      <w:r w:rsidR="00266BB5" w:rsidRPr="00266BB5">
        <w:rPr>
          <w:rStyle w:val="ecxgoogqs-tidbit1"/>
        </w:rPr>
        <w:t xml:space="preserve"> </w:t>
      </w:r>
      <w:r w:rsidR="00D70787">
        <w:rPr>
          <w:rStyle w:val="ecxgoogqs-tidbit1"/>
        </w:rPr>
        <w:t xml:space="preserve">that are linked to health, a focus on outputs rather than outcomes will provide more measurable figures and deliverable results in the short term. </w:t>
      </w:r>
      <w:r w:rsidR="00CF241D">
        <w:rPr>
          <w:rStyle w:val="ecxgoogqs-tidbit1"/>
        </w:rPr>
        <w:br/>
      </w:r>
    </w:p>
    <w:p w:rsidR="00CF241D" w:rsidRDefault="00CF241D" w:rsidP="00CF241D">
      <w:pPr>
        <w:ind w:firstLine="720"/>
      </w:pPr>
      <w:r>
        <w:t>In his discussion of health and human rights, Paul Farmer (2005) suggests that “a health angle can promote a broader human rights agenda in unique ways”</w:t>
      </w:r>
      <w:r w:rsidR="00802B05">
        <w:rPr>
          <w:rStyle w:val="Funotenzeichen"/>
        </w:rPr>
        <w:footnoteReference w:id="170"/>
      </w:r>
      <w:r>
        <w:t>. Farmer (2005) believes that “medicine and public health form an extraordinary symbolic capital that is, so far, und</w:t>
      </w:r>
      <w:r w:rsidR="00B24698">
        <w:t>erutilised in human rights work</w:t>
      </w:r>
      <w:r>
        <w:t>”</w:t>
      </w:r>
      <w:r w:rsidR="00802B05">
        <w:rPr>
          <w:rStyle w:val="Funotenzeichen"/>
        </w:rPr>
        <w:footnoteReference w:id="171"/>
      </w:r>
      <w:r w:rsidR="00B24698">
        <w:t>.</w:t>
      </w:r>
      <w:r>
        <w:t xml:space="preserve"> However, as </w:t>
      </w:r>
      <w:r w:rsidR="00C5675A">
        <w:t>altering toilet habits requires</w:t>
      </w:r>
      <w:r>
        <w:t xml:space="preserve"> behavioural</w:t>
      </w:r>
      <w:r w:rsidR="00C5675A">
        <w:t xml:space="preserve"> change</w:t>
      </w:r>
      <w:r>
        <w:t>, there are limitations to the health frame for sanitation campaigns. On one hand, Farmer (2005) speaks of how “the esteem in which public medicine and health are held” can potentially offer a “new agenda of health and human rights”</w:t>
      </w:r>
      <w:r w:rsidR="00C5675A">
        <w:rPr>
          <w:rStyle w:val="Funotenzeichen"/>
        </w:rPr>
        <w:footnoteReference w:id="172"/>
      </w:r>
      <w:r>
        <w:t>. But on the other hand, George (2008) suggests that when it comes to people actually changing their behaviour “health messages rarely have an impact”</w:t>
      </w:r>
      <w:r>
        <w:rPr>
          <w:rStyle w:val="Funotenzeichen"/>
        </w:rPr>
        <w:footnoteReference w:id="173"/>
      </w:r>
      <w:r w:rsidR="00B24698">
        <w:t xml:space="preserve">. </w:t>
      </w:r>
      <w:r>
        <w:t>Val Curtis (2008) also criticises the “doctors, disease and diarrhoea” approach suggesting that “it never works and is not culturally relative”</w:t>
      </w:r>
      <w:r>
        <w:rPr>
          <w:rStyle w:val="Funotenzeichen"/>
        </w:rPr>
        <w:footnoteReference w:id="174"/>
      </w:r>
      <w:r w:rsidR="00B24698">
        <w:t xml:space="preserve">. </w:t>
      </w:r>
      <w:r>
        <w:t xml:space="preserve">George argues that </w:t>
      </w:r>
      <w:r w:rsidRPr="00D5151F">
        <w:t>“</w:t>
      </w:r>
      <w:r>
        <w:t>habit, even a </w:t>
      </w:r>
      <w:r w:rsidRPr="00D5151F">
        <w:t>habit that people know to be bad for their health, is difficult to break”</w:t>
      </w:r>
      <w:r>
        <w:rPr>
          <w:rStyle w:val="Funotenzeichen"/>
        </w:rPr>
        <w:footnoteReference w:id="175"/>
      </w:r>
      <w:r w:rsidR="000C113F">
        <w:t xml:space="preserve">. </w:t>
      </w:r>
      <w:r>
        <w:t xml:space="preserve">In addition, </w:t>
      </w:r>
      <w:proofErr w:type="spellStart"/>
      <w:r>
        <w:t>WaterAid</w:t>
      </w:r>
      <w:proofErr w:type="spellEnd"/>
      <w:r>
        <w:t xml:space="preserve"> state that “the drivers of investment and behaviour change are more likely to be security, privacy, dignity and convenience”</w:t>
      </w:r>
      <w:r>
        <w:rPr>
          <w:rStyle w:val="Funotenzeichen"/>
        </w:rPr>
        <w:footnoteReference w:id="176"/>
      </w:r>
      <w:r>
        <w:t>. This statement supports the view that health messages alone are also not enough to influence the pri</w:t>
      </w:r>
      <w:r w:rsidR="00C11A36">
        <w:t xml:space="preserve">orities of </w:t>
      </w:r>
      <w:r w:rsidR="00C5675A">
        <w:t>donors</w:t>
      </w:r>
      <w:r w:rsidR="00C11A36">
        <w:t xml:space="preserve">. Therefore, a single focus on health framing may also not fully engage the targets of a sanitation campaign. </w:t>
      </w:r>
    </w:p>
    <w:p w:rsidR="00EC1AA5" w:rsidRDefault="00EC1AA5" w:rsidP="00CF241D">
      <w:pPr>
        <w:ind w:firstLine="720"/>
      </w:pPr>
    </w:p>
    <w:p w:rsidR="00D34726" w:rsidRDefault="00D34726" w:rsidP="002C660B">
      <w:pPr>
        <w:spacing w:after="200"/>
        <w:rPr>
          <w:b/>
          <w:i/>
        </w:rPr>
      </w:pPr>
    </w:p>
    <w:p w:rsidR="00D34726" w:rsidRDefault="00D34726" w:rsidP="002C660B">
      <w:pPr>
        <w:spacing w:after="200"/>
        <w:rPr>
          <w:b/>
          <w:i/>
        </w:rPr>
      </w:pPr>
    </w:p>
    <w:p w:rsidR="0084504A" w:rsidRDefault="00171620" w:rsidP="002C660B">
      <w:pPr>
        <w:spacing w:after="200"/>
        <w:rPr>
          <w:b/>
          <w:i/>
        </w:rPr>
      </w:pPr>
      <w:r>
        <w:rPr>
          <w:b/>
          <w:i/>
        </w:rPr>
        <w:t>2</w:t>
      </w:r>
      <w:r w:rsidR="00AD0178">
        <w:rPr>
          <w:b/>
          <w:i/>
        </w:rPr>
        <w:t>.3</w:t>
      </w:r>
      <w:r w:rsidR="00AD0178">
        <w:rPr>
          <w:b/>
          <w:i/>
        </w:rPr>
        <w:tab/>
      </w:r>
      <w:r w:rsidR="00EC1AA5">
        <w:rPr>
          <w:b/>
          <w:i/>
        </w:rPr>
        <w:t xml:space="preserve">Sanitation, </w:t>
      </w:r>
      <w:r w:rsidR="00D56E7F">
        <w:rPr>
          <w:b/>
          <w:i/>
        </w:rPr>
        <w:t>dignity</w:t>
      </w:r>
      <w:r w:rsidR="00EC1AA5">
        <w:rPr>
          <w:b/>
          <w:i/>
        </w:rPr>
        <w:t xml:space="preserve"> and discrimination</w:t>
      </w:r>
    </w:p>
    <w:p w:rsidR="00651508" w:rsidRPr="002F3C6D" w:rsidRDefault="000031C0" w:rsidP="002F3C6D">
      <w:pPr>
        <w:pStyle w:val="Listenabsatz"/>
        <w:ind w:left="0" w:firstLine="720"/>
        <w:rPr>
          <w:color w:val="000000"/>
        </w:rPr>
      </w:pPr>
      <w:r>
        <w:t>The human right</w:t>
      </w:r>
      <w:r w:rsidR="00FF6C59">
        <w:t xml:space="preserve"> to sanitation can be seen as central to the “dignity and worth of the human person”</w:t>
      </w:r>
      <w:r w:rsidR="00FF6C59">
        <w:rPr>
          <w:rStyle w:val="Funotenzeichen"/>
        </w:rPr>
        <w:footnoteReference w:id="177"/>
      </w:r>
      <w:r w:rsidR="00FF6C59">
        <w:t xml:space="preserve">. </w:t>
      </w:r>
      <w:r w:rsidR="00A70D0A">
        <w:t xml:space="preserve">The </w:t>
      </w:r>
      <w:r w:rsidR="002F3C6D">
        <w:t xml:space="preserve">UN </w:t>
      </w:r>
      <w:r w:rsidR="00A70D0A">
        <w:t>has described</w:t>
      </w:r>
      <w:r w:rsidR="002F3C6D">
        <w:t xml:space="preserve"> the global sanitation crisis as an “affront to human dignity on a massive scale”</w:t>
      </w:r>
      <w:r w:rsidR="002F3C6D">
        <w:rPr>
          <w:rStyle w:val="Funotenzeichen"/>
        </w:rPr>
        <w:footnoteReference w:id="178"/>
      </w:r>
      <w:r w:rsidR="002F3C6D">
        <w:t xml:space="preserve">. </w:t>
      </w:r>
      <w:r w:rsidR="005654E8">
        <w:rPr>
          <w:color w:val="000000"/>
        </w:rPr>
        <w:t>Access to sanitation is</w:t>
      </w:r>
      <w:r>
        <w:rPr>
          <w:color w:val="000000"/>
        </w:rPr>
        <w:t xml:space="preserve"> an issue of discrimination due to the lack of equality to access. </w:t>
      </w:r>
      <w:r w:rsidR="00651508">
        <w:rPr>
          <w:lang w:eastAsia="en-GB"/>
        </w:rPr>
        <w:t xml:space="preserve">As </w:t>
      </w:r>
      <w:proofErr w:type="spellStart"/>
      <w:r w:rsidR="00651508">
        <w:rPr>
          <w:lang w:eastAsia="en-GB"/>
        </w:rPr>
        <w:t>Catarina</w:t>
      </w:r>
      <w:proofErr w:type="spellEnd"/>
      <w:r w:rsidR="00651508">
        <w:rPr>
          <w:lang w:eastAsia="en-GB"/>
        </w:rPr>
        <w:t xml:space="preserve"> de Albuquerque notes, a distinct human right to sanitation: </w:t>
      </w:r>
    </w:p>
    <w:p w:rsidR="00651508" w:rsidRDefault="00651508" w:rsidP="00651508">
      <w:pPr>
        <w:pStyle w:val="Listenabsatz"/>
        <w:ind w:left="0"/>
        <w:rPr>
          <w:lang w:eastAsia="en-GB"/>
        </w:rPr>
      </w:pPr>
    </w:p>
    <w:p w:rsidR="002764BC" w:rsidRDefault="00651508" w:rsidP="002F3C6D">
      <w:pPr>
        <w:pStyle w:val="Listenabsatz"/>
        <w:rPr>
          <w:i/>
          <w:lang w:eastAsia="en-GB"/>
        </w:rPr>
      </w:pPr>
      <w:r w:rsidRPr="00343348">
        <w:rPr>
          <w:i/>
          <w:lang w:eastAsia="en-GB"/>
        </w:rPr>
        <w:t xml:space="preserve">“Has the potential to make sure that people look at sanitation differently. Not merely as a box that we have to tick, but rather as a human rights issue that has much profounder implications in </w:t>
      </w:r>
      <w:proofErr w:type="spellStart"/>
      <w:r w:rsidRPr="00343348">
        <w:rPr>
          <w:i/>
          <w:lang w:eastAsia="en-GB"/>
        </w:rPr>
        <w:t>peoples</w:t>
      </w:r>
      <w:proofErr w:type="spellEnd"/>
      <w:r w:rsidRPr="00343348">
        <w:rPr>
          <w:i/>
          <w:lang w:eastAsia="en-GB"/>
        </w:rPr>
        <w:t xml:space="preserve"> lives, including in their dignity.”</w:t>
      </w:r>
      <w:r>
        <w:rPr>
          <w:rStyle w:val="Funotenzeichen"/>
          <w:i/>
          <w:lang w:eastAsia="en-GB"/>
        </w:rPr>
        <w:footnoteReference w:id="179"/>
      </w:r>
    </w:p>
    <w:p w:rsidR="002F3C6D" w:rsidRPr="002F3C6D" w:rsidRDefault="002F3C6D" w:rsidP="002F3C6D">
      <w:pPr>
        <w:pStyle w:val="Listenabsatz"/>
        <w:rPr>
          <w:i/>
          <w:lang w:eastAsia="en-GB"/>
        </w:rPr>
      </w:pPr>
    </w:p>
    <w:p w:rsidR="00680331" w:rsidRPr="002764BC" w:rsidRDefault="002764BC" w:rsidP="002F3C6D">
      <w:pPr>
        <w:pStyle w:val="Listenabsatz"/>
        <w:ind w:left="0"/>
        <w:rPr>
          <w:b/>
          <w:i/>
        </w:rPr>
      </w:pPr>
      <w:r>
        <w:t>As the Special Rapporteur argues; “there is always a coincidence, an overlap between race, economic status and lack of access to sanitation”</w:t>
      </w:r>
      <w:r>
        <w:rPr>
          <w:rStyle w:val="Funotenzeichen"/>
        </w:rPr>
        <w:footnoteReference w:id="180"/>
      </w:r>
      <w:r>
        <w:t xml:space="preserve">. </w:t>
      </w:r>
      <w:proofErr w:type="spellStart"/>
      <w:r>
        <w:t>WaterAid’s</w:t>
      </w:r>
      <w:proofErr w:type="spellEnd"/>
      <w:r>
        <w:t xml:space="preserve"> Henry </w:t>
      </w:r>
      <w:proofErr w:type="spellStart"/>
      <w:r>
        <w:t>Northover</w:t>
      </w:r>
      <w:proofErr w:type="spellEnd"/>
      <w:r>
        <w:t xml:space="preserve"> suggests that “there is one area where rights language does have some comparative advantage, and that’s at the national level</w:t>
      </w:r>
      <w:r w:rsidR="005654E8">
        <w:t xml:space="preserve"> in terms of non-discrimination</w:t>
      </w:r>
      <w:r>
        <w:t>”</w:t>
      </w:r>
      <w:r>
        <w:rPr>
          <w:rStyle w:val="Funotenzeichen"/>
        </w:rPr>
        <w:footnoteReference w:id="181"/>
      </w:r>
      <w:r w:rsidR="005654E8">
        <w:t>.</w:t>
      </w:r>
      <w:r w:rsidRPr="00310C92">
        <w:t xml:space="preserve"> </w:t>
      </w:r>
      <w:r>
        <w:t>The Special Rapporteur states that “one central aspect of realising the rights to realising water and sanitation is addressing discrimination”</w:t>
      </w:r>
      <w:r>
        <w:rPr>
          <w:rStyle w:val="Funotenzeichen"/>
        </w:rPr>
        <w:footnoteReference w:id="182"/>
      </w:r>
      <w:r w:rsidR="005654E8">
        <w:t>.</w:t>
      </w:r>
      <w:r>
        <w:t xml:space="preserve"> </w:t>
      </w:r>
      <w:r w:rsidR="00BF07C1">
        <w:t xml:space="preserve">Albuquerque’s country report from </w:t>
      </w:r>
      <w:r w:rsidR="00943942">
        <w:t xml:space="preserve">Namibia </w:t>
      </w:r>
      <w:r w:rsidR="00BF07C1">
        <w:t xml:space="preserve">emphasises this connection: </w:t>
      </w:r>
      <w:r w:rsidR="00943942" w:rsidRPr="00D07EA5">
        <w:t>“inequitable access to water and sanitation reflec</w:t>
      </w:r>
      <w:r w:rsidR="00943942">
        <w:t>ts wider inequality in Namibia”</w:t>
      </w:r>
      <w:r w:rsidR="00BF07C1">
        <w:rPr>
          <w:rStyle w:val="Funotenzeichen"/>
        </w:rPr>
        <w:footnoteReference w:id="183"/>
      </w:r>
      <w:r w:rsidR="00BF07C1">
        <w:t xml:space="preserve">. In turn, this </w:t>
      </w:r>
      <w:r w:rsidR="00943942" w:rsidRPr="00D07EA5">
        <w:t>support</w:t>
      </w:r>
      <w:r w:rsidR="00943942">
        <w:t>s</w:t>
      </w:r>
      <w:r w:rsidR="00943942" w:rsidRPr="00D07EA5">
        <w:t xml:space="preserve"> a statement in </w:t>
      </w:r>
      <w:r w:rsidR="00943942">
        <w:t>Albuquerque’s</w:t>
      </w:r>
      <w:r w:rsidR="00943942" w:rsidRPr="00D07EA5">
        <w:t xml:space="preserve"> first report to the HRC, in which </w:t>
      </w:r>
      <w:r w:rsidR="00943942">
        <w:t>she not</w:t>
      </w:r>
      <w:r w:rsidR="005654E8">
        <w:t>es a</w:t>
      </w:r>
      <w:r w:rsidR="00943942">
        <w:t xml:space="preserve"> </w:t>
      </w:r>
      <w:r w:rsidR="00943942" w:rsidRPr="00D07EA5">
        <w:t>“strong correlation between lack of access to sanitation and a low rating on the human development index”</w:t>
      </w:r>
      <w:r w:rsidR="00943942">
        <w:rPr>
          <w:rStyle w:val="Funotenzeichen"/>
        </w:rPr>
        <w:footnoteReference w:id="184"/>
      </w:r>
      <w:r w:rsidR="00943942" w:rsidRPr="00D07EA5">
        <w:t xml:space="preserve">. </w:t>
      </w:r>
      <w:r w:rsidR="00C11A36">
        <w:t>Campaigning on sanitation through a human dignity frame</w:t>
      </w:r>
      <w:r w:rsidR="00C11A36" w:rsidRPr="006461CC">
        <w:t xml:space="preserve"> </w:t>
      </w:r>
      <w:r w:rsidR="00C11A36">
        <w:t xml:space="preserve">can help </w:t>
      </w:r>
      <w:r w:rsidR="005654E8">
        <w:t>highlight</w:t>
      </w:r>
      <w:r w:rsidR="00C11A36">
        <w:t xml:space="preserve"> </w:t>
      </w:r>
      <w:r w:rsidR="00DF515E">
        <w:t>wider social issues</w:t>
      </w:r>
      <w:r w:rsidR="00C11A36">
        <w:t xml:space="preserve"> of discrimination, marginalisation and social exclusion.</w:t>
      </w:r>
    </w:p>
    <w:p w:rsidR="002764BC" w:rsidRDefault="002764BC" w:rsidP="009D264C"/>
    <w:p w:rsidR="00A73A81" w:rsidRDefault="00566376" w:rsidP="00566376">
      <w:pPr>
        <w:pStyle w:val="Listenabsatz"/>
        <w:ind w:left="0" w:firstLine="720"/>
      </w:pPr>
      <w:r>
        <w:t>H</w:t>
      </w:r>
      <w:r w:rsidR="002764BC">
        <w:t xml:space="preserve">uman dignity is often a contextual </w:t>
      </w:r>
      <w:r w:rsidR="002F3C6D">
        <w:t xml:space="preserve">campaign </w:t>
      </w:r>
      <w:r w:rsidR="002764BC">
        <w:t>theme</w:t>
      </w:r>
      <w:r>
        <w:t xml:space="preserve">, </w:t>
      </w:r>
      <w:r w:rsidR="00E47C14">
        <w:t xml:space="preserve">usually </w:t>
      </w:r>
      <w:r>
        <w:t xml:space="preserve">used </w:t>
      </w:r>
      <w:r w:rsidR="009D264C">
        <w:t xml:space="preserve">in case studies </w:t>
      </w:r>
      <w:r>
        <w:t>to illustrate individual stories, with</w:t>
      </w:r>
      <w:r w:rsidR="002F3C6D">
        <w:t xml:space="preserve"> the</w:t>
      </w:r>
      <w:r w:rsidR="00A73A81">
        <w:t xml:space="preserve"> primary </w:t>
      </w:r>
      <w:r w:rsidR="009D264C">
        <w:t xml:space="preserve">campaign </w:t>
      </w:r>
      <w:r w:rsidR="00A73A81">
        <w:t>frames being health and water. However, i</w:t>
      </w:r>
      <w:r>
        <w:t xml:space="preserve">t is also through denial of basic human dignity that human rights claims </w:t>
      </w:r>
      <w:r w:rsidR="00A73A81">
        <w:t xml:space="preserve">for sanitation </w:t>
      </w:r>
      <w:r>
        <w:t>can be best understood.</w:t>
      </w:r>
      <w:r w:rsidR="00485387">
        <w:t xml:space="preserve"> </w:t>
      </w:r>
      <w:r>
        <w:t xml:space="preserve"> A</w:t>
      </w:r>
      <w:r w:rsidR="00485387">
        <w:t>mnesty</w:t>
      </w:r>
      <w:r>
        <w:t>’s ‘Demand Dignity’ campaign seeks to raise awareness of ESC rights violations as the root causes of extreme poverty</w:t>
      </w:r>
      <w:r w:rsidR="00A73A81">
        <w:t>. In this campaign</w:t>
      </w:r>
      <w:r w:rsidR="00485387">
        <w:t>,</w:t>
      </w:r>
      <w:r w:rsidR="00A73A81">
        <w:t xml:space="preserve"> </w:t>
      </w:r>
      <w:r>
        <w:t>the dignity frame is prevalent, with a focus on “combined abuse of civil, cultural, economic, political and social rights that drives and deepens poverty”</w:t>
      </w:r>
      <w:r>
        <w:rPr>
          <w:rStyle w:val="Funotenzeichen"/>
        </w:rPr>
        <w:footnoteReference w:id="185"/>
      </w:r>
      <w:r>
        <w:t xml:space="preserve">. </w:t>
      </w:r>
      <w:r w:rsidR="002764BC">
        <w:t xml:space="preserve">One innovative approach to try and find new ways to reframe campaigns around sanitation can be found on the ‘Search for the Obvious’ website. In 2010 the Acumen Fund sponsored an open multi-media “Make Sanitation Sexy” competition. Entrants were invited to </w:t>
      </w:r>
      <w:r w:rsidR="002764BC" w:rsidRPr="00C92BDA">
        <w:t>“show the world that the lack of basic sanitation is one of the most critical issues facing the developing world today”</w:t>
      </w:r>
      <w:r w:rsidR="002764BC">
        <w:rPr>
          <w:rStyle w:val="Funotenzeichen"/>
        </w:rPr>
        <w:footnoteReference w:id="186"/>
      </w:r>
      <w:r w:rsidR="002764BC" w:rsidRPr="00C92BDA">
        <w:t>.</w:t>
      </w:r>
      <w:r w:rsidR="002764BC" w:rsidRPr="002A42F1">
        <w:rPr>
          <w:rStyle w:val="ecxgoogqs-tidbit1"/>
        </w:rPr>
        <w:t xml:space="preserve"> </w:t>
      </w:r>
      <w:r w:rsidR="002764BC">
        <w:rPr>
          <w:rStyle w:val="ecxgoogqs-tidbit1"/>
        </w:rPr>
        <w:t xml:space="preserve">Entrants were then judged in categories which included best tweet, essay, video, poster design and campaign. This simple competition revealed </w:t>
      </w:r>
      <w:r w:rsidR="00A73A81">
        <w:rPr>
          <w:rStyle w:val="ecxgoogqs-tidbit1"/>
        </w:rPr>
        <w:t>some</w:t>
      </w:r>
      <w:r w:rsidR="002764BC">
        <w:rPr>
          <w:rStyle w:val="ecxgoogqs-tidbit1"/>
        </w:rPr>
        <w:t xml:space="preserve"> illuminating ways of reframing </w:t>
      </w:r>
      <w:r w:rsidR="00A73A81">
        <w:rPr>
          <w:rStyle w:val="ecxgoogqs-tidbit1"/>
        </w:rPr>
        <w:t xml:space="preserve">campaign messages about </w:t>
      </w:r>
      <w:r w:rsidR="002764BC">
        <w:rPr>
          <w:rStyle w:val="ecxgoogqs-tidbit1"/>
        </w:rPr>
        <w:t>sanitation</w:t>
      </w:r>
      <w:r w:rsidR="00A73A81">
        <w:rPr>
          <w:rStyle w:val="ecxgoogqs-tidbit1"/>
        </w:rPr>
        <w:t>.</w:t>
      </w:r>
      <w:r w:rsidR="002764BC">
        <w:rPr>
          <w:rStyle w:val="ecxgoogqs-tidbit1"/>
        </w:rPr>
        <w:t xml:space="preserve"> </w:t>
      </w:r>
      <w:r w:rsidR="00A73A81" w:rsidRPr="00B73F49">
        <w:t>The most prominent messages focus on aspects of human dignity</w:t>
      </w:r>
      <w:r w:rsidR="00C11A36">
        <w:t xml:space="preserve"> and</w:t>
      </w:r>
      <w:r w:rsidR="00A73A81" w:rsidRPr="00B73F49">
        <w:t xml:space="preserve"> seek to make </w:t>
      </w:r>
      <w:proofErr w:type="spellStart"/>
      <w:r w:rsidR="00A73A81" w:rsidRPr="00B73F49">
        <w:t>everyday</w:t>
      </w:r>
      <w:proofErr w:type="spellEnd"/>
      <w:r w:rsidR="00A73A81" w:rsidRPr="00B73F49">
        <w:t xml:space="preserve"> human connections. The </w:t>
      </w:r>
      <w:r w:rsidR="00A73A81">
        <w:t>h</w:t>
      </w:r>
      <w:r w:rsidR="00A73A81" w:rsidRPr="00B73F49">
        <w:t xml:space="preserve">ealth </w:t>
      </w:r>
      <w:r w:rsidR="00A73A81">
        <w:t>frame</w:t>
      </w:r>
      <w:r w:rsidR="00A73A81" w:rsidRPr="00B73F49">
        <w:t xml:space="preserve"> </w:t>
      </w:r>
      <w:r w:rsidR="00A73A81">
        <w:t>is always</w:t>
      </w:r>
      <w:r w:rsidR="00A73A81" w:rsidRPr="00B73F49">
        <w:t xml:space="preserve"> present, but the dominant messages seem to put individual dignity at the forefront.</w:t>
      </w:r>
    </w:p>
    <w:p w:rsidR="00A73A81" w:rsidRDefault="00A73A81" w:rsidP="00566376">
      <w:pPr>
        <w:pStyle w:val="Listenabsatz"/>
        <w:ind w:left="0" w:firstLine="720"/>
        <w:rPr>
          <w:rStyle w:val="ecxgoogqs-tidbit1"/>
        </w:rPr>
      </w:pPr>
    </w:p>
    <w:p w:rsidR="0069142F" w:rsidRDefault="00A73A81" w:rsidP="00A73A81">
      <w:pPr>
        <w:ind w:firstLine="720"/>
        <w:rPr>
          <w:rStyle w:val="ecxgoogqs-tidbit1"/>
        </w:rPr>
      </w:pPr>
      <w:r w:rsidRPr="00B73F49">
        <w:t xml:space="preserve">Sebastian Fernandez, Michael </w:t>
      </w:r>
      <w:proofErr w:type="spellStart"/>
      <w:r w:rsidRPr="00B73F49">
        <w:t>Malz</w:t>
      </w:r>
      <w:proofErr w:type="spellEnd"/>
      <w:r w:rsidRPr="00B73F49">
        <w:t>, and P</w:t>
      </w:r>
      <w:r w:rsidR="00485387">
        <w:t>ablo Vizcaino</w:t>
      </w:r>
      <w:r w:rsidRPr="00B73F49">
        <w:t xml:space="preserve"> w</w:t>
      </w:r>
      <w:r w:rsidR="0069142F">
        <w:t>on</w:t>
      </w:r>
      <w:r w:rsidRPr="00B73F49">
        <w:t xml:space="preserve"> </w:t>
      </w:r>
      <w:r w:rsidR="0069142F">
        <w:t>‘</w:t>
      </w:r>
      <w:r w:rsidRPr="00B73F49">
        <w:t>best campaign</w:t>
      </w:r>
      <w:r w:rsidR="0069142F">
        <w:t xml:space="preserve">’ in the “Make Sanitation Sexy” competition. </w:t>
      </w:r>
      <w:r w:rsidRPr="00B73F49">
        <w:t>The</w:t>
      </w:r>
      <w:r w:rsidR="0069142F">
        <w:t>ir</w:t>
      </w:r>
      <w:r w:rsidRPr="00B73F49">
        <w:t xml:space="preserve"> </w:t>
      </w:r>
      <w:r w:rsidR="0069142F">
        <w:t>short</w:t>
      </w:r>
      <w:r w:rsidRPr="00B73F49">
        <w:t xml:space="preserve"> film</w:t>
      </w:r>
      <w:r w:rsidR="0069142F">
        <w:t xml:space="preserve"> “image no toilets”</w:t>
      </w:r>
      <w:r w:rsidR="00BA17B2">
        <w:rPr>
          <w:rStyle w:val="Funotenzeichen"/>
        </w:rPr>
        <w:footnoteReference w:id="187"/>
      </w:r>
      <w:r w:rsidR="0069142F">
        <w:t xml:space="preserve"> </w:t>
      </w:r>
      <w:r w:rsidRPr="00B73F49">
        <w:t xml:space="preserve">features a man desperate for the toilet. Every time he opens a WC door, the toilet is missing. Eventually, the man gives up, drops </w:t>
      </w:r>
      <w:r w:rsidR="0069142F">
        <w:t xml:space="preserve">his </w:t>
      </w:r>
      <w:r w:rsidRPr="00B73F49">
        <w:t>trousers and squats by a tree</w:t>
      </w:r>
      <w:r w:rsidR="0069142F">
        <w:t>. The</w:t>
      </w:r>
      <w:r w:rsidRPr="00B73F49">
        <w:t xml:space="preserve"> audience </w:t>
      </w:r>
      <w:r w:rsidR="0069142F">
        <w:t>are asked</w:t>
      </w:r>
      <w:r w:rsidR="00485387">
        <w:t>:</w:t>
      </w:r>
      <w:r w:rsidR="0069142F">
        <w:t xml:space="preserve"> </w:t>
      </w:r>
      <w:r w:rsidRPr="00B73F49">
        <w:t>“</w:t>
      </w:r>
      <w:r w:rsidR="00485387">
        <w:t>A</w:t>
      </w:r>
      <w:r w:rsidRPr="00B73F49">
        <w:t>t what point do you give up your dignity?”</w:t>
      </w:r>
      <w:r w:rsidR="0069142F">
        <w:rPr>
          <w:rStyle w:val="Funotenzeichen"/>
        </w:rPr>
        <w:footnoteReference w:id="188"/>
      </w:r>
      <w:r w:rsidR="00485387">
        <w:t xml:space="preserve"> Similarly, </w:t>
      </w:r>
      <w:r w:rsidRPr="00B73F49">
        <w:rPr>
          <w:rStyle w:val="ecxgoogqs-tidbit1"/>
        </w:rPr>
        <w:t xml:space="preserve">Kate </w:t>
      </w:r>
      <w:proofErr w:type="spellStart"/>
      <w:r w:rsidRPr="00B73F49">
        <w:rPr>
          <w:rStyle w:val="ecxgoogqs-tidbit1"/>
        </w:rPr>
        <w:t>Norgrove</w:t>
      </w:r>
      <w:proofErr w:type="spellEnd"/>
      <w:r w:rsidRPr="00B73F49">
        <w:rPr>
          <w:rStyle w:val="ecxgoogqs-tidbit1"/>
        </w:rPr>
        <w:t xml:space="preserve"> suggests that</w:t>
      </w:r>
      <w:r w:rsidR="009D264C">
        <w:rPr>
          <w:rStyle w:val="ecxgoogqs-tidbit1"/>
        </w:rPr>
        <w:t>:</w:t>
      </w:r>
    </w:p>
    <w:p w:rsidR="0069142F" w:rsidRPr="0069142F" w:rsidRDefault="0069142F" w:rsidP="0069142F">
      <w:pPr>
        <w:ind w:left="720"/>
        <w:rPr>
          <w:i/>
        </w:rPr>
      </w:pPr>
      <w:r>
        <w:rPr>
          <w:rStyle w:val="ecxgoogqs-tidbit1"/>
        </w:rPr>
        <w:br/>
      </w:r>
      <w:r w:rsidR="00A73A81" w:rsidRPr="0069142F">
        <w:rPr>
          <w:rStyle w:val="ecxgoogqs-tidbit1"/>
          <w:i/>
        </w:rPr>
        <w:t xml:space="preserve"> </w:t>
      </w:r>
      <w:r>
        <w:rPr>
          <w:i/>
        </w:rPr>
        <w:t>“W</w:t>
      </w:r>
      <w:r w:rsidR="00A73A81" w:rsidRPr="0069142F">
        <w:rPr>
          <w:i/>
        </w:rPr>
        <w:t>hereas people can understand what it would be like not to have a hospital or a school nearby, they can’t image what it would be like not to have a toilet.”</w:t>
      </w:r>
      <w:r w:rsidR="009D264C">
        <w:rPr>
          <w:rStyle w:val="Funotenzeichen"/>
          <w:i/>
        </w:rPr>
        <w:footnoteReference w:id="189"/>
      </w:r>
      <w:r w:rsidR="00A73A81" w:rsidRPr="0069142F">
        <w:rPr>
          <w:i/>
        </w:rPr>
        <w:t xml:space="preserve"> </w:t>
      </w:r>
    </w:p>
    <w:p w:rsidR="0069142F" w:rsidRDefault="0069142F" w:rsidP="00A73A81">
      <w:pPr>
        <w:ind w:firstLine="720"/>
      </w:pPr>
    </w:p>
    <w:p w:rsidR="002764BC" w:rsidRDefault="009D264C" w:rsidP="00607533">
      <w:r>
        <w:t>A similar dignity t</w:t>
      </w:r>
      <w:r w:rsidR="00A73A81" w:rsidRPr="00B73F49">
        <w:t>heme</w:t>
      </w:r>
      <w:r>
        <w:t xml:space="preserve"> </w:t>
      </w:r>
      <w:r w:rsidR="00A73A81" w:rsidRPr="00B73F49">
        <w:t xml:space="preserve">can be seen in Claire </w:t>
      </w:r>
      <w:proofErr w:type="spellStart"/>
      <w:r w:rsidR="00A73A81" w:rsidRPr="00B73F49">
        <w:t>Seringhaus</w:t>
      </w:r>
      <w:proofErr w:type="spellEnd"/>
      <w:r w:rsidR="00A73A81" w:rsidRPr="00B73F49">
        <w:t>’ runners-up entry “</w:t>
      </w:r>
      <w:hyperlink r:id="rId10" w:tgtFrame="_blank" w:history="1">
        <w:r w:rsidR="00A73A81" w:rsidRPr="00B73F49">
          <w:rPr>
            <w:rStyle w:val="Hyperlink"/>
            <w:color w:val="auto"/>
            <w:u w:val="none"/>
          </w:rPr>
          <w:t xml:space="preserve">Sanitation is </w:t>
        </w:r>
        <w:proofErr w:type="gramStart"/>
        <w:r w:rsidR="00A73A81" w:rsidRPr="00B73F49">
          <w:rPr>
            <w:rStyle w:val="Hyperlink"/>
            <w:color w:val="auto"/>
            <w:u w:val="none"/>
          </w:rPr>
          <w:t>Swell</w:t>
        </w:r>
        <w:proofErr w:type="gramEnd"/>
      </w:hyperlink>
      <w:r w:rsidR="00A73A81" w:rsidRPr="00B73F49">
        <w:t>”</w:t>
      </w:r>
      <w:r>
        <w:t>. Through a series of Dylan-</w:t>
      </w:r>
      <w:proofErr w:type="spellStart"/>
      <w:r w:rsidR="00A73A81" w:rsidRPr="00B73F49">
        <w:t>esque</w:t>
      </w:r>
      <w:proofErr w:type="spellEnd"/>
      <w:r w:rsidR="00A73A81" w:rsidRPr="00B73F49">
        <w:t xml:space="preserve"> flashcards, this film </w:t>
      </w:r>
      <w:r>
        <w:t xml:space="preserve">asks you to imagine yourself in the situation </w:t>
      </w:r>
      <w:r w:rsidR="00986FD1">
        <w:t>where</w:t>
      </w:r>
      <w:r w:rsidR="00A73A81" w:rsidRPr="00B73F49">
        <w:t xml:space="preserve"> “you are getting ready for a hot date, but you cannot take a shower, or brush </w:t>
      </w:r>
      <w:proofErr w:type="spellStart"/>
      <w:r w:rsidR="00A73A81" w:rsidRPr="00B73F49">
        <w:t>you</w:t>
      </w:r>
      <w:proofErr w:type="spellEnd"/>
      <w:r w:rsidR="00A73A81" w:rsidRPr="00B73F49">
        <w:t xml:space="preserve"> teeth and you have dysentery”</w:t>
      </w:r>
      <w:r>
        <w:rPr>
          <w:rStyle w:val="Funotenzeichen"/>
        </w:rPr>
        <w:footnoteReference w:id="190"/>
      </w:r>
      <w:r w:rsidR="00A73A81" w:rsidRPr="00B73F49">
        <w:t xml:space="preserve">. </w:t>
      </w:r>
      <w:r w:rsidR="00306A32">
        <w:t xml:space="preserve">Fawcett states that </w:t>
      </w:r>
      <w:r w:rsidR="00306A32" w:rsidRPr="00BE2BA9">
        <w:t>“we don't talk about our own sanitary needs because we can easily 'flush and forget' our waste and we wish that others would do the same”</w:t>
      </w:r>
      <w:r w:rsidR="00306A32">
        <w:rPr>
          <w:rStyle w:val="Funotenzeichen"/>
        </w:rPr>
        <w:footnoteReference w:id="191"/>
      </w:r>
      <w:r w:rsidR="00306A32" w:rsidRPr="00BE2BA9">
        <w:t>.</w:t>
      </w:r>
      <w:r w:rsidR="00306A32">
        <w:t xml:space="preserve"> </w:t>
      </w:r>
      <w:r w:rsidR="00A73A81">
        <w:t>The “Make Sanitation Sexy” entries both reframe the issue in terms of human dignity and challenge us to question and perhaps reflect on our own sanitat</w:t>
      </w:r>
      <w:r w:rsidR="002E2105">
        <w:t>ion practices in direct and humorous</w:t>
      </w:r>
      <w:r w:rsidR="00A73A81">
        <w:t xml:space="preserve"> ways. </w:t>
      </w:r>
      <w:r w:rsidR="002764BC">
        <w:t>H</w:t>
      </w:r>
      <w:r w:rsidR="002764BC" w:rsidRPr="00343348">
        <w:rPr>
          <w:lang w:eastAsia="en-GB"/>
        </w:rPr>
        <w:t xml:space="preserve">uman rights law </w:t>
      </w:r>
      <w:r w:rsidR="002764BC">
        <w:rPr>
          <w:lang w:eastAsia="en-GB"/>
        </w:rPr>
        <w:t>has the potential to</w:t>
      </w:r>
      <w:r w:rsidR="002764BC" w:rsidRPr="00343348">
        <w:rPr>
          <w:lang w:eastAsia="en-GB"/>
        </w:rPr>
        <w:t xml:space="preserve"> enshrin</w:t>
      </w:r>
      <w:r w:rsidR="002764BC">
        <w:rPr>
          <w:lang w:eastAsia="en-GB"/>
        </w:rPr>
        <w:t xml:space="preserve">e dignity in legal protection and </w:t>
      </w:r>
      <w:r w:rsidR="002764BC" w:rsidRPr="00343348">
        <w:rPr>
          <w:lang w:eastAsia="en-GB"/>
        </w:rPr>
        <w:t>offer routes of recompense.</w:t>
      </w:r>
      <w:r w:rsidR="002764BC">
        <w:rPr>
          <w:lang w:eastAsia="en-GB"/>
        </w:rPr>
        <w:t xml:space="preserve"> </w:t>
      </w:r>
      <w:r w:rsidR="00485387">
        <w:rPr>
          <w:lang w:eastAsia="en-GB"/>
        </w:rPr>
        <w:t>F</w:t>
      </w:r>
      <w:r w:rsidR="002764BC">
        <w:rPr>
          <w:lang w:eastAsia="en-GB"/>
        </w:rPr>
        <w:t>urthermore, a distinct human right to sanitation can add clarity and applicability to notions of dignity in a focused and individualistic way.</w:t>
      </w:r>
      <w:r w:rsidR="002E2105">
        <w:rPr>
          <w:lang w:eastAsia="en-GB"/>
        </w:rPr>
        <w:t xml:space="preserve"> I</w:t>
      </w:r>
      <w:r w:rsidR="00986FD1">
        <w:rPr>
          <w:lang w:eastAsia="en-GB"/>
        </w:rPr>
        <w:t xml:space="preserve">t is also these everyday connections </w:t>
      </w:r>
      <w:r w:rsidR="00E74C17">
        <w:rPr>
          <w:lang w:eastAsia="en-GB"/>
        </w:rPr>
        <w:t xml:space="preserve">to our individual sense of dignity </w:t>
      </w:r>
      <w:r w:rsidR="00986FD1">
        <w:rPr>
          <w:lang w:eastAsia="en-GB"/>
        </w:rPr>
        <w:t xml:space="preserve">that can help bring an issue to life. </w:t>
      </w:r>
    </w:p>
    <w:p w:rsidR="00A65958" w:rsidRDefault="00A65958" w:rsidP="00223379">
      <w:pPr>
        <w:spacing w:after="200" w:line="276" w:lineRule="auto"/>
        <w:rPr>
          <w:b/>
          <w:i/>
        </w:rPr>
      </w:pPr>
    </w:p>
    <w:p w:rsidR="00223379" w:rsidRDefault="00171620" w:rsidP="00223379">
      <w:pPr>
        <w:spacing w:after="200" w:line="276" w:lineRule="auto"/>
        <w:rPr>
          <w:b/>
          <w:i/>
        </w:rPr>
      </w:pPr>
      <w:r>
        <w:rPr>
          <w:b/>
          <w:i/>
        </w:rPr>
        <w:t>2</w:t>
      </w:r>
      <w:r w:rsidR="00AD0178">
        <w:rPr>
          <w:b/>
          <w:i/>
        </w:rPr>
        <w:t>.</w:t>
      </w:r>
      <w:r>
        <w:rPr>
          <w:b/>
          <w:i/>
        </w:rPr>
        <w:t>5</w:t>
      </w:r>
      <w:r w:rsidR="00AD0178">
        <w:rPr>
          <w:b/>
          <w:i/>
        </w:rPr>
        <w:tab/>
      </w:r>
      <w:r w:rsidR="00B23603">
        <w:rPr>
          <w:b/>
          <w:i/>
        </w:rPr>
        <w:t>D</w:t>
      </w:r>
      <w:r w:rsidR="00AD6D81">
        <w:rPr>
          <w:b/>
          <w:i/>
        </w:rPr>
        <w:t>evelopment</w:t>
      </w:r>
      <w:r w:rsidR="00B23603">
        <w:rPr>
          <w:b/>
          <w:i/>
        </w:rPr>
        <w:t xml:space="preserve">, </w:t>
      </w:r>
      <w:r w:rsidR="00AD6D81">
        <w:rPr>
          <w:b/>
          <w:i/>
        </w:rPr>
        <w:t>s</w:t>
      </w:r>
      <w:r w:rsidR="00223379" w:rsidRPr="00223379">
        <w:rPr>
          <w:b/>
          <w:i/>
        </w:rPr>
        <w:t>anitation and the MDGs</w:t>
      </w:r>
    </w:p>
    <w:p w:rsidR="00C4384F" w:rsidRDefault="002147C9" w:rsidP="008251BD">
      <w:pPr>
        <w:ind w:firstLine="720"/>
      </w:pPr>
      <w:r>
        <w:t>Millennium Development Goal</w:t>
      </w:r>
      <w:r w:rsidR="00975309">
        <w:t>s</w:t>
      </w:r>
      <w:r>
        <w:t xml:space="preserve"> (MDG</w:t>
      </w:r>
      <w:r w:rsidR="00975309">
        <w:t>s)</w:t>
      </w:r>
      <w:r w:rsidR="00D74035">
        <w:t xml:space="preserve"> t</w:t>
      </w:r>
      <w:r>
        <w:t>arget 7c,</w:t>
      </w:r>
      <w:r w:rsidR="00D74035">
        <w:t xml:space="preserve"> which</w:t>
      </w:r>
      <w:r>
        <w:t xml:space="preserve"> </w:t>
      </w:r>
      <w:r w:rsidRPr="00EE6861">
        <w:t>seeks to “</w:t>
      </w:r>
      <w:r w:rsidRPr="00EE6861">
        <w:rPr>
          <w:lang w:eastAsia="en-GB"/>
        </w:rPr>
        <w:t>to halve by 2015, the proportion of people without sustainable access to safe drinking water and basic sanitation”</w:t>
      </w:r>
      <w:r>
        <w:rPr>
          <w:rStyle w:val="Funotenzeichen"/>
          <w:lang w:eastAsia="en-GB"/>
        </w:rPr>
        <w:footnoteReference w:id="192"/>
      </w:r>
      <w:r w:rsidRPr="00EE6861">
        <w:rPr>
          <w:lang w:eastAsia="en-GB"/>
        </w:rPr>
        <w:t xml:space="preserve">. </w:t>
      </w:r>
      <w:r w:rsidR="00607533" w:rsidRPr="00223379">
        <w:t xml:space="preserve">The MDG </w:t>
      </w:r>
      <w:r w:rsidR="00607533">
        <w:t>sanitation target has been criticised for having “failed to mobilise the requisite political will among international or national level actors”</w:t>
      </w:r>
      <w:r w:rsidR="00607533">
        <w:rPr>
          <w:rStyle w:val="Funotenzeichen"/>
        </w:rPr>
        <w:footnoteReference w:id="193"/>
      </w:r>
      <w:r w:rsidR="00A27B25">
        <w:t xml:space="preserve"> and </w:t>
      </w:r>
      <w:r w:rsidR="00D329CC">
        <w:t>UN Water state that “without sanitation, disease control and poverty eradication are impossible”</w:t>
      </w:r>
      <w:r w:rsidR="00D329CC">
        <w:rPr>
          <w:rStyle w:val="Funotenzeichen"/>
        </w:rPr>
        <w:footnoteReference w:id="194"/>
      </w:r>
      <w:r w:rsidR="00A27B25">
        <w:t xml:space="preserve">. </w:t>
      </w:r>
      <w:r>
        <w:t>E</w:t>
      </w:r>
      <w:r w:rsidR="00607533">
        <w:t>WP</w:t>
      </w:r>
      <w:r>
        <w:t xml:space="preserve">’s Fleur Anderson </w:t>
      </w:r>
      <w:r w:rsidR="006D378C">
        <w:t>admits to being</w:t>
      </w:r>
      <w:r>
        <w:t xml:space="preserve"> </w:t>
      </w:r>
      <w:r w:rsidRPr="000F1610">
        <w:t>“a bit sceptica</w:t>
      </w:r>
      <w:r w:rsidR="00607533">
        <w:t>l on campaigning on rights” and proposes that</w:t>
      </w:r>
      <w:r>
        <w:t xml:space="preserve"> </w:t>
      </w:r>
      <w:r w:rsidR="00607533">
        <w:t>“t</w:t>
      </w:r>
      <w:r w:rsidRPr="000F1610">
        <w:t>he MDGs have been a much better platform for campaigning, in the way governments can actually respond to”</w:t>
      </w:r>
      <w:r w:rsidR="00607533">
        <w:rPr>
          <w:rStyle w:val="Funotenzeichen"/>
        </w:rPr>
        <w:footnoteReference w:id="195"/>
      </w:r>
      <w:r>
        <w:t xml:space="preserve">. </w:t>
      </w:r>
      <w:r w:rsidR="00607533">
        <w:t xml:space="preserve">However, </w:t>
      </w:r>
      <w:r w:rsidR="00ED3646">
        <w:t xml:space="preserve">Nelson and Dobson (2008) </w:t>
      </w:r>
      <w:r w:rsidR="00607533">
        <w:t xml:space="preserve">argue </w:t>
      </w:r>
      <w:r w:rsidR="00ED3646">
        <w:t xml:space="preserve">that </w:t>
      </w:r>
      <w:r w:rsidR="00607533">
        <w:t xml:space="preserve">though </w:t>
      </w:r>
      <w:r w:rsidR="00A27B25">
        <w:t xml:space="preserve">they </w:t>
      </w:r>
      <w:r w:rsidR="00ED3646">
        <w:t xml:space="preserve">offer “attainable levels of progress” </w:t>
      </w:r>
      <w:r w:rsidR="000B1CA2">
        <w:t>the MDGs</w:t>
      </w:r>
      <w:r w:rsidR="00ED3646">
        <w:t xml:space="preserve"> “can be accomplished without even attempting to address the thorny social and political causes of inequality and deprivation”</w:t>
      </w:r>
      <w:r w:rsidR="00ED3646">
        <w:rPr>
          <w:rStyle w:val="Funotenzeichen"/>
        </w:rPr>
        <w:footnoteReference w:id="196"/>
      </w:r>
      <w:r w:rsidR="00ED3646">
        <w:t>. From this perspective</w:t>
      </w:r>
      <w:r w:rsidR="006B5DA2">
        <w:t>, it</w:t>
      </w:r>
      <w:r>
        <w:t xml:space="preserve"> is easy to understand a States</w:t>
      </w:r>
      <w:r w:rsidR="000B1CA2">
        <w:t>’</w:t>
      </w:r>
      <w:r>
        <w:t xml:space="preserve"> preference for </w:t>
      </w:r>
      <w:r w:rsidR="00AA750D">
        <w:t>MDG</w:t>
      </w:r>
      <w:r w:rsidR="00607533">
        <w:t xml:space="preserve"> targets</w:t>
      </w:r>
      <w:r w:rsidR="00AA750D">
        <w:t xml:space="preserve"> over treaty obligations</w:t>
      </w:r>
      <w:r w:rsidR="00A27B25">
        <w:t xml:space="preserve">. Essentially, the </w:t>
      </w:r>
      <w:r w:rsidR="00AA750D">
        <w:t>MDGs permit States</w:t>
      </w:r>
      <w:r>
        <w:t xml:space="preserve"> </w:t>
      </w:r>
      <w:r w:rsidR="00AA750D">
        <w:t>to “frame objectives in terms of non-binding, essentially voluntary goals”</w:t>
      </w:r>
      <w:r w:rsidR="00AA750D">
        <w:rPr>
          <w:rStyle w:val="Funotenzeichen"/>
        </w:rPr>
        <w:footnoteReference w:id="197"/>
      </w:r>
      <w:r w:rsidR="00AA750D">
        <w:t xml:space="preserve">. </w:t>
      </w:r>
      <w:r w:rsidR="00A27B25">
        <w:t>Though from</w:t>
      </w:r>
      <w:r w:rsidR="000756EB">
        <w:t xml:space="preserve"> a human rights perspective, the</w:t>
      </w:r>
      <w:r w:rsidR="001F7324">
        <w:t xml:space="preserve"> MDGs </w:t>
      </w:r>
      <w:r w:rsidR="00975309">
        <w:t xml:space="preserve">have </w:t>
      </w:r>
      <w:r w:rsidR="000756EB">
        <w:t>also helped</w:t>
      </w:r>
      <w:r w:rsidR="00975309">
        <w:t xml:space="preserve"> highlight</w:t>
      </w:r>
      <w:r w:rsidR="001F7324">
        <w:t xml:space="preserve"> cross-cutting themes </w:t>
      </w:r>
      <w:r w:rsidR="000756EB">
        <w:t xml:space="preserve">that link </w:t>
      </w:r>
      <w:r w:rsidR="001F7324">
        <w:t xml:space="preserve">sanitation </w:t>
      </w:r>
      <w:r w:rsidR="000756EB">
        <w:t>with</w:t>
      </w:r>
      <w:r w:rsidR="001F7324">
        <w:t xml:space="preserve"> other human rights</w:t>
      </w:r>
      <w:r w:rsidR="000756EB">
        <w:rPr>
          <w:rStyle w:val="Funotenzeichen"/>
        </w:rPr>
        <w:footnoteReference w:id="198"/>
      </w:r>
      <w:r w:rsidR="00CA12FE">
        <w:t xml:space="preserve">. </w:t>
      </w:r>
      <w:r w:rsidR="000756EB">
        <w:t>These links</w:t>
      </w:r>
      <w:r w:rsidR="00A27B25">
        <w:t xml:space="preserve"> help</w:t>
      </w:r>
      <w:r w:rsidR="000756EB">
        <w:t xml:space="preserve"> strengthen </w:t>
      </w:r>
      <w:r w:rsidR="00CA12FE">
        <w:t>“</w:t>
      </w:r>
      <w:r w:rsidR="000756EB">
        <w:t>a</w:t>
      </w:r>
      <w:r w:rsidR="00CA12FE">
        <w:t xml:space="preserve">djacency claims” </w:t>
      </w:r>
      <w:r w:rsidR="000756EB">
        <w:t>that cement</w:t>
      </w:r>
      <w:r w:rsidR="00CA12FE">
        <w:t xml:space="preserve"> </w:t>
      </w:r>
      <w:r w:rsidR="000756EB">
        <w:t>“t</w:t>
      </w:r>
      <w:r w:rsidR="00CA12FE" w:rsidRPr="00E53CED">
        <w:t>he relationship of new normative claims to existing norms</w:t>
      </w:r>
      <w:r w:rsidR="00CA12FE">
        <w:t>”</w:t>
      </w:r>
      <w:r w:rsidR="00CA12FE">
        <w:rPr>
          <w:rStyle w:val="Funotenzeichen"/>
        </w:rPr>
        <w:footnoteReference w:id="199"/>
      </w:r>
      <w:r w:rsidR="00CA12FE">
        <w:t xml:space="preserve"> </w:t>
      </w:r>
      <w:r w:rsidR="00C4384F">
        <w:t xml:space="preserve">. </w:t>
      </w:r>
      <w:r w:rsidR="00D01C73">
        <w:t xml:space="preserve">Human rights law, over the non-binding commitment of the MDGs, </w:t>
      </w:r>
      <w:r w:rsidR="00A16F76">
        <w:t xml:space="preserve">can </w:t>
      </w:r>
      <w:r w:rsidR="00D01C73">
        <w:t xml:space="preserve">help set the parameters of the debate and clarify State obligations. </w:t>
      </w:r>
    </w:p>
    <w:p w:rsidR="00C4384F" w:rsidRDefault="00C4384F" w:rsidP="00AF21CA">
      <w:pPr>
        <w:autoSpaceDE w:val="0"/>
        <w:autoSpaceDN w:val="0"/>
        <w:adjustRightInd w:val="0"/>
        <w:snapToGrid w:val="0"/>
        <w:ind w:firstLine="720"/>
      </w:pPr>
    </w:p>
    <w:p w:rsidR="00C50C73" w:rsidRDefault="00C4384F" w:rsidP="0070074D">
      <w:pPr>
        <w:ind w:firstLine="720"/>
      </w:pPr>
      <w:r>
        <w:t xml:space="preserve">The MDGs have proved a particularly useful campaign tool when linking sanitation to economic development. </w:t>
      </w:r>
      <w:proofErr w:type="spellStart"/>
      <w:r w:rsidR="00D329CC">
        <w:t>WaterAid</w:t>
      </w:r>
      <w:proofErr w:type="spellEnd"/>
      <w:r w:rsidR="00D329CC">
        <w:t xml:space="preserve"> suggest that international neglect of the sanitation sector is “acting as a brake on development efforts and constraining progress across all the MDGS”</w:t>
      </w:r>
      <w:r w:rsidR="00D329CC">
        <w:rPr>
          <w:rStyle w:val="Funotenzeichen"/>
        </w:rPr>
        <w:footnoteReference w:id="200"/>
      </w:r>
      <w:r w:rsidR="00D329CC">
        <w:t xml:space="preserve">. </w:t>
      </w:r>
      <w:r w:rsidR="00A65958" w:rsidRPr="00EE6861">
        <w:rPr>
          <w:lang w:eastAsia="en-GB"/>
        </w:rPr>
        <w:t xml:space="preserve">Though </w:t>
      </w:r>
      <w:r w:rsidR="00A65958">
        <w:rPr>
          <w:lang w:eastAsia="en-GB"/>
        </w:rPr>
        <w:t xml:space="preserve">it is recognised that </w:t>
      </w:r>
      <w:r w:rsidR="00A65958" w:rsidRPr="00EE6861">
        <w:rPr>
          <w:color w:val="000000"/>
        </w:rPr>
        <w:t>“</w:t>
      </w:r>
      <w:r w:rsidR="00A65958" w:rsidRPr="00EE6861">
        <w:t>the world is on track to meet the drinking water target”</w:t>
      </w:r>
      <w:r w:rsidR="00A65958" w:rsidRPr="00EE6861">
        <w:rPr>
          <w:rStyle w:val="Funotenzeichen"/>
        </w:rPr>
        <w:t xml:space="preserve"> </w:t>
      </w:r>
      <w:r w:rsidR="00A65958" w:rsidRPr="00EE6861">
        <w:rPr>
          <w:rStyle w:val="Funotenzeichen"/>
          <w:lang w:eastAsia="en-GB"/>
        </w:rPr>
        <w:footnoteReference w:id="201"/>
      </w:r>
      <w:r w:rsidR="00A65958" w:rsidRPr="00EE6861">
        <w:rPr>
          <w:lang w:val="en-US"/>
        </w:rPr>
        <w:t xml:space="preserve">, </w:t>
      </w:r>
      <w:r w:rsidR="00A65958">
        <w:t>UNIC</w:t>
      </w:r>
      <w:r w:rsidR="00A65958" w:rsidRPr="00EE6861">
        <w:t xml:space="preserve">EF </w:t>
      </w:r>
      <w:r w:rsidR="00A65958">
        <w:t>estimate that</w:t>
      </w:r>
      <w:r w:rsidR="00A65958" w:rsidRPr="00EE6861">
        <w:t xml:space="preserve"> “</w:t>
      </w:r>
      <w:r w:rsidR="00A65958" w:rsidRPr="00EE6861">
        <w:rPr>
          <w:color w:val="000000"/>
        </w:rPr>
        <w:t>the target on sanitation will be mis</w:t>
      </w:r>
      <w:r w:rsidR="00A65958">
        <w:rPr>
          <w:color w:val="000000"/>
        </w:rPr>
        <w:t>sed by over 700 million people”</w:t>
      </w:r>
      <w:r w:rsidR="00A65958">
        <w:rPr>
          <w:rStyle w:val="Funotenzeichen"/>
          <w:color w:val="000000"/>
        </w:rPr>
        <w:footnoteReference w:id="202"/>
      </w:r>
      <w:r w:rsidR="00A65958">
        <w:rPr>
          <w:color w:val="000000"/>
        </w:rPr>
        <w:t>.</w:t>
      </w:r>
      <w:r w:rsidR="00A65958" w:rsidRPr="008C3538">
        <w:rPr>
          <w:lang w:eastAsia="en-GB"/>
        </w:rPr>
        <w:t xml:space="preserve"> </w:t>
      </w:r>
      <w:r w:rsidR="00D329CC">
        <w:t>EWP state that “i</w:t>
      </w:r>
      <w:r>
        <w:t>n Africa, an estimated 5% of GDP is lost to illnesses and deaths caused by dirty drinking water and the absence of sanitation”</w:t>
      </w:r>
      <w:r>
        <w:rPr>
          <w:rStyle w:val="Funotenzeichen"/>
        </w:rPr>
        <w:footnoteReference w:id="203"/>
      </w:r>
      <w:r>
        <w:t xml:space="preserve">. </w:t>
      </w:r>
      <w:r w:rsidR="00D329CC">
        <w:t>In addition, t</w:t>
      </w:r>
      <w:r w:rsidR="00AD6D81">
        <w:t>he UNDP estimate that “at any one time, half the hospital beds in developing countries are filled with people suffering from diarrhoea</w:t>
      </w:r>
      <w:r w:rsidR="00FF7DE6">
        <w:t>”</w:t>
      </w:r>
      <w:r w:rsidR="00AD6D81">
        <w:rPr>
          <w:rStyle w:val="Funotenzeichen"/>
        </w:rPr>
        <w:footnoteReference w:id="204"/>
      </w:r>
      <w:r w:rsidR="00AD6D81">
        <w:t xml:space="preserve">. </w:t>
      </w:r>
      <w:r w:rsidR="00AA750D">
        <w:t xml:space="preserve"> </w:t>
      </w:r>
      <w:r w:rsidR="00993F64">
        <w:rPr>
          <w:lang w:eastAsia="en-GB"/>
        </w:rPr>
        <w:t>In June 2011,</w:t>
      </w:r>
      <w:r w:rsidR="000E2C64">
        <w:rPr>
          <w:lang w:eastAsia="en-GB"/>
        </w:rPr>
        <w:t xml:space="preserve"> Ban-Ki Moon launched the UN’s ‘</w:t>
      </w:r>
      <w:r w:rsidR="00993F64">
        <w:rPr>
          <w:lang w:eastAsia="en-GB"/>
        </w:rPr>
        <w:t>Sustainable Sani</w:t>
      </w:r>
      <w:r w:rsidR="000E2C64">
        <w:rPr>
          <w:lang w:eastAsia="en-GB"/>
        </w:rPr>
        <w:t>tation: five year drive to 2015’</w:t>
      </w:r>
      <w:r w:rsidR="00993F64">
        <w:rPr>
          <w:lang w:eastAsia="en-GB"/>
        </w:rPr>
        <w:t xml:space="preserve">. </w:t>
      </w:r>
      <w:r w:rsidR="008251BD">
        <w:rPr>
          <w:lang w:eastAsia="en-GB"/>
        </w:rPr>
        <w:t>This</w:t>
      </w:r>
      <w:r w:rsidR="00993F64">
        <w:t xml:space="preserve"> new campaign </w:t>
      </w:r>
      <w:r w:rsidR="00993F64">
        <w:rPr>
          <w:lang w:eastAsia="en-GB"/>
        </w:rPr>
        <w:t xml:space="preserve">called upon </w:t>
      </w:r>
      <w:r w:rsidR="008251BD">
        <w:rPr>
          <w:lang w:eastAsia="en-GB"/>
        </w:rPr>
        <w:t xml:space="preserve">UN </w:t>
      </w:r>
      <w:r w:rsidR="00993F64">
        <w:rPr>
          <w:lang w:eastAsia="en-GB"/>
        </w:rPr>
        <w:t>member States to “redouble efforts to close the sanitation gap”</w:t>
      </w:r>
      <w:r w:rsidR="00993F64">
        <w:rPr>
          <w:rStyle w:val="Funotenzeichen"/>
          <w:lang w:eastAsia="en-GB"/>
        </w:rPr>
        <w:footnoteReference w:id="205"/>
      </w:r>
      <w:r w:rsidR="00A205AB">
        <w:rPr>
          <w:lang w:eastAsia="en-GB"/>
        </w:rPr>
        <w:t xml:space="preserve">. </w:t>
      </w:r>
      <w:r w:rsidR="00993F64">
        <w:t>The WSSCC have helped develop campaign messages for the UN Five Year Drive. Marlin notes “we’ve picked up the human rights language in our messaging for the drive to 2015”</w:t>
      </w:r>
      <w:r w:rsidR="008251BD">
        <w:t xml:space="preserve"> </w:t>
      </w:r>
      <w:r w:rsidR="00993F64">
        <w:t>which runs with the central human right to sanitation message “Making the Right a Reality”.</w:t>
      </w:r>
      <w:r w:rsidR="00993F64">
        <w:rPr>
          <w:rStyle w:val="Funotenzeichen"/>
        </w:rPr>
        <w:footnoteReference w:id="206"/>
      </w:r>
      <w:r w:rsidR="00993F64">
        <w:t xml:space="preserve"> </w:t>
      </w:r>
    </w:p>
    <w:p w:rsidR="00C66E2E" w:rsidRDefault="00C66E2E" w:rsidP="0070074D">
      <w:pPr>
        <w:ind w:firstLine="720"/>
      </w:pPr>
    </w:p>
    <w:p w:rsidR="00F7002B" w:rsidRPr="002372CB" w:rsidRDefault="00FF7DE6" w:rsidP="00F7002B">
      <w:pPr>
        <w:numPr>
          <w:ilvl w:val="0"/>
          <w:numId w:val="9"/>
        </w:numPr>
        <w:suppressAutoHyphens/>
        <w:ind w:left="0" w:firstLine="709"/>
      </w:pPr>
      <w:r>
        <w:t>The Gate</w:t>
      </w:r>
      <w:r w:rsidR="00C66E2E" w:rsidRPr="00C86EBB">
        <w:t>s Foundation recently launched their ‘Reinventing the Toilet’ campaign</w:t>
      </w:r>
      <w:r w:rsidR="00C55C9F" w:rsidRPr="00C86EBB">
        <w:t>, which displays some interesting innovations in the way the sanitation crisis is presented in the development frame</w:t>
      </w:r>
      <w:r w:rsidR="00C66E2E" w:rsidRPr="00C86EBB">
        <w:t>. The goal is to “encourage new ideas and new approaches to accelerate safe and affordable access to sanitation for everyone”</w:t>
      </w:r>
      <w:r w:rsidR="00C66E2E" w:rsidRPr="00C86EBB">
        <w:rPr>
          <w:rStyle w:val="Funotenzeichen"/>
        </w:rPr>
        <w:footnoteReference w:id="207"/>
      </w:r>
      <w:r w:rsidR="00C66E2E" w:rsidRPr="00C86EBB">
        <w:t xml:space="preserve">. </w:t>
      </w:r>
      <w:r w:rsidR="007C129F" w:rsidRPr="00C86EBB">
        <w:t>A research fund attached to this campaign has bee</w:t>
      </w:r>
      <w:r>
        <w:t xml:space="preserve">n awarded to eight universities, </w:t>
      </w:r>
      <w:r w:rsidR="007C129F" w:rsidRPr="00C86EBB">
        <w:t>who successfully submitted proposals for a “waterless, hygienic toilet that is safe and affordable for people in the developing world”</w:t>
      </w:r>
      <w:r w:rsidR="007C129F" w:rsidRPr="00C86EBB">
        <w:rPr>
          <w:rStyle w:val="Funotenzeichen"/>
        </w:rPr>
        <w:footnoteReference w:id="208"/>
      </w:r>
      <w:r w:rsidR="007C129F" w:rsidRPr="00C86EBB">
        <w:t xml:space="preserve">. </w:t>
      </w:r>
      <w:r w:rsidR="00C55C9F" w:rsidRPr="00C86EBB">
        <w:t xml:space="preserve">The Gates Foundation’s call to action </w:t>
      </w:r>
      <w:r>
        <w:t>frames</w:t>
      </w:r>
      <w:r w:rsidR="00C55C9F" w:rsidRPr="00C86EBB">
        <w:t xml:space="preserve"> development in terms of creative innovation. However</w:t>
      </w:r>
      <w:r w:rsidR="007C129F" w:rsidRPr="00C86EBB">
        <w:t xml:space="preserve">, </w:t>
      </w:r>
      <w:r w:rsidR="00C55C9F" w:rsidRPr="00C86EBB">
        <w:t xml:space="preserve">it can be argued that enough </w:t>
      </w:r>
      <w:r w:rsidR="007C129F" w:rsidRPr="00C86EBB">
        <w:t xml:space="preserve">low-cost </w:t>
      </w:r>
      <w:r>
        <w:t>toilet models</w:t>
      </w:r>
      <w:r w:rsidR="003E3EEE" w:rsidRPr="00C86EBB">
        <w:t xml:space="preserve"> </w:t>
      </w:r>
      <w:r w:rsidR="007C129F" w:rsidRPr="00C86EBB">
        <w:t xml:space="preserve">already exist </w:t>
      </w:r>
      <w:r w:rsidR="00C86EBB">
        <w:t>without the</w:t>
      </w:r>
      <w:r w:rsidR="00C66E2E" w:rsidRPr="00C86EBB">
        <w:t xml:space="preserve"> need for further technologi</w:t>
      </w:r>
      <w:r>
        <w:t>cal</w:t>
      </w:r>
      <w:r w:rsidR="00C66E2E" w:rsidRPr="00C86EBB">
        <w:t xml:space="preserve"> solutions</w:t>
      </w:r>
      <w:r w:rsidR="007C129F" w:rsidRPr="00C86EBB">
        <w:t xml:space="preserve">. Ben Fawcett has written on the huge range of low-cost </w:t>
      </w:r>
      <w:r w:rsidR="00C55C9F" w:rsidRPr="00C86EBB">
        <w:t>o</w:t>
      </w:r>
      <w:r>
        <w:t xml:space="preserve">f sanitary solutions available in a chapter entitled </w:t>
      </w:r>
      <w:r w:rsidR="007C129F" w:rsidRPr="00C86EBB">
        <w:t>‘The Expanding Technological Menu’</w:t>
      </w:r>
      <w:r w:rsidR="006F4DA2" w:rsidRPr="00C86EBB">
        <w:rPr>
          <w:rStyle w:val="Funotenzeichen"/>
        </w:rPr>
        <w:footnoteReference w:id="209"/>
      </w:r>
      <w:r w:rsidR="007C129F" w:rsidRPr="00C86EBB">
        <w:t xml:space="preserve"> and believes that </w:t>
      </w:r>
      <w:r w:rsidR="00C86EBB">
        <w:t xml:space="preserve">technical </w:t>
      </w:r>
      <w:r w:rsidR="007C129F" w:rsidRPr="00C86EBB">
        <w:t>reinventi</w:t>
      </w:r>
      <w:r w:rsidR="00C86EBB">
        <w:t xml:space="preserve">on </w:t>
      </w:r>
      <w:r w:rsidR="007C129F" w:rsidRPr="00C86EBB">
        <w:t>is “not the solution”</w:t>
      </w:r>
      <w:r w:rsidR="00C86EBB">
        <w:rPr>
          <w:rStyle w:val="Funotenzeichen"/>
        </w:rPr>
        <w:footnoteReference w:id="210"/>
      </w:r>
      <w:r w:rsidR="00C55C9F" w:rsidRPr="00C86EBB">
        <w:t xml:space="preserve">. </w:t>
      </w:r>
      <w:r w:rsidR="007C129F" w:rsidRPr="00C86EBB">
        <w:t xml:space="preserve">However, this </w:t>
      </w:r>
      <w:r w:rsidR="00C66E2E" w:rsidRPr="00C86EBB">
        <w:t xml:space="preserve">well-funded </w:t>
      </w:r>
      <w:r w:rsidR="003E3EEE" w:rsidRPr="00C86EBB">
        <w:t>international</w:t>
      </w:r>
      <w:r w:rsidR="00C66E2E" w:rsidRPr="00C86EBB">
        <w:t xml:space="preserve"> campaign </w:t>
      </w:r>
      <w:r>
        <w:t xml:space="preserve">from Gates </w:t>
      </w:r>
      <w:r w:rsidR="003E3EEE" w:rsidRPr="00C86EBB">
        <w:t>also</w:t>
      </w:r>
      <w:r w:rsidR="00C66E2E" w:rsidRPr="00C86EBB">
        <w:t xml:space="preserve"> encourag</w:t>
      </w:r>
      <w:r w:rsidR="00C55C9F" w:rsidRPr="00C86EBB">
        <w:t>es</w:t>
      </w:r>
      <w:r w:rsidR="00C66E2E" w:rsidRPr="00C86EBB">
        <w:t xml:space="preserve"> </w:t>
      </w:r>
      <w:r w:rsidR="007C129F" w:rsidRPr="00C86EBB">
        <w:t>“</w:t>
      </w:r>
      <w:r w:rsidR="00C66E2E" w:rsidRPr="00C86EBB">
        <w:t xml:space="preserve">creative new approaches to </w:t>
      </w:r>
      <w:r w:rsidR="00C66E2E" w:rsidRPr="00C86EBB">
        <w:rPr>
          <w:rStyle w:val="Fett"/>
          <w:b w:val="0"/>
        </w:rPr>
        <w:t>policy and advocacy</w:t>
      </w:r>
      <w:r w:rsidR="00C66E2E" w:rsidRPr="00C86EBB">
        <w:t xml:space="preserve"> that take an unapologetically direct approach to poop and the huge pile of problems that it creates</w:t>
      </w:r>
      <w:r w:rsidR="007C129F" w:rsidRPr="00C86EBB">
        <w:t>”</w:t>
      </w:r>
      <w:r w:rsidR="007C129F" w:rsidRPr="00C86EBB">
        <w:rPr>
          <w:rStyle w:val="Funotenzeichen"/>
        </w:rPr>
        <w:footnoteReference w:id="211"/>
      </w:r>
      <w:r>
        <w:t>.</w:t>
      </w:r>
      <w:r w:rsidR="003E3EEE" w:rsidRPr="00C86EBB">
        <w:t xml:space="preserve"> Importantly, ‘Reinventing the Toilet’ </w:t>
      </w:r>
      <w:r>
        <w:t>challenges</w:t>
      </w:r>
      <w:r w:rsidR="003E3EEE" w:rsidRPr="00C86EBB">
        <w:t xml:space="preserve"> us to reassess how we think about toilets. Another interesting development is the WSSCC’s and WHO’s</w:t>
      </w:r>
      <w:r w:rsidR="003E3EEE">
        <w:t xml:space="preserve"> joint Global Sanitation Fund. The fund attempts to fill a gap in traditional donor funding mechanisms</w:t>
      </w:r>
      <w:r w:rsidR="00F7002B">
        <w:t xml:space="preserve"> and</w:t>
      </w:r>
      <w:r w:rsidR="003E3EEE">
        <w:t xml:space="preserve"> “boost expenditure on sanitation and hygiene in accordance with national sanitation and hygiene policies”</w:t>
      </w:r>
      <w:r w:rsidR="00746F66">
        <w:rPr>
          <w:rStyle w:val="Funotenzeichen"/>
        </w:rPr>
        <w:footnoteReference w:id="212"/>
      </w:r>
      <w:r w:rsidR="00F7002B">
        <w:t>. The Special Rapporteur notes the role of the fund as “</w:t>
      </w:r>
      <w:r w:rsidR="00F7002B" w:rsidRPr="002372CB">
        <w:t>instrumental in Madagascar, Senegal and Nepal in developing good collaborative practice between government and civil society</w:t>
      </w:r>
      <w:r w:rsidR="00F7002B">
        <w:t>”</w:t>
      </w:r>
      <w:r w:rsidR="00F7002B">
        <w:rPr>
          <w:rStyle w:val="Funotenzeichen"/>
        </w:rPr>
        <w:footnoteReference w:id="213"/>
      </w:r>
      <w:r w:rsidR="00F7002B" w:rsidRPr="002372CB">
        <w:t>.</w:t>
      </w:r>
      <w:r w:rsidR="00F7002B">
        <w:t xml:space="preserve"> Both of these initiatives can be seen to present development and sanitation in a positive frame.</w:t>
      </w:r>
    </w:p>
    <w:p w:rsidR="00C66E2E" w:rsidRPr="00296590" w:rsidRDefault="003E3EEE" w:rsidP="00296590">
      <w:pPr>
        <w:autoSpaceDE w:val="0"/>
        <w:autoSpaceDN w:val="0"/>
        <w:adjustRightInd w:val="0"/>
        <w:snapToGrid w:val="0"/>
        <w:ind w:firstLine="720"/>
        <w:rPr>
          <w:rFonts w:ascii="nionPro-Regular" w:hAnsi="nionPro-Regular" w:cs="nionPro-Regular"/>
          <w:color w:val="000000"/>
          <w:sz w:val="20"/>
        </w:rPr>
      </w:pPr>
      <w:r>
        <w:t xml:space="preserve"> </w:t>
      </w:r>
    </w:p>
    <w:p w:rsidR="000B51EB" w:rsidRPr="008251BD" w:rsidRDefault="002A56F8" w:rsidP="008251BD">
      <w:pPr>
        <w:ind w:firstLine="720"/>
      </w:pPr>
      <w:r>
        <w:t xml:space="preserve">Henry </w:t>
      </w:r>
      <w:proofErr w:type="spellStart"/>
      <w:r>
        <w:t>Northover</w:t>
      </w:r>
      <w:proofErr w:type="spellEnd"/>
      <w:r>
        <w:t xml:space="preserve"> argues that</w:t>
      </w:r>
      <w:r w:rsidR="0070074D">
        <w:t xml:space="preserve"> linking too many rights together can lead to </w:t>
      </w:r>
      <w:r w:rsidR="0070074D">
        <w:rPr>
          <w:lang w:eastAsia="en-GB"/>
        </w:rPr>
        <w:t>“diluted imperative around progressive realisation”</w:t>
      </w:r>
      <w:r>
        <w:rPr>
          <w:rStyle w:val="Funotenzeichen"/>
          <w:lang w:eastAsia="en-GB"/>
        </w:rPr>
        <w:footnoteReference w:id="214"/>
      </w:r>
      <w:r w:rsidR="008251BD">
        <w:rPr>
          <w:lang w:eastAsia="en-GB"/>
        </w:rPr>
        <w:t xml:space="preserve">. </w:t>
      </w:r>
      <w:proofErr w:type="spellStart"/>
      <w:r w:rsidR="008251BD">
        <w:rPr>
          <w:lang w:eastAsia="en-GB"/>
        </w:rPr>
        <w:t>Northover</w:t>
      </w:r>
      <w:proofErr w:type="spellEnd"/>
      <w:r w:rsidR="0070074D">
        <w:rPr>
          <w:lang w:eastAsia="en-GB"/>
        </w:rPr>
        <w:t xml:space="preserve"> warns that “once you make rights inseparable, and you can’t deliver on some of them because of inadequate resources, then you pote</w:t>
      </w:r>
      <w:r w:rsidR="00FF7DE6">
        <w:rPr>
          <w:lang w:eastAsia="en-GB"/>
        </w:rPr>
        <w:t>ntially jeopardise other rights</w:t>
      </w:r>
      <w:r w:rsidR="0070074D">
        <w:rPr>
          <w:lang w:eastAsia="en-GB"/>
        </w:rPr>
        <w:t>”</w:t>
      </w:r>
      <w:r w:rsidR="0070074D">
        <w:rPr>
          <w:rStyle w:val="Funotenzeichen"/>
          <w:lang w:eastAsia="en-GB"/>
        </w:rPr>
        <w:footnoteReference w:id="215"/>
      </w:r>
      <w:r w:rsidR="00FF7DE6">
        <w:rPr>
          <w:lang w:eastAsia="en-GB"/>
        </w:rPr>
        <w:t>.</w:t>
      </w:r>
      <w:r w:rsidR="0070074D">
        <w:t xml:space="preserve"> </w:t>
      </w:r>
      <w:r w:rsidR="00FA236C">
        <w:t>However, the diluted imperative criticism ca</w:t>
      </w:r>
      <w:r w:rsidR="00A73630">
        <w:t xml:space="preserve">n also be levied at development, in itself </w:t>
      </w:r>
      <w:r w:rsidR="00FA236C">
        <w:t>a co</w:t>
      </w:r>
      <w:r w:rsidR="008251BD">
        <w:t>ntroversial and contested norm</w:t>
      </w:r>
      <w:r w:rsidR="0024299A">
        <w:t>.</w:t>
      </w:r>
      <w:r w:rsidR="00A73630">
        <w:t xml:space="preserve"> To illustrate, </w:t>
      </w:r>
      <w:r w:rsidR="0070074D">
        <w:t>Jim Ife (2010) captures both the positive and negative frames surrounding development: “the word development has positive connotations, though these are often counter-balanced by the poor reputation of many development projects”</w:t>
      </w:r>
      <w:r w:rsidR="0070074D">
        <w:rPr>
          <w:rStyle w:val="Funotenzeichen"/>
        </w:rPr>
        <w:footnoteReference w:id="216"/>
      </w:r>
      <w:r w:rsidR="0070074D">
        <w:t xml:space="preserve">. </w:t>
      </w:r>
      <w:proofErr w:type="spellStart"/>
      <w:r w:rsidR="005634A9">
        <w:t>Darton</w:t>
      </w:r>
      <w:proofErr w:type="spellEnd"/>
      <w:r w:rsidR="005634A9">
        <w:t xml:space="preserve"> and Kirk (2011) a</w:t>
      </w:r>
      <w:r w:rsidR="00A73630">
        <w:t>dd</w:t>
      </w:r>
      <w:r>
        <w:t xml:space="preserve"> that</w:t>
      </w:r>
      <w:r w:rsidR="005634A9">
        <w:t xml:space="preserve"> </w:t>
      </w:r>
      <w:r w:rsidR="0070074D">
        <w:t>“it is striking that some of the words that should be avoided are right at the heart of how the development sector describes itself”</w:t>
      </w:r>
      <w:r w:rsidR="0070074D">
        <w:rPr>
          <w:rStyle w:val="Funotenzeichen"/>
        </w:rPr>
        <w:footnoteReference w:id="217"/>
      </w:r>
      <w:r w:rsidR="0070074D">
        <w:t xml:space="preserve">. </w:t>
      </w:r>
      <w:proofErr w:type="spellStart"/>
      <w:r>
        <w:t>Darton</w:t>
      </w:r>
      <w:proofErr w:type="spellEnd"/>
      <w:r>
        <w:t xml:space="preserve"> and Kirk (2011) </w:t>
      </w:r>
      <w:r w:rsidR="0070074D">
        <w:rPr>
          <w:lang w:eastAsia="en-GB"/>
        </w:rPr>
        <w:t>suggest that “practitioners should avoid using negative frames, rather than challenging or repeating them”</w:t>
      </w:r>
      <w:r w:rsidR="0070074D">
        <w:rPr>
          <w:rStyle w:val="Funotenzeichen"/>
          <w:lang w:eastAsia="en-GB"/>
        </w:rPr>
        <w:footnoteReference w:id="218"/>
      </w:r>
      <w:r w:rsidR="005634A9" w:rsidRPr="005634A9">
        <w:rPr>
          <w:lang w:eastAsia="en-GB"/>
        </w:rPr>
        <w:t xml:space="preserve"> </w:t>
      </w:r>
      <w:r w:rsidR="005634A9">
        <w:rPr>
          <w:lang w:eastAsia="en-GB"/>
        </w:rPr>
        <w:t>and</w:t>
      </w:r>
      <w:r w:rsidR="00A73630">
        <w:rPr>
          <w:lang w:eastAsia="en-GB"/>
        </w:rPr>
        <w:t xml:space="preserve"> instead</w:t>
      </w:r>
      <w:r w:rsidR="005634A9">
        <w:rPr>
          <w:lang w:eastAsia="en-GB"/>
        </w:rPr>
        <w:t xml:space="preserve"> propose linguistic changes that better evoke positive frames. For example, ‘</w:t>
      </w:r>
      <w:r w:rsidR="0070074D">
        <w:rPr>
          <w:lang w:eastAsia="en-GB"/>
        </w:rPr>
        <w:t>aid</w:t>
      </w:r>
      <w:r w:rsidR="005634A9">
        <w:rPr>
          <w:lang w:eastAsia="en-GB"/>
        </w:rPr>
        <w:t>’</w:t>
      </w:r>
      <w:r w:rsidR="0070074D">
        <w:rPr>
          <w:lang w:eastAsia="en-GB"/>
        </w:rPr>
        <w:t xml:space="preserve"> </w:t>
      </w:r>
      <w:r w:rsidR="005634A9">
        <w:rPr>
          <w:lang w:eastAsia="en-GB"/>
        </w:rPr>
        <w:t>could become</w:t>
      </w:r>
      <w:r w:rsidR="0070074D">
        <w:rPr>
          <w:lang w:eastAsia="en-GB"/>
        </w:rPr>
        <w:t xml:space="preserve"> “mutual support or partnership”, </w:t>
      </w:r>
      <w:r w:rsidR="005634A9">
        <w:rPr>
          <w:lang w:eastAsia="en-GB"/>
        </w:rPr>
        <w:t>‘</w:t>
      </w:r>
      <w:r w:rsidR="0070074D">
        <w:rPr>
          <w:lang w:eastAsia="en-GB"/>
        </w:rPr>
        <w:t>development</w:t>
      </w:r>
      <w:r w:rsidR="005634A9">
        <w:rPr>
          <w:lang w:eastAsia="en-GB"/>
        </w:rPr>
        <w:t>’</w:t>
      </w:r>
      <w:r w:rsidR="0070074D">
        <w:rPr>
          <w:lang w:eastAsia="en-GB"/>
        </w:rPr>
        <w:t xml:space="preserve"> </w:t>
      </w:r>
      <w:r w:rsidR="005634A9">
        <w:rPr>
          <w:lang w:eastAsia="en-GB"/>
        </w:rPr>
        <w:t>could be reframed as</w:t>
      </w:r>
      <w:r w:rsidR="0070074D">
        <w:rPr>
          <w:lang w:eastAsia="en-GB"/>
        </w:rPr>
        <w:t xml:space="preserve"> “well-being, freedom and responsibility” and </w:t>
      </w:r>
      <w:r w:rsidR="005634A9">
        <w:rPr>
          <w:lang w:eastAsia="en-GB"/>
        </w:rPr>
        <w:t>‘</w:t>
      </w:r>
      <w:r w:rsidR="0070074D">
        <w:rPr>
          <w:lang w:eastAsia="en-GB"/>
        </w:rPr>
        <w:t>campaigns</w:t>
      </w:r>
      <w:r w:rsidR="005634A9">
        <w:rPr>
          <w:lang w:eastAsia="en-GB"/>
        </w:rPr>
        <w:t>’ could be called</w:t>
      </w:r>
      <w:r w:rsidR="0070074D">
        <w:rPr>
          <w:lang w:eastAsia="en-GB"/>
        </w:rPr>
        <w:t xml:space="preserve"> “engagements or dialogues”</w:t>
      </w:r>
      <w:r w:rsidR="0070074D">
        <w:rPr>
          <w:rStyle w:val="Funotenzeichen"/>
          <w:lang w:eastAsia="en-GB"/>
        </w:rPr>
        <w:footnoteReference w:id="219"/>
      </w:r>
      <w:r w:rsidR="00A73630">
        <w:t xml:space="preserve">. </w:t>
      </w:r>
      <w:r w:rsidR="001E2892">
        <w:t xml:space="preserve">The development frame has proved effective in tying sanitation into wider issues of global poverty and benefits from having an MDG target to tie its arguments around. The development </w:t>
      </w:r>
      <w:r w:rsidR="009E294F">
        <w:t xml:space="preserve">cognitive </w:t>
      </w:r>
      <w:r w:rsidR="001E2892">
        <w:t>frame can also bring to sanitation campaigns a conceptual grounding that “sanitation must be safe, physically accessible, affordable and culturally acceptable”</w:t>
      </w:r>
      <w:r w:rsidR="001E2892">
        <w:rPr>
          <w:rStyle w:val="Funotenzeichen"/>
        </w:rPr>
        <w:footnoteReference w:id="220"/>
      </w:r>
      <w:r w:rsidR="00A73630">
        <w:t xml:space="preserve">. </w:t>
      </w:r>
      <w:r w:rsidR="0024299A">
        <w:t>However, development as a concept attracts criticism, and can be seen as “an enterprise without a legal or moral anchor”</w:t>
      </w:r>
      <w:r w:rsidR="0024299A">
        <w:rPr>
          <w:rStyle w:val="Funotenzeichen"/>
        </w:rPr>
        <w:footnoteReference w:id="221"/>
      </w:r>
      <w:r w:rsidR="00A73630">
        <w:t>.</w:t>
      </w:r>
      <w:r w:rsidR="0024299A">
        <w:t xml:space="preserve">  </w:t>
      </w:r>
    </w:p>
    <w:p w:rsidR="00504D35" w:rsidRDefault="00504D35" w:rsidP="000E395C">
      <w:pPr>
        <w:spacing w:after="200"/>
      </w:pPr>
    </w:p>
    <w:p w:rsidR="000C44CE" w:rsidRDefault="00AD0178" w:rsidP="000E395C">
      <w:pPr>
        <w:spacing w:after="200"/>
        <w:rPr>
          <w:b/>
          <w:i/>
        </w:rPr>
      </w:pPr>
      <w:r>
        <w:rPr>
          <w:b/>
          <w:i/>
        </w:rPr>
        <w:t>2.6</w:t>
      </w:r>
      <w:r>
        <w:rPr>
          <w:b/>
          <w:i/>
        </w:rPr>
        <w:tab/>
      </w:r>
      <w:r w:rsidR="00B23603">
        <w:rPr>
          <w:b/>
          <w:i/>
        </w:rPr>
        <w:t xml:space="preserve">What you don’t know will hurt you – sanitation </w:t>
      </w:r>
      <w:r>
        <w:rPr>
          <w:b/>
          <w:i/>
        </w:rPr>
        <w:t xml:space="preserve">and the right to </w:t>
      </w:r>
      <w:r w:rsidR="000E395C">
        <w:rPr>
          <w:b/>
          <w:i/>
        </w:rPr>
        <w:t xml:space="preserve">education </w:t>
      </w:r>
    </w:p>
    <w:p w:rsidR="000C44CE" w:rsidRDefault="000E395C" w:rsidP="000C44CE">
      <w:pPr>
        <w:spacing w:after="200"/>
      </w:pPr>
      <w:r>
        <w:rPr>
          <w:b/>
          <w:i/>
        </w:rPr>
        <w:tab/>
      </w:r>
      <w:r w:rsidR="001F5250">
        <w:t>Sanitation as a distinct human right can help with the delivery of sanitation campaign and WASH messages through education</w:t>
      </w:r>
      <w:r w:rsidR="0024299A">
        <w:t>al channels</w:t>
      </w:r>
      <w:r w:rsidR="001F5250">
        <w:t xml:space="preserve">. </w:t>
      </w:r>
      <w:r>
        <w:t xml:space="preserve">So much of improving sanitation relies on behavioural change, which is reliant on education. </w:t>
      </w:r>
      <w:r w:rsidR="001F5250">
        <w:t>T</w:t>
      </w:r>
      <w:r>
        <w:t>he right to education suggests that children have the right to attend school, to learn and to develop</w:t>
      </w:r>
      <w:r w:rsidR="001F5250">
        <w:t xml:space="preserve">. </w:t>
      </w:r>
      <w:r w:rsidR="00F46AF1">
        <w:t>Understanding</w:t>
      </w:r>
      <w:r>
        <w:t xml:space="preserve"> the right to health education in sanitation terms </w:t>
      </w:r>
      <w:r w:rsidR="004C7669">
        <w:t>brings attention to</w:t>
      </w:r>
      <w:r w:rsidR="00F46AF1">
        <w:t xml:space="preserve"> obsta</w:t>
      </w:r>
      <w:r>
        <w:t xml:space="preserve">cles, usually health related, that </w:t>
      </w:r>
      <w:r w:rsidR="0024299A">
        <w:t xml:space="preserve">can </w:t>
      </w:r>
      <w:r>
        <w:t xml:space="preserve">inhibit, disrupt or </w:t>
      </w:r>
      <w:r w:rsidR="00F46AF1">
        <w:t xml:space="preserve">damage altogether a child’s ability to attended school. </w:t>
      </w:r>
      <w:r w:rsidR="002361C5">
        <w:t>The World Health Organisation (WHO) estimate that meeting the MDG sanitation target would result in a gain of 272 million school days in the developing world”</w:t>
      </w:r>
      <w:r w:rsidR="002361C5">
        <w:rPr>
          <w:rStyle w:val="Funotenzeichen"/>
        </w:rPr>
        <w:footnoteReference w:id="222"/>
      </w:r>
      <w:r w:rsidR="002361C5">
        <w:t xml:space="preserve">. </w:t>
      </w:r>
      <w:r w:rsidR="0024299A">
        <w:t xml:space="preserve">Similar </w:t>
      </w:r>
      <w:r w:rsidR="002361C5">
        <w:t>message</w:t>
      </w:r>
      <w:r w:rsidR="0024299A">
        <w:t xml:space="preserve">s are </w:t>
      </w:r>
      <w:r w:rsidR="002361C5">
        <w:t>prom</w:t>
      </w:r>
      <w:r w:rsidR="00A07379">
        <w:t xml:space="preserve">inent in UNICEF’s </w:t>
      </w:r>
      <w:r w:rsidR="00104FAA">
        <w:t>‘WASH in Schools’ campaign</w:t>
      </w:r>
      <w:r w:rsidR="009E294F">
        <w:rPr>
          <w:rStyle w:val="Funotenzeichen"/>
        </w:rPr>
        <w:footnoteReference w:id="223"/>
      </w:r>
      <w:r w:rsidR="00104FAA">
        <w:t xml:space="preserve"> </w:t>
      </w:r>
      <w:r w:rsidR="00A07379">
        <w:t xml:space="preserve">and the </w:t>
      </w:r>
      <w:r w:rsidR="00FD77B0">
        <w:t>work of UN-Water, who employ a “F</w:t>
      </w:r>
      <w:r w:rsidR="00A07379">
        <w:t>ive ‘</w:t>
      </w:r>
      <w:r w:rsidR="00FD77B0">
        <w:t>F’s”</w:t>
      </w:r>
      <w:r w:rsidR="00A07379">
        <w:t xml:space="preserve"> strategy to sanitation education</w:t>
      </w:r>
      <w:r w:rsidR="00FD77B0">
        <w:t>:</w:t>
      </w:r>
      <w:r w:rsidR="00A07379">
        <w:t xml:space="preserve"> </w:t>
      </w:r>
      <w:r w:rsidR="00753238">
        <w:t>“faeces, fingers, flies, fluids and fields”</w:t>
      </w:r>
      <w:r w:rsidR="00753238">
        <w:rPr>
          <w:rStyle w:val="Funotenzeichen"/>
        </w:rPr>
        <w:footnoteReference w:id="224"/>
      </w:r>
      <w:r w:rsidR="004C7669">
        <w:t>. Loss of schooling d</w:t>
      </w:r>
      <w:r w:rsidR="0024299A">
        <w:t>ue to illness, the need for sex-</w:t>
      </w:r>
      <w:r w:rsidR="004C7669">
        <w:t>segregated toilets in schools and hand-washing for children are al</w:t>
      </w:r>
      <w:r w:rsidR="0024299A">
        <w:t>so</w:t>
      </w:r>
      <w:r w:rsidR="004C7669">
        <w:t xml:space="preserve"> prominent messages in the work </w:t>
      </w:r>
      <w:r w:rsidR="002B35CF">
        <w:t>World</w:t>
      </w:r>
      <w:r w:rsidR="004C7669">
        <w:t xml:space="preserve"> Vision.</w:t>
      </w:r>
      <w:r w:rsidR="006A1A51" w:rsidRPr="006A1A51">
        <w:t xml:space="preserve"> </w:t>
      </w:r>
      <w:proofErr w:type="spellStart"/>
      <w:r w:rsidR="000C44CE">
        <w:t>Thiago</w:t>
      </w:r>
      <w:proofErr w:type="spellEnd"/>
      <w:r w:rsidR="000C44CE">
        <w:t xml:space="preserve"> </w:t>
      </w:r>
      <w:proofErr w:type="spellStart"/>
      <w:r w:rsidR="000C44CE">
        <w:t>Lucheshi</w:t>
      </w:r>
      <w:proofErr w:type="spellEnd"/>
      <w:r w:rsidR="000C44CE">
        <w:t xml:space="preserve"> </w:t>
      </w:r>
      <w:r w:rsidR="002B35CF">
        <w:t>explains</w:t>
      </w:r>
      <w:r w:rsidR="00881343">
        <w:t>:</w:t>
      </w:r>
      <w:r w:rsidR="002B35CF">
        <w:t xml:space="preserve"> </w:t>
      </w:r>
      <w:r w:rsidR="006A1A51" w:rsidRPr="006A1A51">
        <w:t>“the right to sanitation also has links with the right to education (because of the importance of school sanitation) and children’s righ</w:t>
      </w:r>
      <w:r w:rsidR="00881343">
        <w:t>t to survival and development (A</w:t>
      </w:r>
      <w:r w:rsidR="006A1A51" w:rsidRPr="006A1A51">
        <w:t>rticle 6 of the CRC)”</w:t>
      </w:r>
      <w:r w:rsidR="002B35CF">
        <w:rPr>
          <w:rStyle w:val="Funotenzeichen"/>
        </w:rPr>
        <w:footnoteReference w:id="225"/>
      </w:r>
      <w:r w:rsidR="006A1A51" w:rsidRPr="006A1A51">
        <w:t>.</w:t>
      </w:r>
      <w:r w:rsidR="000C44CE">
        <w:t xml:space="preserve"> In addition, the CRC </w:t>
      </w:r>
      <w:r w:rsidR="00881343">
        <w:t>obligates State</w:t>
      </w:r>
      <w:r w:rsidR="00221120">
        <w:t>s</w:t>
      </w:r>
      <w:r w:rsidR="000C44CE">
        <w:t>:</w:t>
      </w:r>
    </w:p>
    <w:p w:rsidR="004C7669" w:rsidRDefault="000C44CE" w:rsidP="0024299A">
      <w:pPr>
        <w:spacing w:after="200"/>
        <w:ind w:left="720"/>
      </w:pPr>
      <w:r>
        <w:rPr>
          <w:i/>
        </w:rPr>
        <w:t>“T</w:t>
      </w:r>
      <w:r w:rsidRPr="004B20B7">
        <w:rPr>
          <w:i/>
        </w:rPr>
        <w: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w:t>
      </w:r>
      <w:r>
        <w:t>”</w:t>
      </w:r>
      <w:r>
        <w:rPr>
          <w:rStyle w:val="Funotenzeichen"/>
        </w:rPr>
        <w:footnoteReference w:id="226"/>
      </w:r>
    </w:p>
    <w:p w:rsidR="004C7669" w:rsidRPr="00AD0178" w:rsidRDefault="004C7669" w:rsidP="000C44CE">
      <w:pPr>
        <w:spacing w:after="200"/>
        <w:ind w:firstLine="720"/>
      </w:pPr>
      <w:r>
        <w:t>There is another</w:t>
      </w:r>
      <w:r w:rsidR="00F46AF1">
        <w:t xml:space="preserve"> </w:t>
      </w:r>
      <w:r>
        <w:t>aspect of the</w:t>
      </w:r>
      <w:r w:rsidR="00F46AF1">
        <w:t xml:space="preserve"> right to</w:t>
      </w:r>
      <w:r w:rsidR="00104FAA">
        <w:t xml:space="preserve"> education</w:t>
      </w:r>
      <w:r>
        <w:t xml:space="preserve"> that is under-discussed.</w:t>
      </w:r>
      <w:r w:rsidR="00104FAA">
        <w:t xml:space="preserve"> </w:t>
      </w:r>
      <w:r>
        <w:t>This is</w:t>
      </w:r>
      <w:r w:rsidR="00104FAA">
        <w:t xml:space="preserve"> right for all to</w:t>
      </w:r>
      <w:r w:rsidR="00F46AF1">
        <w:t xml:space="preserve"> be taught basic, </w:t>
      </w:r>
      <w:proofErr w:type="spellStart"/>
      <w:r w:rsidR="00F46AF1">
        <w:t>life saving</w:t>
      </w:r>
      <w:proofErr w:type="spellEnd"/>
      <w:r w:rsidR="00F46AF1">
        <w:t xml:space="preserve"> educational messages about health and hygiene. </w:t>
      </w:r>
      <w:r w:rsidR="000A1C01">
        <w:t>As Fawcett and Black (2008) argue</w:t>
      </w:r>
      <w:r w:rsidR="00104FAA">
        <w:t>,</w:t>
      </w:r>
      <w:r w:rsidR="000A1C01">
        <w:t xml:space="preserve"> prevention is </w:t>
      </w:r>
      <w:r w:rsidR="00104FAA">
        <w:t>the key to</w:t>
      </w:r>
      <w:r w:rsidR="000A1C01">
        <w:t xml:space="preserve"> “reduce definitively the toll of childhood diarrhoeal disease and death”</w:t>
      </w:r>
      <w:r w:rsidR="00F777A2">
        <w:t>.</w:t>
      </w:r>
      <w:r w:rsidR="000A1C01">
        <w:rPr>
          <w:rStyle w:val="Funotenzeichen"/>
        </w:rPr>
        <w:footnoteReference w:id="227"/>
      </w:r>
      <w:r w:rsidR="000A1C01">
        <w:t xml:space="preserve"> </w:t>
      </w:r>
      <w:r w:rsidR="00104FAA">
        <w:t>Fundamental to prevention</w:t>
      </w:r>
      <w:r w:rsidR="000A1C01">
        <w:t xml:space="preserve"> is education. </w:t>
      </w:r>
      <w:r w:rsidR="00F46AF1">
        <w:t xml:space="preserve">A parent has a right to </w:t>
      </w:r>
      <w:r>
        <w:t xml:space="preserve">know, </w:t>
      </w:r>
      <w:r w:rsidR="00104FAA">
        <w:t xml:space="preserve">to </w:t>
      </w:r>
      <w:r>
        <w:t xml:space="preserve">be able to </w:t>
      </w:r>
      <w:r w:rsidR="00F46AF1">
        <w:t xml:space="preserve">pass on </w:t>
      </w:r>
      <w:r>
        <w:t xml:space="preserve">health </w:t>
      </w:r>
      <w:r w:rsidR="002361C5">
        <w:t>messages to their children</w:t>
      </w:r>
      <w:r w:rsidR="00104FAA">
        <w:t>. And the</w:t>
      </w:r>
      <w:r w:rsidR="002361C5">
        <w:t xml:space="preserve"> State has a responsibility to </w:t>
      </w:r>
      <w:r w:rsidR="00104FAA">
        <w:t>educate their citizens on public health issues</w:t>
      </w:r>
      <w:r w:rsidR="002361C5">
        <w:t xml:space="preserve">. </w:t>
      </w:r>
      <w:proofErr w:type="spellStart"/>
      <w:r w:rsidR="00D34726">
        <w:t>Pilar</w:t>
      </w:r>
      <w:proofErr w:type="spellEnd"/>
      <w:r w:rsidR="00D34726">
        <w:t xml:space="preserve"> Romero-</w:t>
      </w:r>
      <w:proofErr w:type="spellStart"/>
      <w:r w:rsidR="00D34726">
        <w:t>Ardoy</w:t>
      </w:r>
      <w:proofErr w:type="spellEnd"/>
      <w:r w:rsidR="00D34726">
        <w:t xml:space="preserve"> works as</w:t>
      </w:r>
      <w:r w:rsidR="00A76AE8">
        <w:t xml:space="preserve"> WASH manager </w:t>
      </w:r>
      <w:r w:rsidR="00977FA5">
        <w:t xml:space="preserve">for Goal </w:t>
      </w:r>
      <w:r w:rsidR="00A76AE8">
        <w:t xml:space="preserve">in Haiti and notes the importance of education in combating a recent cholera epidemic: </w:t>
      </w:r>
      <w:r w:rsidR="00A76AE8" w:rsidRPr="00A76AE8">
        <w:t>“health pr</w:t>
      </w:r>
      <w:r w:rsidR="00F777A2">
        <w:t xml:space="preserve">evention messages do save lives, </w:t>
      </w:r>
      <w:r w:rsidR="00A76AE8" w:rsidRPr="00A76AE8">
        <w:t>if only because people are very conscious of not bringing their hands to the m</w:t>
      </w:r>
      <w:r w:rsidR="00F777A2">
        <w:t>outh if they are dirty or have not</w:t>
      </w:r>
      <w:r w:rsidR="00A76AE8" w:rsidRPr="00A76AE8">
        <w:t xml:space="preserve"> washed them”</w:t>
      </w:r>
      <w:r w:rsidR="00CD71D9">
        <w:rPr>
          <w:rStyle w:val="Funotenzeichen"/>
        </w:rPr>
        <w:footnoteReference w:id="228"/>
      </w:r>
      <w:r w:rsidR="00F777A2">
        <w:t>.</w:t>
      </w:r>
      <w:r w:rsidR="00A76AE8" w:rsidRPr="00A76AE8">
        <w:t xml:space="preserve"> </w:t>
      </w:r>
      <w:r w:rsidR="00BE2A4C">
        <w:t xml:space="preserve">In </w:t>
      </w:r>
      <w:r w:rsidR="00B126DB">
        <w:t>Chapman’s (2001) study of campaign structures, she identifies “active civil society organisations, high levels of public awareness and active individuals”</w:t>
      </w:r>
      <w:r w:rsidR="00B126DB">
        <w:rPr>
          <w:rStyle w:val="Funotenzeichen"/>
        </w:rPr>
        <w:footnoteReference w:id="229"/>
      </w:r>
      <w:r w:rsidR="00B126DB">
        <w:t xml:space="preserve"> as elements that improve the success rate of campaigns at grassroots level. Education is intrinsic to the spread of information </w:t>
      </w:r>
      <w:r w:rsidR="00BE2A4C">
        <w:t xml:space="preserve">and </w:t>
      </w:r>
      <w:r w:rsidR="00F777A2">
        <w:t>can help</w:t>
      </w:r>
      <w:r w:rsidR="00B126DB">
        <w:t xml:space="preserve"> community engagement in grassroots campaign</w:t>
      </w:r>
      <w:r w:rsidR="00A7166B">
        <w:t>ing</w:t>
      </w:r>
      <w:r w:rsidR="00B126DB">
        <w:t xml:space="preserve"> around the right to sanitation.</w:t>
      </w:r>
    </w:p>
    <w:p w:rsidR="00817F10" w:rsidRDefault="00296590" w:rsidP="00AD6D81">
      <w:pPr>
        <w:spacing w:after="200"/>
        <w:rPr>
          <w:b/>
          <w:i/>
        </w:rPr>
      </w:pPr>
      <w:r>
        <w:br/>
      </w:r>
      <w:r w:rsidR="00AD0178">
        <w:rPr>
          <w:b/>
          <w:i/>
        </w:rPr>
        <w:t>2.7</w:t>
      </w:r>
      <w:r w:rsidR="00AD0178">
        <w:rPr>
          <w:b/>
          <w:i/>
        </w:rPr>
        <w:tab/>
      </w:r>
      <w:r w:rsidR="00B23603">
        <w:rPr>
          <w:b/>
          <w:i/>
        </w:rPr>
        <w:t>S</w:t>
      </w:r>
      <w:r w:rsidR="00AD0178">
        <w:rPr>
          <w:b/>
          <w:i/>
        </w:rPr>
        <w:t>lums, sanitation and the right to adequate housing</w:t>
      </w:r>
    </w:p>
    <w:p w:rsidR="00B954FF" w:rsidRPr="00817F10" w:rsidRDefault="00817F10" w:rsidP="00817F10">
      <w:pPr>
        <w:spacing w:after="200"/>
        <w:ind w:left="720"/>
        <w:rPr>
          <w:b/>
          <w:i/>
        </w:rPr>
      </w:pPr>
      <w:r w:rsidRPr="00817F10">
        <w:rPr>
          <w:i/>
        </w:rPr>
        <w:t>“S</w:t>
      </w:r>
      <w:r w:rsidRPr="00817F10">
        <w:rPr>
          <w:i/>
          <w:lang w:eastAsia="en-GB"/>
        </w:rPr>
        <w:t>anitation is part of housing (housing is not just houses, it's your whole habitat), and they're all part of the right to property, the right to dignity, the right to a standard of living”</w:t>
      </w:r>
      <w:r>
        <w:rPr>
          <w:rStyle w:val="Funotenzeichen"/>
          <w:i/>
          <w:lang w:eastAsia="en-GB"/>
        </w:rPr>
        <w:footnoteReference w:id="230"/>
      </w:r>
    </w:p>
    <w:p w:rsidR="00D60A42" w:rsidRDefault="00862E0B" w:rsidP="00DA6FDE">
      <w:pPr>
        <w:pStyle w:val="StandardWeb"/>
        <w:ind w:firstLine="720"/>
      </w:pPr>
      <w:r w:rsidRPr="00AE4FD0">
        <w:rPr>
          <w:rStyle w:val="Hervorhebung"/>
          <w:rFonts w:cs="Arial"/>
          <w:i w:val="0"/>
          <w:color w:val="000000"/>
        </w:rPr>
        <w:t xml:space="preserve">By 2030, the proportion of the world’s population living in cities is expected to </w:t>
      </w:r>
      <w:r w:rsidR="00C82B18">
        <w:rPr>
          <w:rStyle w:val="Hervorhebung"/>
          <w:rFonts w:cs="Arial"/>
          <w:i w:val="0"/>
          <w:color w:val="000000"/>
        </w:rPr>
        <w:t>rise by</w:t>
      </w:r>
      <w:r w:rsidRPr="00AE4FD0">
        <w:rPr>
          <w:rStyle w:val="Hervorhebung"/>
          <w:rFonts w:cs="Arial"/>
          <w:i w:val="0"/>
          <w:color w:val="000000"/>
        </w:rPr>
        <w:t xml:space="preserve"> 60%. Around 6 million people move to cities every year, </w:t>
      </w:r>
      <w:r w:rsidRPr="00AE4FD0">
        <w:t>with 40% of that urban expansion in slums</w:t>
      </w:r>
      <w:r w:rsidRPr="00AE4FD0">
        <w:rPr>
          <w:rStyle w:val="Funotenzeichen"/>
          <w:i/>
        </w:rPr>
        <w:footnoteReference w:id="231"/>
      </w:r>
      <w:r w:rsidRPr="00AE4FD0">
        <w:rPr>
          <w:i/>
        </w:rPr>
        <w:t>.</w:t>
      </w:r>
      <w:r w:rsidR="00AE4FD0">
        <w:t xml:space="preserve"> </w:t>
      </w:r>
      <w:r w:rsidR="00C82B18">
        <w:rPr>
          <w:lang w:val="en-US"/>
        </w:rPr>
        <w:t>Around a quarter of all city dwellers currently do not have a decent place to go to the toilet</w:t>
      </w:r>
      <w:r w:rsidR="00C82B18">
        <w:rPr>
          <w:rStyle w:val="Funotenzeichen"/>
          <w:lang w:val="en-US"/>
        </w:rPr>
        <w:footnoteReference w:id="232"/>
      </w:r>
      <w:r w:rsidR="00C82B18">
        <w:rPr>
          <w:lang w:val="en-US"/>
        </w:rPr>
        <w:t xml:space="preserve">. About 1.2 billion people still practice </w:t>
      </w:r>
      <w:r w:rsidR="005504CC">
        <w:rPr>
          <w:lang w:val="en-US"/>
        </w:rPr>
        <w:t>OD</w:t>
      </w:r>
      <w:r w:rsidR="00C82B18">
        <w:rPr>
          <w:rStyle w:val="Funotenzeichen"/>
          <w:lang w:val="en-US"/>
        </w:rPr>
        <w:footnoteReference w:id="233"/>
      </w:r>
      <w:r w:rsidR="00C82B18">
        <w:rPr>
          <w:lang w:val="en-US"/>
        </w:rPr>
        <w:t xml:space="preserve"> and 90% of human waste in the developing world is discharged untreated</w:t>
      </w:r>
      <w:r w:rsidR="00C82B18">
        <w:rPr>
          <w:rStyle w:val="Funotenzeichen"/>
          <w:lang w:val="en-US"/>
        </w:rPr>
        <w:footnoteReference w:id="234"/>
      </w:r>
      <w:r w:rsidR="00EE7900">
        <w:rPr>
          <w:lang w:val="en-US"/>
        </w:rPr>
        <w:t xml:space="preserve">. </w:t>
      </w:r>
      <w:r w:rsidR="00333545">
        <w:t>One major challenge to improving sanitation in urban areas is the position taken by m</w:t>
      </w:r>
      <w:r w:rsidR="00AE4FD0">
        <w:t>any gov</w:t>
      </w:r>
      <w:r w:rsidR="00C82B18">
        <w:t xml:space="preserve">ernments </w:t>
      </w:r>
      <w:r w:rsidR="00333545">
        <w:t xml:space="preserve">and local authorities in </w:t>
      </w:r>
      <w:r w:rsidR="00C82B18">
        <w:t>fail</w:t>
      </w:r>
      <w:r w:rsidR="00333545">
        <w:t>ing</w:t>
      </w:r>
      <w:r w:rsidR="00C82B18">
        <w:t xml:space="preserve"> to recognise </w:t>
      </w:r>
      <w:r w:rsidR="00333545">
        <w:t xml:space="preserve">‘unofficial’ slum dwellers. Fawcett and Black (2008) note: </w:t>
      </w:r>
      <w:r w:rsidR="00C82B18">
        <w:t>“</w:t>
      </w:r>
      <w:r w:rsidR="00C82B18" w:rsidRPr="00C82B18">
        <w:rPr>
          <w:lang w:val="en-US"/>
        </w:rPr>
        <w:t xml:space="preserve">the </w:t>
      </w:r>
      <w:proofErr w:type="gramStart"/>
      <w:r w:rsidR="00C82B18" w:rsidRPr="00C82B18">
        <w:rPr>
          <w:lang w:val="en-US"/>
        </w:rPr>
        <w:t>unofficial,</w:t>
      </w:r>
      <w:proofErr w:type="gramEnd"/>
      <w:r w:rsidR="00C82B18" w:rsidRPr="00C82B18">
        <w:rPr>
          <w:lang w:val="en-US"/>
        </w:rPr>
        <w:t xml:space="preserve"> or even illegal status of many living in slums is a serious impediment to improvement of infrastructure, including water supplies and sanitation</w:t>
      </w:r>
      <w:r w:rsidR="0017614D">
        <w:rPr>
          <w:lang w:val="en-US"/>
        </w:rPr>
        <w:t>”</w:t>
      </w:r>
      <w:r w:rsidR="00C82B18" w:rsidRPr="00C82B18">
        <w:rPr>
          <w:rStyle w:val="Funotenzeichen"/>
          <w:lang w:val="en-US"/>
        </w:rPr>
        <w:footnoteReference w:id="235"/>
      </w:r>
      <w:r w:rsidR="00C82B18" w:rsidRPr="00C82B18">
        <w:rPr>
          <w:lang w:val="en-US"/>
        </w:rPr>
        <w:t>.</w:t>
      </w:r>
      <w:r w:rsidR="0017614D">
        <w:rPr>
          <w:lang w:val="en-US"/>
        </w:rPr>
        <w:t xml:space="preserve"> </w:t>
      </w:r>
      <w:proofErr w:type="spellStart"/>
      <w:r w:rsidR="00347DFD">
        <w:t>Catarina</w:t>
      </w:r>
      <w:proofErr w:type="spellEnd"/>
      <w:r w:rsidR="00347DFD">
        <w:t xml:space="preserve"> de Albuquerque </w:t>
      </w:r>
      <w:r w:rsidR="00877A2A">
        <w:t xml:space="preserve">explains the unwillingness to recognise ‘unofficial’ slum dwellers: </w:t>
      </w:r>
      <w:r w:rsidR="00877A2A">
        <w:rPr>
          <w:rStyle w:val="Hervorhebung"/>
          <w:i w:val="0"/>
          <w:color w:val="000000"/>
        </w:rPr>
        <w:t>“t</w:t>
      </w:r>
      <w:r w:rsidR="00877A2A" w:rsidRPr="00881D24">
        <w:rPr>
          <w:rStyle w:val="Hervorhebung"/>
          <w:i w:val="0"/>
          <w:color w:val="000000"/>
        </w:rPr>
        <w:t>he fear of governments is that by recognising people’s rights that you will be attracting more slum dwellers</w:t>
      </w:r>
      <w:r w:rsidR="00AB7CB5">
        <w:rPr>
          <w:rStyle w:val="Hervorhebung"/>
          <w:i w:val="0"/>
          <w:color w:val="000000"/>
        </w:rPr>
        <w:t xml:space="preserve"> - t</w:t>
      </w:r>
      <w:r w:rsidR="00877A2A" w:rsidRPr="00881D24">
        <w:rPr>
          <w:rStyle w:val="Hervorhebung"/>
          <w:i w:val="0"/>
          <w:color w:val="000000"/>
        </w:rPr>
        <w:t>he same with homeless</w:t>
      </w:r>
      <w:r w:rsidR="00877A2A">
        <w:rPr>
          <w:rStyle w:val="Hervorhebung"/>
          <w:i w:val="0"/>
          <w:color w:val="000000"/>
        </w:rPr>
        <w:t>”</w:t>
      </w:r>
      <w:r w:rsidR="00877A2A">
        <w:rPr>
          <w:rStyle w:val="Funotenzeichen"/>
          <w:iCs/>
          <w:color w:val="000000"/>
        </w:rPr>
        <w:footnoteReference w:id="236"/>
      </w:r>
      <w:r w:rsidR="00AB7CB5">
        <w:rPr>
          <w:rStyle w:val="Hervorhebung"/>
          <w:i w:val="0"/>
          <w:color w:val="000000"/>
        </w:rPr>
        <w:t>.</w:t>
      </w:r>
      <w:r w:rsidR="00877A2A">
        <w:rPr>
          <w:rStyle w:val="Hervorhebung"/>
          <w:i w:val="0"/>
          <w:color w:val="000000"/>
        </w:rPr>
        <w:t xml:space="preserve"> </w:t>
      </w:r>
      <w:r w:rsidR="0017614D">
        <w:t>Fawcett warns that</w:t>
      </w:r>
      <w:r w:rsidR="00AB7CB5">
        <w:t xml:space="preserve"> the rights argument</w:t>
      </w:r>
      <w:r w:rsidR="0017614D">
        <w:t xml:space="preserve"> </w:t>
      </w:r>
      <w:r w:rsidR="00AB7CB5">
        <w:t>“</w:t>
      </w:r>
      <w:r w:rsidR="0017614D" w:rsidRPr="0032647F">
        <w:t>might, perversely, mean that states are even less likely to give formal recognition to slum-dwellers, as it will increase their (governmental) responsibilities”</w:t>
      </w:r>
      <w:r w:rsidR="0017614D">
        <w:rPr>
          <w:rStyle w:val="Funotenzeichen"/>
        </w:rPr>
        <w:footnoteReference w:id="237"/>
      </w:r>
      <w:r w:rsidR="00AB7CB5">
        <w:t xml:space="preserve">. </w:t>
      </w:r>
      <w:r w:rsidR="00A64323">
        <w:t>Campaign messag</w:t>
      </w:r>
      <w:r w:rsidR="00475BF0">
        <w:t>es</w:t>
      </w:r>
      <w:r w:rsidR="00A64323">
        <w:t xml:space="preserve"> about the right to sanitation therefore face</w:t>
      </w:r>
      <w:r w:rsidR="00475BF0">
        <w:t xml:space="preserve"> </w:t>
      </w:r>
      <w:r w:rsidR="00A64323">
        <w:t>a struggle</w:t>
      </w:r>
      <w:r w:rsidR="00AB7CB5">
        <w:t>. How do you successfully</w:t>
      </w:r>
      <w:r w:rsidR="00A64323">
        <w:t xml:space="preserve"> </w:t>
      </w:r>
      <w:r w:rsidR="00E44C5F">
        <w:t>communicat</w:t>
      </w:r>
      <w:r w:rsidR="00AB7CB5">
        <w:t>e</w:t>
      </w:r>
      <w:r w:rsidR="00A64323">
        <w:t xml:space="preserve"> complex issues of housing</w:t>
      </w:r>
      <w:r w:rsidR="00AB7CB5">
        <w:t>,</w:t>
      </w:r>
      <w:r w:rsidR="00A64323">
        <w:t xml:space="preserve"> tenure and slums and the scale of a problem which encompasses such a range</w:t>
      </w:r>
      <w:r w:rsidR="00AB7CB5">
        <w:t xml:space="preserve"> of other human rights concerns?</w:t>
      </w:r>
      <w:r w:rsidR="00A64323">
        <w:t xml:space="preserve"> </w:t>
      </w:r>
      <w:proofErr w:type="spellStart"/>
      <w:r w:rsidR="00E44C5F">
        <w:t>Remi</w:t>
      </w:r>
      <w:proofErr w:type="spellEnd"/>
      <w:r w:rsidR="00E44C5F">
        <w:t xml:space="preserve"> </w:t>
      </w:r>
      <w:proofErr w:type="spellStart"/>
      <w:r w:rsidR="00E44C5F">
        <w:t>Kaupp</w:t>
      </w:r>
      <w:proofErr w:type="spellEnd"/>
      <w:r w:rsidR="00E44C5F">
        <w:t xml:space="preserve"> suggests</w:t>
      </w:r>
      <w:r w:rsidR="00AB7CB5">
        <w:t>:</w:t>
      </w:r>
      <w:r w:rsidR="00E44C5F">
        <w:t xml:space="preserve"> </w:t>
      </w:r>
      <w:r w:rsidR="00E44C5F" w:rsidRPr="000450B5">
        <w:t>“if you start talking human rights with communities, they'll make a list of other rights which often have much higher priority”</w:t>
      </w:r>
      <w:r w:rsidR="00E44C5F">
        <w:rPr>
          <w:rStyle w:val="Funotenzeichen"/>
        </w:rPr>
        <w:footnoteReference w:id="238"/>
      </w:r>
      <w:r w:rsidR="00AB7CB5">
        <w:t>.</w:t>
      </w:r>
    </w:p>
    <w:p w:rsidR="00D60A42" w:rsidRDefault="001135E8" w:rsidP="00D60A42">
      <w:pPr>
        <w:spacing w:after="200"/>
        <w:ind w:firstLine="720"/>
        <w:rPr>
          <w:lang w:eastAsia="en-GB"/>
        </w:rPr>
      </w:pPr>
      <w:r>
        <w:rPr>
          <w:lang w:eastAsia="en-GB"/>
        </w:rPr>
        <w:t xml:space="preserve">Regarding access to sanitation in urban areas, </w:t>
      </w:r>
      <w:r w:rsidR="00D60A42">
        <w:rPr>
          <w:lang w:eastAsia="en-GB"/>
        </w:rPr>
        <w:t>Albuquerque (2010) recognises; “the lack of security of tenure, in particular in informal settlements is one of the critical underlying issues in this context”</w:t>
      </w:r>
      <w:r w:rsidR="00D60A42">
        <w:rPr>
          <w:rStyle w:val="Funotenzeichen"/>
          <w:lang w:eastAsia="en-GB"/>
        </w:rPr>
        <w:footnoteReference w:id="239"/>
      </w:r>
      <w:r w:rsidR="00D60A42">
        <w:rPr>
          <w:lang w:eastAsia="en-GB"/>
        </w:rPr>
        <w:t xml:space="preserve">. </w:t>
      </w:r>
      <w:r>
        <w:rPr>
          <w:lang w:eastAsia="en-GB"/>
        </w:rPr>
        <w:t xml:space="preserve">In addition, </w:t>
      </w:r>
      <w:proofErr w:type="spellStart"/>
      <w:r w:rsidR="00D60A42">
        <w:t>Remi</w:t>
      </w:r>
      <w:proofErr w:type="spellEnd"/>
      <w:r w:rsidR="00D60A42">
        <w:t xml:space="preserve"> </w:t>
      </w:r>
      <w:proofErr w:type="spellStart"/>
      <w:r w:rsidR="00D60A42">
        <w:t>Kaupp</w:t>
      </w:r>
      <w:proofErr w:type="spellEnd"/>
      <w:r w:rsidR="00D60A42">
        <w:t xml:space="preserve"> </w:t>
      </w:r>
      <w:r w:rsidR="00D60A42" w:rsidRPr="00257429">
        <w:rPr>
          <w:lang w:eastAsia="en-GB"/>
        </w:rPr>
        <w:t>notes that “</w:t>
      </w:r>
      <w:r w:rsidR="00D60A42">
        <w:rPr>
          <w:lang w:eastAsia="en-GB"/>
        </w:rPr>
        <w:t>t</w:t>
      </w:r>
      <w:r w:rsidR="00D60A42" w:rsidRPr="00257429">
        <w:rPr>
          <w:lang w:eastAsia="en-GB"/>
        </w:rPr>
        <w:t>he first and most important point is the shift towards recognition of these "squatters", which leads to the logical and painful next step: tenure”</w:t>
      </w:r>
      <w:r w:rsidR="00D60A42">
        <w:rPr>
          <w:rStyle w:val="Funotenzeichen"/>
          <w:lang w:eastAsia="en-GB"/>
        </w:rPr>
        <w:footnoteReference w:id="240"/>
      </w:r>
      <w:r w:rsidR="00D60A42" w:rsidRPr="00257429">
        <w:rPr>
          <w:lang w:eastAsia="en-GB"/>
        </w:rPr>
        <w:t>.</w:t>
      </w:r>
      <w:r w:rsidR="00D60A42">
        <w:rPr>
          <w:lang w:eastAsia="en-GB"/>
        </w:rPr>
        <w:t xml:space="preserve"> Ben Fawcett explains that lack of tenure can lead to a vicious cycle for tenants: </w:t>
      </w:r>
    </w:p>
    <w:p w:rsidR="00D60A42" w:rsidRPr="00BB3469" w:rsidRDefault="00D60A42" w:rsidP="00D60A42">
      <w:pPr>
        <w:spacing w:after="200"/>
        <w:ind w:left="720"/>
        <w:rPr>
          <w:i/>
        </w:rPr>
      </w:pPr>
      <w:r w:rsidRPr="00BB3469">
        <w:rPr>
          <w:i/>
        </w:rPr>
        <w:t>“Landlords don't want to spend their capital on toilets, or, if they do, they then put the rent up and poorer tenants then have to move to cheaper, un-toileted accommodation.”</w:t>
      </w:r>
      <w:r>
        <w:rPr>
          <w:rStyle w:val="Funotenzeichen"/>
          <w:i/>
        </w:rPr>
        <w:footnoteReference w:id="241"/>
      </w:r>
      <w:r w:rsidRPr="00BB3469">
        <w:rPr>
          <w:i/>
        </w:rPr>
        <w:t xml:space="preserve"> </w:t>
      </w:r>
    </w:p>
    <w:p w:rsidR="00542E98" w:rsidRDefault="001135E8" w:rsidP="00930B66">
      <w:pPr>
        <w:spacing w:after="200"/>
      </w:pPr>
      <w:r>
        <w:t>I</w:t>
      </w:r>
      <w:r w:rsidR="00930B66">
        <w:t>t is tempting to present a toilet as the solution to poor sanitation, like a water pump is the solution to dirty water</w:t>
      </w:r>
      <w:r>
        <w:t>. A challenge to</w:t>
      </w:r>
      <w:r w:rsidR="00930B66">
        <w:t xml:space="preserve"> campaign messages </w:t>
      </w:r>
      <w:r>
        <w:t xml:space="preserve">with the housing frame is how to </w:t>
      </w:r>
      <w:r w:rsidR="00930B66">
        <w:t>reflect</w:t>
      </w:r>
      <w:r w:rsidR="00D60A42">
        <w:t xml:space="preserve"> </w:t>
      </w:r>
      <w:r w:rsidR="00930B66">
        <w:t xml:space="preserve">that </w:t>
      </w:r>
      <w:r w:rsidR="00D60A42">
        <w:t xml:space="preserve">‘unofficial’ slum dwellers </w:t>
      </w:r>
      <w:r w:rsidR="00930B66">
        <w:t xml:space="preserve">often </w:t>
      </w:r>
      <w:r w:rsidR="00D60A42">
        <w:t>have little incentive in improving the toilet facilities in their homes “when they face the constant threat of forced eviction”</w:t>
      </w:r>
      <w:r w:rsidR="00D60A42">
        <w:rPr>
          <w:rStyle w:val="Funotenzeichen"/>
        </w:rPr>
        <w:footnoteReference w:id="242"/>
      </w:r>
      <w:r w:rsidR="00D60A42">
        <w:t xml:space="preserve">. </w:t>
      </w:r>
      <w:r w:rsidR="00930B66">
        <w:t>Another</w:t>
      </w:r>
      <w:r w:rsidR="00C23744">
        <w:t xml:space="preserve"> problem with a house-t</w:t>
      </w:r>
      <w:r>
        <w:t>o-house approach to toilet insta</w:t>
      </w:r>
      <w:r w:rsidR="00C23744">
        <w:t>llation is that “in densely populated urban areas, on-site latrines are seldom practical due to lack of space”</w:t>
      </w:r>
      <w:r w:rsidR="00C23744">
        <w:rPr>
          <w:rStyle w:val="Funotenzeichen"/>
        </w:rPr>
        <w:footnoteReference w:id="243"/>
      </w:r>
      <w:r w:rsidR="00C23744">
        <w:t xml:space="preserve">. </w:t>
      </w:r>
      <w:r w:rsidR="00542E98">
        <w:tab/>
      </w:r>
    </w:p>
    <w:p w:rsidR="00BA4A15" w:rsidRDefault="00BB3469" w:rsidP="00BA4A15">
      <w:pPr>
        <w:ind w:firstLine="720"/>
      </w:pPr>
      <w:r>
        <w:t xml:space="preserve">Among the good practices highlighted </w:t>
      </w:r>
      <w:r w:rsidR="00DA6FDE">
        <w:t>by</w:t>
      </w:r>
      <w:r>
        <w:t xml:space="preserve"> the Special Rapporteur is the work of </w:t>
      </w:r>
      <w:r w:rsidRPr="00753814">
        <w:rPr>
          <w:rStyle w:val="st1"/>
          <w:color w:val="000000"/>
        </w:rPr>
        <w:t>The Society for the Promotion of Area Resource Centres</w:t>
      </w:r>
      <w:r>
        <w:rPr>
          <w:rStyle w:val="st1"/>
          <w:rFonts w:ascii="Arial" w:hAnsi="Arial" w:cs="Arial"/>
          <w:color w:val="000000"/>
        </w:rPr>
        <w:t xml:space="preserve"> (</w:t>
      </w:r>
      <w:r>
        <w:t>SPARC) in India</w:t>
      </w:r>
      <w:r w:rsidR="00F97488">
        <w:t>.</w:t>
      </w:r>
      <w:r w:rsidR="002A790F">
        <w:t xml:space="preserve"> </w:t>
      </w:r>
      <w:r w:rsidR="00F97488">
        <w:t>SPARC</w:t>
      </w:r>
      <w:r w:rsidR="002A790F">
        <w:t xml:space="preserve"> concentrate</w:t>
      </w:r>
      <w:r>
        <w:t xml:space="preserve"> on “the construction of community toilets within slums”</w:t>
      </w:r>
      <w:r>
        <w:rPr>
          <w:rStyle w:val="Funotenzeichen"/>
        </w:rPr>
        <w:footnoteReference w:id="244"/>
      </w:r>
      <w:r w:rsidR="002A790F">
        <w:t xml:space="preserve">. </w:t>
      </w:r>
      <w:r>
        <w:t>Homeless International partners with SPARC in India</w:t>
      </w:r>
      <w:r w:rsidRPr="00A81AFA">
        <w:rPr>
          <w:rFonts w:ascii="Tahoma" w:hAnsi="Tahoma" w:cs="Tahoma"/>
          <w:color w:val="FF0000"/>
          <w:sz w:val="20"/>
          <w:szCs w:val="20"/>
          <w:lang w:eastAsia="en-GB"/>
        </w:rPr>
        <w:t xml:space="preserve"> </w:t>
      </w:r>
      <w:r w:rsidRPr="00A81AFA">
        <w:rPr>
          <w:lang w:eastAsia="en-GB"/>
        </w:rPr>
        <w:t xml:space="preserve">and </w:t>
      </w:r>
      <w:proofErr w:type="spellStart"/>
      <w:r w:rsidR="002A790F">
        <w:rPr>
          <w:lang w:eastAsia="en-GB"/>
        </w:rPr>
        <w:t>Remi</w:t>
      </w:r>
      <w:proofErr w:type="spellEnd"/>
      <w:r w:rsidR="002A790F">
        <w:rPr>
          <w:lang w:eastAsia="en-GB"/>
        </w:rPr>
        <w:t xml:space="preserve"> </w:t>
      </w:r>
      <w:proofErr w:type="spellStart"/>
      <w:r w:rsidR="002A790F">
        <w:rPr>
          <w:lang w:eastAsia="en-GB"/>
        </w:rPr>
        <w:t>Kaupp</w:t>
      </w:r>
      <w:proofErr w:type="spellEnd"/>
      <w:r w:rsidR="002A790F">
        <w:rPr>
          <w:lang w:eastAsia="en-GB"/>
        </w:rPr>
        <w:t xml:space="preserve"> underlines</w:t>
      </w:r>
      <w:r>
        <w:rPr>
          <w:lang w:eastAsia="en-GB"/>
        </w:rPr>
        <w:t xml:space="preserve"> the</w:t>
      </w:r>
      <w:r w:rsidR="002A790F">
        <w:rPr>
          <w:lang w:eastAsia="en-GB"/>
        </w:rPr>
        <w:t>ir</w:t>
      </w:r>
      <w:r>
        <w:rPr>
          <w:lang w:eastAsia="en-GB"/>
        </w:rPr>
        <w:t xml:space="preserve"> role</w:t>
      </w:r>
      <w:r w:rsidR="001135E8">
        <w:rPr>
          <w:lang w:eastAsia="en-GB"/>
        </w:rPr>
        <w:t>:</w:t>
      </w:r>
      <w:r>
        <w:rPr>
          <w:lang w:eastAsia="en-GB"/>
        </w:rPr>
        <w:t xml:space="preserve"> </w:t>
      </w:r>
      <w:r w:rsidR="002A790F">
        <w:rPr>
          <w:lang w:eastAsia="en-GB"/>
        </w:rPr>
        <w:t>“</w:t>
      </w:r>
      <w:r w:rsidRPr="00A81AFA">
        <w:rPr>
          <w:lang w:eastAsia="en-GB"/>
        </w:rPr>
        <w:t>SPARC builds capacity of community groups so that they can bid for contracts, and get public subsidies to build and manage toilet blocks”</w:t>
      </w:r>
      <w:r>
        <w:rPr>
          <w:lang w:eastAsia="en-GB"/>
        </w:rPr>
        <w:t xml:space="preserve">. </w:t>
      </w:r>
      <w:r w:rsidR="00AA67D0">
        <w:t xml:space="preserve">Organisations such as SPARC </w:t>
      </w:r>
      <w:r w:rsidR="00BA4A15">
        <w:t>can show</w:t>
      </w:r>
      <w:r>
        <w:t xml:space="preserve"> how innovative business </w:t>
      </w:r>
      <w:r w:rsidR="001135E8">
        <w:t xml:space="preserve">models </w:t>
      </w:r>
      <w:r>
        <w:t>can encourage behavioural change and inject new economic growth</w:t>
      </w:r>
      <w:r w:rsidR="00AA67D0">
        <w:t xml:space="preserve">. </w:t>
      </w:r>
      <w:r w:rsidR="00DD23F9">
        <w:t>Albuquerque’s ‘</w:t>
      </w:r>
      <w:r w:rsidR="00BA4A15">
        <w:t>Compendium of Good Practices</w:t>
      </w:r>
      <w:r w:rsidR="00DD23F9">
        <w:t>’</w:t>
      </w:r>
      <w:r w:rsidR="00BA4A15">
        <w:t xml:space="preserve"> also identifies the work of “</w:t>
      </w:r>
      <w:r w:rsidR="00BA4A15" w:rsidRPr="00BA4A15">
        <w:rPr>
          <w:bCs/>
        </w:rPr>
        <w:t>sanitation entrepreneurs</w:t>
      </w:r>
      <w:r w:rsidR="00BA4A15">
        <w:rPr>
          <w:b/>
          <w:bCs/>
        </w:rPr>
        <w:t>”</w:t>
      </w:r>
      <w:r w:rsidR="00BA4A15" w:rsidRPr="002372CB">
        <w:rPr>
          <w:b/>
          <w:bCs/>
        </w:rPr>
        <w:t xml:space="preserve"> </w:t>
      </w:r>
      <w:r w:rsidR="00BA4A15" w:rsidRPr="002372CB">
        <w:t xml:space="preserve">in </w:t>
      </w:r>
      <w:r w:rsidR="00BA4A15" w:rsidRPr="00BA4A15">
        <w:rPr>
          <w:bCs/>
        </w:rPr>
        <w:t>Malawi</w:t>
      </w:r>
      <w:r w:rsidR="00BA4A15">
        <w:rPr>
          <w:bCs/>
        </w:rPr>
        <w:t>, who:</w:t>
      </w:r>
      <w:r w:rsidR="00BA4A15" w:rsidRPr="00BA4A15">
        <w:t xml:space="preserve"> </w:t>
      </w:r>
    </w:p>
    <w:p w:rsidR="00BA4A15" w:rsidRPr="00BA4A15" w:rsidRDefault="00BA4A15" w:rsidP="00BA4A15">
      <w:pPr>
        <w:ind w:left="720"/>
        <w:rPr>
          <w:i/>
        </w:rPr>
      </w:pPr>
      <w:r>
        <w:br/>
      </w:r>
      <w:r w:rsidRPr="00BA4A15">
        <w:rPr>
          <w:i/>
        </w:rPr>
        <w:t>“</w:t>
      </w:r>
      <w:r>
        <w:rPr>
          <w:i/>
        </w:rPr>
        <w:t>W</w:t>
      </w:r>
      <w:r w:rsidRPr="00BA4A15">
        <w:rPr>
          <w:i/>
        </w:rPr>
        <w:t>ork with local communities to encourage construction of eco-latrines, so that households can benefit from the additional income of either selling manure or improving their crops – usually bananas - using their own manure”</w:t>
      </w:r>
      <w:r>
        <w:rPr>
          <w:rStyle w:val="Funotenzeichen"/>
          <w:i/>
        </w:rPr>
        <w:footnoteReference w:id="245"/>
      </w:r>
      <w:r w:rsidRPr="00BA4A15">
        <w:rPr>
          <w:i/>
        </w:rPr>
        <w:t xml:space="preserve">. </w:t>
      </w:r>
    </w:p>
    <w:p w:rsidR="00B03AA0" w:rsidRDefault="00B03AA0" w:rsidP="00BA4A15">
      <w:pPr>
        <w:spacing w:after="200"/>
        <w:ind w:firstLine="720"/>
      </w:pPr>
      <w:r>
        <w:br/>
      </w:r>
      <w:r w:rsidR="00DD23F9">
        <w:t>Successful rural and urban sanitation development projects such as these provide case studies</w:t>
      </w:r>
      <w:r w:rsidR="00DD23F9">
        <w:rPr>
          <w:rFonts w:ascii="Tahoma" w:hAnsi="Tahoma" w:cs="Tahoma"/>
          <w:noProof/>
          <w:vanish/>
          <w:color w:val="333333"/>
          <w:sz w:val="10"/>
          <w:szCs w:val="10"/>
          <w:lang w:val="de-DE" w:eastAsia="de-DE"/>
        </w:rPr>
        <w:drawing>
          <wp:inline distT="0" distB="0" distL="0" distR="0">
            <wp:extent cx="5731510" cy="4300056"/>
            <wp:effectExtent l="19050" t="0" r="2540" b="0"/>
            <wp:docPr id="4" name="Picture 4" descr="http://a2.sphotos.ak.fbcdn.net/hphotos-ak-snc3/13752_1280502408416_1105737096_30903703_81573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2.sphotos.ak.fbcdn.net/hphotos-ak-snc3/13752_1280502408416_1105737096_30903703_8157371_n.jpg"/>
                    <pic:cNvPicPr>
                      <a:picLocks noChangeAspect="1" noChangeArrowheads="1"/>
                    </pic:cNvPicPr>
                  </pic:nvPicPr>
                  <pic:blipFill>
                    <a:blip r:embed="rId11"/>
                    <a:srcRect/>
                    <a:stretch>
                      <a:fillRect/>
                    </a:stretch>
                  </pic:blipFill>
                  <pic:spPr bwMode="auto">
                    <a:xfrm>
                      <a:off x="0" y="0"/>
                      <a:ext cx="5731510" cy="4300056"/>
                    </a:xfrm>
                    <a:prstGeom prst="rect">
                      <a:avLst/>
                    </a:prstGeom>
                    <a:noFill/>
                    <a:ln w="9525">
                      <a:noFill/>
                      <a:miter lim="800000"/>
                      <a:headEnd/>
                      <a:tailEnd/>
                    </a:ln>
                  </pic:spPr>
                </pic:pic>
              </a:graphicData>
            </a:graphic>
          </wp:inline>
        </w:drawing>
      </w:r>
      <w:r w:rsidR="00DD23F9" w:rsidRPr="00A40911">
        <w:rPr>
          <w:rFonts w:ascii="Tahoma" w:hAnsi="Tahoma" w:cs="Tahoma"/>
          <w:vanish/>
          <w:color w:val="333333"/>
          <w:sz w:val="17"/>
          <w:szCs w:val="17"/>
        </w:rPr>
        <w:t xml:space="preserve"> </w:t>
      </w:r>
      <w:r w:rsidR="00DD23F9">
        <w:rPr>
          <w:rFonts w:ascii="Tahoma" w:hAnsi="Tahoma" w:cs="Tahoma"/>
          <w:noProof/>
          <w:vanish/>
          <w:color w:val="333333"/>
          <w:sz w:val="17"/>
          <w:szCs w:val="17"/>
          <w:lang w:val="de-DE" w:eastAsia="de-DE"/>
        </w:rPr>
        <w:drawing>
          <wp:inline distT="0" distB="0" distL="0" distR="0">
            <wp:extent cx="5731510" cy="4298633"/>
            <wp:effectExtent l="19050" t="0" r="2540" b="0"/>
            <wp:docPr id="5" name="Picture 1" descr="http://a2.sphotos.ak.fbcdn.net/hphotos-ak-snc3/13752_1280502408416_1105737096_30903703_81573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sphotos.ak.fbcdn.net/hphotos-ak-snc3/13752_1280502408416_1105737096_30903703_8157371_n.jpg"/>
                    <pic:cNvPicPr>
                      <a:picLocks noChangeAspect="1" noChangeArrowheads="1"/>
                    </pic:cNvPicPr>
                  </pic:nvPicPr>
                  <pic:blipFill>
                    <a:blip r:embed="rId11"/>
                    <a:srcRect/>
                    <a:stretch>
                      <a:fillRect/>
                    </a:stretch>
                  </pic:blipFill>
                  <pic:spPr bwMode="auto">
                    <a:xfrm>
                      <a:off x="0" y="0"/>
                      <a:ext cx="5731510" cy="4298633"/>
                    </a:xfrm>
                    <a:prstGeom prst="rect">
                      <a:avLst/>
                    </a:prstGeom>
                    <a:noFill/>
                    <a:ln w="9525">
                      <a:noFill/>
                      <a:miter lim="800000"/>
                      <a:headEnd/>
                      <a:tailEnd/>
                    </a:ln>
                  </pic:spPr>
                </pic:pic>
              </a:graphicData>
            </a:graphic>
          </wp:inline>
        </w:drawing>
      </w:r>
      <w:r w:rsidR="00DD23F9">
        <w:t xml:space="preserve"> that bring positive frames to sanitation campaigning.</w:t>
      </w:r>
    </w:p>
    <w:p w:rsidR="00B216B9" w:rsidRDefault="00B216B9" w:rsidP="00B216B9">
      <w:pPr>
        <w:spacing w:after="200"/>
        <w:rPr>
          <w:b/>
          <w:u w:val="single"/>
        </w:rPr>
      </w:pPr>
    </w:p>
    <w:p w:rsidR="00B216B9" w:rsidRDefault="00B216B9" w:rsidP="00AD348C">
      <w:pPr>
        <w:spacing w:after="200"/>
        <w:rPr>
          <w:b/>
          <w:u w:val="single"/>
        </w:rPr>
      </w:pPr>
    </w:p>
    <w:p w:rsidR="00B216B9" w:rsidRDefault="00B216B9" w:rsidP="00AD348C">
      <w:pPr>
        <w:spacing w:after="200"/>
        <w:rPr>
          <w:b/>
          <w:u w:val="single"/>
        </w:rPr>
      </w:pPr>
    </w:p>
    <w:p w:rsidR="00B216B9" w:rsidRDefault="00B216B9" w:rsidP="00AD348C">
      <w:pPr>
        <w:spacing w:after="200"/>
        <w:rPr>
          <w:b/>
          <w:u w:val="single"/>
        </w:rPr>
      </w:pPr>
    </w:p>
    <w:p w:rsidR="00685676" w:rsidRDefault="00685676" w:rsidP="00AD348C">
      <w:pPr>
        <w:spacing w:after="200"/>
        <w:rPr>
          <w:b/>
          <w:u w:val="single"/>
        </w:rPr>
      </w:pPr>
    </w:p>
    <w:p w:rsidR="00685676" w:rsidRDefault="00685676" w:rsidP="00AD348C">
      <w:pPr>
        <w:spacing w:after="200"/>
        <w:rPr>
          <w:b/>
          <w:u w:val="single"/>
        </w:rPr>
      </w:pPr>
    </w:p>
    <w:p w:rsidR="00685676" w:rsidRDefault="00685676" w:rsidP="00AD348C">
      <w:pPr>
        <w:spacing w:after="200"/>
        <w:rPr>
          <w:b/>
          <w:u w:val="single"/>
        </w:rPr>
      </w:pPr>
    </w:p>
    <w:p w:rsidR="00685676" w:rsidRDefault="00685676" w:rsidP="00AD348C">
      <w:pPr>
        <w:spacing w:after="200"/>
        <w:rPr>
          <w:b/>
          <w:u w:val="single"/>
        </w:rPr>
      </w:pPr>
    </w:p>
    <w:p w:rsidR="00685676" w:rsidRDefault="00685676"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296590" w:rsidRDefault="00296590" w:rsidP="00AD348C">
      <w:pPr>
        <w:spacing w:after="200"/>
        <w:rPr>
          <w:b/>
          <w:u w:val="single"/>
        </w:rPr>
      </w:pPr>
    </w:p>
    <w:p w:rsidR="00A205AB" w:rsidRDefault="00A205AB" w:rsidP="00AD348C">
      <w:pPr>
        <w:spacing w:after="200"/>
        <w:rPr>
          <w:b/>
          <w:u w:val="single"/>
        </w:rPr>
      </w:pPr>
    </w:p>
    <w:p w:rsidR="007D0C8E" w:rsidRDefault="00F758BC" w:rsidP="00AD348C">
      <w:pPr>
        <w:spacing w:after="200"/>
        <w:rPr>
          <w:b/>
          <w:u w:val="single"/>
        </w:rPr>
      </w:pPr>
      <w:r w:rsidRPr="00F758BC">
        <w:rPr>
          <w:b/>
          <w:u w:val="single"/>
        </w:rPr>
        <w:t>Chapter 3:</w:t>
      </w:r>
      <w:r w:rsidR="00196F6A">
        <w:rPr>
          <w:b/>
          <w:u w:val="single"/>
        </w:rPr>
        <w:t xml:space="preserve"> </w:t>
      </w:r>
      <w:r w:rsidR="00530A72">
        <w:rPr>
          <w:b/>
          <w:u w:val="single"/>
        </w:rPr>
        <w:t xml:space="preserve">Reframing and </w:t>
      </w:r>
      <w:r w:rsidR="009146A1">
        <w:rPr>
          <w:b/>
          <w:u w:val="single"/>
        </w:rPr>
        <w:t xml:space="preserve">Any </w:t>
      </w:r>
      <w:r w:rsidR="00530A72">
        <w:rPr>
          <w:b/>
          <w:u w:val="single"/>
        </w:rPr>
        <w:t>O</w:t>
      </w:r>
      <w:r w:rsidR="009146A1">
        <w:rPr>
          <w:b/>
          <w:u w:val="single"/>
        </w:rPr>
        <w:t xml:space="preserve">ther business </w:t>
      </w:r>
      <w:r w:rsidR="00196F6A">
        <w:rPr>
          <w:b/>
          <w:u w:val="single"/>
        </w:rPr>
        <w:t xml:space="preserve"> </w:t>
      </w:r>
      <w:r w:rsidRPr="00F758BC">
        <w:rPr>
          <w:b/>
          <w:u w:val="single"/>
        </w:rPr>
        <w:t xml:space="preserve"> </w:t>
      </w:r>
      <w:r w:rsidR="00296590">
        <w:rPr>
          <w:b/>
          <w:u w:val="single"/>
        </w:rPr>
        <w:br/>
      </w:r>
    </w:p>
    <w:p w:rsidR="000B76ED" w:rsidRPr="000802E1" w:rsidRDefault="007D0C8E" w:rsidP="000B76ED">
      <w:pPr>
        <w:spacing w:after="200"/>
        <w:rPr>
          <w:b/>
          <w:i/>
        </w:rPr>
      </w:pPr>
      <w:r>
        <w:rPr>
          <w:b/>
          <w:i/>
        </w:rPr>
        <w:t>3.</w:t>
      </w:r>
      <w:r w:rsidR="000B76ED">
        <w:rPr>
          <w:b/>
          <w:i/>
        </w:rPr>
        <w:t>1</w:t>
      </w:r>
      <w:r>
        <w:rPr>
          <w:b/>
          <w:i/>
        </w:rPr>
        <w:tab/>
        <w:t>Same shit</w:t>
      </w:r>
      <w:r w:rsidR="00296590">
        <w:rPr>
          <w:b/>
          <w:i/>
        </w:rPr>
        <w:t>, different day</w:t>
      </w:r>
    </w:p>
    <w:p w:rsidR="000B76ED" w:rsidRPr="00D948DF" w:rsidRDefault="000B76ED" w:rsidP="00D97E79">
      <w:pPr>
        <w:spacing w:after="200"/>
        <w:ind w:firstLine="720"/>
      </w:pPr>
      <w:r>
        <w:t>A</w:t>
      </w:r>
      <w:r w:rsidR="00216A99">
        <w:t xml:space="preserve"> major</w:t>
      </w:r>
      <w:r>
        <w:t xml:space="preserve"> </w:t>
      </w:r>
      <w:r w:rsidR="00216A99">
        <w:t>challenge</w:t>
      </w:r>
      <w:r>
        <w:t xml:space="preserve"> facing any campaign that seeks to raise awareness about sanitation is the threat of Moeller’s (1999) “compassion fatigue”. This term relates to the desensitising of the public and donors to global crises: “if the public doesn’t know, or knowing cannot relate in some explicit way to an event or issue, then it’s off the radar”</w:t>
      </w:r>
      <w:r>
        <w:rPr>
          <w:rStyle w:val="Funotenzeichen"/>
        </w:rPr>
        <w:footnoteReference w:id="246"/>
      </w:r>
      <w:r>
        <w:t xml:space="preserve">. As Moeller notes “the most devastating effect of compassion fatigue: no attention, no interest, </w:t>
      </w:r>
      <w:proofErr w:type="gramStart"/>
      <w:r>
        <w:t>no</w:t>
      </w:r>
      <w:proofErr w:type="gramEnd"/>
      <w:r>
        <w:t xml:space="preserve"> story”</w:t>
      </w:r>
      <w:r>
        <w:rPr>
          <w:rStyle w:val="Funotenzeichen"/>
        </w:rPr>
        <w:footnoteReference w:id="247"/>
      </w:r>
      <w:r>
        <w:t>. Moeller speaks of a “reciprocal circularity” in press reporting of such “low-intens</w:t>
      </w:r>
      <w:r w:rsidR="00216A99">
        <w:t>ity crises” and suggest that</w:t>
      </w:r>
      <w:r>
        <w:t xml:space="preserve"> “droning ‘same-as-it-ever-was’ coverage”</w:t>
      </w:r>
      <w:r w:rsidR="00742786">
        <w:rPr>
          <w:rStyle w:val="Funotenzeichen"/>
        </w:rPr>
        <w:footnoteReference w:id="248"/>
      </w:r>
      <w:r>
        <w:t xml:space="preserve"> creates a cycle of apathy and reinforces a s</w:t>
      </w:r>
      <w:r w:rsidR="001258D3">
        <w:t xml:space="preserve">ense of underlying hopelessness. Essentially </w:t>
      </w:r>
      <w:r>
        <w:t xml:space="preserve">the problem is </w:t>
      </w:r>
      <w:r w:rsidR="001258D3">
        <w:t xml:space="preserve">perceived as </w:t>
      </w:r>
      <w:r>
        <w:t xml:space="preserve">natural and unfixable. </w:t>
      </w:r>
      <w:r w:rsidR="001E118D">
        <w:t xml:space="preserve">Keck and </w:t>
      </w:r>
      <w:proofErr w:type="spellStart"/>
      <w:r w:rsidR="001E118D">
        <w:t>Sikkink</w:t>
      </w:r>
      <w:proofErr w:type="spellEnd"/>
      <w:r w:rsidR="001E118D">
        <w:t xml:space="preserve"> (1998) suggest that a successful cognitive frame “must show that a given state of affairs is neither natural nor accidental, identify the responsible party or parties</w:t>
      </w:r>
      <w:r w:rsidR="001258D3">
        <w:t xml:space="preserve"> and propose credible solutions</w:t>
      </w:r>
      <w:r w:rsidR="001E118D">
        <w:t>”</w:t>
      </w:r>
      <w:r w:rsidR="001E118D">
        <w:rPr>
          <w:rStyle w:val="Funotenzeichen"/>
        </w:rPr>
        <w:footnoteReference w:id="249"/>
      </w:r>
      <w:r w:rsidR="001258D3">
        <w:t xml:space="preserve">. </w:t>
      </w:r>
      <w:proofErr w:type="spellStart"/>
      <w:r w:rsidR="00D97E79">
        <w:t>Darnton</w:t>
      </w:r>
      <w:proofErr w:type="spellEnd"/>
      <w:r w:rsidR="00D97E79">
        <w:t xml:space="preserve"> and Kirk (2011) write of how</w:t>
      </w:r>
      <w:r>
        <w:t xml:space="preserve"> that the “Live Aid legacy” continues to cast “the UK public in the role of powerful giver and the African public as grateful receiver”</w:t>
      </w:r>
      <w:r>
        <w:rPr>
          <w:rStyle w:val="Funotenzeichen"/>
        </w:rPr>
        <w:footnoteReference w:id="250"/>
      </w:r>
      <w:r>
        <w:t xml:space="preserve">. Despite the awareness-raising and funds gained from Live Aid in 1985, </w:t>
      </w:r>
      <w:proofErr w:type="spellStart"/>
      <w:r>
        <w:t>Darnton</w:t>
      </w:r>
      <w:proofErr w:type="spellEnd"/>
      <w:r>
        <w:t xml:space="preserve"> and Kirk (2011) argue that a “charity-based development model” developed which still “entrenches uneven power structure</w:t>
      </w:r>
      <w:r w:rsidR="001258D3">
        <w:t>s and results in aid dependency</w:t>
      </w:r>
      <w:r>
        <w:t>”</w:t>
      </w:r>
      <w:r>
        <w:rPr>
          <w:rStyle w:val="Funotenzeichen"/>
        </w:rPr>
        <w:footnoteReference w:id="251"/>
      </w:r>
      <w:r w:rsidR="001258D3">
        <w:t>.</w:t>
      </w:r>
      <w:r w:rsidRPr="00DF3543">
        <w:t xml:space="preserve"> </w:t>
      </w:r>
      <w:proofErr w:type="spellStart"/>
      <w:r>
        <w:t>Darton</w:t>
      </w:r>
      <w:proofErr w:type="spellEnd"/>
      <w:r>
        <w:t xml:space="preserve"> and Kirk (2011) suggest that the UK public is currently “stuck in terms of how it engages with global poverty”</w:t>
      </w:r>
      <w:r>
        <w:rPr>
          <w:rStyle w:val="Funotenzeichen"/>
        </w:rPr>
        <w:footnoteReference w:id="252"/>
      </w:r>
      <w:r>
        <w:t xml:space="preserve">  and point to a worrying trend which is seeing both a drop-off in public support for development spending</w:t>
      </w:r>
      <w:r>
        <w:rPr>
          <w:rStyle w:val="Funotenzeichen"/>
        </w:rPr>
        <w:footnoteReference w:id="253"/>
      </w:r>
      <w:r>
        <w:t xml:space="preserve"> and a growing despondency with international aid. </w:t>
      </w:r>
      <w:r w:rsidR="00296590">
        <w:t xml:space="preserve">The global sanitation crisis is a slow burning disaster. It is an </w:t>
      </w:r>
      <w:proofErr w:type="spellStart"/>
      <w:r w:rsidR="00296590">
        <w:t>ongoing</w:t>
      </w:r>
      <w:proofErr w:type="spellEnd"/>
      <w:r w:rsidR="00296590">
        <w:t>, yet unspectacula</w:t>
      </w:r>
      <w:r w:rsidR="00D97E79">
        <w:t>r crisis of massive consequence</w:t>
      </w:r>
      <w:r w:rsidR="00296590">
        <w:t xml:space="preserve"> to human life. </w:t>
      </w:r>
      <w:r w:rsidR="00D97E79">
        <w:t>As such, t</w:t>
      </w:r>
      <w:r w:rsidR="00296590">
        <w:t>here are no flash floods or explosions to focus press attention and shit is certainly no headline-grabber.</w:t>
      </w:r>
      <w:r w:rsidR="00D948DF">
        <w:br/>
      </w:r>
    </w:p>
    <w:p w:rsidR="00BD424A" w:rsidRPr="00296590" w:rsidRDefault="00D22816" w:rsidP="00296590">
      <w:pPr>
        <w:spacing w:after="200"/>
      </w:pPr>
      <w:r>
        <w:rPr>
          <w:b/>
          <w:i/>
        </w:rPr>
        <w:t>3.</w:t>
      </w:r>
      <w:r w:rsidR="000B76ED">
        <w:rPr>
          <w:b/>
          <w:i/>
        </w:rPr>
        <w:t>2</w:t>
      </w:r>
      <w:r>
        <w:rPr>
          <w:b/>
          <w:i/>
        </w:rPr>
        <w:tab/>
      </w:r>
      <w:r w:rsidR="00D54F5D" w:rsidRPr="00D54F5D">
        <w:rPr>
          <w:b/>
          <w:i/>
        </w:rPr>
        <w:t>So what do we call it?</w:t>
      </w:r>
      <w:r w:rsidR="00BD424A">
        <w:rPr>
          <w:b/>
          <w:i/>
        </w:rPr>
        <w:tab/>
      </w:r>
    </w:p>
    <w:p w:rsidR="00BD424A" w:rsidRPr="00BD424A" w:rsidRDefault="00BD424A" w:rsidP="00BD424A">
      <w:pPr>
        <w:pStyle w:val="Listenabsatz"/>
        <w:rPr>
          <w:i/>
        </w:rPr>
      </w:pPr>
      <w:r>
        <w:rPr>
          <w:i/>
        </w:rPr>
        <w:t>“</w:t>
      </w:r>
      <w:r w:rsidRPr="00BD424A">
        <w:rPr>
          <w:i/>
        </w:rPr>
        <w:t xml:space="preserve">Even the word </w:t>
      </w:r>
      <w:r>
        <w:rPr>
          <w:i/>
        </w:rPr>
        <w:t>‘</w:t>
      </w:r>
      <w:r w:rsidRPr="00BD424A">
        <w:rPr>
          <w:i/>
        </w:rPr>
        <w:t>sanitation</w:t>
      </w:r>
      <w:r>
        <w:rPr>
          <w:i/>
        </w:rPr>
        <w:t>’</w:t>
      </w:r>
      <w:r w:rsidRPr="00BD424A">
        <w:rPr>
          <w:i/>
        </w:rPr>
        <w:t xml:space="preserve"> is sanitised</w:t>
      </w:r>
      <w:r>
        <w:rPr>
          <w:i/>
        </w:rPr>
        <w:t>, perpetuating ancient taboos about discussing human waste, obscuring and institutionalising the simple reality than evacuating waste is a natural human function that must be treated with dignity and respect”</w:t>
      </w:r>
      <w:r>
        <w:rPr>
          <w:rStyle w:val="Funotenzeichen"/>
          <w:i/>
        </w:rPr>
        <w:footnoteReference w:id="254"/>
      </w:r>
    </w:p>
    <w:p w:rsidR="006D412B" w:rsidRDefault="006D412B" w:rsidP="00667130">
      <w:pPr>
        <w:ind w:firstLine="720"/>
      </w:pPr>
    </w:p>
    <w:p w:rsidR="00530A72" w:rsidRDefault="001B7C3E" w:rsidP="000B76ED">
      <w:pPr>
        <w:ind w:firstLine="720"/>
      </w:pPr>
      <w:r>
        <w:t xml:space="preserve">One challenge </w:t>
      </w:r>
      <w:r w:rsidR="00F97488">
        <w:t>in the design of sanitation campaign messaging</w:t>
      </w:r>
      <w:r>
        <w:t xml:space="preserve"> is finding the correct wording.  </w:t>
      </w:r>
      <w:r w:rsidR="00667130">
        <w:t xml:space="preserve">Keck and </w:t>
      </w:r>
      <w:proofErr w:type="spellStart"/>
      <w:r w:rsidR="00667130">
        <w:t>Sikkink</w:t>
      </w:r>
      <w:proofErr w:type="spellEnd"/>
      <w:r w:rsidR="00667130">
        <w:t xml:space="preserve"> assert that successful framing requires “clear, powerful messages that appeal to shared principles”</w:t>
      </w:r>
      <w:r w:rsidR="00667130">
        <w:rPr>
          <w:rStyle w:val="Funotenzeichen"/>
        </w:rPr>
        <w:footnoteReference w:id="255"/>
      </w:r>
      <w:r w:rsidR="00667130">
        <w:t xml:space="preserve">. Ben Fawcett points to a need for </w:t>
      </w:r>
      <w:r w:rsidR="00667130" w:rsidRPr="00DE2172">
        <w:t>“</w:t>
      </w:r>
      <w:r w:rsidR="00667130" w:rsidRPr="00DE2172">
        <w:rPr>
          <w:lang w:eastAsia="en-GB"/>
        </w:rPr>
        <w:t>hard-hitting but 'attractive' messages</w:t>
      </w:r>
      <w:r w:rsidR="00667130">
        <w:rPr>
          <w:lang w:eastAsia="en-GB"/>
        </w:rPr>
        <w:t>”</w:t>
      </w:r>
      <w:r w:rsidR="00667130" w:rsidRPr="00DE2172">
        <w:rPr>
          <w:lang w:eastAsia="en-GB"/>
        </w:rPr>
        <w:t xml:space="preserve"> </w:t>
      </w:r>
      <w:r w:rsidR="00667130">
        <w:rPr>
          <w:lang w:eastAsia="en-GB"/>
        </w:rPr>
        <w:t>that are “</w:t>
      </w:r>
      <w:r w:rsidR="00667130" w:rsidRPr="00DE2172">
        <w:rPr>
          <w:lang w:eastAsia="en-GB"/>
        </w:rPr>
        <w:t>presented in ways that can't be avoided”.</w:t>
      </w:r>
      <w:r w:rsidR="00667130">
        <w:rPr>
          <w:lang w:eastAsia="en-GB"/>
        </w:rPr>
        <w:t xml:space="preserve"> </w:t>
      </w:r>
      <w:r w:rsidR="00D54F5D">
        <w:t>Fleur Anderson of EWP suggests that part of the problem is that “</w:t>
      </w:r>
      <w:r w:rsidR="00D54F5D" w:rsidRPr="000F1610">
        <w:t>the word sanitation, it’s not a word we use</w:t>
      </w:r>
      <w:r w:rsidR="00D54F5D">
        <w:t>”</w:t>
      </w:r>
      <w:r w:rsidR="004F2A07">
        <w:rPr>
          <w:rStyle w:val="Funotenzeichen"/>
        </w:rPr>
        <w:footnoteReference w:id="256"/>
      </w:r>
      <w:r w:rsidR="00D54F5D">
        <w:t xml:space="preserve">. A view shared by Kate </w:t>
      </w:r>
      <w:proofErr w:type="spellStart"/>
      <w:r w:rsidR="00D54F5D">
        <w:t>Norgrove</w:t>
      </w:r>
      <w:proofErr w:type="spellEnd"/>
      <w:r w:rsidR="00D54F5D">
        <w:t xml:space="preserve">, Head of Campaigns for </w:t>
      </w:r>
      <w:proofErr w:type="spellStart"/>
      <w:r w:rsidR="00D54F5D">
        <w:t>WaterAid</w:t>
      </w:r>
      <w:proofErr w:type="spellEnd"/>
      <w:r w:rsidR="00D54F5D">
        <w:t xml:space="preserve"> UK who notes that </w:t>
      </w:r>
      <w:r w:rsidR="00D54F5D" w:rsidRPr="000F1610">
        <w:t xml:space="preserve">“It’s difficult to talk about sanitation; the word itself is quite obscure”. </w:t>
      </w:r>
      <w:r w:rsidR="00D54F5D">
        <w:t>Rose George (2008) also acknowledges that “there is no neutral word for what humans produce at least once a day”</w:t>
      </w:r>
      <w:r w:rsidR="00D54F5D">
        <w:rPr>
          <w:rStyle w:val="Funotenzeichen"/>
        </w:rPr>
        <w:footnoteReference w:id="257"/>
      </w:r>
      <w:r>
        <w:t xml:space="preserve">. </w:t>
      </w:r>
      <w:proofErr w:type="spellStart"/>
      <w:r>
        <w:t>Lakoff</w:t>
      </w:r>
      <w:proofErr w:type="spellEnd"/>
      <w:r>
        <w:t xml:space="preserve"> (2004) </w:t>
      </w:r>
      <w:r w:rsidR="002227C8">
        <w:t>emphasises the important of the correct wording when framing an issue “because language activates frames, new language is required for new frames”</w:t>
      </w:r>
      <w:r w:rsidR="002227C8">
        <w:rPr>
          <w:rStyle w:val="Funotenzeichen"/>
        </w:rPr>
        <w:footnoteReference w:id="258"/>
      </w:r>
      <w:r w:rsidR="00F97488">
        <w:t>.</w:t>
      </w:r>
      <w:r w:rsidR="002227C8">
        <w:t xml:space="preserve"> </w:t>
      </w:r>
    </w:p>
    <w:p w:rsidR="00530A72" w:rsidRDefault="00530A72" w:rsidP="000B76ED">
      <w:pPr>
        <w:ind w:firstLine="720"/>
      </w:pPr>
    </w:p>
    <w:p w:rsidR="00184AA4" w:rsidRDefault="00B37410" w:rsidP="000B76ED">
      <w:pPr>
        <w:ind w:firstLine="720"/>
      </w:pPr>
      <w:hyperlink r:id="rId12" w:tgtFrame="_blank" w:history="1">
        <w:r w:rsidR="002A42F1" w:rsidRPr="002A42F1">
          <w:rPr>
            <w:rStyle w:val="Hyperlink"/>
            <w:color w:val="auto"/>
            <w:u w:val="none"/>
          </w:rPr>
          <w:t xml:space="preserve">Ashleigh Graber and </w:t>
        </w:r>
        <w:proofErr w:type="spellStart"/>
        <w:r w:rsidR="002A42F1" w:rsidRPr="002A42F1">
          <w:rPr>
            <w:rStyle w:val="Hyperlink"/>
            <w:color w:val="auto"/>
            <w:u w:val="none"/>
          </w:rPr>
          <w:t>Kenan</w:t>
        </w:r>
        <w:proofErr w:type="spellEnd"/>
        <w:r w:rsidR="002A42F1" w:rsidRPr="002A42F1">
          <w:rPr>
            <w:rStyle w:val="Hyperlink"/>
            <w:color w:val="auto"/>
            <w:u w:val="none"/>
          </w:rPr>
          <w:t xml:space="preserve"> Reel</w:t>
        </w:r>
      </w:hyperlink>
      <w:r w:rsidR="002A42F1">
        <w:t xml:space="preserve"> took the best video award </w:t>
      </w:r>
      <w:r w:rsidR="003C7BAD">
        <w:t xml:space="preserve">from ‘Make Sanitation Sexy’ competition </w:t>
      </w:r>
      <w:r w:rsidR="002A42F1">
        <w:t xml:space="preserve">with their </w:t>
      </w:r>
      <w:r w:rsidR="00F97488">
        <w:t xml:space="preserve">short </w:t>
      </w:r>
      <w:r w:rsidR="00705071">
        <w:t>film</w:t>
      </w:r>
      <w:r w:rsidR="002A42F1">
        <w:t xml:space="preserve"> “Shit Talks. Talk Back”</w:t>
      </w:r>
      <w:r w:rsidR="00F97488">
        <w:t>. Their film</w:t>
      </w:r>
      <w:r w:rsidR="002A42F1">
        <w:t xml:space="preserve"> opens on the line “we all talk </w:t>
      </w:r>
      <w:r w:rsidR="00F97488">
        <w:t>it;</w:t>
      </w:r>
      <w:r w:rsidR="002A42F1">
        <w:t xml:space="preserve"> we just don’t talk about it”</w:t>
      </w:r>
      <w:r w:rsidR="002A42F1">
        <w:rPr>
          <w:rStyle w:val="Funotenzeichen"/>
        </w:rPr>
        <w:footnoteReference w:id="259"/>
      </w:r>
      <w:r w:rsidR="00F97488">
        <w:t>.</w:t>
      </w:r>
      <w:r w:rsidR="002A42F1" w:rsidRPr="002A42F1">
        <w:rPr>
          <w:rFonts w:ascii="Arial" w:hAnsi="Arial" w:cs="Arial"/>
        </w:rPr>
        <w:t xml:space="preserve"> </w:t>
      </w:r>
      <w:r w:rsidR="002A42F1">
        <w:t xml:space="preserve">The film </w:t>
      </w:r>
      <w:r w:rsidR="00F97488">
        <w:t xml:space="preserve">then </w:t>
      </w:r>
      <w:r w:rsidR="002A42F1">
        <w:t>r</w:t>
      </w:r>
      <w:r w:rsidR="002A42F1" w:rsidRPr="002A42F1">
        <w:t xml:space="preserve">uns through a list of alternate names </w:t>
      </w:r>
      <w:r w:rsidR="0072152E">
        <w:t xml:space="preserve">for faeces </w:t>
      </w:r>
      <w:r w:rsidR="002A42F1" w:rsidRPr="002A42F1">
        <w:t xml:space="preserve">and </w:t>
      </w:r>
      <w:r w:rsidR="0072152E">
        <w:t xml:space="preserve">concludes by </w:t>
      </w:r>
      <w:r w:rsidR="002A42F1" w:rsidRPr="002A42F1">
        <w:t>suggest</w:t>
      </w:r>
      <w:r w:rsidR="0072152E">
        <w:t>ing</w:t>
      </w:r>
      <w:r w:rsidR="002A42F1" w:rsidRPr="002A42F1">
        <w:t xml:space="preserve"> that the word </w:t>
      </w:r>
      <w:r w:rsidR="00F97488">
        <w:t>‘</w:t>
      </w:r>
      <w:r w:rsidR="002A42F1" w:rsidRPr="002A42F1">
        <w:t>shit</w:t>
      </w:r>
      <w:r w:rsidR="00F97488">
        <w:t>’</w:t>
      </w:r>
      <w:r w:rsidR="002A42F1" w:rsidRPr="002A42F1">
        <w:t xml:space="preserve"> has the most im</w:t>
      </w:r>
      <w:r w:rsidR="00F97488">
        <w:t>pact. Concluding with</w:t>
      </w:r>
      <w:r w:rsidR="002A42F1">
        <w:t xml:space="preserve"> </w:t>
      </w:r>
      <w:r w:rsidR="00F97488">
        <w:t xml:space="preserve">the line </w:t>
      </w:r>
      <w:r w:rsidR="002A42F1">
        <w:t>“</w:t>
      </w:r>
      <w:r w:rsidR="002A42F1" w:rsidRPr="002A42F1">
        <w:t>shit happens but we have to be able to talk about it if w</w:t>
      </w:r>
      <w:r w:rsidR="002A42F1">
        <w:t>e want t</w:t>
      </w:r>
      <w:r w:rsidR="0072152E">
        <w:t>o</w:t>
      </w:r>
      <w:r w:rsidR="002A42F1">
        <w:t xml:space="preserve"> do something about it”</w:t>
      </w:r>
      <w:r w:rsidR="00705071">
        <w:rPr>
          <w:rStyle w:val="Funotenzeichen"/>
        </w:rPr>
        <w:footnoteReference w:id="260"/>
      </w:r>
      <w:r w:rsidR="002A42F1">
        <w:t xml:space="preserve">. </w:t>
      </w:r>
      <w:r w:rsidR="00184AA4">
        <w:t>George (2008) describes the “brilliant core” of CLTS as “disgust”</w:t>
      </w:r>
      <w:r w:rsidR="00184AA4">
        <w:rPr>
          <w:rStyle w:val="Funotenzeichen"/>
        </w:rPr>
        <w:footnoteReference w:id="261"/>
      </w:r>
      <w:r w:rsidR="00184AA4">
        <w:t xml:space="preserve">. </w:t>
      </w:r>
      <w:r w:rsidR="00F97488">
        <w:t xml:space="preserve">CLTS pioneer </w:t>
      </w:r>
      <w:r w:rsidR="00184AA4">
        <w:t xml:space="preserve">Kamal </w:t>
      </w:r>
      <w:proofErr w:type="spellStart"/>
      <w:r w:rsidR="00184AA4">
        <w:t>Kar</w:t>
      </w:r>
      <w:proofErr w:type="spellEnd"/>
      <w:r w:rsidR="00184AA4">
        <w:t xml:space="preserve"> </w:t>
      </w:r>
      <w:r w:rsidR="000B76ED">
        <w:t xml:space="preserve">(2008) </w:t>
      </w:r>
      <w:r w:rsidR="00184AA4">
        <w:t>speaks of the need for the CLTS approach to “use crude language” and “awaken disgust”</w:t>
      </w:r>
      <w:r w:rsidR="00184AA4">
        <w:rPr>
          <w:rStyle w:val="Funotenzeichen"/>
        </w:rPr>
        <w:footnoteReference w:id="262"/>
      </w:r>
      <w:r w:rsidR="00184AA4">
        <w:t xml:space="preserve">. </w:t>
      </w:r>
      <w:r w:rsidR="00F97488">
        <w:t xml:space="preserve">This suggests that the use of somewhat shocking language can help break </w:t>
      </w:r>
      <w:r w:rsidR="00DF1570">
        <w:t>the ice</w:t>
      </w:r>
      <w:r w:rsidR="00F97488">
        <w:t xml:space="preserve"> an</w:t>
      </w:r>
      <w:r w:rsidR="00DF1570">
        <w:t>d initiate dialogue in the field. Perhaps the same applies for the wording of campaign messages. But f</w:t>
      </w:r>
      <w:r w:rsidR="00184AA4">
        <w:t xml:space="preserve">or reasons of practicality, would an NGO </w:t>
      </w:r>
      <w:r w:rsidR="00DF1570">
        <w:t>realistically</w:t>
      </w:r>
      <w:r w:rsidR="00184AA4">
        <w:t xml:space="preserve"> run an advert with the word ‘shit’ in it? </w:t>
      </w:r>
      <w:r w:rsidR="00087123">
        <w:t xml:space="preserve">It’s doubtful, and </w:t>
      </w:r>
      <w:r w:rsidR="00184AA4">
        <w:t>would probably contravene advertising standards in m</w:t>
      </w:r>
      <w:r w:rsidR="00087123">
        <w:t>ost English-speaking</w:t>
      </w:r>
      <w:r w:rsidR="00184AA4">
        <w:t xml:space="preserve"> countries. </w:t>
      </w:r>
      <w:r w:rsidR="00DF1570">
        <w:t>However, the censored form of ‘SH*T’ could act as an acceptable substitute.</w:t>
      </w:r>
    </w:p>
    <w:p w:rsidR="0095732B" w:rsidRPr="00221709" w:rsidRDefault="0095732B" w:rsidP="00184AA4">
      <w:pPr>
        <w:spacing w:after="200"/>
      </w:pPr>
    </w:p>
    <w:p w:rsidR="00D22816" w:rsidRDefault="00D22816" w:rsidP="00D22816">
      <w:pPr>
        <w:rPr>
          <w:b/>
          <w:i/>
        </w:rPr>
      </w:pPr>
      <w:r w:rsidRPr="00D22816">
        <w:rPr>
          <w:b/>
          <w:i/>
        </w:rPr>
        <w:t>3.</w:t>
      </w:r>
      <w:r w:rsidR="0095732B">
        <w:rPr>
          <w:b/>
          <w:i/>
        </w:rPr>
        <w:t>3</w:t>
      </w:r>
      <w:r w:rsidRPr="00D22816">
        <w:rPr>
          <w:b/>
          <w:i/>
        </w:rPr>
        <w:tab/>
        <w:t>An empty spotlight</w:t>
      </w:r>
    </w:p>
    <w:p w:rsidR="003C7BAD" w:rsidRDefault="003C7BAD" w:rsidP="007A0F55"/>
    <w:p w:rsidR="003C7BAD" w:rsidRPr="00D22816" w:rsidRDefault="003C7BAD" w:rsidP="003C7BAD">
      <w:pPr>
        <w:ind w:left="720"/>
        <w:rPr>
          <w:b/>
          <w:i/>
        </w:rPr>
      </w:pPr>
      <w:r w:rsidRPr="001D4B4B">
        <w:rPr>
          <w:i/>
        </w:rPr>
        <w:t>“</w:t>
      </w:r>
      <w:r>
        <w:rPr>
          <w:i/>
        </w:rPr>
        <w:t>W</w:t>
      </w:r>
      <w:r w:rsidRPr="001D4B4B">
        <w:rPr>
          <w:i/>
        </w:rPr>
        <w:t xml:space="preserve">e need a champion. </w:t>
      </w:r>
      <w:proofErr w:type="gramStart"/>
      <w:r w:rsidRPr="001D4B4B">
        <w:rPr>
          <w:i/>
        </w:rPr>
        <w:t>A Bono or a Geldof.</w:t>
      </w:r>
      <w:proofErr w:type="gramEnd"/>
      <w:r w:rsidRPr="001D4B4B">
        <w:rPr>
          <w:i/>
        </w:rPr>
        <w:t xml:space="preserve"> </w:t>
      </w:r>
      <w:proofErr w:type="gramStart"/>
      <w:r w:rsidRPr="001D4B4B">
        <w:rPr>
          <w:i/>
        </w:rPr>
        <w:t>A Nelson Mandela or an Angelina Jolie.</w:t>
      </w:r>
      <w:proofErr w:type="gramEnd"/>
      <w:r w:rsidRPr="001D4B4B">
        <w:rPr>
          <w:i/>
        </w:rPr>
        <w:t xml:space="preserve"> A film star or a politician who has the courage to talk about toilets, when people only want to talk about taps”</w:t>
      </w:r>
      <w:r>
        <w:rPr>
          <w:rStyle w:val="Funotenzeichen"/>
          <w:i/>
        </w:rPr>
        <w:footnoteReference w:id="263"/>
      </w:r>
    </w:p>
    <w:p w:rsidR="003C7BAD" w:rsidRPr="002A42F1" w:rsidRDefault="003C7BAD" w:rsidP="003C7BAD">
      <w:pPr>
        <w:rPr>
          <w:rStyle w:val="ecxgoogqs-tidbit1"/>
        </w:rPr>
      </w:pPr>
    </w:p>
    <w:p w:rsidR="008B1A3C" w:rsidRDefault="003C7BAD" w:rsidP="00D90F4A">
      <w:pPr>
        <w:ind w:firstLine="720"/>
      </w:pPr>
      <w:r>
        <w:t xml:space="preserve">Sanitation </w:t>
      </w:r>
      <w:r w:rsidR="0004101E">
        <w:t>is a cause without a</w:t>
      </w:r>
      <w:r>
        <w:t xml:space="preserve"> </w:t>
      </w:r>
      <w:r w:rsidR="0004101E">
        <w:t xml:space="preserve">recognisable </w:t>
      </w:r>
      <w:r>
        <w:t>figurehead</w:t>
      </w:r>
      <w:r w:rsidR="00DF1570">
        <w:t>. As Ben Fawcett points out, t</w:t>
      </w:r>
      <w:r w:rsidR="00184AA4">
        <w:t xml:space="preserve">here are </w:t>
      </w:r>
      <w:r w:rsidRPr="00BE2BA9">
        <w:t>no</w:t>
      </w:r>
      <w:r>
        <w:t xml:space="preserve"> “</w:t>
      </w:r>
      <w:r w:rsidRPr="00BE2BA9">
        <w:t>charismatic, internationally-known champions for toilets</w:t>
      </w:r>
      <w:r>
        <w:t>”</w:t>
      </w:r>
      <w:r>
        <w:rPr>
          <w:rStyle w:val="Funotenzeichen"/>
        </w:rPr>
        <w:footnoteReference w:id="264"/>
      </w:r>
      <w:r>
        <w:t xml:space="preserve">. </w:t>
      </w:r>
      <w:proofErr w:type="spellStart"/>
      <w:r>
        <w:t>Gladwell’s</w:t>
      </w:r>
      <w:proofErr w:type="spellEnd"/>
      <w:r>
        <w:t xml:space="preserve"> (200</w:t>
      </w:r>
      <w:r w:rsidR="001706A2">
        <w:t>1</w:t>
      </w:r>
      <w:r>
        <w:t xml:space="preserve">) “law of the few” refers to the little understood phenomenon of high-activity individuals, whose activity </w:t>
      </w:r>
      <w:r w:rsidR="00DF1570">
        <w:t>can spread a message far and wide. But e</w:t>
      </w:r>
      <w:r>
        <w:t xml:space="preserve">xactly what makes for a good, high-profile advocate in any field is </w:t>
      </w:r>
      <w:r w:rsidR="00DF1570">
        <w:t xml:space="preserve">a </w:t>
      </w:r>
      <w:r>
        <w:t xml:space="preserve">difficult call. </w:t>
      </w:r>
      <w:proofErr w:type="spellStart"/>
      <w:r>
        <w:t>Gladwell</w:t>
      </w:r>
      <w:proofErr w:type="spellEnd"/>
      <w:r>
        <w:t xml:space="preserve"> (200</w:t>
      </w:r>
      <w:r w:rsidR="001706A2">
        <w:t>1</w:t>
      </w:r>
      <w:r>
        <w:t>) suggests that “one critical factor in epidemics is the nature of the messenger”</w:t>
      </w:r>
      <w:r>
        <w:rPr>
          <w:rStyle w:val="Funotenzeichen"/>
        </w:rPr>
        <w:footnoteReference w:id="265"/>
      </w:r>
      <w:r w:rsidR="00DF1570">
        <w:t xml:space="preserve"> and speaks</w:t>
      </w:r>
      <w:r>
        <w:t xml:space="preserve"> of </w:t>
      </w:r>
      <w:r w:rsidR="00DF1570">
        <w:t xml:space="preserve">the importance of </w:t>
      </w:r>
      <w:r w:rsidR="0095732B">
        <w:t xml:space="preserve">“connectors” as the </w:t>
      </w:r>
      <w:r>
        <w:t>“kinds of people who know everyone”</w:t>
      </w:r>
      <w:r>
        <w:rPr>
          <w:rStyle w:val="Funotenzeichen"/>
        </w:rPr>
        <w:footnoteReference w:id="266"/>
      </w:r>
      <w:r w:rsidR="0095732B">
        <w:t xml:space="preserve">. </w:t>
      </w:r>
      <w:proofErr w:type="spellStart"/>
      <w:r w:rsidR="009C2053">
        <w:t>Gladwell</w:t>
      </w:r>
      <w:proofErr w:type="spellEnd"/>
      <w:r w:rsidR="009C2053">
        <w:t xml:space="preserve"> </w:t>
      </w:r>
      <w:r w:rsidR="001706A2">
        <w:t xml:space="preserve">(2001) </w:t>
      </w:r>
      <w:r w:rsidR="009C2053">
        <w:t>describes how</w:t>
      </w:r>
      <w:r>
        <w:t xml:space="preserve"> “by having a foot in so many different worlds, they have the effect of bring them all together”</w:t>
      </w:r>
      <w:r>
        <w:rPr>
          <w:rStyle w:val="Funotenzeichen"/>
        </w:rPr>
        <w:footnoteReference w:id="267"/>
      </w:r>
      <w:r>
        <w:t xml:space="preserve">. It </w:t>
      </w:r>
      <w:r w:rsidR="00DF1570">
        <w:t>is</w:t>
      </w:r>
      <w:r>
        <w:t xml:space="preserve"> possible to </w:t>
      </w:r>
      <w:r w:rsidR="00DF1570">
        <w:t>equate</w:t>
      </w:r>
      <w:r>
        <w:t xml:space="preserve"> “connectors” to Clifford Bob’s (2009) definition of “gatekeepers” as “entities at the core of the human rights movement, whose support for a claim can boost it substantially”</w:t>
      </w:r>
      <w:r>
        <w:rPr>
          <w:rStyle w:val="Funotenzeichen"/>
        </w:rPr>
        <w:footnoteReference w:id="268"/>
      </w:r>
      <w:r w:rsidR="008B1A3C">
        <w:t>.</w:t>
      </w:r>
      <w:r w:rsidR="006D412B">
        <w:t xml:space="preserve"> </w:t>
      </w:r>
      <w:r w:rsidR="00221709">
        <w:t>Chapman (2001) also notes the need for “social entrepreneurs with strategic vision”</w:t>
      </w:r>
      <w:r w:rsidR="00221709">
        <w:rPr>
          <w:rStyle w:val="Funotenzeichen"/>
        </w:rPr>
        <w:footnoteReference w:id="269"/>
      </w:r>
      <w:r w:rsidR="008B1A3C">
        <w:t xml:space="preserve">. </w:t>
      </w:r>
    </w:p>
    <w:p w:rsidR="008B1A3C" w:rsidRDefault="008B1A3C" w:rsidP="00D90F4A">
      <w:pPr>
        <w:ind w:firstLine="720"/>
      </w:pPr>
    </w:p>
    <w:p w:rsidR="007D0C8E" w:rsidRDefault="003C7BAD" w:rsidP="008B1A3C">
      <w:pPr>
        <w:ind w:firstLine="720"/>
      </w:pPr>
      <w:r>
        <w:t>Rose George (2008)</w:t>
      </w:r>
      <w:r w:rsidRPr="00606E9F">
        <w:t xml:space="preserve"> </w:t>
      </w:r>
      <w:r w:rsidR="00F74C43">
        <w:t>uses the term</w:t>
      </w:r>
      <w:r w:rsidR="006D412B">
        <w:t xml:space="preserve"> “searchers” to describe innovative sanitation advocates and </w:t>
      </w:r>
      <w:r>
        <w:t xml:space="preserve">identifies the following </w:t>
      </w:r>
      <w:r w:rsidR="008B1A3C">
        <w:t>successful</w:t>
      </w:r>
      <w:r w:rsidR="00935A6D">
        <w:t xml:space="preserve"> characteristics</w:t>
      </w:r>
      <w:r w:rsidR="008B1A3C">
        <w:t xml:space="preserve"> in these individuals:</w:t>
      </w:r>
      <w:r>
        <w:t xml:space="preserve"> “p</w:t>
      </w:r>
      <w:r w:rsidRPr="00D5151F">
        <w:t>ersistence, obviously, but also flexibility</w:t>
      </w:r>
      <w:r>
        <w:t>” and a willingness</w:t>
      </w:r>
      <w:r w:rsidRPr="00D5151F">
        <w:t xml:space="preserve"> </w:t>
      </w:r>
      <w:r>
        <w:t>“</w:t>
      </w:r>
      <w:r w:rsidRPr="00D5151F">
        <w:t>to consider more than conventional wisdom</w:t>
      </w:r>
      <w:r>
        <w:t>”</w:t>
      </w:r>
      <w:r>
        <w:rPr>
          <w:rStyle w:val="Funotenzeichen"/>
        </w:rPr>
        <w:footnoteReference w:id="270"/>
      </w:r>
      <w:r>
        <w:t xml:space="preserve">. </w:t>
      </w:r>
      <w:r w:rsidR="007A0F55">
        <w:t xml:space="preserve">Jack </w:t>
      </w:r>
      <w:proofErr w:type="spellStart"/>
      <w:r w:rsidR="007A0F55">
        <w:t>Sim</w:t>
      </w:r>
      <w:proofErr w:type="spellEnd"/>
      <w:r w:rsidR="002D28B1">
        <w:t>, founder</w:t>
      </w:r>
      <w:r w:rsidR="007A0F55">
        <w:t xml:space="preserve"> of the World Toilet Organisation (WTO)</w:t>
      </w:r>
      <w:r w:rsidR="008B1A3C">
        <w:t xml:space="preserve"> is described by George as one such individual. </w:t>
      </w:r>
      <w:proofErr w:type="spellStart"/>
      <w:r w:rsidR="008B1A3C">
        <w:t>Sim</w:t>
      </w:r>
      <w:proofErr w:type="spellEnd"/>
      <w:r w:rsidR="007A0F55">
        <w:t xml:space="preserve"> </w:t>
      </w:r>
      <w:r w:rsidR="002D28B1">
        <w:t>believes</w:t>
      </w:r>
      <w:r w:rsidR="007A0F55">
        <w:t xml:space="preserve"> that “to get the world talking properly – or at all – about sanitation, any weapon will do”</w:t>
      </w:r>
      <w:r w:rsidR="002D28B1">
        <w:rPr>
          <w:rStyle w:val="Funotenzeichen"/>
        </w:rPr>
        <w:footnoteReference w:id="271"/>
      </w:r>
      <w:r w:rsidR="007A0F55">
        <w:t xml:space="preserve">. </w:t>
      </w:r>
      <w:r w:rsidR="008B1A3C">
        <w:t xml:space="preserve">Crucially, </w:t>
      </w:r>
      <w:r>
        <w:t xml:space="preserve">George </w:t>
      </w:r>
      <w:r w:rsidR="002D28B1">
        <w:t>suggests</w:t>
      </w:r>
      <w:r>
        <w:t xml:space="preserve"> that successful propagator</w:t>
      </w:r>
      <w:r w:rsidR="006D412B">
        <w:t>s of sanitation advocacy</w:t>
      </w:r>
      <w:r>
        <w:t xml:space="preserve"> </w:t>
      </w:r>
      <w:r w:rsidR="008B1A3C">
        <w:t xml:space="preserve">must </w:t>
      </w:r>
      <w:r>
        <w:t>also display “</w:t>
      </w:r>
      <w:r w:rsidRPr="007A5758">
        <w:t>an awareness that providing sanitation is also about human psychology and behaviour</w:t>
      </w:r>
      <w:r>
        <w:t>”</w:t>
      </w:r>
      <w:r>
        <w:rPr>
          <w:rStyle w:val="Funotenzeichen"/>
        </w:rPr>
        <w:footnoteReference w:id="272"/>
      </w:r>
      <w:r>
        <w:t xml:space="preserve">. In </w:t>
      </w:r>
      <w:proofErr w:type="spellStart"/>
      <w:r>
        <w:t>Risse</w:t>
      </w:r>
      <w:proofErr w:type="spellEnd"/>
      <w:r>
        <w:t xml:space="preserve">, </w:t>
      </w:r>
      <w:proofErr w:type="spellStart"/>
      <w:r>
        <w:t>Ropp</w:t>
      </w:r>
      <w:proofErr w:type="spellEnd"/>
      <w:r>
        <w:t xml:space="preserve"> and </w:t>
      </w:r>
      <w:proofErr w:type="spellStart"/>
      <w:r>
        <w:t>Sikkink’s</w:t>
      </w:r>
      <w:proofErr w:type="spellEnd"/>
      <w:r>
        <w:t xml:space="preserve"> </w:t>
      </w:r>
      <w:r w:rsidR="006D412B">
        <w:t xml:space="preserve">(1999) </w:t>
      </w:r>
      <w:r>
        <w:t>discussion of norms socialisation they note that “both emotion and cognition operate synergistically to produce change and attitudes”</w:t>
      </w:r>
      <w:r>
        <w:rPr>
          <w:rStyle w:val="Funotenzeichen"/>
        </w:rPr>
        <w:footnoteReference w:id="273"/>
      </w:r>
      <w:r>
        <w:t xml:space="preserve">. </w:t>
      </w:r>
      <w:r w:rsidR="002D28B1">
        <w:t>In 2010</w:t>
      </w:r>
      <w:r w:rsidR="00E620BE">
        <w:t>,</w:t>
      </w:r>
      <w:r w:rsidR="002D28B1">
        <w:t xml:space="preserve"> K</w:t>
      </w:r>
      <w:r w:rsidR="008B1A3C">
        <w:t xml:space="preserve">ate </w:t>
      </w:r>
      <w:proofErr w:type="spellStart"/>
      <w:r w:rsidR="008B1A3C">
        <w:t>Norgrove</w:t>
      </w:r>
      <w:proofErr w:type="spellEnd"/>
      <w:r w:rsidR="008B1A3C">
        <w:t xml:space="preserve"> was evicted from a hotel lobby </w:t>
      </w:r>
      <w:r w:rsidR="002D28B1">
        <w:t>in New York for dressing in a ‘giant poo costume’</w:t>
      </w:r>
      <w:r w:rsidR="008B1A3C">
        <w:t xml:space="preserve"> for an anti-poverty conference</w:t>
      </w:r>
      <w:r w:rsidR="002D28B1">
        <w:t xml:space="preserve">. </w:t>
      </w:r>
      <w:proofErr w:type="spellStart"/>
      <w:r w:rsidR="002D28B1">
        <w:t>Norgrove</w:t>
      </w:r>
      <w:proofErr w:type="spellEnd"/>
      <w:r w:rsidR="002D28B1">
        <w:t xml:space="preserve"> recognises that where sanitation is concerned</w:t>
      </w:r>
      <w:r w:rsidR="008B1A3C">
        <w:t>,</w:t>
      </w:r>
      <w:r w:rsidR="002D28B1">
        <w:t xml:space="preserve"> “y</w:t>
      </w:r>
      <w:r w:rsidR="002D28B1" w:rsidRPr="000F1610">
        <w:t>ou can use toilet humour, which makes it easier to campaign on.”</w:t>
      </w:r>
      <w:r w:rsidR="002D28B1">
        <w:rPr>
          <w:rStyle w:val="Funotenzeichen"/>
        </w:rPr>
        <w:footnoteReference w:id="274"/>
      </w:r>
      <w:r w:rsidR="002D28B1">
        <w:t xml:space="preserve"> </w:t>
      </w:r>
      <w:r w:rsidR="00E620BE">
        <w:t>Humour</w:t>
      </w:r>
      <w:r w:rsidR="002D28B1">
        <w:t xml:space="preserve"> is also evident in a short film for </w:t>
      </w:r>
      <w:proofErr w:type="spellStart"/>
      <w:r w:rsidR="002D28B1">
        <w:t>WaterAid’s</w:t>
      </w:r>
      <w:proofErr w:type="spellEnd"/>
      <w:r w:rsidR="002D28B1">
        <w:t xml:space="preserve"> ‘Dig Toilets Not Graves’ campaign, which features members of the public being chased by a remote controlled ‘poo on wheels’. The accompanying tag-line exclaims: “imagine if you could never escape from poo”</w:t>
      </w:r>
      <w:r w:rsidR="002D28B1">
        <w:rPr>
          <w:rStyle w:val="Funotenzeichen"/>
        </w:rPr>
        <w:footnoteReference w:id="275"/>
      </w:r>
      <w:r w:rsidR="002D28B1">
        <w:t>.</w:t>
      </w:r>
      <w:r w:rsidR="002D28B1" w:rsidRPr="00AF61B8">
        <w:t xml:space="preserve"> </w:t>
      </w:r>
      <w:r w:rsidR="002D28B1">
        <w:t>This approach supp</w:t>
      </w:r>
      <w:r w:rsidR="008B1A3C">
        <w:t xml:space="preserve">orts the view taken by </w:t>
      </w:r>
      <w:proofErr w:type="spellStart"/>
      <w:r w:rsidR="008B1A3C">
        <w:t>Sim</w:t>
      </w:r>
      <w:proofErr w:type="spellEnd"/>
      <w:r w:rsidR="008B1A3C">
        <w:t xml:space="preserve"> that</w:t>
      </w:r>
      <w:r w:rsidR="002D28B1">
        <w:t>: “people joke about it, but when the jokes stop, they listen. When they’ve stopped listening, they take action”</w:t>
      </w:r>
      <w:r w:rsidR="002D28B1">
        <w:rPr>
          <w:rStyle w:val="Funotenzeichen"/>
        </w:rPr>
        <w:footnoteReference w:id="276"/>
      </w:r>
      <w:r w:rsidR="002D28B1">
        <w:t>.</w:t>
      </w:r>
      <w:r>
        <w:t xml:space="preserve"> </w:t>
      </w:r>
      <w:r w:rsidR="008B1A3C">
        <w:t>Such views suggest that right to sanitation campaign messaging can benefit from the use of humour</w:t>
      </w:r>
      <w:r w:rsidR="00373DFC">
        <w:t>. This</w:t>
      </w:r>
      <w:r w:rsidR="008B1A3C">
        <w:t xml:space="preserve"> in turn can tap into our innate fears</w:t>
      </w:r>
      <w:r w:rsidR="00373DFC">
        <w:t xml:space="preserve"> about faeces and play upon some of the </w:t>
      </w:r>
      <w:r w:rsidR="008B1A3C">
        <w:t>behavioural psychology surrounding toilet practices</w:t>
      </w:r>
      <w:r w:rsidR="00296B6C">
        <w:t>, as done so in many of the ‘Make Sanitation Sexy’ campaign entries</w:t>
      </w:r>
      <w:r w:rsidR="005611D9">
        <w:t xml:space="preserve"> for example</w:t>
      </w:r>
      <w:r w:rsidR="00296B6C">
        <w:t>.</w:t>
      </w:r>
    </w:p>
    <w:p w:rsidR="007D0C8E" w:rsidRDefault="007D0C8E" w:rsidP="00221709">
      <w:pPr>
        <w:ind w:firstLine="720"/>
      </w:pPr>
    </w:p>
    <w:p w:rsidR="003C7BAD" w:rsidRDefault="003C7BAD" w:rsidP="00D22816">
      <w:pPr>
        <w:rPr>
          <w:b/>
          <w:i/>
        </w:rPr>
      </w:pPr>
    </w:p>
    <w:p w:rsidR="00221709" w:rsidRDefault="003C7BAD" w:rsidP="00056CC0">
      <w:pPr>
        <w:spacing w:after="200"/>
        <w:rPr>
          <w:b/>
          <w:i/>
        </w:rPr>
      </w:pPr>
      <w:r w:rsidRPr="003C7BAD">
        <w:rPr>
          <w:b/>
          <w:i/>
        </w:rPr>
        <w:t>3.</w:t>
      </w:r>
      <w:r w:rsidR="004B3B7C">
        <w:rPr>
          <w:b/>
          <w:i/>
        </w:rPr>
        <w:t>4</w:t>
      </w:r>
      <w:r w:rsidRPr="003C7BAD">
        <w:rPr>
          <w:b/>
          <w:i/>
        </w:rPr>
        <w:t xml:space="preserve"> </w:t>
      </w:r>
      <w:r w:rsidR="00D948DF">
        <w:rPr>
          <w:b/>
          <w:i/>
        </w:rPr>
        <w:tab/>
      </w:r>
      <w:r w:rsidRPr="003C7BAD">
        <w:rPr>
          <w:b/>
          <w:i/>
        </w:rPr>
        <w:t xml:space="preserve">Enemies and binaries </w:t>
      </w:r>
    </w:p>
    <w:p w:rsidR="00A7449C" w:rsidRDefault="009C2053" w:rsidP="009C2053">
      <w:pPr>
        <w:ind w:firstLine="720"/>
      </w:pPr>
      <w:r>
        <w:t>A clear problem in the world of sanitation is that there is</w:t>
      </w:r>
      <w:r w:rsidR="0095732B">
        <w:t xml:space="preserve"> often </w:t>
      </w:r>
      <w:r>
        <w:t>no “clear, identifiable violator, violation and remedy”</w:t>
      </w:r>
      <w:r>
        <w:rPr>
          <w:rStyle w:val="Funotenzeichen"/>
        </w:rPr>
        <w:footnoteReference w:id="277"/>
      </w:r>
      <w:r>
        <w:t xml:space="preserve">. </w:t>
      </w:r>
      <w:r w:rsidR="003E4F3E">
        <w:t>Where responsibility for sanitation provision is concerned,</w:t>
      </w:r>
      <w:r w:rsidRPr="00D079F6">
        <w:t xml:space="preserve"> governmental departments are </w:t>
      </w:r>
      <w:r>
        <w:t xml:space="preserve">often </w:t>
      </w:r>
      <w:r w:rsidR="003E4F3E">
        <w:t>so disparate that</w:t>
      </w:r>
      <w:r w:rsidRPr="00D079F6">
        <w:t xml:space="preserve"> </w:t>
      </w:r>
      <w:r w:rsidR="005611D9">
        <w:t xml:space="preserve">commonly, </w:t>
      </w:r>
      <w:r w:rsidRPr="00D079F6">
        <w:t xml:space="preserve">there </w:t>
      </w:r>
      <w:r w:rsidR="003E4F3E">
        <w:t xml:space="preserve">is </w:t>
      </w:r>
      <w:r>
        <w:t>no</w:t>
      </w:r>
      <w:r w:rsidRPr="00D079F6">
        <w:t xml:space="preserve"> clear target to focus </w:t>
      </w:r>
      <w:r w:rsidR="005611D9">
        <w:t>a campaign</w:t>
      </w:r>
      <w:r>
        <w:t xml:space="preserve"> </w:t>
      </w:r>
      <w:r w:rsidRPr="00D079F6">
        <w:t xml:space="preserve">on. </w:t>
      </w:r>
      <w:r>
        <w:t>As</w:t>
      </w:r>
      <w:r w:rsidRPr="00D079F6">
        <w:t xml:space="preserve"> Fawcett </w:t>
      </w:r>
      <w:r>
        <w:t xml:space="preserve">puts it; </w:t>
      </w:r>
      <w:r w:rsidRPr="00D079F6">
        <w:t>“</w:t>
      </w:r>
      <w:r>
        <w:t>t</w:t>
      </w:r>
      <w:r w:rsidRPr="00D079F6">
        <w:t>here are few countries where the responsibility for sani</w:t>
      </w:r>
      <w:r>
        <w:t xml:space="preserve">tation is clear - there are no </w:t>
      </w:r>
      <w:r w:rsidRPr="00D079F6">
        <w:t>minis</w:t>
      </w:r>
      <w:r>
        <w:t>ters of shit!</w:t>
      </w:r>
      <w:r w:rsidRPr="00D079F6">
        <w:t>”</w:t>
      </w:r>
      <w:r>
        <w:rPr>
          <w:rStyle w:val="Funotenzeichen"/>
        </w:rPr>
        <w:footnoteReference w:id="278"/>
      </w:r>
      <w:r w:rsidR="00202540">
        <w:t xml:space="preserve"> </w:t>
      </w:r>
      <w:r w:rsidR="00202540" w:rsidRPr="00D079F6">
        <w:t>Kenneth Roth</w:t>
      </w:r>
      <w:r w:rsidR="00202540">
        <w:t xml:space="preserve"> </w:t>
      </w:r>
      <w:r w:rsidR="005611D9">
        <w:t xml:space="preserve">of Amnesty International </w:t>
      </w:r>
      <w:r w:rsidR="00202540">
        <w:t xml:space="preserve">(2004) writes; </w:t>
      </w:r>
      <w:r w:rsidR="00202540" w:rsidRPr="00D079F6">
        <w:t>“where the violator and remedy can be clearly identified...the traditional methodology of naming and shaming can be effective”</w:t>
      </w:r>
      <w:r w:rsidR="00202540">
        <w:rPr>
          <w:rStyle w:val="Funotenzeichen"/>
        </w:rPr>
        <w:footnoteReference w:id="279"/>
      </w:r>
      <w:r w:rsidR="00202540" w:rsidRPr="00D079F6">
        <w:t xml:space="preserve">. </w:t>
      </w:r>
      <w:r w:rsidR="00202540">
        <w:t xml:space="preserve">In the case of sanitation access, certainly the ‘violator’ is not often easy to identify and responsibility for the violation is often harder to attribute. </w:t>
      </w:r>
      <w:r>
        <w:rPr>
          <w:rFonts w:ascii="Tahoma" w:hAnsi="Tahoma" w:cs="Tahoma"/>
          <w:sz w:val="20"/>
          <w:szCs w:val="20"/>
        </w:rPr>
        <w:t xml:space="preserve"> </w:t>
      </w:r>
      <w:r w:rsidR="005611D9" w:rsidRPr="005611D9">
        <w:t>Where campaign messages are concerned,</w:t>
      </w:r>
      <w:r w:rsidR="005611D9">
        <w:rPr>
          <w:rFonts w:ascii="Tahoma" w:hAnsi="Tahoma" w:cs="Tahoma"/>
          <w:sz w:val="20"/>
          <w:szCs w:val="20"/>
        </w:rPr>
        <w:t xml:space="preserve"> </w:t>
      </w:r>
      <w:r>
        <w:t xml:space="preserve">Kate </w:t>
      </w:r>
      <w:proofErr w:type="spellStart"/>
      <w:r>
        <w:t>Norgrove</w:t>
      </w:r>
      <w:proofErr w:type="spellEnd"/>
      <w:r>
        <w:t xml:space="preserve"> </w:t>
      </w:r>
      <w:r w:rsidR="005611D9">
        <w:t xml:space="preserve">notes </w:t>
      </w:r>
      <w:r>
        <w:t>that “t</w:t>
      </w:r>
      <w:r w:rsidRPr="000F1610">
        <w:t>he most successful campaigns use enemies and things that are going wrong as a way of generating discussion”</w:t>
      </w:r>
      <w:r>
        <w:rPr>
          <w:rStyle w:val="Funotenzeichen"/>
        </w:rPr>
        <w:footnoteReference w:id="280"/>
      </w:r>
      <w:r>
        <w:t>. Chapman (2001) also suggests that attracting attention to campaigns benefits from having “obvious villains”</w:t>
      </w:r>
      <w:r>
        <w:rPr>
          <w:rStyle w:val="Funotenzeichen"/>
        </w:rPr>
        <w:footnoteReference w:id="281"/>
      </w:r>
      <w:r w:rsidR="005611D9">
        <w:t>.</w:t>
      </w:r>
      <w:r>
        <w:t xml:space="preserve"> </w:t>
      </w:r>
      <w:proofErr w:type="spellStart"/>
      <w:r>
        <w:t>Norgrove</w:t>
      </w:r>
      <w:proofErr w:type="spellEnd"/>
      <w:r>
        <w:t xml:space="preserve"> explains “i</w:t>
      </w:r>
      <w:r w:rsidRPr="000F1610">
        <w:t xml:space="preserve">t’s much easier to campaign against stopping </w:t>
      </w:r>
      <w:r>
        <w:t>people</w:t>
      </w:r>
      <w:r w:rsidRPr="000F1610">
        <w:t xml:space="preserve"> from doing something that getting people to do something</w:t>
      </w:r>
      <w:r>
        <w:t>”</w:t>
      </w:r>
      <w:r>
        <w:rPr>
          <w:rStyle w:val="Funotenzeichen"/>
        </w:rPr>
        <w:footnoteReference w:id="282"/>
      </w:r>
      <w:r>
        <w:t xml:space="preserve">. </w:t>
      </w:r>
      <w:r w:rsidR="00202540">
        <w:t xml:space="preserve">In human rights terms, State denial of CP rights can display </w:t>
      </w:r>
      <w:r w:rsidR="00202540" w:rsidRPr="00D462D4">
        <w:t xml:space="preserve">a clearer </w:t>
      </w:r>
      <w:r w:rsidR="00202540">
        <w:t xml:space="preserve">suit Keck, correlation to </w:t>
      </w:r>
      <w:proofErr w:type="spellStart"/>
      <w:r w:rsidR="00202540">
        <w:t>Sikkink</w:t>
      </w:r>
      <w:proofErr w:type="spellEnd"/>
      <w:r w:rsidR="00202540">
        <w:t xml:space="preserve"> and </w:t>
      </w:r>
      <w:proofErr w:type="spellStart"/>
      <w:r w:rsidR="00202540">
        <w:t>Risse’s</w:t>
      </w:r>
      <w:proofErr w:type="spellEnd"/>
      <w:r w:rsidR="00202540">
        <w:t xml:space="preserve"> “</w:t>
      </w:r>
      <w:r w:rsidR="00202540" w:rsidRPr="00D462D4">
        <w:t>spiral</w:t>
      </w:r>
      <w:r w:rsidR="00202540">
        <w:t>”</w:t>
      </w:r>
      <w:r w:rsidR="00202540">
        <w:rPr>
          <w:rStyle w:val="Funotenzeichen"/>
        </w:rPr>
        <w:footnoteReference w:id="283"/>
      </w:r>
      <w:r w:rsidR="00202540" w:rsidRPr="00D462D4">
        <w:t xml:space="preserve"> and </w:t>
      </w:r>
      <w:r w:rsidR="00202540">
        <w:t xml:space="preserve">Keck and </w:t>
      </w:r>
      <w:proofErr w:type="spellStart"/>
      <w:r w:rsidR="00202540">
        <w:t>Sikkink’s</w:t>
      </w:r>
      <w:proofErr w:type="spellEnd"/>
      <w:r w:rsidR="00202540">
        <w:t xml:space="preserve"> “</w:t>
      </w:r>
      <w:r w:rsidR="00202540" w:rsidRPr="00D462D4">
        <w:t>boomerang</w:t>
      </w:r>
      <w:r w:rsidR="00202540">
        <w:t>”</w:t>
      </w:r>
      <w:r w:rsidR="00202540">
        <w:rPr>
          <w:rStyle w:val="Funotenzeichen"/>
        </w:rPr>
        <w:footnoteReference w:id="284"/>
      </w:r>
      <w:r w:rsidR="00202540" w:rsidRPr="00D462D4">
        <w:t xml:space="preserve"> models </w:t>
      </w:r>
      <w:r w:rsidR="00202540">
        <w:t>of</w:t>
      </w:r>
      <w:r w:rsidR="00202540" w:rsidRPr="00D462D4">
        <w:t xml:space="preserve"> norms socialisation</w:t>
      </w:r>
      <w:r w:rsidR="00202540">
        <w:t>.</w:t>
      </w:r>
      <w:r w:rsidR="00202540" w:rsidRPr="00D462D4">
        <w:t xml:space="preserve"> </w:t>
      </w:r>
      <w:r w:rsidR="00202540">
        <w:t>The violator and the violation in denial of CP rights such as the right to a fair trial or the right</w:t>
      </w:r>
      <w:r w:rsidR="00E15B05">
        <w:t xml:space="preserve"> reflect a stronger</w:t>
      </w:r>
      <w:r w:rsidR="00202540">
        <w:t xml:space="preserve"> </w:t>
      </w:r>
      <w:r w:rsidR="00E15B05" w:rsidRPr="00D462D4">
        <w:t>“repression/de</w:t>
      </w:r>
      <w:r w:rsidR="00E15B05">
        <w:t>nial” stage of State interaction with rights-claimants. Whereas i</w:t>
      </w:r>
      <w:r w:rsidR="0095732B">
        <w:t>mproving sanitation requires positive rights obligations from States, rather than just the negative obligations of stopping a certain practice.</w:t>
      </w:r>
    </w:p>
    <w:p w:rsidR="00A7449C" w:rsidRDefault="00A7449C" w:rsidP="009C2053">
      <w:pPr>
        <w:ind w:firstLine="720"/>
      </w:pPr>
    </w:p>
    <w:p w:rsidR="00E926E8" w:rsidRPr="000F1610" w:rsidRDefault="009C2053" w:rsidP="00484C0B">
      <w:pPr>
        <w:ind w:firstLine="720"/>
      </w:pPr>
      <w:r>
        <w:t>It is often said that there is no ‘silver bullet solution’ to the global sanitation crisis</w:t>
      </w:r>
      <w:r w:rsidR="00F25136">
        <w:t>.</w:t>
      </w:r>
      <w:r>
        <w:t xml:space="preserve"> </w:t>
      </w:r>
      <w:r w:rsidR="00F25136">
        <w:t>E</w:t>
      </w:r>
      <w:r>
        <w:t xml:space="preserve">ven this phrase implies that there is an </w:t>
      </w:r>
      <w:r w:rsidR="00F25136">
        <w:t>‘</w:t>
      </w:r>
      <w:r>
        <w:t>enemy</w:t>
      </w:r>
      <w:r w:rsidR="00F25136">
        <w:t>’</w:t>
      </w:r>
      <w:r>
        <w:t xml:space="preserve"> to be </w:t>
      </w:r>
      <w:r w:rsidR="00F25136">
        <w:t>‘</w:t>
      </w:r>
      <w:r>
        <w:t>defeated</w:t>
      </w:r>
      <w:r w:rsidR="00F25136">
        <w:t>’</w:t>
      </w:r>
      <w:r>
        <w:t xml:space="preserve">. Where improving sanitation requires </w:t>
      </w:r>
      <w:r w:rsidR="00F25136">
        <w:t>positive obligations</w:t>
      </w:r>
      <w:r>
        <w:t>, and often behavioural change, th</w:t>
      </w:r>
      <w:r w:rsidR="00F25136">
        <w:t>e</w:t>
      </w:r>
      <w:r>
        <w:t xml:space="preserve"> enemy </w:t>
      </w:r>
      <w:r w:rsidR="00F03B28">
        <w:t xml:space="preserve">/ </w:t>
      </w:r>
      <w:r>
        <w:t>binary dynamic is perhaps at odds with enacting th</w:t>
      </w:r>
      <w:r w:rsidR="00F03B28">
        <w:t>e</w:t>
      </w:r>
      <w:r>
        <w:t xml:space="preserve"> right</w:t>
      </w:r>
      <w:r w:rsidR="00F03B28">
        <w:t xml:space="preserve"> to sanitation</w:t>
      </w:r>
      <w:r>
        <w:t xml:space="preserve">. </w:t>
      </w:r>
      <w:r w:rsidR="00A7449C">
        <w:t xml:space="preserve">However, campaigns </w:t>
      </w:r>
      <w:r w:rsidR="00F03B28">
        <w:t>can</w:t>
      </w:r>
      <w:r w:rsidR="00ED69C4">
        <w:t xml:space="preserve"> </w:t>
      </w:r>
      <w:r w:rsidR="00A7449C">
        <w:t xml:space="preserve">benefit from having </w:t>
      </w:r>
      <w:r w:rsidR="00ED69C4">
        <w:t xml:space="preserve">an </w:t>
      </w:r>
      <w:r w:rsidR="00A7449C">
        <w:t>enem</w:t>
      </w:r>
      <w:r w:rsidR="00ED69C4">
        <w:t xml:space="preserve">y </w:t>
      </w:r>
      <w:r w:rsidR="00A7449C">
        <w:t xml:space="preserve">to point at. </w:t>
      </w:r>
      <w:r w:rsidR="00E926E8">
        <w:t>The focus on ‘total sanitation’</w:t>
      </w:r>
      <w:r w:rsidR="00F03B28">
        <w:t>, as propagated in the CLTS method,</w:t>
      </w:r>
      <w:r w:rsidR="00E926E8">
        <w:t xml:space="preserve"> highlights the need for </w:t>
      </w:r>
      <w:r w:rsidR="00F03B28">
        <w:t xml:space="preserve">collective </w:t>
      </w:r>
      <w:r w:rsidR="00E926E8">
        <w:t xml:space="preserve">behavioural </w:t>
      </w:r>
      <w:r w:rsidR="0095732B">
        <w:t>change - t</w:t>
      </w:r>
      <w:r w:rsidR="00E926E8">
        <w:t xml:space="preserve">he entire community </w:t>
      </w:r>
      <w:r w:rsidR="00484C0B">
        <w:t xml:space="preserve">need to </w:t>
      </w:r>
      <w:r w:rsidR="00F03B28">
        <w:t>safely dispose</w:t>
      </w:r>
      <w:r w:rsidR="00E926E8">
        <w:t xml:space="preserve"> of </w:t>
      </w:r>
      <w:r w:rsidR="00484C0B">
        <w:t>their</w:t>
      </w:r>
      <w:r w:rsidR="00E926E8">
        <w:t xml:space="preserve"> excreta</w:t>
      </w:r>
      <w:r w:rsidR="00484C0B">
        <w:t xml:space="preserve">. </w:t>
      </w:r>
      <w:r w:rsidR="00E926E8">
        <w:t xml:space="preserve">As George (2008) notes: “it only takes one family without a latrine to pollute all common areas and drinking water”. </w:t>
      </w:r>
      <w:r w:rsidR="00E926E8">
        <w:rPr>
          <w:lang w:eastAsia="en-GB"/>
        </w:rPr>
        <w:t xml:space="preserve">George (2008) also </w:t>
      </w:r>
      <w:r w:rsidR="00F03B28">
        <w:rPr>
          <w:lang w:eastAsia="en-GB"/>
        </w:rPr>
        <w:t>emphasises</w:t>
      </w:r>
      <w:r w:rsidR="00E926E8">
        <w:rPr>
          <w:lang w:eastAsia="en-GB"/>
        </w:rPr>
        <w:t xml:space="preserve"> the “irony of defecation” in that it “is a solitary business yet its repercussions are plural and public.”</w:t>
      </w:r>
      <w:r w:rsidR="00E926E8">
        <w:rPr>
          <w:rStyle w:val="Funotenzeichen"/>
          <w:lang w:eastAsia="en-GB"/>
        </w:rPr>
        <w:footnoteReference w:id="285"/>
      </w:r>
      <w:r w:rsidR="00F42465">
        <w:rPr>
          <w:lang w:eastAsia="en-GB"/>
        </w:rPr>
        <w:t xml:space="preserve"> </w:t>
      </w:r>
      <w:r w:rsidR="00F03B28">
        <w:rPr>
          <w:lang w:eastAsia="en-GB"/>
        </w:rPr>
        <w:t xml:space="preserve">Our reaction to </w:t>
      </w:r>
      <w:proofErr w:type="spellStart"/>
      <w:r w:rsidR="007C7FB1">
        <w:rPr>
          <w:lang w:eastAsia="en-GB"/>
        </w:rPr>
        <w:t>feaces</w:t>
      </w:r>
      <w:proofErr w:type="spellEnd"/>
      <w:r w:rsidR="007C7FB1">
        <w:rPr>
          <w:lang w:eastAsia="en-GB"/>
        </w:rPr>
        <w:t xml:space="preserve"> is usually one of disdain. Most of us</w:t>
      </w:r>
      <w:r w:rsidR="00F42465">
        <w:rPr>
          <w:lang w:eastAsia="en-GB"/>
        </w:rPr>
        <w:t xml:space="preserve"> are hard-wired by </w:t>
      </w:r>
      <w:r w:rsidR="007C7FB1">
        <w:rPr>
          <w:lang w:eastAsia="en-GB"/>
        </w:rPr>
        <w:t xml:space="preserve">the </w:t>
      </w:r>
      <w:r w:rsidR="00F42465">
        <w:rPr>
          <w:lang w:eastAsia="en-GB"/>
        </w:rPr>
        <w:t>“natural design – look and smell”</w:t>
      </w:r>
      <w:r w:rsidR="00F42465">
        <w:rPr>
          <w:rStyle w:val="Funotenzeichen"/>
          <w:lang w:eastAsia="en-GB"/>
        </w:rPr>
        <w:footnoteReference w:id="286"/>
      </w:r>
      <w:r w:rsidR="007C7FB1">
        <w:rPr>
          <w:lang w:eastAsia="en-GB"/>
        </w:rPr>
        <w:t xml:space="preserve"> of excrement</w:t>
      </w:r>
      <w:r w:rsidR="00F42465">
        <w:rPr>
          <w:lang w:eastAsia="en-GB"/>
        </w:rPr>
        <w:t xml:space="preserve"> to be repelled by </w:t>
      </w:r>
      <w:r w:rsidR="007C7FB1">
        <w:rPr>
          <w:lang w:eastAsia="en-GB"/>
        </w:rPr>
        <w:t>it</w:t>
      </w:r>
      <w:r w:rsidR="00484C0B">
        <w:rPr>
          <w:lang w:eastAsia="en-GB"/>
        </w:rPr>
        <w:t>.</w:t>
      </w:r>
      <w:r w:rsidR="00F42465">
        <w:rPr>
          <w:lang w:eastAsia="en-GB"/>
        </w:rPr>
        <w:t xml:space="preserve"> </w:t>
      </w:r>
      <w:r w:rsidR="007C7FB1">
        <w:rPr>
          <w:lang w:eastAsia="en-GB"/>
        </w:rPr>
        <w:t xml:space="preserve">It is </w:t>
      </w:r>
      <w:r w:rsidR="00F42465">
        <w:rPr>
          <w:lang w:eastAsia="en-GB"/>
        </w:rPr>
        <w:t xml:space="preserve">important to acknowledge </w:t>
      </w:r>
      <w:r w:rsidR="00910780">
        <w:rPr>
          <w:lang w:eastAsia="en-GB"/>
        </w:rPr>
        <w:t xml:space="preserve">though </w:t>
      </w:r>
      <w:r w:rsidR="00F42465">
        <w:rPr>
          <w:lang w:eastAsia="en-GB"/>
        </w:rPr>
        <w:t>that “disgust coupled with taboo is not an adequate disease avoidance strategy”</w:t>
      </w:r>
      <w:r w:rsidR="00F42465">
        <w:rPr>
          <w:rStyle w:val="Funotenzeichen"/>
          <w:lang w:eastAsia="en-GB"/>
        </w:rPr>
        <w:footnoteReference w:id="287"/>
      </w:r>
      <w:r w:rsidR="00910780">
        <w:rPr>
          <w:lang w:eastAsia="en-GB"/>
        </w:rPr>
        <w:t>. B</w:t>
      </w:r>
      <w:r w:rsidR="007C7FB1">
        <w:rPr>
          <w:lang w:eastAsia="en-GB"/>
        </w:rPr>
        <w:t>ut where campaign</w:t>
      </w:r>
      <w:r w:rsidR="00910780">
        <w:rPr>
          <w:lang w:eastAsia="en-GB"/>
        </w:rPr>
        <w:t>s</w:t>
      </w:r>
      <w:r w:rsidR="007C7FB1">
        <w:rPr>
          <w:lang w:eastAsia="en-GB"/>
        </w:rPr>
        <w:t xml:space="preserve"> around the human right to sanitation are concerned, </w:t>
      </w:r>
      <w:r w:rsidR="007C7FB1">
        <w:t>the enemy is shit, or more precisely</w:t>
      </w:r>
      <w:r w:rsidR="00910780">
        <w:t>; it is</w:t>
      </w:r>
      <w:r w:rsidR="007C7FB1">
        <w:t xml:space="preserve"> Open Defecation.</w:t>
      </w:r>
    </w:p>
    <w:p w:rsidR="007424F7" w:rsidRDefault="007424F7" w:rsidP="00E926E8">
      <w:pPr>
        <w:spacing w:after="200"/>
        <w:rPr>
          <w:b/>
          <w:i/>
        </w:rPr>
      </w:pPr>
    </w:p>
    <w:p w:rsidR="00685676" w:rsidRDefault="00685676" w:rsidP="00C13DEB">
      <w:pPr>
        <w:spacing w:after="200"/>
        <w:rPr>
          <w:lang w:eastAsia="en-GB"/>
        </w:rPr>
      </w:pPr>
      <w:r>
        <w:rPr>
          <w:b/>
          <w:i/>
          <w:lang w:eastAsia="en-GB"/>
        </w:rPr>
        <w:t>3.5</w:t>
      </w:r>
      <w:r>
        <w:rPr>
          <w:b/>
          <w:i/>
          <w:lang w:eastAsia="en-GB"/>
        </w:rPr>
        <w:tab/>
      </w:r>
      <w:r w:rsidR="00037A31">
        <w:rPr>
          <w:b/>
          <w:i/>
          <w:lang w:eastAsia="en-GB"/>
        </w:rPr>
        <w:t>Conclusion</w:t>
      </w:r>
      <w:r w:rsidR="0095732B">
        <w:rPr>
          <w:b/>
          <w:i/>
          <w:lang w:eastAsia="en-GB"/>
        </w:rPr>
        <w:t xml:space="preserve"> and Recommendations</w:t>
      </w:r>
    </w:p>
    <w:p w:rsidR="004C391E" w:rsidRDefault="00685676" w:rsidP="002C67B3">
      <w:pPr>
        <w:ind w:firstLine="720"/>
        <w:rPr>
          <w:lang w:eastAsia="en-GB"/>
        </w:rPr>
      </w:pPr>
      <w:r>
        <w:rPr>
          <w:lang w:eastAsia="en-GB"/>
        </w:rPr>
        <w:t>International human rights law is primed for a test case</w:t>
      </w:r>
      <w:r w:rsidR="002C67B3" w:rsidRPr="002C67B3">
        <w:rPr>
          <w:lang w:eastAsia="en-GB"/>
        </w:rPr>
        <w:t xml:space="preserve"> </w:t>
      </w:r>
      <w:r w:rsidR="00FF371A">
        <w:rPr>
          <w:lang w:eastAsia="en-GB"/>
        </w:rPr>
        <w:t>that can</w:t>
      </w:r>
      <w:r w:rsidR="002C67B3">
        <w:rPr>
          <w:lang w:eastAsia="en-GB"/>
        </w:rPr>
        <w:t xml:space="preserve"> exert pressure on the theoretical boundaries of </w:t>
      </w:r>
      <w:r w:rsidR="00D948DF">
        <w:rPr>
          <w:lang w:eastAsia="en-GB"/>
        </w:rPr>
        <w:t>th</w:t>
      </w:r>
      <w:r w:rsidR="00091E01">
        <w:rPr>
          <w:lang w:eastAsia="en-GB"/>
        </w:rPr>
        <w:t>is</w:t>
      </w:r>
      <w:r w:rsidR="00D948DF">
        <w:rPr>
          <w:lang w:eastAsia="en-GB"/>
        </w:rPr>
        <w:t xml:space="preserve"> new human right to sanitation</w:t>
      </w:r>
      <w:r>
        <w:rPr>
          <w:lang w:eastAsia="en-GB"/>
        </w:rPr>
        <w:t xml:space="preserve">. </w:t>
      </w:r>
      <w:r w:rsidR="002C67B3">
        <w:rPr>
          <w:lang w:eastAsia="en-GB"/>
        </w:rPr>
        <w:t xml:space="preserve">State discrimination relating to access can lead to a rights-claim, whether </w:t>
      </w:r>
      <w:r>
        <w:rPr>
          <w:lang w:eastAsia="en-GB"/>
        </w:rPr>
        <w:t xml:space="preserve">enacted through the </w:t>
      </w:r>
      <w:r w:rsidR="008A3DAE">
        <w:rPr>
          <w:lang w:eastAsia="en-GB"/>
        </w:rPr>
        <w:t>positive obligations of State-</w:t>
      </w:r>
      <w:r w:rsidR="008A3DAE" w:rsidRPr="008A3DAE">
        <w:rPr>
          <w:lang w:eastAsia="en-GB"/>
        </w:rPr>
        <w:t xml:space="preserve"> </w:t>
      </w:r>
      <w:r w:rsidR="008A3DAE">
        <w:rPr>
          <w:lang w:eastAsia="en-GB"/>
        </w:rPr>
        <w:t>specific constitutions</w:t>
      </w:r>
      <w:r w:rsidR="002C67B3">
        <w:rPr>
          <w:lang w:eastAsia="en-GB"/>
        </w:rPr>
        <w:t xml:space="preserve"> or </w:t>
      </w:r>
      <w:r>
        <w:rPr>
          <w:lang w:eastAsia="en-GB"/>
        </w:rPr>
        <w:t xml:space="preserve">through the Special </w:t>
      </w:r>
      <w:r w:rsidR="002C67B3">
        <w:rPr>
          <w:lang w:eastAsia="en-GB"/>
        </w:rPr>
        <w:t>Procedures</w:t>
      </w:r>
      <w:r>
        <w:rPr>
          <w:lang w:eastAsia="en-GB"/>
        </w:rPr>
        <w:t xml:space="preserve"> of the UN</w:t>
      </w:r>
      <w:r w:rsidR="00374E30">
        <w:rPr>
          <w:lang w:eastAsia="en-GB"/>
        </w:rPr>
        <w:t xml:space="preserve"> treaty bodies and regional mechanisms</w:t>
      </w:r>
      <w:r w:rsidR="002C67B3">
        <w:rPr>
          <w:lang w:eastAsia="en-GB"/>
        </w:rPr>
        <w:t>.</w:t>
      </w:r>
      <w:r>
        <w:rPr>
          <w:lang w:eastAsia="en-GB"/>
        </w:rPr>
        <w:t xml:space="preserve"> Without legal application, this right will flounder. States may not wish to engage in the language of rights violations with regard to sanitation access</w:t>
      </w:r>
      <w:r w:rsidR="00D6117A">
        <w:rPr>
          <w:lang w:eastAsia="en-GB"/>
        </w:rPr>
        <w:t>, b</w:t>
      </w:r>
      <w:r w:rsidR="002C67B3">
        <w:rPr>
          <w:lang w:eastAsia="en-GB"/>
        </w:rPr>
        <w:t>ut this</w:t>
      </w:r>
      <w:r>
        <w:rPr>
          <w:lang w:eastAsia="en-GB"/>
        </w:rPr>
        <w:t xml:space="preserve"> is no reason for the legal application of this new right </w:t>
      </w:r>
      <w:r w:rsidR="002C67B3">
        <w:rPr>
          <w:lang w:eastAsia="en-GB"/>
        </w:rPr>
        <w:t xml:space="preserve">to be abandoned with </w:t>
      </w:r>
      <w:r w:rsidR="00037A31">
        <w:rPr>
          <w:lang w:eastAsia="en-GB"/>
        </w:rPr>
        <w:t xml:space="preserve">a </w:t>
      </w:r>
      <w:r w:rsidR="00876BFD">
        <w:rPr>
          <w:lang w:eastAsia="en-GB"/>
        </w:rPr>
        <w:t>shrug</w:t>
      </w:r>
      <w:r w:rsidR="002C67B3">
        <w:rPr>
          <w:lang w:eastAsia="en-GB"/>
        </w:rPr>
        <w:t xml:space="preserve">. </w:t>
      </w:r>
    </w:p>
    <w:p w:rsidR="00876BFD" w:rsidRDefault="00876BFD" w:rsidP="002C67B3">
      <w:pPr>
        <w:ind w:firstLine="720"/>
        <w:rPr>
          <w:lang w:eastAsia="en-GB"/>
        </w:rPr>
      </w:pPr>
    </w:p>
    <w:p w:rsidR="00374E30" w:rsidRDefault="00876BFD" w:rsidP="00037A31">
      <w:pPr>
        <w:ind w:firstLine="720"/>
        <w:rPr>
          <w:lang w:eastAsia="en-GB"/>
        </w:rPr>
      </w:pPr>
      <w:r>
        <w:rPr>
          <w:lang w:eastAsia="en-GB"/>
        </w:rPr>
        <w:t xml:space="preserve">In discussing the normative content of </w:t>
      </w:r>
      <w:r w:rsidR="00037A31">
        <w:rPr>
          <w:lang w:eastAsia="en-GB"/>
        </w:rPr>
        <w:t xml:space="preserve">cognitive </w:t>
      </w:r>
      <w:r>
        <w:rPr>
          <w:lang w:eastAsia="en-GB"/>
        </w:rPr>
        <w:t>frames</w:t>
      </w:r>
      <w:r w:rsidR="00124DCE">
        <w:rPr>
          <w:lang w:eastAsia="en-GB"/>
        </w:rPr>
        <w:t xml:space="preserve"> around sanitation, this study </w:t>
      </w:r>
      <w:r w:rsidR="00C13DEB">
        <w:rPr>
          <w:lang w:eastAsia="en-GB"/>
        </w:rPr>
        <w:t xml:space="preserve">explored </w:t>
      </w:r>
      <w:r>
        <w:rPr>
          <w:lang w:eastAsia="en-GB"/>
        </w:rPr>
        <w:t xml:space="preserve">the pros and cons of applying </w:t>
      </w:r>
      <w:r w:rsidR="00124DCE">
        <w:rPr>
          <w:lang w:eastAsia="en-GB"/>
        </w:rPr>
        <w:t xml:space="preserve">human rights language to sanitation campaigns. Below is a brief summary of each </w:t>
      </w:r>
      <w:r w:rsidR="00762D52">
        <w:rPr>
          <w:lang w:eastAsia="en-GB"/>
        </w:rPr>
        <w:t xml:space="preserve">of the cognitive </w:t>
      </w:r>
      <w:r w:rsidR="00124DCE">
        <w:rPr>
          <w:lang w:eastAsia="en-GB"/>
        </w:rPr>
        <w:t>frame</w:t>
      </w:r>
      <w:r w:rsidR="00762D52">
        <w:rPr>
          <w:lang w:eastAsia="en-GB"/>
        </w:rPr>
        <w:t>s discussed</w:t>
      </w:r>
      <w:r w:rsidR="00C53D3F">
        <w:rPr>
          <w:lang w:eastAsia="en-GB"/>
        </w:rPr>
        <w:t>:</w:t>
      </w:r>
    </w:p>
    <w:p w:rsidR="00037A31" w:rsidRDefault="00037A31" w:rsidP="00037A31">
      <w:pPr>
        <w:ind w:firstLine="720"/>
        <w:rPr>
          <w:lang w:eastAsia="en-GB"/>
        </w:rPr>
      </w:pPr>
    </w:p>
    <w:p w:rsidR="00C53D3F" w:rsidRPr="000B51EB" w:rsidRDefault="00C53D3F" w:rsidP="00037A31">
      <w:pPr>
        <w:ind w:firstLine="720"/>
        <w:rPr>
          <w:lang w:eastAsia="en-GB"/>
        </w:rPr>
      </w:pPr>
    </w:p>
    <w:p w:rsidR="004C391E" w:rsidRDefault="004C391E" w:rsidP="004C391E">
      <w:pPr>
        <w:pStyle w:val="Listenabsatz"/>
        <w:numPr>
          <w:ilvl w:val="0"/>
          <w:numId w:val="7"/>
        </w:numPr>
        <w:spacing w:after="200"/>
        <w:rPr>
          <w:u w:val="single"/>
        </w:rPr>
      </w:pPr>
      <w:r w:rsidRPr="00952006">
        <w:rPr>
          <w:u w:val="single"/>
          <w:lang w:eastAsia="en-GB"/>
        </w:rPr>
        <w:t>The water frame</w:t>
      </w:r>
    </w:p>
    <w:p w:rsidR="004C391E" w:rsidRPr="00952006" w:rsidRDefault="004C391E" w:rsidP="004C391E">
      <w:pPr>
        <w:pStyle w:val="Listenabsatz"/>
        <w:spacing w:after="200"/>
        <w:rPr>
          <w:u w:val="single"/>
        </w:rPr>
      </w:pPr>
    </w:p>
    <w:p w:rsidR="004C391E" w:rsidRPr="001F683B" w:rsidRDefault="00124DCE" w:rsidP="004C391E">
      <w:pPr>
        <w:pStyle w:val="Listenabsatz"/>
        <w:spacing w:after="200"/>
        <w:rPr>
          <w:i/>
          <w:lang w:eastAsia="en-GB"/>
        </w:rPr>
      </w:pPr>
      <w:r>
        <w:rPr>
          <w:i/>
          <w:lang w:eastAsia="en-GB"/>
        </w:rPr>
        <w:t>A</w:t>
      </w:r>
      <w:r w:rsidR="004C391E">
        <w:rPr>
          <w:i/>
          <w:lang w:eastAsia="en-GB"/>
        </w:rPr>
        <w:t xml:space="preserve"> combined </w:t>
      </w:r>
      <w:r>
        <w:rPr>
          <w:i/>
          <w:lang w:eastAsia="en-GB"/>
        </w:rPr>
        <w:t>WASH message in campaigns requires water</w:t>
      </w:r>
      <w:r w:rsidR="004C391E">
        <w:rPr>
          <w:i/>
          <w:lang w:eastAsia="en-GB"/>
        </w:rPr>
        <w:t xml:space="preserve">. However, human rights does not often fit the </w:t>
      </w:r>
      <w:r>
        <w:rPr>
          <w:i/>
          <w:lang w:eastAsia="en-GB"/>
        </w:rPr>
        <w:t xml:space="preserve">language </w:t>
      </w:r>
      <w:r w:rsidR="004C391E">
        <w:rPr>
          <w:i/>
          <w:lang w:eastAsia="en-GB"/>
        </w:rPr>
        <w:t>of development NGOs and</w:t>
      </w:r>
      <w:r w:rsidR="004C391E" w:rsidRPr="00967D62">
        <w:rPr>
          <w:i/>
          <w:lang w:eastAsia="en-GB"/>
        </w:rPr>
        <w:t xml:space="preserve"> water tends to get the majority of focus</w:t>
      </w:r>
      <w:r w:rsidR="004C391E">
        <w:rPr>
          <w:i/>
          <w:lang w:eastAsia="en-GB"/>
        </w:rPr>
        <w:t xml:space="preserve"> and funding</w:t>
      </w:r>
      <w:r w:rsidR="004C391E" w:rsidRPr="00967D62">
        <w:rPr>
          <w:i/>
          <w:lang w:eastAsia="en-GB"/>
        </w:rPr>
        <w:t>, subjugating sanitation to a subsidiary role</w:t>
      </w:r>
      <w:r w:rsidR="004C391E">
        <w:rPr>
          <w:i/>
          <w:lang w:eastAsia="en-GB"/>
        </w:rPr>
        <w:t xml:space="preserve">. </w:t>
      </w:r>
      <w:r>
        <w:rPr>
          <w:i/>
          <w:lang w:eastAsia="en-GB"/>
        </w:rPr>
        <w:t xml:space="preserve">This is reflected in WATSAN campaigns. </w:t>
      </w:r>
      <w:r w:rsidR="004C391E">
        <w:rPr>
          <w:i/>
          <w:lang w:eastAsia="en-GB"/>
        </w:rPr>
        <w:t>Water can also</w:t>
      </w:r>
      <w:r w:rsidR="004C391E" w:rsidRPr="00967D62">
        <w:rPr>
          <w:i/>
          <w:lang w:eastAsia="en-GB"/>
        </w:rPr>
        <w:t xml:space="preserve"> distort</w:t>
      </w:r>
      <w:r w:rsidR="004C391E">
        <w:rPr>
          <w:i/>
          <w:lang w:eastAsia="en-GB"/>
        </w:rPr>
        <w:t xml:space="preserve"> </w:t>
      </w:r>
      <w:r w:rsidR="004C391E" w:rsidRPr="00967D62">
        <w:rPr>
          <w:i/>
          <w:lang w:eastAsia="en-GB"/>
        </w:rPr>
        <w:t>public perce</w:t>
      </w:r>
      <w:r w:rsidR="004C391E">
        <w:rPr>
          <w:i/>
          <w:lang w:eastAsia="en-GB"/>
        </w:rPr>
        <w:t xml:space="preserve">ptions of shit-related illness and can favour a pity agenda. </w:t>
      </w:r>
    </w:p>
    <w:p w:rsidR="004C391E" w:rsidRDefault="004C391E" w:rsidP="004C391E">
      <w:pPr>
        <w:pStyle w:val="Listenabsatz"/>
        <w:spacing w:after="200"/>
        <w:rPr>
          <w:i/>
          <w:lang w:eastAsia="en-GB"/>
        </w:rPr>
      </w:pPr>
    </w:p>
    <w:p w:rsidR="004C391E" w:rsidRPr="0031764B" w:rsidRDefault="004C391E" w:rsidP="004C391E">
      <w:pPr>
        <w:pStyle w:val="Listenabsatz"/>
        <w:numPr>
          <w:ilvl w:val="0"/>
          <w:numId w:val="7"/>
        </w:numPr>
        <w:spacing w:after="200"/>
        <w:rPr>
          <w:u w:val="single"/>
        </w:rPr>
      </w:pPr>
      <w:r w:rsidRPr="0031764B">
        <w:rPr>
          <w:u w:val="single"/>
        </w:rPr>
        <w:t>The health frame</w:t>
      </w:r>
    </w:p>
    <w:p w:rsidR="004C391E" w:rsidRDefault="004C391E" w:rsidP="004C391E">
      <w:pPr>
        <w:ind w:left="720"/>
        <w:rPr>
          <w:i/>
        </w:rPr>
      </w:pPr>
      <w:r w:rsidRPr="00967D62">
        <w:rPr>
          <w:i/>
        </w:rPr>
        <w:t>The keys effects of poor sanitation are health-related, particularly child mortality. That is the tragic truth</w:t>
      </w:r>
      <w:r>
        <w:rPr>
          <w:i/>
        </w:rPr>
        <w:t xml:space="preserve">. Health messages </w:t>
      </w:r>
      <w:r w:rsidR="003264C0">
        <w:rPr>
          <w:i/>
        </w:rPr>
        <w:t>can</w:t>
      </w:r>
      <w:r>
        <w:rPr>
          <w:i/>
        </w:rPr>
        <w:t xml:space="preserve"> bring greater legitimacy to sanitation claims</w:t>
      </w:r>
      <w:r w:rsidRPr="00967D62">
        <w:rPr>
          <w:i/>
        </w:rPr>
        <w:t>.</w:t>
      </w:r>
      <w:r w:rsidRPr="00143164">
        <w:rPr>
          <w:i/>
        </w:rPr>
        <w:t xml:space="preserve"> </w:t>
      </w:r>
      <w:r>
        <w:rPr>
          <w:i/>
        </w:rPr>
        <w:t xml:space="preserve">However, the health sector favours curative treatment over preventative intervention. Health messages alone do not always resonate with the public or effect behavioural change on the ground, but some innovative approaches show that health messages can be presented in new and engaging ways. </w:t>
      </w:r>
    </w:p>
    <w:p w:rsidR="004C391E" w:rsidRDefault="004C391E" w:rsidP="003264C0">
      <w:pPr>
        <w:rPr>
          <w:i/>
        </w:rPr>
      </w:pPr>
    </w:p>
    <w:p w:rsidR="004C391E" w:rsidRPr="00143164" w:rsidRDefault="004C391E" w:rsidP="004C391E">
      <w:pPr>
        <w:pStyle w:val="Listenabsatz"/>
        <w:numPr>
          <w:ilvl w:val="0"/>
          <w:numId w:val="7"/>
        </w:numPr>
      </w:pPr>
      <w:r>
        <w:rPr>
          <w:u w:val="single"/>
        </w:rPr>
        <w:t>The dignity frame</w:t>
      </w:r>
    </w:p>
    <w:p w:rsidR="004C391E" w:rsidRDefault="004C391E" w:rsidP="004C391E">
      <w:pPr>
        <w:pStyle w:val="Listenabsatz"/>
        <w:rPr>
          <w:i/>
        </w:rPr>
      </w:pPr>
    </w:p>
    <w:p w:rsidR="004C391E" w:rsidRDefault="004C391E" w:rsidP="004C391E">
      <w:pPr>
        <w:pStyle w:val="Listenabsatz"/>
        <w:rPr>
          <w:i/>
        </w:rPr>
      </w:pPr>
      <w:r>
        <w:rPr>
          <w:i/>
        </w:rPr>
        <w:t xml:space="preserve">The dignity frame is perhaps closest to the essence of sanitation as a distinct human right. Dignity helps identify exclusion and discrimination, through which the human right to sanitation can offer new </w:t>
      </w:r>
      <w:r w:rsidR="00924763">
        <w:rPr>
          <w:i/>
        </w:rPr>
        <w:t>avenues of legal redress.</w:t>
      </w:r>
      <w:r>
        <w:rPr>
          <w:i/>
        </w:rPr>
        <w:t xml:space="preserve"> Dignity offers new ways to frame campaigns, to link shared understandings and communicate the personal and private aspects of toilets and toilet habits. </w:t>
      </w:r>
    </w:p>
    <w:p w:rsidR="004C391E" w:rsidRPr="00FD76C3" w:rsidRDefault="004C391E" w:rsidP="00FD76C3">
      <w:pPr>
        <w:rPr>
          <w:i/>
        </w:rPr>
      </w:pPr>
    </w:p>
    <w:p w:rsidR="004C391E" w:rsidRDefault="004C391E" w:rsidP="004C391E">
      <w:pPr>
        <w:pStyle w:val="Listenabsatz"/>
        <w:numPr>
          <w:ilvl w:val="0"/>
          <w:numId w:val="7"/>
        </w:numPr>
        <w:rPr>
          <w:u w:val="single"/>
        </w:rPr>
      </w:pPr>
      <w:r w:rsidRPr="0037280E">
        <w:rPr>
          <w:u w:val="single"/>
        </w:rPr>
        <w:t>The development frame</w:t>
      </w:r>
    </w:p>
    <w:p w:rsidR="004C391E" w:rsidRDefault="004C391E" w:rsidP="004C391E">
      <w:pPr>
        <w:pStyle w:val="Listenabsatz"/>
        <w:rPr>
          <w:u w:val="single"/>
        </w:rPr>
      </w:pPr>
    </w:p>
    <w:p w:rsidR="004C391E" w:rsidRDefault="004C391E" w:rsidP="004C391E">
      <w:pPr>
        <w:pStyle w:val="Listenabsatz"/>
        <w:rPr>
          <w:i/>
        </w:rPr>
      </w:pPr>
      <w:r>
        <w:rPr>
          <w:i/>
        </w:rPr>
        <w:t>The MDGs have galvanised support for improving sanitation and have helped form clearer links between sanitation and other human rights. However, MDG targets offer a softer option for States than treaty obligations</w:t>
      </w:r>
      <w:r w:rsidR="00FD39A5">
        <w:rPr>
          <w:i/>
        </w:rPr>
        <w:t xml:space="preserve"> and only last to 2015</w:t>
      </w:r>
      <w:r>
        <w:rPr>
          <w:i/>
        </w:rPr>
        <w:t>. The development frame helps emphasise the economic benefits of invest</w:t>
      </w:r>
      <w:r w:rsidR="00FD39A5">
        <w:rPr>
          <w:i/>
        </w:rPr>
        <w:t>ment</w:t>
      </w:r>
      <w:r>
        <w:rPr>
          <w:i/>
        </w:rPr>
        <w:t xml:space="preserve"> in sanitation</w:t>
      </w:r>
      <w:r w:rsidR="00FD39A5">
        <w:rPr>
          <w:i/>
        </w:rPr>
        <w:t>. But d</w:t>
      </w:r>
      <w:r>
        <w:rPr>
          <w:i/>
        </w:rPr>
        <w:t xml:space="preserve">evelopment as a concept </w:t>
      </w:r>
      <w:r w:rsidR="00FD39A5">
        <w:rPr>
          <w:i/>
        </w:rPr>
        <w:t xml:space="preserve">brings its own baggage as </w:t>
      </w:r>
      <w:r>
        <w:rPr>
          <w:i/>
        </w:rPr>
        <w:t xml:space="preserve">a contested norm with questionable outcomes. </w:t>
      </w:r>
      <w:r w:rsidR="00FD39A5">
        <w:rPr>
          <w:i/>
        </w:rPr>
        <w:br/>
      </w:r>
    </w:p>
    <w:p w:rsidR="004C391E" w:rsidRPr="00FD0F09" w:rsidRDefault="004C391E" w:rsidP="004C391E">
      <w:pPr>
        <w:pStyle w:val="Listenabsatz"/>
        <w:numPr>
          <w:ilvl w:val="0"/>
          <w:numId w:val="7"/>
        </w:numPr>
      </w:pPr>
      <w:r>
        <w:rPr>
          <w:u w:val="single"/>
        </w:rPr>
        <w:t>The education frame</w:t>
      </w:r>
    </w:p>
    <w:p w:rsidR="004C391E" w:rsidRDefault="004C391E" w:rsidP="004C391E">
      <w:pPr>
        <w:pStyle w:val="Listenabsatz"/>
        <w:rPr>
          <w:u w:val="single"/>
        </w:rPr>
      </w:pPr>
    </w:p>
    <w:p w:rsidR="004C391E" w:rsidRDefault="004C391E" w:rsidP="004C391E">
      <w:pPr>
        <w:pStyle w:val="Listenabsatz"/>
        <w:rPr>
          <w:i/>
        </w:rPr>
      </w:pPr>
      <w:r>
        <w:rPr>
          <w:i/>
        </w:rPr>
        <w:t xml:space="preserve">The health effects of poor sanitation affect a child’s ability to attend school. Child health WASH campaigns can also emphasise the positive frames of sanitation access. The right to education </w:t>
      </w:r>
      <w:r w:rsidR="008E2EA8">
        <w:rPr>
          <w:i/>
        </w:rPr>
        <w:t>emphasises behavioural change and centres on</w:t>
      </w:r>
      <w:r>
        <w:rPr>
          <w:i/>
        </w:rPr>
        <w:t xml:space="preserve"> the duty </w:t>
      </w:r>
      <w:r w:rsidR="008E2EA8">
        <w:rPr>
          <w:i/>
        </w:rPr>
        <w:t xml:space="preserve">of States </w:t>
      </w:r>
      <w:r>
        <w:rPr>
          <w:i/>
        </w:rPr>
        <w:t xml:space="preserve">to share information and raise awareness. </w:t>
      </w:r>
    </w:p>
    <w:p w:rsidR="004C391E" w:rsidRDefault="004C391E" w:rsidP="004C391E">
      <w:pPr>
        <w:pStyle w:val="Listenabsatz"/>
        <w:rPr>
          <w:i/>
        </w:rPr>
      </w:pPr>
    </w:p>
    <w:p w:rsidR="004C115C" w:rsidRPr="00CD16C2" w:rsidRDefault="00374E30" w:rsidP="00374E30">
      <w:pPr>
        <w:pStyle w:val="Listenabsatz"/>
        <w:numPr>
          <w:ilvl w:val="0"/>
          <w:numId w:val="7"/>
        </w:numPr>
        <w:tabs>
          <w:tab w:val="left" w:pos="284"/>
        </w:tabs>
        <w:ind w:left="709" w:hanging="709"/>
        <w:rPr>
          <w:i/>
          <w:u w:val="single"/>
        </w:rPr>
      </w:pPr>
      <w:r w:rsidRPr="00374E30">
        <w:t xml:space="preserve">  </w:t>
      </w:r>
      <w:r w:rsidR="004C391E" w:rsidRPr="00374E30">
        <w:rPr>
          <w:u w:val="single"/>
        </w:rPr>
        <w:t>The housing frame</w:t>
      </w:r>
      <w:r w:rsidR="004C391E" w:rsidRPr="00374E30">
        <w:rPr>
          <w:u w:val="single"/>
        </w:rPr>
        <w:br/>
      </w:r>
      <w:r w:rsidR="004C391E" w:rsidRPr="00374E30">
        <w:rPr>
          <w:u w:val="single"/>
        </w:rPr>
        <w:br/>
      </w:r>
      <w:r w:rsidR="004C391E" w:rsidRPr="00374E30">
        <w:rPr>
          <w:i/>
        </w:rPr>
        <w:t xml:space="preserve">Perhaps the most problematic area of sanitation to convey in a campaign. Though the right to sanitation is intrinsically linked to housing, competing rights-claims in slums and lack of tenure pose further challenges. However, </w:t>
      </w:r>
      <w:r w:rsidR="00FB2D14" w:rsidRPr="00374E30">
        <w:rPr>
          <w:i/>
        </w:rPr>
        <w:t>the right to</w:t>
      </w:r>
      <w:r w:rsidR="004C391E" w:rsidRPr="00374E30">
        <w:rPr>
          <w:i/>
        </w:rPr>
        <w:t xml:space="preserve"> sanitation </w:t>
      </w:r>
      <w:r w:rsidR="00FB2D14" w:rsidRPr="00374E30">
        <w:rPr>
          <w:i/>
        </w:rPr>
        <w:t xml:space="preserve">for </w:t>
      </w:r>
      <w:r w:rsidR="004C391E" w:rsidRPr="00374E30">
        <w:rPr>
          <w:i/>
        </w:rPr>
        <w:t xml:space="preserve">homeless </w:t>
      </w:r>
      <w:r w:rsidR="00FB2D14" w:rsidRPr="00374E30">
        <w:rPr>
          <w:i/>
        </w:rPr>
        <w:t xml:space="preserve">people </w:t>
      </w:r>
      <w:r w:rsidR="004C391E" w:rsidRPr="00374E30">
        <w:rPr>
          <w:i/>
        </w:rPr>
        <w:t>highlight</w:t>
      </w:r>
      <w:r w:rsidR="00FB2D14" w:rsidRPr="00374E30">
        <w:rPr>
          <w:i/>
        </w:rPr>
        <w:t>s</w:t>
      </w:r>
      <w:r w:rsidR="004C391E" w:rsidRPr="00374E30">
        <w:rPr>
          <w:i/>
        </w:rPr>
        <w:t xml:space="preserve"> the role rights claims can play.</w:t>
      </w:r>
    </w:p>
    <w:p w:rsidR="00CD16C2" w:rsidRDefault="00CD16C2" w:rsidP="00CD16C2">
      <w:pPr>
        <w:pStyle w:val="Listenabsatz"/>
        <w:spacing w:after="200"/>
        <w:ind w:left="360"/>
      </w:pPr>
    </w:p>
    <w:p w:rsidR="00CD16C2" w:rsidRPr="00CD16C2" w:rsidRDefault="00CD16C2" w:rsidP="00CD16C2">
      <w:pPr>
        <w:pStyle w:val="Listenabsatz"/>
        <w:spacing w:after="200"/>
        <w:ind w:left="0" w:firstLine="709"/>
        <w:rPr>
          <w:i/>
        </w:rPr>
      </w:pPr>
      <w:r>
        <w:t xml:space="preserve">The human right to sanitation brings out a new perspective which is, as yet, underutilised in existing campaigns. </w:t>
      </w:r>
      <w:r>
        <w:rPr>
          <w:lang w:eastAsia="en-GB"/>
        </w:rPr>
        <w:t xml:space="preserve">The central cognitive frame to present sanitation in rights terms is the dignity frame. Dignity goes to the heart of sanitation as a right and </w:t>
      </w:r>
      <w:r w:rsidR="00037A31">
        <w:rPr>
          <w:lang w:eastAsia="en-GB"/>
        </w:rPr>
        <w:t xml:space="preserve">can </w:t>
      </w:r>
      <w:r>
        <w:rPr>
          <w:lang w:eastAsia="en-GB"/>
        </w:rPr>
        <w:t xml:space="preserve">also </w:t>
      </w:r>
      <w:proofErr w:type="spellStart"/>
      <w:r>
        <w:rPr>
          <w:lang w:eastAsia="en-GB"/>
        </w:rPr>
        <w:t>helps</w:t>
      </w:r>
      <w:proofErr w:type="spellEnd"/>
      <w:r>
        <w:rPr>
          <w:lang w:eastAsia="en-GB"/>
        </w:rPr>
        <w:t xml:space="preserve"> focus </w:t>
      </w:r>
      <w:r w:rsidR="00037A31">
        <w:rPr>
          <w:lang w:eastAsia="en-GB"/>
        </w:rPr>
        <w:t xml:space="preserve">campaign </w:t>
      </w:r>
      <w:r>
        <w:rPr>
          <w:lang w:eastAsia="en-GB"/>
        </w:rPr>
        <w:t>message</w:t>
      </w:r>
      <w:r w:rsidR="00037A31">
        <w:rPr>
          <w:lang w:eastAsia="en-GB"/>
        </w:rPr>
        <w:t>s</w:t>
      </w:r>
      <w:r>
        <w:rPr>
          <w:lang w:eastAsia="en-GB"/>
        </w:rPr>
        <w:t xml:space="preserve"> on issues of equity and inclusion, which may also offer the strongest avenues of legal redress. Overall, sanitation </w:t>
      </w:r>
      <w:r w:rsidR="00037A31">
        <w:rPr>
          <w:lang w:eastAsia="en-GB"/>
        </w:rPr>
        <w:t>may continue to be</w:t>
      </w:r>
      <w:r>
        <w:rPr>
          <w:lang w:eastAsia="en-GB"/>
        </w:rPr>
        <w:t xml:space="preserve"> a neglected issue partly because it is always is presented alongside water. Combined WASH messages </w:t>
      </w:r>
      <w:r w:rsidR="00037A31">
        <w:rPr>
          <w:lang w:eastAsia="en-GB"/>
        </w:rPr>
        <w:t xml:space="preserve">used </w:t>
      </w:r>
      <w:r>
        <w:rPr>
          <w:lang w:eastAsia="en-GB"/>
        </w:rPr>
        <w:t xml:space="preserve">in development projects correctly show that improving sanitation requires clean water, a hygienic toilet, safe disposal of excreta and hand-washing. But when translated to campaigns, </w:t>
      </w:r>
      <w:r w:rsidR="00037A31">
        <w:rPr>
          <w:lang w:eastAsia="en-GB"/>
        </w:rPr>
        <w:t>the message can</w:t>
      </w:r>
      <w:r>
        <w:rPr>
          <w:lang w:eastAsia="en-GB"/>
        </w:rPr>
        <w:t xml:space="preserve"> </w:t>
      </w:r>
      <w:r w:rsidR="00037A31">
        <w:rPr>
          <w:lang w:eastAsia="en-GB"/>
        </w:rPr>
        <w:t xml:space="preserve">simply </w:t>
      </w:r>
      <w:r w:rsidR="00E8023A">
        <w:rPr>
          <w:lang w:eastAsia="en-GB"/>
        </w:rPr>
        <w:t>become:</w:t>
      </w:r>
      <w:r>
        <w:rPr>
          <w:lang w:eastAsia="en-GB"/>
        </w:rPr>
        <w:t xml:space="preserve"> </w:t>
      </w:r>
      <w:r w:rsidR="00E8023A">
        <w:rPr>
          <w:lang w:eastAsia="en-GB"/>
        </w:rPr>
        <w:t>‘</w:t>
      </w:r>
      <w:r>
        <w:rPr>
          <w:lang w:eastAsia="en-GB"/>
        </w:rPr>
        <w:t>dirty water is the problem, so clean water is the solution</w:t>
      </w:r>
      <w:r w:rsidR="00E8023A">
        <w:rPr>
          <w:lang w:eastAsia="en-GB"/>
        </w:rPr>
        <w:t>’</w:t>
      </w:r>
      <w:r>
        <w:rPr>
          <w:lang w:eastAsia="en-GB"/>
        </w:rPr>
        <w:t xml:space="preserve">. </w:t>
      </w:r>
      <w:r w:rsidR="0059657E">
        <w:rPr>
          <w:lang w:eastAsia="en-GB"/>
        </w:rPr>
        <w:t xml:space="preserve">This detracts from sanitation as the core issue, helping obscure international attention </w:t>
      </w:r>
      <w:r w:rsidR="003507F8">
        <w:rPr>
          <w:lang w:eastAsia="en-GB"/>
        </w:rPr>
        <w:t xml:space="preserve">to a </w:t>
      </w:r>
      <w:r w:rsidR="00E8023A">
        <w:rPr>
          <w:lang w:eastAsia="en-GB"/>
        </w:rPr>
        <w:t xml:space="preserve">worsening </w:t>
      </w:r>
      <w:r w:rsidR="003507F8">
        <w:rPr>
          <w:lang w:eastAsia="en-GB"/>
        </w:rPr>
        <w:t>global crisis.</w:t>
      </w:r>
      <w:r w:rsidR="007A77E1" w:rsidRPr="007A77E1">
        <w:rPr>
          <w:lang w:eastAsia="en-GB"/>
        </w:rPr>
        <w:t xml:space="preserve"> </w:t>
      </w:r>
      <w:r w:rsidR="007A77E1" w:rsidRPr="00960780">
        <w:rPr>
          <w:lang w:eastAsia="en-GB"/>
        </w:rPr>
        <w:t>Sanitation needs to be campaigned for as a separate entity</w:t>
      </w:r>
      <w:r w:rsidR="007A77E1">
        <w:rPr>
          <w:lang w:eastAsia="en-GB"/>
        </w:rPr>
        <w:t xml:space="preserve"> to water</w:t>
      </w:r>
      <w:r w:rsidR="007A77E1" w:rsidRPr="00960780">
        <w:rPr>
          <w:lang w:eastAsia="en-GB"/>
        </w:rPr>
        <w:t xml:space="preserve">. Sanitation as a human right gives that entity </w:t>
      </w:r>
      <w:r w:rsidR="007A77E1">
        <w:rPr>
          <w:lang w:eastAsia="en-GB"/>
        </w:rPr>
        <w:t xml:space="preserve">a </w:t>
      </w:r>
      <w:r w:rsidR="007A77E1" w:rsidRPr="00960780">
        <w:rPr>
          <w:lang w:eastAsia="en-GB"/>
        </w:rPr>
        <w:t>grounding</w:t>
      </w:r>
      <w:r w:rsidR="007A77E1">
        <w:rPr>
          <w:lang w:eastAsia="en-GB"/>
        </w:rPr>
        <w:t xml:space="preserve"> in international law. Positive cognitive </w:t>
      </w:r>
      <w:r w:rsidR="007A77E1" w:rsidRPr="00960780">
        <w:rPr>
          <w:lang w:eastAsia="en-GB"/>
        </w:rPr>
        <w:t xml:space="preserve">frames of human dignity, </w:t>
      </w:r>
      <w:r w:rsidR="007A77E1">
        <w:rPr>
          <w:lang w:eastAsia="en-GB"/>
        </w:rPr>
        <w:t xml:space="preserve">improved </w:t>
      </w:r>
      <w:r w:rsidR="007A77E1" w:rsidRPr="00960780">
        <w:rPr>
          <w:lang w:eastAsia="en-GB"/>
        </w:rPr>
        <w:t>health</w:t>
      </w:r>
      <w:r w:rsidR="007A77E1">
        <w:rPr>
          <w:lang w:eastAsia="en-GB"/>
        </w:rPr>
        <w:t>, empowering</w:t>
      </w:r>
      <w:r w:rsidR="007A77E1" w:rsidRPr="00960780">
        <w:rPr>
          <w:lang w:eastAsia="en-GB"/>
        </w:rPr>
        <w:t xml:space="preserve"> education </w:t>
      </w:r>
      <w:r w:rsidR="007A77E1">
        <w:rPr>
          <w:lang w:eastAsia="en-GB"/>
        </w:rPr>
        <w:t>and fiscal sense can perhaps wrestle campaigns for improving sanitation away from the stifling water frame</w:t>
      </w:r>
      <w:r w:rsidR="007A77E1" w:rsidRPr="00960780">
        <w:rPr>
          <w:lang w:eastAsia="en-GB"/>
        </w:rPr>
        <w:t>.</w:t>
      </w:r>
    </w:p>
    <w:p w:rsidR="00607533" w:rsidRDefault="00607533" w:rsidP="00AF61B8"/>
    <w:p w:rsidR="00960780" w:rsidRDefault="001058D1" w:rsidP="00374E30">
      <w:pPr>
        <w:ind w:firstLine="709"/>
        <w:rPr>
          <w:lang w:eastAsia="en-GB"/>
        </w:rPr>
      </w:pPr>
      <w:r w:rsidRPr="00960780">
        <w:t xml:space="preserve">In contrast to the view that sanitation is a taboo subject that on-one wants to talk about, </w:t>
      </w:r>
      <w:r w:rsidR="009C1787">
        <w:t xml:space="preserve">it can be argued that </w:t>
      </w:r>
      <w:r w:rsidRPr="00960780">
        <w:t xml:space="preserve">people do in fact want to talk shit. The problem seems to lie more in </w:t>
      </w:r>
      <w:r w:rsidR="002A30AB">
        <w:t>breaking the ice.</w:t>
      </w:r>
      <w:r w:rsidR="00125271">
        <w:t xml:space="preserve"> </w:t>
      </w:r>
      <w:r w:rsidR="002A30AB">
        <w:t>Where h</w:t>
      </w:r>
      <w:r w:rsidR="00125271" w:rsidRPr="00960780">
        <w:t xml:space="preserve">umour and shock value can help </w:t>
      </w:r>
      <w:r w:rsidR="002A30AB" w:rsidRPr="00960780">
        <w:t>broach the subject</w:t>
      </w:r>
      <w:r w:rsidR="002A30AB">
        <w:t xml:space="preserve"> of toilets and toilet habits,</w:t>
      </w:r>
      <w:r w:rsidR="00125271" w:rsidRPr="00960780">
        <w:t xml:space="preserve"> </w:t>
      </w:r>
      <w:r w:rsidR="002A30AB">
        <w:t>t</w:t>
      </w:r>
      <w:r w:rsidR="00762D52">
        <w:t xml:space="preserve">he global sanitation crisis </w:t>
      </w:r>
      <w:r w:rsidR="009C1787">
        <w:t xml:space="preserve">then </w:t>
      </w:r>
      <w:r w:rsidR="00125271">
        <w:t>needs</w:t>
      </w:r>
      <w:r w:rsidR="002A30AB">
        <w:t xml:space="preserve"> high-profile</w:t>
      </w:r>
      <w:r w:rsidR="00125271">
        <w:t xml:space="preserve"> figures to shout shit from the rooftops</w:t>
      </w:r>
      <w:r w:rsidR="007A77E1">
        <w:t xml:space="preserve"> and push this issue higher up the agenda</w:t>
      </w:r>
      <w:r w:rsidR="00125271">
        <w:t xml:space="preserve">. </w:t>
      </w:r>
      <w:r w:rsidR="00960780" w:rsidRPr="00960780">
        <w:rPr>
          <w:lang w:eastAsia="en-GB"/>
        </w:rPr>
        <w:t xml:space="preserve">The </w:t>
      </w:r>
      <w:r w:rsidR="007A77E1">
        <w:rPr>
          <w:lang w:eastAsia="en-GB"/>
        </w:rPr>
        <w:t>recent shift that has seen</w:t>
      </w:r>
      <w:r w:rsidR="00960780" w:rsidRPr="00960780">
        <w:rPr>
          <w:lang w:eastAsia="en-GB"/>
        </w:rPr>
        <w:t xml:space="preserve"> sanitation </w:t>
      </w:r>
      <w:r w:rsidR="009C1787">
        <w:rPr>
          <w:lang w:eastAsia="en-GB"/>
        </w:rPr>
        <w:t>affirmed</w:t>
      </w:r>
      <w:r w:rsidR="007A77E1">
        <w:rPr>
          <w:lang w:eastAsia="en-GB"/>
        </w:rPr>
        <w:t xml:space="preserve"> as a distinct human right can help </w:t>
      </w:r>
      <w:r w:rsidR="00960780" w:rsidRPr="00960780">
        <w:rPr>
          <w:lang w:eastAsia="en-GB"/>
        </w:rPr>
        <w:t>reframe and reinvigorate sanitation campaigns</w:t>
      </w:r>
      <w:r w:rsidR="007A77E1">
        <w:rPr>
          <w:lang w:eastAsia="en-GB"/>
        </w:rPr>
        <w:t xml:space="preserve">. This recent development gives sanitation campaigners a rare opportunity to </w:t>
      </w:r>
      <w:r w:rsidR="001621DE">
        <w:rPr>
          <w:lang w:eastAsia="en-GB"/>
        </w:rPr>
        <w:t xml:space="preserve">reset the debate and refocus attention in a fresh way. </w:t>
      </w:r>
      <w:r w:rsidR="00125271">
        <w:rPr>
          <w:lang w:eastAsia="en-GB"/>
        </w:rPr>
        <w:t xml:space="preserve">After the MDG target date of </w:t>
      </w:r>
      <w:r w:rsidRPr="00960780">
        <w:rPr>
          <w:lang w:eastAsia="en-GB"/>
        </w:rPr>
        <w:t>2015</w:t>
      </w:r>
      <w:r w:rsidR="001621DE">
        <w:rPr>
          <w:lang w:eastAsia="en-GB"/>
        </w:rPr>
        <w:t xml:space="preserve"> passes</w:t>
      </w:r>
      <w:r w:rsidRPr="00960780">
        <w:rPr>
          <w:lang w:eastAsia="en-GB"/>
        </w:rPr>
        <w:t xml:space="preserve">, </w:t>
      </w:r>
      <w:r w:rsidR="00125271">
        <w:rPr>
          <w:lang w:eastAsia="en-GB"/>
        </w:rPr>
        <w:t xml:space="preserve">perhaps </w:t>
      </w:r>
      <w:r w:rsidRPr="00960780">
        <w:rPr>
          <w:lang w:eastAsia="en-GB"/>
        </w:rPr>
        <w:t xml:space="preserve">human rights can provide a new home for the orphan sanitation. </w:t>
      </w:r>
    </w:p>
    <w:p w:rsidR="00CF6AFE" w:rsidRDefault="00CF6AFE" w:rsidP="00125271">
      <w:pPr>
        <w:rPr>
          <w:lang w:eastAsia="en-GB"/>
        </w:rPr>
      </w:pPr>
    </w:p>
    <w:p w:rsidR="00CF6AFE" w:rsidRDefault="00CF6AFE" w:rsidP="00125271">
      <w:pPr>
        <w:rPr>
          <w:lang w:eastAsia="en-GB"/>
        </w:rPr>
      </w:pPr>
    </w:p>
    <w:p w:rsidR="00CF6AFE" w:rsidRDefault="00CF6AFE" w:rsidP="00125271">
      <w:pPr>
        <w:rPr>
          <w:lang w:eastAsia="en-GB"/>
        </w:rPr>
      </w:pPr>
    </w:p>
    <w:p w:rsidR="00CF6AFE" w:rsidRDefault="00CF6AFE" w:rsidP="00125271">
      <w:pPr>
        <w:rPr>
          <w:lang w:eastAsia="en-GB"/>
        </w:rPr>
      </w:pPr>
    </w:p>
    <w:p w:rsidR="00CF6AFE" w:rsidRDefault="00CF6AFE" w:rsidP="00125271">
      <w:pPr>
        <w:rPr>
          <w:lang w:eastAsia="en-GB"/>
        </w:rPr>
      </w:pPr>
    </w:p>
    <w:p w:rsidR="00CF6AFE" w:rsidRDefault="00CF6AFE" w:rsidP="00125271">
      <w:pPr>
        <w:rPr>
          <w:lang w:eastAsia="en-GB"/>
        </w:rPr>
      </w:pPr>
    </w:p>
    <w:p w:rsidR="00CF6AFE" w:rsidRDefault="00CF6AFE"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7C730D" w:rsidRDefault="007C730D" w:rsidP="00125271">
      <w:pPr>
        <w:rPr>
          <w:lang w:eastAsia="en-GB"/>
        </w:rPr>
      </w:pPr>
    </w:p>
    <w:p w:rsidR="000D6353" w:rsidRDefault="000D6353" w:rsidP="00125271">
      <w:pPr>
        <w:rPr>
          <w:b/>
          <w:u w:val="single"/>
          <w:lang w:eastAsia="en-GB"/>
        </w:rPr>
      </w:pPr>
    </w:p>
    <w:p w:rsidR="000D6353" w:rsidRDefault="000D6353" w:rsidP="00125271">
      <w:pPr>
        <w:rPr>
          <w:b/>
          <w:u w:val="single"/>
          <w:lang w:eastAsia="en-GB"/>
        </w:rPr>
      </w:pPr>
    </w:p>
    <w:p w:rsidR="000D6353" w:rsidRDefault="000D6353" w:rsidP="00125271">
      <w:pPr>
        <w:rPr>
          <w:b/>
          <w:u w:val="single"/>
          <w:lang w:eastAsia="en-GB"/>
        </w:rPr>
      </w:pPr>
    </w:p>
    <w:p w:rsidR="00EF73DA" w:rsidRDefault="00EF73DA" w:rsidP="00125271">
      <w:pPr>
        <w:rPr>
          <w:b/>
          <w:u w:val="single"/>
          <w:lang w:eastAsia="en-GB"/>
        </w:rPr>
      </w:pPr>
    </w:p>
    <w:p w:rsidR="00C53D3F" w:rsidRDefault="00C53D3F" w:rsidP="00125271">
      <w:pPr>
        <w:rPr>
          <w:b/>
          <w:u w:val="single"/>
          <w:lang w:eastAsia="en-GB"/>
        </w:rPr>
      </w:pPr>
    </w:p>
    <w:p w:rsidR="00C53D3F" w:rsidRDefault="00C53D3F" w:rsidP="00125271">
      <w:pPr>
        <w:rPr>
          <w:b/>
          <w:u w:val="single"/>
          <w:lang w:eastAsia="en-GB"/>
        </w:rPr>
      </w:pPr>
    </w:p>
    <w:p w:rsidR="00C53D3F" w:rsidRDefault="00C53D3F" w:rsidP="00125271">
      <w:pPr>
        <w:rPr>
          <w:b/>
          <w:u w:val="single"/>
          <w:lang w:eastAsia="en-GB"/>
        </w:rPr>
      </w:pPr>
    </w:p>
    <w:p w:rsidR="00C53D3F" w:rsidRDefault="00C53D3F" w:rsidP="00125271">
      <w:pPr>
        <w:rPr>
          <w:b/>
          <w:u w:val="single"/>
          <w:lang w:eastAsia="en-GB"/>
        </w:rPr>
      </w:pPr>
    </w:p>
    <w:p w:rsidR="00C53D3F" w:rsidRDefault="00C53D3F" w:rsidP="00125271">
      <w:pPr>
        <w:rPr>
          <w:b/>
          <w:u w:val="single"/>
          <w:lang w:eastAsia="en-GB"/>
        </w:rPr>
      </w:pPr>
    </w:p>
    <w:p w:rsidR="007C730D" w:rsidRPr="007C730D" w:rsidRDefault="007C730D" w:rsidP="00125271">
      <w:pPr>
        <w:rPr>
          <w:b/>
          <w:u w:val="single"/>
          <w:lang w:eastAsia="en-GB"/>
        </w:rPr>
      </w:pPr>
      <w:r w:rsidRPr="007C730D">
        <w:rPr>
          <w:b/>
          <w:u w:val="single"/>
          <w:lang w:eastAsia="en-GB"/>
        </w:rPr>
        <w:t>Annex I</w:t>
      </w:r>
    </w:p>
    <w:p w:rsidR="007C730D" w:rsidRDefault="007C730D" w:rsidP="00125271">
      <w:pPr>
        <w:rPr>
          <w:lang w:eastAsia="en-GB"/>
        </w:rPr>
      </w:pPr>
    </w:p>
    <w:p w:rsidR="007C730D" w:rsidRPr="007C730D" w:rsidRDefault="007C730D" w:rsidP="00125271">
      <w:pPr>
        <w:rPr>
          <w:b/>
          <w:lang w:eastAsia="en-GB"/>
        </w:rPr>
      </w:pPr>
      <w:r w:rsidRPr="007C730D">
        <w:rPr>
          <w:b/>
          <w:lang w:eastAsia="en-GB"/>
        </w:rPr>
        <w:t>Interviews</w:t>
      </w:r>
    </w:p>
    <w:p w:rsidR="007C730D" w:rsidRDefault="007C730D" w:rsidP="00125271">
      <w:pPr>
        <w:rPr>
          <w:lang w:eastAsia="en-GB"/>
        </w:rPr>
      </w:pPr>
    </w:p>
    <w:p w:rsidR="007C730D" w:rsidRDefault="007C730D" w:rsidP="007C730D">
      <w:r>
        <w:t xml:space="preserve">The following persons were interviewed for this study. Dependant on availability and location, interviews were conducted in person </w:t>
      </w:r>
      <w:r w:rsidRPr="00CC4A89">
        <w:rPr>
          <w:i/>
        </w:rPr>
        <w:t>(p)</w:t>
      </w:r>
      <w:r>
        <w:t xml:space="preserve">, via </w:t>
      </w:r>
      <w:proofErr w:type="spellStart"/>
      <w:r>
        <w:t>skype</w:t>
      </w:r>
      <w:proofErr w:type="spellEnd"/>
      <w:r>
        <w:t xml:space="preserve"> </w:t>
      </w:r>
      <w:r w:rsidRPr="00CC4A89">
        <w:rPr>
          <w:i/>
        </w:rPr>
        <w:t>(s)</w:t>
      </w:r>
      <w:r>
        <w:t xml:space="preserve">, or by email </w:t>
      </w:r>
      <w:r w:rsidRPr="00CC4A89">
        <w:rPr>
          <w:i/>
        </w:rPr>
        <w:t>(e)</w:t>
      </w:r>
      <w:r>
        <w:t>. All interviews are cited and included in the bibliography.</w:t>
      </w:r>
    </w:p>
    <w:p w:rsidR="007C730D" w:rsidRDefault="007C730D" w:rsidP="007C730D"/>
    <w:p w:rsidR="007C730D" w:rsidRPr="00F14A8A" w:rsidRDefault="007C730D" w:rsidP="007C730D">
      <w:pPr>
        <w:rPr>
          <w:i/>
        </w:rPr>
      </w:pPr>
      <w:proofErr w:type="spellStart"/>
      <w:r>
        <w:t>Catarina</w:t>
      </w:r>
      <w:proofErr w:type="spellEnd"/>
      <w:r>
        <w:t xml:space="preserve"> de Albuquerque:</w:t>
      </w:r>
      <w:r>
        <w:rPr>
          <w:i/>
        </w:rPr>
        <w:t xml:space="preserve"> Special Rapporteur on the human right to water and sanitation (s)</w:t>
      </w:r>
    </w:p>
    <w:p w:rsidR="007C730D" w:rsidRPr="00F14A8A" w:rsidRDefault="007C730D" w:rsidP="007C730D">
      <w:pPr>
        <w:rPr>
          <w:i/>
        </w:rPr>
      </w:pPr>
      <w:r>
        <w:t xml:space="preserve">Fleur Anderson: </w:t>
      </w:r>
      <w:r>
        <w:rPr>
          <w:i/>
        </w:rPr>
        <w:t>International Campaigns Coordinator, End Water Poverty (p)</w:t>
      </w:r>
    </w:p>
    <w:p w:rsidR="007C730D" w:rsidRDefault="007C730D" w:rsidP="007C730D">
      <w:pPr>
        <w:rPr>
          <w:i/>
        </w:rPr>
      </w:pPr>
      <w:r>
        <w:t xml:space="preserve">Ben Fawcett: </w:t>
      </w:r>
      <w:r w:rsidRPr="00832813">
        <w:rPr>
          <w:i/>
        </w:rPr>
        <w:t xml:space="preserve">author of </w:t>
      </w:r>
      <w:r>
        <w:rPr>
          <w:i/>
        </w:rPr>
        <w:t>‘</w:t>
      </w:r>
      <w:r w:rsidRPr="00832813">
        <w:rPr>
          <w:i/>
        </w:rPr>
        <w:t>The Last Taboo</w:t>
      </w:r>
      <w:r>
        <w:rPr>
          <w:i/>
        </w:rPr>
        <w:t>’</w:t>
      </w:r>
      <w:r w:rsidRPr="00832813">
        <w:rPr>
          <w:i/>
        </w:rPr>
        <w:t xml:space="preserve">, </w:t>
      </w:r>
      <w:r>
        <w:rPr>
          <w:i/>
        </w:rPr>
        <w:t>environmental health engineer and educator (formerly</w:t>
      </w:r>
      <w:r w:rsidRPr="00832813">
        <w:rPr>
          <w:i/>
        </w:rPr>
        <w:t xml:space="preserve"> with UNICEF, Save th</w:t>
      </w:r>
      <w:r>
        <w:rPr>
          <w:i/>
        </w:rPr>
        <w:t xml:space="preserve">e Children, </w:t>
      </w:r>
      <w:proofErr w:type="spellStart"/>
      <w:r>
        <w:rPr>
          <w:i/>
        </w:rPr>
        <w:t>WaterAid</w:t>
      </w:r>
      <w:proofErr w:type="spellEnd"/>
      <w:r>
        <w:rPr>
          <w:i/>
        </w:rPr>
        <w:t xml:space="preserve"> and others) (e)</w:t>
      </w:r>
    </w:p>
    <w:p w:rsidR="007C730D" w:rsidRPr="00CC4A89" w:rsidRDefault="007C730D" w:rsidP="007C730D">
      <w:pPr>
        <w:rPr>
          <w:i/>
        </w:rPr>
      </w:pPr>
      <w:r>
        <w:t xml:space="preserve">Rose George: </w:t>
      </w:r>
      <w:r w:rsidRPr="00F14A8A">
        <w:rPr>
          <w:i/>
        </w:rPr>
        <w:t xml:space="preserve">author of </w:t>
      </w:r>
      <w:r>
        <w:rPr>
          <w:i/>
        </w:rPr>
        <w:t>‘</w:t>
      </w:r>
      <w:r w:rsidRPr="00F14A8A">
        <w:rPr>
          <w:i/>
        </w:rPr>
        <w:t>The Big Necessity</w:t>
      </w:r>
      <w:r>
        <w:rPr>
          <w:i/>
        </w:rPr>
        <w:t>’ (e</w:t>
      </w:r>
      <w:proofErr w:type="gramStart"/>
      <w:r>
        <w:rPr>
          <w:i/>
        </w:rPr>
        <w:t>)</w:t>
      </w:r>
      <w:proofErr w:type="gramEnd"/>
      <w:r>
        <w:rPr>
          <w:i/>
        </w:rPr>
        <w:br/>
      </w:r>
      <w:proofErr w:type="spellStart"/>
      <w:r>
        <w:t>Remi</w:t>
      </w:r>
      <w:proofErr w:type="spellEnd"/>
      <w:r>
        <w:t xml:space="preserve"> </w:t>
      </w:r>
      <w:proofErr w:type="spellStart"/>
      <w:r>
        <w:t>Kaupp</w:t>
      </w:r>
      <w:proofErr w:type="spellEnd"/>
      <w:r>
        <w:t xml:space="preserve">: </w:t>
      </w:r>
      <w:r w:rsidRPr="00CC4A89">
        <w:rPr>
          <w:i/>
        </w:rPr>
        <w:t>International Officer, Homeless International</w:t>
      </w:r>
      <w:r>
        <w:rPr>
          <w:i/>
        </w:rPr>
        <w:t xml:space="preserve"> (e)</w:t>
      </w:r>
    </w:p>
    <w:p w:rsidR="007C730D" w:rsidRPr="00F14A8A" w:rsidRDefault="007C730D" w:rsidP="007C730D">
      <w:pPr>
        <w:rPr>
          <w:i/>
        </w:rPr>
      </w:pPr>
      <w:proofErr w:type="spellStart"/>
      <w:r>
        <w:t>Thiago</w:t>
      </w:r>
      <w:proofErr w:type="spellEnd"/>
      <w:r>
        <w:t xml:space="preserve"> </w:t>
      </w:r>
      <w:proofErr w:type="spellStart"/>
      <w:r>
        <w:t>Luchesi</w:t>
      </w:r>
      <w:proofErr w:type="spellEnd"/>
      <w:r>
        <w:t>:</w:t>
      </w:r>
      <w:r w:rsidRPr="00F14A8A">
        <w:rPr>
          <w:color w:val="2A2A2A"/>
        </w:rPr>
        <w:t xml:space="preserve"> </w:t>
      </w:r>
      <w:r w:rsidRPr="00F14A8A">
        <w:rPr>
          <w:i/>
        </w:rPr>
        <w:t>Advisor for Child Health Policy and Rights</w:t>
      </w:r>
      <w:r>
        <w:t xml:space="preserve">, </w:t>
      </w:r>
      <w:r>
        <w:rPr>
          <w:i/>
        </w:rPr>
        <w:t xml:space="preserve">World Vision </w:t>
      </w:r>
      <w:r w:rsidRPr="00F14A8A">
        <w:rPr>
          <w:i/>
        </w:rPr>
        <w:t>(e</w:t>
      </w:r>
      <w:proofErr w:type="gramStart"/>
      <w:r>
        <w:rPr>
          <w:i/>
        </w:rPr>
        <w:t>)</w:t>
      </w:r>
      <w:proofErr w:type="gramEnd"/>
      <w:r>
        <w:br/>
        <w:t xml:space="preserve">Amanda Marlin: </w:t>
      </w:r>
      <w:r w:rsidRPr="00BD7031">
        <w:rPr>
          <w:i/>
        </w:rPr>
        <w:t>Programme Manager for Advocacy and Communications, WSSCC</w:t>
      </w:r>
      <w:r>
        <w:rPr>
          <w:i/>
        </w:rPr>
        <w:t xml:space="preserve"> (s)</w:t>
      </w:r>
    </w:p>
    <w:p w:rsidR="007C730D" w:rsidRPr="00F14A8A" w:rsidRDefault="007C730D" w:rsidP="007C730D">
      <w:pPr>
        <w:rPr>
          <w:i/>
        </w:rPr>
      </w:pPr>
      <w:r>
        <w:t xml:space="preserve">Kate </w:t>
      </w:r>
      <w:proofErr w:type="spellStart"/>
      <w:r>
        <w:t>Norgro</w:t>
      </w:r>
      <w:r w:rsidRPr="00832813">
        <w:t>ve</w:t>
      </w:r>
      <w:proofErr w:type="spellEnd"/>
      <w:r w:rsidRPr="00832813">
        <w:t xml:space="preserve">: </w:t>
      </w:r>
      <w:r>
        <w:rPr>
          <w:i/>
        </w:rPr>
        <w:t xml:space="preserve">Head of </w:t>
      </w:r>
      <w:proofErr w:type="spellStart"/>
      <w:r>
        <w:rPr>
          <w:i/>
        </w:rPr>
        <w:t>Campiagns</w:t>
      </w:r>
      <w:proofErr w:type="spellEnd"/>
      <w:r>
        <w:rPr>
          <w:i/>
        </w:rPr>
        <w:t xml:space="preserve">, </w:t>
      </w:r>
      <w:proofErr w:type="spellStart"/>
      <w:r>
        <w:rPr>
          <w:i/>
        </w:rPr>
        <w:t>WaterAid</w:t>
      </w:r>
      <w:proofErr w:type="spellEnd"/>
      <w:r>
        <w:rPr>
          <w:i/>
        </w:rPr>
        <w:t xml:space="preserve"> UK (p)</w:t>
      </w:r>
    </w:p>
    <w:p w:rsidR="007C730D" w:rsidRDefault="007C730D" w:rsidP="007C730D">
      <w:pPr>
        <w:rPr>
          <w:i/>
        </w:rPr>
      </w:pPr>
      <w:r>
        <w:t xml:space="preserve">Henry </w:t>
      </w:r>
      <w:proofErr w:type="spellStart"/>
      <w:r>
        <w:t>Northover</w:t>
      </w:r>
      <w:proofErr w:type="spellEnd"/>
      <w:r>
        <w:t xml:space="preserve">: </w:t>
      </w:r>
      <w:r w:rsidRPr="00832813">
        <w:rPr>
          <w:i/>
        </w:rPr>
        <w:t xml:space="preserve">Head of Policy, </w:t>
      </w:r>
      <w:proofErr w:type="spellStart"/>
      <w:r w:rsidRPr="00832813">
        <w:rPr>
          <w:i/>
        </w:rPr>
        <w:t>WaterAid</w:t>
      </w:r>
      <w:proofErr w:type="spellEnd"/>
      <w:r w:rsidRPr="00832813">
        <w:rPr>
          <w:i/>
        </w:rPr>
        <w:t xml:space="preserve"> UK (p)</w:t>
      </w:r>
    </w:p>
    <w:p w:rsidR="007C730D" w:rsidRDefault="007C730D" w:rsidP="007C730D">
      <w:pPr>
        <w:rPr>
          <w:i/>
        </w:rPr>
      </w:pPr>
      <w:r>
        <w:t>Jennifer Philpot-</w:t>
      </w:r>
      <w:proofErr w:type="spellStart"/>
      <w:r>
        <w:t>Nissen</w:t>
      </w:r>
      <w:proofErr w:type="spellEnd"/>
      <w:r>
        <w:t xml:space="preserve">:  </w:t>
      </w:r>
      <w:r w:rsidRPr="00F14A8A">
        <w:rPr>
          <w:i/>
        </w:rPr>
        <w:t>Senior Human Rights Advisor, World Vision (e)</w:t>
      </w:r>
    </w:p>
    <w:p w:rsidR="007C730D" w:rsidRPr="00F14A8A" w:rsidRDefault="007C730D" w:rsidP="007C730D">
      <w:proofErr w:type="spellStart"/>
      <w:r>
        <w:t>Pilar</w:t>
      </w:r>
      <w:proofErr w:type="spellEnd"/>
      <w:r>
        <w:t xml:space="preserve"> Romero-</w:t>
      </w:r>
      <w:proofErr w:type="spellStart"/>
      <w:r>
        <w:t>Ardoy</w:t>
      </w:r>
      <w:proofErr w:type="spellEnd"/>
      <w:r>
        <w:t xml:space="preserve">: </w:t>
      </w:r>
      <w:r w:rsidRPr="00F14A8A">
        <w:rPr>
          <w:i/>
        </w:rPr>
        <w:t>Wash Manager, Goal International – Haiti (e)</w:t>
      </w:r>
    </w:p>
    <w:p w:rsidR="007C730D" w:rsidRDefault="007C730D" w:rsidP="007C730D">
      <w:pPr>
        <w:rPr>
          <w:i/>
        </w:rPr>
      </w:pPr>
      <w:r>
        <w:t xml:space="preserve">Daniel Yeo: </w:t>
      </w:r>
      <w:r>
        <w:rPr>
          <w:i/>
        </w:rPr>
        <w:t xml:space="preserve">Senior Policy Analyst, Water Security and Climate Change, </w:t>
      </w:r>
      <w:proofErr w:type="spellStart"/>
      <w:r>
        <w:rPr>
          <w:i/>
        </w:rPr>
        <w:t>WaterAid</w:t>
      </w:r>
      <w:proofErr w:type="spellEnd"/>
      <w:r>
        <w:rPr>
          <w:i/>
        </w:rPr>
        <w:t xml:space="preserve"> UK (p)</w:t>
      </w:r>
    </w:p>
    <w:p w:rsidR="007C730D" w:rsidRDefault="007C730D" w:rsidP="00125271">
      <w:pPr>
        <w:rPr>
          <w:lang w:eastAsia="en-GB"/>
        </w:rPr>
      </w:pPr>
    </w:p>
    <w:p w:rsidR="00CF6AFE" w:rsidRDefault="00CF6AFE" w:rsidP="00125271">
      <w:pPr>
        <w:rPr>
          <w:lang w:eastAsia="en-GB"/>
        </w:rPr>
      </w:pPr>
    </w:p>
    <w:p w:rsidR="00CF6AFE" w:rsidRDefault="00CF6AFE" w:rsidP="00125271">
      <w:pPr>
        <w:rPr>
          <w:lang w:eastAsia="en-GB"/>
        </w:rPr>
      </w:pPr>
    </w:p>
    <w:p w:rsidR="00CF6AFE" w:rsidRDefault="00CF6AFE" w:rsidP="00CF6AFE">
      <w:pPr>
        <w:rPr>
          <w:b/>
          <w:u w:val="single"/>
        </w:rPr>
      </w:pPr>
      <w:r w:rsidRPr="0087183E">
        <w:rPr>
          <w:b/>
          <w:u w:val="single"/>
        </w:rPr>
        <w:t>Bibliography</w:t>
      </w:r>
    </w:p>
    <w:p w:rsidR="00C5341F" w:rsidRDefault="00C5341F" w:rsidP="00CF6AFE"/>
    <w:p w:rsidR="00CF6AFE" w:rsidRPr="00446826" w:rsidRDefault="00CF6AFE" w:rsidP="00CF6AFE">
      <w:proofErr w:type="gramStart"/>
      <w:r w:rsidRPr="00446826">
        <w:t>Ahmed, S. and Potter, M., 2006.</w:t>
      </w:r>
      <w:proofErr w:type="gramEnd"/>
      <w:r w:rsidRPr="00446826">
        <w:t xml:space="preserve"> </w:t>
      </w:r>
      <w:proofErr w:type="gramStart"/>
      <w:r w:rsidRPr="00446826">
        <w:rPr>
          <w:i/>
        </w:rPr>
        <w:t>NGOs in International Politics</w:t>
      </w:r>
      <w:r w:rsidRPr="00446826">
        <w:t>.</w:t>
      </w:r>
      <w:proofErr w:type="gramEnd"/>
      <w:r w:rsidRPr="00446826">
        <w:t xml:space="preserve"> Canada: </w:t>
      </w:r>
      <w:proofErr w:type="spellStart"/>
      <w:r w:rsidRPr="00446826">
        <w:t>Kuramian</w:t>
      </w:r>
      <w:proofErr w:type="spellEnd"/>
      <w:r w:rsidRPr="00446826">
        <w:t>.</w:t>
      </w:r>
    </w:p>
    <w:p w:rsidR="00C5341F" w:rsidRPr="00446826" w:rsidRDefault="00C5341F" w:rsidP="00CF6AFE"/>
    <w:p w:rsidR="00CF6AFE" w:rsidRPr="00446826" w:rsidRDefault="00CF6AFE" w:rsidP="00CF6AFE">
      <w:r w:rsidRPr="00446826">
        <w:t>Albuquerque, C., Feb 2009.</w:t>
      </w:r>
      <w:r w:rsidRPr="00446826">
        <w:rPr>
          <w:i/>
        </w:rPr>
        <w:t xml:space="preserve"> Report from the independent expert on the issue of human rights obligations related to access to safe drinking water and sanitation. </w:t>
      </w:r>
      <w:r w:rsidRPr="00446826">
        <w:rPr>
          <w:rFonts w:ascii="Verdana" w:hAnsi="Verdana" w:cs="Arial"/>
          <w:sz w:val="10"/>
          <w:szCs w:val="10"/>
        </w:rPr>
        <w:t xml:space="preserve"> </w:t>
      </w:r>
      <w:proofErr w:type="gramStart"/>
      <w:r w:rsidRPr="00446826">
        <w:t>A/HRC/10/6.</w:t>
      </w:r>
      <w:proofErr w:type="gramEnd"/>
    </w:p>
    <w:p w:rsidR="00C5341F" w:rsidRPr="00446826" w:rsidRDefault="00C5341F" w:rsidP="00CF6AFE"/>
    <w:p w:rsidR="00CF6AFE" w:rsidRPr="00446826" w:rsidRDefault="00CF6AFE" w:rsidP="00CF6AFE">
      <w:r w:rsidRPr="00446826">
        <w:t xml:space="preserve">Albuquerque, C., July 2009. </w:t>
      </w:r>
      <w:r w:rsidRPr="00446826">
        <w:rPr>
          <w:i/>
        </w:rPr>
        <w:t>Report from the independent expert on the issue of human rights obligations related to access to safe drinking water and sanitation</w:t>
      </w:r>
      <w:r w:rsidRPr="00446826">
        <w:t xml:space="preserve">. </w:t>
      </w:r>
      <w:proofErr w:type="gramStart"/>
      <w:r w:rsidRPr="00446826">
        <w:t>A/HRC/12/24.</w:t>
      </w:r>
      <w:proofErr w:type="gramEnd"/>
    </w:p>
    <w:p w:rsidR="00C5341F" w:rsidRPr="00446826" w:rsidRDefault="00C5341F" w:rsidP="00CF6AFE"/>
    <w:p w:rsidR="00CF6AFE" w:rsidRPr="00446826" w:rsidRDefault="00CF6AFE" w:rsidP="00CF6AFE">
      <w:r w:rsidRPr="00446826">
        <w:t xml:space="preserve">Albuquerque, C., June 2011. </w:t>
      </w:r>
      <w:proofErr w:type="gramStart"/>
      <w:r w:rsidRPr="00446826">
        <w:rPr>
          <w:i/>
        </w:rPr>
        <w:t>Compendium of Good Practices.</w:t>
      </w:r>
      <w:proofErr w:type="gramEnd"/>
      <w:r w:rsidRPr="00446826">
        <w:rPr>
          <w:i/>
        </w:rPr>
        <w:t xml:space="preserve"> </w:t>
      </w:r>
      <w:proofErr w:type="gramStart"/>
      <w:r w:rsidRPr="00446826">
        <w:t>[Draft].</w:t>
      </w:r>
      <w:proofErr w:type="gramEnd"/>
    </w:p>
    <w:p w:rsidR="00C5341F" w:rsidRPr="00446826" w:rsidRDefault="00C5341F" w:rsidP="00CF6AFE"/>
    <w:p w:rsidR="00CF6AFE" w:rsidRPr="00446826" w:rsidRDefault="00CF6AFE" w:rsidP="00CF6AFE">
      <w:r w:rsidRPr="00446826">
        <w:t xml:space="preserve">Albuquerque, C., March 2011. </w:t>
      </w:r>
      <w:proofErr w:type="gramStart"/>
      <w:r w:rsidRPr="00446826">
        <w:rPr>
          <w:i/>
        </w:rPr>
        <w:t>Statement at the Conclusion of USA Country Visit.</w:t>
      </w:r>
      <w:proofErr w:type="gramEnd"/>
      <w:r w:rsidRPr="00446826">
        <w:rPr>
          <w:i/>
        </w:rPr>
        <w:t xml:space="preserve"> </w:t>
      </w:r>
      <w:r w:rsidRPr="00446826">
        <w:t xml:space="preserve">Available at: </w:t>
      </w:r>
      <w:hyperlink r:id="rId13" w:history="1">
        <w:r w:rsidRPr="00446826">
          <w:rPr>
            <w:rStyle w:val="Hyperlink"/>
            <w:color w:val="auto"/>
          </w:rPr>
          <w:t>http://www.ohchr.org/EN/NewsEvents/Pages/DisplayNews.aspx?NewsID=10808&amp;LangID=E</w:t>
        </w:r>
      </w:hyperlink>
      <w:r w:rsidRPr="00446826">
        <w:t xml:space="preserve"> [Accessed: July 2011]</w:t>
      </w:r>
    </w:p>
    <w:p w:rsidR="00C5341F" w:rsidRPr="00446826" w:rsidRDefault="00C5341F" w:rsidP="00CF6AFE"/>
    <w:p w:rsidR="00CF6AFE" w:rsidRPr="00446826" w:rsidRDefault="00CF6AFE" w:rsidP="00CF6AFE">
      <w:r w:rsidRPr="00446826">
        <w:t xml:space="preserve">Albuquerque, C., July 2011. </w:t>
      </w:r>
      <w:proofErr w:type="gramStart"/>
      <w:r w:rsidRPr="00446826">
        <w:rPr>
          <w:i/>
        </w:rPr>
        <w:t>Statement at the Conclusion of Namibia Country Visit.</w:t>
      </w:r>
      <w:proofErr w:type="gramEnd"/>
      <w:r w:rsidRPr="00446826">
        <w:rPr>
          <w:i/>
        </w:rPr>
        <w:t xml:space="preserve"> </w:t>
      </w:r>
      <w:r w:rsidRPr="00446826">
        <w:t xml:space="preserve">Available at: </w:t>
      </w:r>
      <w:hyperlink r:id="rId14" w:history="1">
        <w:r w:rsidRPr="00446826">
          <w:rPr>
            <w:rStyle w:val="Hyperlink"/>
            <w:color w:val="auto"/>
          </w:rPr>
          <w:t>http://www.ohchr.org/EN/NewsEvents/Pages/DisplayNews.aspx?NewsID=11223&amp;LangID=E</w:t>
        </w:r>
      </w:hyperlink>
      <w:r w:rsidRPr="00446826">
        <w:t xml:space="preserve">  [Accessed: July 2011]</w:t>
      </w:r>
    </w:p>
    <w:p w:rsidR="00C5341F" w:rsidRPr="00446826" w:rsidRDefault="00C5341F" w:rsidP="00CF6AFE"/>
    <w:p w:rsidR="00CF6AFE" w:rsidRPr="00446826" w:rsidRDefault="00CF6AFE" w:rsidP="00CF6AFE">
      <w:r w:rsidRPr="00446826">
        <w:t xml:space="preserve">Albuquerque, C., July 2011. </w:t>
      </w:r>
      <w:r w:rsidRPr="00446826">
        <w:rPr>
          <w:i/>
        </w:rPr>
        <w:t>Interview:</w:t>
      </w:r>
      <w:r w:rsidRPr="00446826">
        <w:t xml:space="preserve"> </w:t>
      </w:r>
      <w:r w:rsidRPr="00446826">
        <w:rPr>
          <w:i/>
        </w:rPr>
        <w:t xml:space="preserve">Special Rapporteur on the human right to water and sanitation. </w:t>
      </w:r>
      <w:r w:rsidRPr="00446826">
        <w:t>19/07/11 10:00 [via Skype].</w:t>
      </w:r>
    </w:p>
    <w:p w:rsidR="00CF6AFE" w:rsidRPr="00446826" w:rsidRDefault="00CF6AFE" w:rsidP="00CF6AFE">
      <w:pPr>
        <w:pStyle w:val="berschrift2"/>
        <w:shd w:val="clear" w:color="auto" w:fill="FFFFFF"/>
        <w:spacing w:line="240" w:lineRule="auto"/>
        <w:rPr>
          <w:rFonts w:ascii="Times New Roman" w:hAnsi="Times New Roman" w:cs="Times New Roman"/>
          <w:b w:val="0"/>
          <w:i/>
          <w:color w:val="auto"/>
          <w:sz w:val="24"/>
          <w:szCs w:val="24"/>
        </w:rPr>
      </w:pPr>
      <w:proofErr w:type="gramStart"/>
      <w:r w:rsidRPr="00446826">
        <w:rPr>
          <w:rFonts w:ascii="Times New Roman" w:hAnsi="Times New Roman" w:cs="Times New Roman"/>
          <w:b w:val="0"/>
          <w:color w:val="auto"/>
          <w:sz w:val="24"/>
          <w:szCs w:val="24"/>
        </w:rPr>
        <w:t>Amnesty International.</w:t>
      </w:r>
      <w:proofErr w:type="gramEnd"/>
      <w:r w:rsidRPr="00446826">
        <w:rPr>
          <w:rFonts w:ascii="Times New Roman" w:hAnsi="Times New Roman" w:cs="Times New Roman"/>
          <w:b w:val="0"/>
          <w:color w:val="auto"/>
          <w:sz w:val="24"/>
          <w:szCs w:val="24"/>
        </w:rPr>
        <w:t xml:space="preserve"> 2010. </w:t>
      </w:r>
      <w:r w:rsidRPr="00446826">
        <w:rPr>
          <w:rFonts w:ascii="Times New Roman" w:hAnsi="Times New Roman" w:cs="Times New Roman"/>
          <w:b w:val="0"/>
          <w:i/>
          <w:color w:val="auto"/>
          <w:sz w:val="24"/>
          <w:szCs w:val="24"/>
        </w:rPr>
        <w:t>Public Statement: United Nations: Historic re-affirmation that rights to water and sanitation are legally binding.</w:t>
      </w:r>
      <w:r w:rsidRPr="00446826">
        <w:rPr>
          <w:b w:val="0"/>
          <w:color w:val="auto"/>
          <w:sz w:val="24"/>
          <w:szCs w:val="24"/>
        </w:rPr>
        <w:t xml:space="preserve"> </w:t>
      </w:r>
      <w:r w:rsidRPr="00446826">
        <w:rPr>
          <w:rFonts w:ascii="Times New Roman" w:hAnsi="Times New Roman" w:cs="Times New Roman"/>
          <w:b w:val="0"/>
          <w:color w:val="auto"/>
          <w:sz w:val="24"/>
          <w:szCs w:val="24"/>
        </w:rPr>
        <w:t xml:space="preserve">Available at: </w:t>
      </w:r>
      <w:hyperlink r:id="rId15" w:history="1">
        <w:r w:rsidRPr="00446826">
          <w:rPr>
            <w:rStyle w:val="Hyperlink"/>
            <w:rFonts w:ascii="Times New Roman" w:hAnsi="Times New Roman" w:cs="Times New Roman"/>
            <w:b w:val="0"/>
            <w:color w:val="auto"/>
            <w:sz w:val="24"/>
            <w:szCs w:val="24"/>
          </w:rPr>
          <w:t>http://www.amnesty.org/en/library/asset/IOR40/018/2010/en/34b48900-9ee4-4659-8a63-9e887112e5f7/ior400182010en.html</w:t>
        </w:r>
      </w:hyperlink>
      <w:r w:rsidRPr="00446826">
        <w:rPr>
          <w:rFonts w:ascii="Times New Roman" w:hAnsi="Times New Roman" w:cs="Times New Roman"/>
          <w:b w:val="0"/>
          <w:color w:val="auto"/>
          <w:sz w:val="24"/>
          <w:szCs w:val="24"/>
        </w:rPr>
        <w:t xml:space="preserve"> </w:t>
      </w:r>
      <w:r w:rsidRPr="00446826">
        <w:rPr>
          <w:rFonts w:ascii="Times New Roman" w:hAnsi="Times New Roman" w:cs="Times New Roman"/>
          <w:b w:val="0"/>
          <w:i/>
          <w:color w:val="auto"/>
          <w:sz w:val="24"/>
          <w:szCs w:val="24"/>
        </w:rPr>
        <w:t xml:space="preserve"> </w:t>
      </w:r>
      <w:r w:rsidRPr="00446826">
        <w:rPr>
          <w:rFonts w:ascii="Times New Roman" w:hAnsi="Times New Roman" w:cs="Times New Roman"/>
          <w:b w:val="0"/>
          <w:color w:val="auto"/>
          <w:sz w:val="24"/>
          <w:szCs w:val="24"/>
        </w:rPr>
        <w:t>[Accessed: June 2011]</w:t>
      </w:r>
      <w:r w:rsidRPr="00446826">
        <w:rPr>
          <w:rFonts w:ascii="Times New Roman" w:hAnsi="Times New Roman" w:cs="Times New Roman"/>
          <w:b w:val="0"/>
          <w:i/>
          <w:color w:val="auto"/>
          <w:sz w:val="24"/>
          <w:szCs w:val="24"/>
        </w:rPr>
        <w:t xml:space="preserve"> </w:t>
      </w:r>
    </w:p>
    <w:p w:rsidR="00CF6AFE" w:rsidRPr="00446826" w:rsidRDefault="00CF6AFE" w:rsidP="00CF6AFE">
      <w:r w:rsidRPr="00446826">
        <w:br/>
      </w:r>
      <w:proofErr w:type="gramStart"/>
      <w:r w:rsidRPr="00446826">
        <w:t>Amnesty International (AI), 2011.</w:t>
      </w:r>
      <w:proofErr w:type="gramEnd"/>
      <w:r w:rsidRPr="00446826">
        <w:t xml:space="preserve"> Demand Dignity. Available at: </w:t>
      </w:r>
      <w:hyperlink r:id="rId16" w:history="1">
        <w:r w:rsidRPr="00446826">
          <w:rPr>
            <w:rStyle w:val="Hyperlink"/>
            <w:color w:val="auto"/>
          </w:rPr>
          <w:t>http://www.amnesty.org/en/demand-dignity</w:t>
        </w:r>
      </w:hyperlink>
      <w:r w:rsidRPr="00446826">
        <w:t xml:space="preserve"> [Accessed: June 2011]</w:t>
      </w:r>
    </w:p>
    <w:p w:rsidR="00C5341F" w:rsidRPr="00446826" w:rsidRDefault="00C5341F" w:rsidP="00CF6AFE"/>
    <w:p w:rsidR="00CF6AFE" w:rsidRPr="00446826" w:rsidRDefault="00CF6AFE" w:rsidP="00CF6AFE">
      <w:r w:rsidRPr="00446826">
        <w:t xml:space="preserve">Anderson, F., July 2011. </w:t>
      </w:r>
      <w:r w:rsidRPr="00446826">
        <w:rPr>
          <w:i/>
        </w:rPr>
        <w:t>Interview:</w:t>
      </w:r>
      <w:r w:rsidRPr="00446826">
        <w:t xml:space="preserve"> </w:t>
      </w:r>
      <w:r w:rsidRPr="00446826">
        <w:rPr>
          <w:i/>
        </w:rPr>
        <w:t xml:space="preserve">International Campaigns Coordinator, End Water Poverty. </w:t>
      </w:r>
      <w:proofErr w:type="gramStart"/>
      <w:r w:rsidRPr="00446826">
        <w:t>11/07/11 15:00 [</w:t>
      </w:r>
      <w:proofErr w:type="spellStart"/>
      <w:r w:rsidRPr="00446826">
        <w:t>WaterAid</w:t>
      </w:r>
      <w:proofErr w:type="spellEnd"/>
      <w:r w:rsidRPr="00446826">
        <w:t xml:space="preserve"> offices, Vauxhall, London].</w:t>
      </w:r>
      <w:proofErr w:type="gramEnd"/>
      <w:r w:rsidRPr="00446826">
        <w:rPr>
          <w:i/>
        </w:rPr>
        <w:t xml:space="preserve"> </w:t>
      </w:r>
    </w:p>
    <w:p w:rsidR="00C5341F" w:rsidRPr="00446826" w:rsidRDefault="00C5341F" w:rsidP="00CF6AFE"/>
    <w:p w:rsidR="00CF6AFE" w:rsidRPr="00446826" w:rsidRDefault="00CF6AFE" w:rsidP="00CF6AFE">
      <w:r w:rsidRPr="00446826">
        <w:t xml:space="preserve">Bob, C., (Ed) 2009. </w:t>
      </w:r>
      <w:proofErr w:type="gramStart"/>
      <w:r w:rsidRPr="00446826">
        <w:rPr>
          <w:i/>
        </w:rPr>
        <w:t>The International Struggle for New Human Rights.</w:t>
      </w:r>
      <w:proofErr w:type="gramEnd"/>
      <w:r w:rsidRPr="00446826">
        <w:t xml:space="preserve"> Philadelphia: University of Philadelphia Press.</w:t>
      </w:r>
    </w:p>
    <w:p w:rsidR="00C5341F" w:rsidRPr="00446826" w:rsidRDefault="00C5341F" w:rsidP="00CF6AFE"/>
    <w:p w:rsidR="00CF6AFE" w:rsidRPr="00446826" w:rsidRDefault="00CF6AFE" w:rsidP="00CF6AFE">
      <w:proofErr w:type="spellStart"/>
      <w:proofErr w:type="gramStart"/>
      <w:r w:rsidRPr="00446826">
        <w:t>Bryman</w:t>
      </w:r>
      <w:proofErr w:type="spellEnd"/>
      <w:r w:rsidRPr="00446826">
        <w:t>, A, 2008.</w:t>
      </w:r>
      <w:proofErr w:type="gramEnd"/>
      <w:r w:rsidRPr="00446826">
        <w:t xml:space="preserve"> </w:t>
      </w:r>
      <w:r w:rsidRPr="00446826">
        <w:rPr>
          <w:rStyle w:val="Hervorhebung"/>
        </w:rPr>
        <w:t>Social Research Methods: qualitative and quantitative approaches</w:t>
      </w:r>
      <w:r w:rsidRPr="00446826">
        <w:t>. Oxford: Oxford University Press.</w:t>
      </w:r>
    </w:p>
    <w:p w:rsidR="00C5341F" w:rsidRPr="00446826" w:rsidRDefault="00C5341F" w:rsidP="00CF6AFE"/>
    <w:p w:rsidR="00CF6AFE" w:rsidRPr="00446826" w:rsidRDefault="00CF6AFE" w:rsidP="00CF6AFE">
      <w:proofErr w:type="spellStart"/>
      <w:proofErr w:type="gramStart"/>
      <w:r w:rsidRPr="00446826">
        <w:t>Cardoba</w:t>
      </w:r>
      <w:proofErr w:type="spellEnd"/>
      <w:r w:rsidRPr="00446826">
        <w:t>.,</w:t>
      </w:r>
      <w:proofErr w:type="gramEnd"/>
      <w:r w:rsidRPr="00446826">
        <w:t xml:space="preserve"> M. S., and </w:t>
      </w:r>
      <w:proofErr w:type="spellStart"/>
      <w:r w:rsidRPr="00446826">
        <w:t>Albuqueque</w:t>
      </w:r>
      <w:proofErr w:type="spellEnd"/>
      <w:r w:rsidRPr="00446826">
        <w:t xml:space="preserve">, C., 2010. </w:t>
      </w:r>
      <w:proofErr w:type="gramStart"/>
      <w:r w:rsidRPr="00446826">
        <w:rPr>
          <w:i/>
        </w:rPr>
        <w:t>Joint report of the independent experts to the United Nations Human Rights Council</w:t>
      </w:r>
      <w:r w:rsidRPr="00446826">
        <w:t>.</w:t>
      </w:r>
      <w:proofErr w:type="gramEnd"/>
      <w:r w:rsidRPr="00446826">
        <w:t xml:space="preserve"> </w:t>
      </w:r>
      <w:proofErr w:type="gramStart"/>
      <w:r w:rsidRPr="00446826">
        <w:t>(A/HRC/15/55, 22).</w:t>
      </w:r>
      <w:proofErr w:type="gramEnd"/>
    </w:p>
    <w:p w:rsidR="00C5341F" w:rsidRPr="00446826" w:rsidRDefault="00C5341F" w:rsidP="00CF6AFE">
      <w:pPr>
        <w:rPr>
          <w:lang w:eastAsia="en-GB"/>
        </w:rPr>
      </w:pPr>
    </w:p>
    <w:p w:rsidR="00CF6AFE" w:rsidRPr="00446826" w:rsidRDefault="00CF6AFE" w:rsidP="00CF6AFE">
      <w:pPr>
        <w:rPr>
          <w:lang w:eastAsia="en-GB"/>
        </w:rPr>
      </w:pPr>
      <w:r w:rsidRPr="00446826">
        <w:rPr>
          <w:lang w:eastAsia="en-GB"/>
        </w:rPr>
        <w:t xml:space="preserve">Centre on Housing Rights and Evictions (COHRE), Swiss Agency for Development and Cooperation (SDC), UN-HABITAT &amp; </w:t>
      </w:r>
      <w:proofErr w:type="spellStart"/>
      <w:r w:rsidRPr="00446826">
        <w:rPr>
          <w:lang w:eastAsia="en-GB"/>
        </w:rPr>
        <w:t>WaterAid</w:t>
      </w:r>
      <w:proofErr w:type="spellEnd"/>
      <w:r w:rsidRPr="00446826">
        <w:rPr>
          <w:lang w:eastAsia="en-GB"/>
        </w:rPr>
        <w:t xml:space="preserve">, 2008. </w:t>
      </w:r>
      <w:r w:rsidRPr="00446826">
        <w:rPr>
          <w:i/>
          <w:lang w:eastAsia="en-GB"/>
        </w:rPr>
        <w:t xml:space="preserve">Sanitation: A human rights Imperative. </w:t>
      </w:r>
      <w:r w:rsidRPr="00446826">
        <w:rPr>
          <w:lang w:eastAsia="en-GB"/>
        </w:rPr>
        <w:t>COHRE: Geneva</w:t>
      </w:r>
    </w:p>
    <w:p w:rsidR="00C5341F" w:rsidRPr="00446826" w:rsidRDefault="00C5341F" w:rsidP="00CF6AFE"/>
    <w:p w:rsidR="00C5341F" w:rsidRPr="00446826" w:rsidRDefault="00CF6AFE" w:rsidP="00CF6AFE">
      <w:r w:rsidRPr="00446826">
        <w:t xml:space="preserve">Chapman, J., 2001. </w:t>
      </w:r>
      <w:r w:rsidRPr="00446826">
        <w:rPr>
          <w:i/>
        </w:rPr>
        <w:t>What Makes International Campaigns Effective</w:t>
      </w:r>
      <w:r w:rsidRPr="00446826">
        <w:t xml:space="preserve"> in</w:t>
      </w:r>
      <w:r w:rsidRPr="00446826">
        <w:rPr>
          <w:i/>
        </w:rPr>
        <w:t xml:space="preserve"> </w:t>
      </w:r>
      <w:r w:rsidRPr="00446826">
        <w:t xml:space="preserve">Edwards, M. &amp; </w:t>
      </w:r>
    </w:p>
    <w:p w:rsidR="00C5341F" w:rsidRPr="00446826" w:rsidRDefault="00C5341F" w:rsidP="00CF6AFE"/>
    <w:p w:rsidR="00CF6AFE" w:rsidRPr="00446826" w:rsidRDefault="00CF6AFE" w:rsidP="00CF6AFE">
      <w:proofErr w:type="spellStart"/>
      <w:r w:rsidRPr="00446826">
        <w:t>Gaventa</w:t>
      </w:r>
      <w:proofErr w:type="spellEnd"/>
      <w:r w:rsidRPr="00446826">
        <w:t xml:space="preserve">, J., 2001. </w:t>
      </w:r>
      <w:proofErr w:type="gramStart"/>
      <w:r w:rsidRPr="00446826">
        <w:rPr>
          <w:i/>
        </w:rPr>
        <w:t>Global Citizen Action.</w:t>
      </w:r>
      <w:proofErr w:type="gramEnd"/>
      <w:r w:rsidRPr="00446826">
        <w:rPr>
          <w:i/>
        </w:rPr>
        <w:t xml:space="preserve"> </w:t>
      </w:r>
      <w:r w:rsidRPr="00446826">
        <w:t xml:space="preserve">London: </w:t>
      </w:r>
      <w:proofErr w:type="spellStart"/>
      <w:r w:rsidRPr="00446826">
        <w:t>Earthscan</w:t>
      </w:r>
      <w:proofErr w:type="spellEnd"/>
    </w:p>
    <w:p w:rsidR="00C5341F" w:rsidRPr="00446826" w:rsidRDefault="00C5341F" w:rsidP="00CF6AFE">
      <w:pPr>
        <w:autoSpaceDE w:val="0"/>
        <w:autoSpaceDN w:val="0"/>
        <w:adjustRightInd w:val="0"/>
        <w:snapToGrid w:val="0"/>
      </w:pPr>
    </w:p>
    <w:p w:rsidR="00CF6AFE" w:rsidRPr="00446826" w:rsidRDefault="00CF6AFE" w:rsidP="00CF6AFE">
      <w:pPr>
        <w:autoSpaceDE w:val="0"/>
        <w:autoSpaceDN w:val="0"/>
        <w:adjustRightInd w:val="0"/>
        <w:snapToGrid w:val="0"/>
      </w:pPr>
      <w:r w:rsidRPr="00446826">
        <w:t xml:space="preserve">Conway, G. and </w:t>
      </w:r>
      <w:proofErr w:type="spellStart"/>
      <w:r w:rsidRPr="00446826">
        <w:t>Waage</w:t>
      </w:r>
      <w:proofErr w:type="spellEnd"/>
      <w:r w:rsidRPr="00446826">
        <w:t>, J. 2010</w:t>
      </w:r>
      <w:proofErr w:type="gramStart"/>
      <w:r w:rsidRPr="00446826">
        <w:t>.</w:t>
      </w:r>
      <w:r w:rsidRPr="00446826">
        <w:rPr>
          <w:i/>
        </w:rPr>
        <w:t>‘Science and Innovation for Development’.</w:t>
      </w:r>
      <w:proofErr w:type="gramEnd"/>
      <w:r w:rsidRPr="00446826">
        <w:rPr>
          <w:i/>
        </w:rPr>
        <w:t xml:space="preserve"> </w:t>
      </w:r>
      <w:r w:rsidRPr="00446826">
        <w:t>London:</w:t>
      </w:r>
      <w:r w:rsidRPr="00446826">
        <w:rPr>
          <w:i/>
        </w:rPr>
        <w:t xml:space="preserve"> </w:t>
      </w:r>
      <w:r w:rsidRPr="00446826">
        <w:t>UK Collaborative on Development Sciences (UKCDS)</w:t>
      </w:r>
    </w:p>
    <w:p w:rsidR="00CF6AFE" w:rsidRPr="00446826" w:rsidRDefault="00CF6AFE" w:rsidP="00CF6AFE">
      <w:pPr>
        <w:autoSpaceDE w:val="0"/>
        <w:autoSpaceDN w:val="0"/>
        <w:adjustRightInd w:val="0"/>
        <w:snapToGrid w:val="0"/>
      </w:pPr>
    </w:p>
    <w:p w:rsidR="00CF6AFE" w:rsidRPr="00446826" w:rsidRDefault="00CF6AFE" w:rsidP="00CF6AFE">
      <w:proofErr w:type="gramStart"/>
      <w:r w:rsidRPr="00446826">
        <w:t>Cumming, O., (</w:t>
      </w:r>
      <w:proofErr w:type="spellStart"/>
      <w:r w:rsidRPr="00446826">
        <w:t>WaterAid</w:t>
      </w:r>
      <w:proofErr w:type="spellEnd"/>
      <w:r w:rsidRPr="00446826">
        <w:t>), 2008.</w:t>
      </w:r>
      <w:proofErr w:type="gramEnd"/>
      <w:r w:rsidRPr="00446826">
        <w:t xml:space="preserve"> </w:t>
      </w:r>
      <w:proofErr w:type="gramStart"/>
      <w:r w:rsidRPr="00446826">
        <w:rPr>
          <w:i/>
        </w:rPr>
        <w:t>Tackling the Silent Killer: the case for sanitation.</w:t>
      </w:r>
      <w:proofErr w:type="gramEnd"/>
      <w:r w:rsidRPr="00446826">
        <w:rPr>
          <w:i/>
        </w:rPr>
        <w:t xml:space="preserve"> </w:t>
      </w:r>
      <w:r w:rsidRPr="00446826">
        <w:t xml:space="preserve">London: </w:t>
      </w:r>
      <w:proofErr w:type="spellStart"/>
      <w:r w:rsidRPr="00446826">
        <w:t>WaterAid</w:t>
      </w:r>
      <w:proofErr w:type="spellEnd"/>
      <w:r w:rsidRPr="00446826">
        <w:t>.</w:t>
      </w:r>
    </w:p>
    <w:p w:rsidR="00C5341F" w:rsidRPr="00446826" w:rsidRDefault="00C5341F" w:rsidP="00CF6AFE">
      <w:pPr>
        <w:autoSpaceDE w:val="0"/>
        <w:autoSpaceDN w:val="0"/>
        <w:adjustRightInd w:val="0"/>
        <w:snapToGrid w:val="0"/>
      </w:pPr>
    </w:p>
    <w:p w:rsidR="00CF6AFE" w:rsidRPr="00446826" w:rsidRDefault="00CF6AFE" w:rsidP="00CF6AFE">
      <w:pPr>
        <w:autoSpaceDE w:val="0"/>
        <w:autoSpaceDN w:val="0"/>
        <w:adjustRightInd w:val="0"/>
        <w:snapToGrid w:val="0"/>
      </w:pPr>
      <w:proofErr w:type="spellStart"/>
      <w:proofErr w:type="gramStart"/>
      <w:r w:rsidRPr="00446826">
        <w:t>Darnton</w:t>
      </w:r>
      <w:proofErr w:type="spellEnd"/>
      <w:r w:rsidRPr="00446826">
        <w:t>, A., Kirk, M., 2011.</w:t>
      </w:r>
      <w:proofErr w:type="gramEnd"/>
      <w:r w:rsidRPr="00446826">
        <w:t xml:space="preserve"> </w:t>
      </w:r>
      <w:proofErr w:type="gramStart"/>
      <w:r w:rsidRPr="00446826">
        <w:rPr>
          <w:i/>
        </w:rPr>
        <w:t>Finding Frames: new ways to engage the UK public in global poverty</w:t>
      </w:r>
      <w:r w:rsidRPr="00446826">
        <w:t>.</w:t>
      </w:r>
      <w:proofErr w:type="gramEnd"/>
      <w:r w:rsidRPr="00446826">
        <w:t xml:space="preserve"> London: Bond</w:t>
      </w:r>
    </w:p>
    <w:p w:rsidR="00CF6AFE" w:rsidRPr="00446826" w:rsidRDefault="00CF6AFE" w:rsidP="00CF6AFE">
      <w:pPr>
        <w:autoSpaceDE w:val="0"/>
        <w:autoSpaceDN w:val="0"/>
        <w:adjustRightInd w:val="0"/>
        <w:snapToGrid w:val="0"/>
      </w:pPr>
    </w:p>
    <w:p w:rsidR="00CF6AFE" w:rsidRPr="00446826" w:rsidRDefault="00CF6AFE" w:rsidP="00CF6AFE">
      <w:pPr>
        <w:autoSpaceDE w:val="0"/>
        <w:autoSpaceDN w:val="0"/>
        <w:adjustRightInd w:val="0"/>
        <w:snapToGrid w:val="0"/>
      </w:pPr>
      <w:r w:rsidRPr="00446826">
        <w:t xml:space="preserve">Della </w:t>
      </w:r>
      <w:proofErr w:type="spellStart"/>
      <w:r w:rsidRPr="00446826">
        <w:t>Porta</w:t>
      </w:r>
      <w:proofErr w:type="spellEnd"/>
      <w:r w:rsidRPr="00446826">
        <w:t xml:space="preserve">, D. &amp; </w:t>
      </w:r>
      <w:proofErr w:type="spellStart"/>
      <w:r w:rsidRPr="00446826">
        <w:t>Tarrow</w:t>
      </w:r>
      <w:proofErr w:type="spellEnd"/>
      <w:r w:rsidRPr="00446826">
        <w:t>, S. (</w:t>
      </w:r>
      <w:proofErr w:type="spellStart"/>
      <w:r w:rsidRPr="00446826">
        <w:t>Eds</w:t>
      </w:r>
      <w:proofErr w:type="spellEnd"/>
      <w:r w:rsidRPr="00446826">
        <w:t xml:space="preserve">). 2005. </w:t>
      </w:r>
      <w:r w:rsidRPr="00446826">
        <w:rPr>
          <w:i/>
        </w:rPr>
        <w:t xml:space="preserve">Transnational Protest and Global Activism. </w:t>
      </w:r>
      <w:r w:rsidRPr="00446826">
        <w:t xml:space="preserve">Oxford: </w:t>
      </w:r>
      <w:proofErr w:type="spellStart"/>
      <w:r w:rsidRPr="00446826">
        <w:t>Rowman</w:t>
      </w:r>
      <w:proofErr w:type="spellEnd"/>
      <w:r w:rsidRPr="00446826">
        <w:t xml:space="preserve"> &amp; Littlefield</w:t>
      </w:r>
    </w:p>
    <w:p w:rsidR="00CF6AFE" w:rsidRPr="00446826" w:rsidRDefault="00CF6AFE" w:rsidP="00CF6AFE">
      <w:pPr>
        <w:autoSpaceDE w:val="0"/>
        <w:autoSpaceDN w:val="0"/>
        <w:adjustRightInd w:val="0"/>
        <w:snapToGrid w:val="0"/>
      </w:pPr>
    </w:p>
    <w:p w:rsidR="00CF6AFE" w:rsidRPr="00446826" w:rsidRDefault="00CF6AFE" w:rsidP="00CF6AFE">
      <w:pPr>
        <w:autoSpaceDE w:val="0"/>
        <w:autoSpaceDN w:val="0"/>
        <w:adjustRightInd w:val="0"/>
        <w:snapToGrid w:val="0"/>
      </w:pPr>
      <w:proofErr w:type="gramStart"/>
      <w:r w:rsidRPr="00446826">
        <w:rPr>
          <w:lang w:eastAsia="en-GB"/>
        </w:rPr>
        <w:t>Department of International Development (</w:t>
      </w:r>
      <w:proofErr w:type="spellStart"/>
      <w:r w:rsidRPr="00446826">
        <w:rPr>
          <w:lang w:eastAsia="en-GB"/>
        </w:rPr>
        <w:t>DfID</w:t>
      </w:r>
      <w:proofErr w:type="spellEnd"/>
      <w:r w:rsidRPr="00446826">
        <w:rPr>
          <w:lang w:eastAsia="en-GB"/>
        </w:rPr>
        <w:t>), 2006.</w:t>
      </w:r>
      <w:proofErr w:type="gramEnd"/>
      <w:r w:rsidRPr="00446826">
        <w:rPr>
          <w:lang w:eastAsia="en-GB"/>
        </w:rPr>
        <w:t xml:space="preserve"> </w:t>
      </w:r>
      <w:r w:rsidRPr="00446826">
        <w:rPr>
          <w:i/>
          <w:lang w:eastAsia="en-GB"/>
        </w:rPr>
        <w:t>Why we need a global action plan on water and sanitation</w:t>
      </w:r>
      <w:r w:rsidRPr="00446826">
        <w:rPr>
          <w:lang w:eastAsia="en-GB"/>
        </w:rPr>
        <w:t xml:space="preserve">. London: </w:t>
      </w:r>
      <w:proofErr w:type="spellStart"/>
      <w:r w:rsidRPr="00446826">
        <w:rPr>
          <w:lang w:eastAsia="en-GB"/>
        </w:rPr>
        <w:t>DfID</w:t>
      </w:r>
      <w:proofErr w:type="spellEnd"/>
    </w:p>
    <w:p w:rsidR="00CF6AFE" w:rsidRPr="00446826" w:rsidRDefault="00CF6AFE" w:rsidP="00CF6AFE">
      <w:pPr>
        <w:autoSpaceDE w:val="0"/>
        <w:autoSpaceDN w:val="0"/>
        <w:adjustRightInd w:val="0"/>
        <w:snapToGrid w:val="0"/>
      </w:pPr>
    </w:p>
    <w:p w:rsidR="00CF6AFE" w:rsidRPr="00446826" w:rsidRDefault="00CF6AFE" w:rsidP="00CF6AFE">
      <w:proofErr w:type="gramStart"/>
      <w:r w:rsidRPr="00446826">
        <w:t xml:space="preserve">Edwards, M. &amp; </w:t>
      </w:r>
      <w:proofErr w:type="spellStart"/>
      <w:r w:rsidRPr="00446826">
        <w:t>Gaventa</w:t>
      </w:r>
      <w:proofErr w:type="spellEnd"/>
      <w:r w:rsidRPr="00446826">
        <w:t>, J., 2001.</w:t>
      </w:r>
      <w:proofErr w:type="gramEnd"/>
      <w:r w:rsidRPr="00446826">
        <w:t xml:space="preserve"> </w:t>
      </w:r>
      <w:proofErr w:type="gramStart"/>
      <w:r w:rsidRPr="00446826">
        <w:rPr>
          <w:i/>
        </w:rPr>
        <w:t>Global Citizen Action.</w:t>
      </w:r>
      <w:proofErr w:type="gramEnd"/>
      <w:r w:rsidRPr="00446826">
        <w:rPr>
          <w:i/>
        </w:rPr>
        <w:t xml:space="preserve"> </w:t>
      </w:r>
      <w:r w:rsidRPr="00446826">
        <w:t xml:space="preserve">London: </w:t>
      </w:r>
      <w:proofErr w:type="spellStart"/>
      <w:r w:rsidRPr="00446826">
        <w:t>Earthscan</w:t>
      </w:r>
      <w:proofErr w:type="spellEnd"/>
    </w:p>
    <w:p w:rsidR="00C5341F" w:rsidRPr="00446826" w:rsidRDefault="00C5341F" w:rsidP="00CF6AFE"/>
    <w:p w:rsidR="00CF6AFE" w:rsidRPr="00446826" w:rsidRDefault="00CF6AFE" w:rsidP="00CF6AFE">
      <w:pPr>
        <w:rPr>
          <w:i/>
        </w:rPr>
      </w:pPr>
      <w:r w:rsidRPr="00446826">
        <w:t xml:space="preserve">End Water Poverty (EWP), 2008. </w:t>
      </w:r>
      <w:proofErr w:type="gramStart"/>
      <w:r w:rsidRPr="00446826">
        <w:rPr>
          <w:i/>
        </w:rPr>
        <w:t>The Issue.</w:t>
      </w:r>
      <w:proofErr w:type="gramEnd"/>
      <w:r w:rsidRPr="00446826">
        <w:t xml:space="preserve"> Available at: </w:t>
      </w:r>
      <w:hyperlink r:id="rId17" w:history="1">
        <w:r w:rsidRPr="00446826">
          <w:rPr>
            <w:rStyle w:val="Hyperlink"/>
            <w:color w:val="auto"/>
          </w:rPr>
          <w:t>http://www.endwaterpoverty.org/the_issue/</w:t>
        </w:r>
      </w:hyperlink>
      <w:r w:rsidRPr="00446826">
        <w:t xml:space="preserve"> [Accessed: June 2011] </w:t>
      </w:r>
    </w:p>
    <w:p w:rsidR="00C5341F" w:rsidRPr="00446826" w:rsidRDefault="00C5341F" w:rsidP="00CF6AFE"/>
    <w:p w:rsidR="00CF6AFE" w:rsidRPr="00446826" w:rsidRDefault="00CF6AFE" w:rsidP="00CF6AFE">
      <w:pPr>
        <w:rPr>
          <w:i/>
        </w:rPr>
      </w:pPr>
      <w:r w:rsidRPr="00446826">
        <w:t xml:space="preserve">End Water Poverty (EWP), 2011. </w:t>
      </w:r>
      <w:proofErr w:type="gramStart"/>
      <w:r w:rsidRPr="00446826">
        <w:rPr>
          <w:i/>
        </w:rPr>
        <w:t>EWP Planning Meeting.</w:t>
      </w:r>
      <w:proofErr w:type="gramEnd"/>
      <w:r w:rsidRPr="00446826">
        <w:t xml:space="preserve"> Available at: </w:t>
      </w:r>
      <w:hyperlink r:id="rId18" w:history="1">
        <w:r w:rsidRPr="00446826">
          <w:rPr>
            <w:rStyle w:val="Hyperlink"/>
            <w:color w:val="auto"/>
          </w:rPr>
          <w:t>http://www.endwaterpoverty.org/news__events/242.asp</w:t>
        </w:r>
      </w:hyperlink>
      <w:r w:rsidRPr="00446826">
        <w:t xml:space="preserve"> [Accessed: June 2011] </w:t>
      </w:r>
    </w:p>
    <w:p w:rsidR="00C5341F" w:rsidRPr="00446826" w:rsidRDefault="00C5341F" w:rsidP="00CF6AFE">
      <w:pPr>
        <w:pStyle w:val="Fuzeile"/>
      </w:pPr>
    </w:p>
    <w:p w:rsidR="00CF6AFE" w:rsidRPr="00446826" w:rsidRDefault="00CF6AFE" w:rsidP="00CF6AFE">
      <w:pPr>
        <w:pStyle w:val="Fuzeile"/>
      </w:pPr>
      <w:r w:rsidRPr="00446826">
        <w:t xml:space="preserve">Farmer, P., 2005. </w:t>
      </w:r>
      <w:proofErr w:type="gramStart"/>
      <w:r w:rsidRPr="00446826">
        <w:rPr>
          <w:i/>
        </w:rPr>
        <w:t>Pathologies of Power.</w:t>
      </w:r>
      <w:proofErr w:type="gramEnd"/>
      <w:r w:rsidRPr="00446826">
        <w:t xml:space="preserve"> Berkeley, Los Angeles, London: University of California Press</w:t>
      </w:r>
    </w:p>
    <w:p w:rsidR="00C5341F" w:rsidRPr="00446826" w:rsidRDefault="00C5341F" w:rsidP="00CF6AFE"/>
    <w:p w:rsidR="00CF6AFE" w:rsidRPr="00446826" w:rsidRDefault="00CF6AFE" w:rsidP="00CF6AFE">
      <w:proofErr w:type="gramStart"/>
      <w:r w:rsidRPr="00446826">
        <w:t>Fawcett, B. and Black, M., 2008.</w:t>
      </w:r>
      <w:proofErr w:type="gramEnd"/>
      <w:r w:rsidRPr="00446826">
        <w:t xml:space="preserve"> </w:t>
      </w:r>
      <w:r w:rsidRPr="00446826">
        <w:rPr>
          <w:i/>
        </w:rPr>
        <w:t>The Last Taboo: Opening the door on the global sanitation crisis</w:t>
      </w:r>
      <w:r w:rsidRPr="00446826">
        <w:t xml:space="preserve">. London: </w:t>
      </w:r>
      <w:proofErr w:type="spellStart"/>
      <w:r w:rsidRPr="00446826">
        <w:t>Earthscan</w:t>
      </w:r>
      <w:proofErr w:type="spellEnd"/>
      <w:r w:rsidRPr="00446826">
        <w:t>.</w:t>
      </w:r>
    </w:p>
    <w:p w:rsidR="00C5341F" w:rsidRPr="00446826" w:rsidRDefault="00C5341F" w:rsidP="00CF6AFE"/>
    <w:p w:rsidR="00CF6AFE" w:rsidRPr="00446826" w:rsidRDefault="00CF6AFE" w:rsidP="00CF6AFE">
      <w:r w:rsidRPr="00446826">
        <w:t xml:space="preserve">Fawcett, B. March &amp; July 2011. </w:t>
      </w:r>
      <w:r w:rsidRPr="00446826">
        <w:rPr>
          <w:i/>
        </w:rPr>
        <w:t xml:space="preserve">Interview: author of ‘The Last Taboo’, environmental health engineer and educator (formerly with UNICEF, Save the Children, </w:t>
      </w:r>
      <w:proofErr w:type="spellStart"/>
      <w:r w:rsidRPr="00446826">
        <w:rPr>
          <w:i/>
        </w:rPr>
        <w:t>WaterAid</w:t>
      </w:r>
      <w:proofErr w:type="spellEnd"/>
      <w:r w:rsidRPr="00446826">
        <w:rPr>
          <w:i/>
        </w:rPr>
        <w:t xml:space="preserve">). </w:t>
      </w:r>
      <w:r w:rsidRPr="00446826">
        <w:t>25/07/11</w:t>
      </w:r>
      <w:r w:rsidRPr="00446826">
        <w:rPr>
          <w:i/>
        </w:rPr>
        <w:t xml:space="preserve"> </w:t>
      </w:r>
      <w:r w:rsidRPr="00446826">
        <w:t>[via email]</w:t>
      </w:r>
    </w:p>
    <w:p w:rsidR="00C5341F" w:rsidRPr="00446826" w:rsidRDefault="00C5341F" w:rsidP="00CF6AFE">
      <w:pPr>
        <w:pStyle w:val="Fuzeile"/>
      </w:pPr>
    </w:p>
    <w:p w:rsidR="00CF6AFE" w:rsidRPr="00446826" w:rsidRDefault="00CF6AFE" w:rsidP="00CF6AFE">
      <w:pPr>
        <w:pStyle w:val="Fuzeile"/>
      </w:pPr>
      <w:proofErr w:type="gramStart"/>
      <w:r w:rsidRPr="00446826">
        <w:t xml:space="preserve">Fernandez, S., </w:t>
      </w:r>
      <w:proofErr w:type="spellStart"/>
      <w:r w:rsidRPr="00446826">
        <w:t>Malz</w:t>
      </w:r>
      <w:proofErr w:type="spellEnd"/>
      <w:r w:rsidRPr="00446826">
        <w:t>, M. &amp; Vizcaino, P., 2011.</w:t>
      </w:r>
      <w:proofErr w:type="gramEnd"/>
      <w:r w:rsidRPr="00446826">
        <w:t xml:space="preserve"> </w:t>
      </w:r>
      <w:r w:rsidRPr="00446826">
        <w:rPr>
          <w:i/>
        </w:rPr>
        <w:t>Imagine No toilets</w:t>
      </w:r>
      <w:r w:rsidRPr="00446826">
        <w:t xml:space="preserve"> at Search for the Obvious, 2011. </w:t>
      </w:r>
      <w:r w:rsidRPr="00446826">
        <w:rPr>
          <w:i/>
        </w:rPr>
        <w:t>Make Sanitation Sexy</w:t>
      </w:r>
      <w:r w:rsidRPr="00446826">
        <w:t xml:space="preserve">. Available at: </w:t>
      </w:r>
      <w:hyperlink r:id="rId19" w:history="1">
        <w:r w:rsidRPr="00446826">
          <w:rPr>
            <w:rStyle w:val="Hyperlink"/>
            <w:color w:val="auto"/>
          </w:rPr>
          <w:t>http://www.searchfortheobvious.com/sanitation</w:t>
        </w:r>
      </w:hyperlink>
      <w:r w:rsidRPr="00446826">
        <w:t xml:space="preserve"> [Accessed May 2011]</w:t>
      </w:r>
    </w:p>
    <w:p w:rsidR="00CF6AFE" w:rsidRPr="00446826" w:rsidRDefault="00CF6AFE" w:rsidP="00CF6AFE">
      <w:r w:rsidRPr="00446826">
        <w:br/>
      </w:r>
      <w:proofErr w:type="spellStart"/>
      <w:r w:rsidRPr="00446826">
        <w:t>Finnemore</w:t>
      </w:r>
      <w:proofErr w:type="spellEnd"/>
      <w:r w:rsidRPr="00446826">
        <w:t xml:space="preserve">, F. and </w:t>
      </w:r>
      <w:proofErr w:type="spellStart"/>
      <w:r w:rsidRPr="00446826">
        <w:t>Siddink</w:t>
      </w:r>
      <w:proofErr w:type="spellEnd"/>
      <w:r w:rsidRPr="00446826">
        <w:t>, K., 1998.</w:t>
      </w:r>
      <w:r w:rsidRPr="00446826">
        <w:rPr>
          <w:i/>
        </w:rPr>
        <w:t xml:space="preserve">International norm dynamics and political change </w:t>
      </w:r>
      <w:r w:rsidRPr="00446826">
        <w:t>In</w:t>
      </w:r>
      <w:r w:rsidRPr="00446826">
        <w:rPr>
          <w:i/>
        </w:rPr>
        <w:t xml:space="preserve"> International Organisation,</w:t>
      </w:r>
      <w:r w:rsidRPr="00446826">
        <w:t xml:space="preserve"> Vol.</w:t>
      </w:r>
      <w:r w:rsidRPr="00446826">
        <w:rPr>
          <w:i/>
        </w:rPr>
        <w:t xml:space="preserve"> </w:t>
      </w:r>
      <w:r w:rsidRPr="00446826">
        <w:t>52(4), pp. 887-917</w:t>
      </w:r>
    </w:p>
    <w:p w:rsidR="00C5341F" w:rsidRPr="00446826" w:rsidRDefault="00C5341F" w:rsidP="00CF6AFE"/>
    <w:p w:rsidR="00CF6AFE" w:rsidRPr="00446826" w:rsidRDefault="00CF6AFE" w:rsidP="00CF6AFE">
      <w:proofErr w:type="gramStart"/>
      <w:r w:rsidRPr="00446826">
        <w:t>Gates Foundation.</w:t>
      </w:r>
      <w:proofErr w:type="gramEnd"/>
      <w:r w:rsidRPr="00446826">
        <w:t xml:space="preserve"> 2011. </w:t>
      </w:r>
      <w:r w:rsidRPr="00446826">
        <w:rPr>
          <w:i/>
        </w:rPr>
        <w:t xml:space="preserve">Reinventing the Toilet. </w:t>
      </w:r>
      <w:r w:rsidRPr="00446826">
        <w:t xml:space="preserve">Available at: </w:t>
      </w:r>
      <w:hyperlink r:id="rId20" w:history="1">
        <w:r w:rsidRPr="00446826">
          <w:rPr>
            <w:rStyle w:val="Hyperlink"/>
            <w:color w:val="auto"/>
          </w:rPr>
          <w:t>http://www.gatesfoundation.org/watersanitationhygiene/Pages/reinventing-the-toilet.aspx</w:t>
        </w:r>
      </w:hyperlink>
      <w:r w:rsidRPr="00446826">
        <w:t xml:space="preserve"> [Accessed: July 2011]</w:t>
      </w:r>
    </w:p>
    <w:p w:rsidR="00C5341F" w:rsidRPr="00446826" w:rsidRDefault="00C5341F" w:rsidP="00CF6AFE">
      <w:pPr>
        <w:autoSpaceDE w:val="0"/>
        <w:autoSpaceDN w:val="0"/>
        <w:adjustRightInd w:val="0"/>
        <w:snapToGrid w:val="0"/>
      </w:pPr>
    </w:p>
    <w:p w:rsidR="00CF6AFE" w:rsidRPr="00446826" w:rsidRDefault="00CF6AFE" w:rsidP="00CF6AFE">
      <w:pPr>
        <w:autoSpaceDE w:val="0"/>
        <w:autoSpaceDN w:val="0"/>
        <w:adjustRightInd w:val="0"/>
        <w:snapToGrid w:val="0"/>
        <w:rPr>
          <w:bCs/>
        </w:rPr>
      </w:pPr>
      <w:r w:rsidRPr="00446826">
        <w:t xml:space="preserve">George, R., 2008. </w:t>
      </w:r>
      <w:r w:rsidRPr="00446826">
        <w:rPr>
          <w:bCs/>
          <w:i/>
        </w:rPr>
        <w:t xml:space="preserve">The Big Necessity: Adventures in the World of Human Waste. </w:t>
      </w:r>
      <w:r w:rsidRPr="00446826">
        <w:rPr>
          <w:bCs/>
        </w:rPr>
        <w:t>Portobello: London</w:t>
      </w:r>
    </w:p>
    <w:p w:rsidR="00CF6AFE" w:rsidRPr="00446826" w:rsidRDefault="00CF6AFE" w:rsidP="00CF6AFE">
      <w:pPr>
        <w:autoSpaceDE w:val="0"/>
        <w:autoSpaceDN w:val="0"/>
        <w:adjustRightInd w:val="0"/>
        <w:snapToGrid w:val="0"/>
        <w:rPr>
          <w:bCs/>
        </w:rPr>
      </w:pPr>
    </w:p>
    <w:p w:rsidR="00CF6AFE" w:rsidRPr="00446826" w:rsidRDefault="00CF6AFE" w:rsidP="00CF6AFE">
      <w:r w:rsidRPr="00446826">
        <w:t xml:space="preserve">George, R., August 2011. Interview: </w:t>
      </w:r>
      <w:r w:rsidRPr="00446826">
        <w:rPr>
          <w:i/>
        </w:rPr>
        <w:t xml:space="preserve">author of ‘The Big Necessity’. </w:t>
      </w:r>
      <w:proofErr w:type="gramStart"/>
      <w:r w:rsidRPr="00446826">
        <w:t>07/08/11[via email].</w:t>
      </w:r>
      <w:proofErr w:type="gramEnd"/>
      <w:r w:rsidRPr="00446826">
        <w:rPr>
          <w:i/>
        </w:rPr>
        <w:t xml:space="preserve"> </w:t>
      </w:r>
    </w:p>
    <w:p w:rsidR="00C5341F" w:rsidRPr="00446826" w:rsidRDefault="00C5341F" w:rsidP="00CF6AFE"/>
    <w:p w:rsidR="00CF6AFE" w:rsidRPr="00446826" w:rsidRDefault="00CF6AFE" w:rsidP="00CF6AFE">
      <w:r w:rsidRPr="00446826">
        <w:t>Gilbert, N (</w:t>
      </w:r>
      <w:proofErr w:type="spellStart"/>
      <w:proofErr w:type="gramStart"/>
      <w:r w:rsidRPr="00446826">
        <w:t>ed</w:t>
      </w:r>
      <w:proofErr w:type="spellEnd"/>
      <w:proofErr w:type="gramEnd"/>
      <w:r w:rsidRPr="00446826">
        <w:t xml:space="preserve">). </w:t>
      </w:r>
      <w:proofErr w:type="gramStart"/>
      <w:r w:rsidRPr="00446826">
        <w:t xml:space="preserve">(2008) </w:t>
      </w:r>
      <w:r w:rsidRPr="00446826">
        <w:rPr>
          <w:rStyle w:val="Hervorhebung"/>
        </w:rPr>
        <w:t>Researching Social Life</w:t>
      </w:r>
      <w:r w:rsidRPr="00446826">
        <w:t>.</w:t>
      </w:r>
      <w:proofErr w:type="gramEnd"/>
      <w:r w:rsidRPr="00446826">
        <w:t xml:space="preserve"> London: Sage</w:t>
      </w:r>
    </w:p>
    <w:p w:rsidR="00C5341F" w:rsidRPr="00446826" w:rsidRDefault="00C5341F" w:rsidP="00CF6AFE"/>
    <w:p w:rsidR="00CF6AFE" w:rsidRPr="00446826" w:rsidRDefault="00CF6AFE" w:rsidP="00CF6AFE">
      <w:proofErr w:type="spellStart"/>
      <w:proofErr w:type="gramStart"/>
      <w:r w:rsidRPr="00446826">
        <w:t>Gladwell</w:t>
      </w:r>
      <w:proofErr w:type="spellEnd"/>
      <w:r w:rsidRPr="00446826">
        <w:t>, M., 2001.</w:t>
      </w:r>
      <w:proofErr w:type="gramEnd"/>
      <w:r w:rsidRPr="00446826">
        <w:t xml:space="preserve"> </w:t>
      </w:r>
      <w:r w:rsidRPr="00446826">
        <w:rPr>
          <w:i/>
        </w:rPr>
        <w:t xml:space="preserve">The Tipping Point: how little things can make a big difference. </w:t>
      </w:r>
      <w:r w:rsidRPr="00446826">
        <w:t>London: Abacus.</w:t>
      </w:r>
    </w:p>
    <w:p w:rsidR="00C5341F" w:rsidRPr="00446826" w:rsidRDefault="00C5341F" w:rsidP="00CF6AFE">
      <w:pPr>
        <w:pStyle w:val="Fuzeile"/>
      </w:pPr>
    </w:p>
    <w:p w:rsidR="00CF6AFE" w:rsidRPr="00446826" w:rsidRDefault="00CF6AFE" w:rsidP="00CF6AFE">
      <w:pPr>
        <w:pStyle w:val="Fuzeile"/>
      </w:pPr>
      <w:proofErr w:type="gramStart"/>
      <w:r w:rsidRPr="00446826">
        <w:t>Graber, A. &amp; Reel, K., 2011.</w:t>
      </w:r>
      <w:proofErr w:type="gramEnd"/>
      <w:r w:rsidRPr="00446826">
        <w:t xml:space="preserve"> </w:t>
      </w:r>
      <w:r w:rsidRPr="00446826">
        <w:rPr>
          <w:i/>
        </w:rPr>
        <w:t xml:space="preserve">Shit Talks. Talk Back. </w:t>
      </w:r>
      <w:r w:rsidRPr="00446826">
        <w:t xml:space="preserve">Search for the Obvious, 2011. </w:t>
      </w:r>
      <w:r w:rsidRPr="00446826">
        <w:rPr>
          <w:i/>
        </w:rPr>
        <w:t>Make Sanitation Sexy</w:t>
      </w:r>
      <w:r w:rsidRPr="00446826">
        <w:t xml:space="preserve">. Available at: </w:t>
      </w:r>
      <w:hyperlink r:id="rId21" w:history="1">
        <w:r w:rsidRPr="00446826">
          <w:rPr>
            <w:rStyle w:val="Hyperlink"/>
            <w:color w:val="auto"/>
          </w:rPr>
          <w:t>http://www.searchfortheobvious.com/sanitation</w:t>
        </w:r>
      </w:hyperlink>
      <w:r w:rsidRPr="00446826">
        <w:t xml:space="preserve"> [Accessed May 2011</w:t>
      </w:r>
      <w:proofErr w:type="gramStart"/>
      <w:r w:rsidRPr="00446826">
        <w:t>]</w:t>
      </w:r>
      <w:proofErr w:type="gramEnd"/>
      <w:r w:rsidRPr="00446826">
        <w:br/>
      </w:r>
      <w:r w:rsidRPr="00446826">
        <w:br/>
      </w:r>
      <w:proofErr w:type="spellStart"/>
      <w:r w:rsidRPr="00446826">
        <w:t>Gready</w:t>
      </w:r>
      <w:proofErr w:type="spellEnd"/>
      <w:r w:rsidRPr="00446826">
        <w:t xml:space="preserve">, P., 2004. </w:t>
      </w:r>
      <w:proofErr w:type="gramStart"/>
      <w:r w:rsidRPr="00446826">
        <w:rPr>
          <w:i/>
        </w:rPr>
        <w:t>Fighting for Human Rights</w:t>
      </w:r>
      <w:r w:rsidRPr="00446826">
        <w:t>.</w:t>
      </w:r>
      <w:proofErr w:type="gramEnd"/>
      <w:r w:rsidRPr="00446826">
        <w:t xml:space="preserve"> London: </w:t>
      </w:r>
      <w:proofErr w:type="spellStart"/>
      <w:r w:rsidRPr="00446826">
        <w:t>Routledge</w:t>
      </w:r>
      <w:proofErr w:type="spellEnd"/>
      <w:r w:rsidRPr="00446826">
        <w:t>.</w:t>
      </w:r>
    </w:p>
    <w:p w:rsidR="00CF6AFE" w:rsidRPr="00446826" w:rsidRDefault="00CF6AFE" w:rsidP="00CF6AFE">
      <w:pPr>
        <w:pStyle w:val="Fuzeile"/>
        <w:jc w:val="both"/>
      </w:pPr>
      <w:r w:rsidRPr="00446826">
        <w:br/>
        <w:t xml:space="preserve">Hunt, P., 2006. </w:t>
      </w:r>
      <w:r w:rsidRPr="00446826">
        <w:rPr>
          <w:i/>
        </w:rPr>
        <w:t>The Right to Health: Key Objectives, Themes and Interventions</w:t>
      </w:r>
      <w:r w:rsidRPr="00446826">
        <w:t xml:space="preserve"> in Claude, R. P. And Weston, B. H (Eds.) </w:t>
      </w:r>
      <w:r w:rsidRPr="00446826">
        <w:rPr>
          <w:i/>
        </w:rPr>
        <w:t>Human Rights in the World Community</w:t>
      </w:r>
      <w:r w:rsidRPr="00446826">
        <w:t>. Pennsylvania: Penn</w:t>
      </w:r>
    </w:p>
    <w:p w:rsidR="00C5341F" w:rsidRPr="00446826" w:rsidRDefault="00C5341F" w:rsidP="00CF6AFE">
      <w:pPr>
        <w:pStyle w:val="Fuzeile"/>
        <w:jc w:val="both"/>
      </w:pPr>
    </w:p>
    <w:p w:rsidR="00CF6AFE" w:rsidRPr="00446826" w:rsidRDefault="00CF6AFE" w:rsidP="00CF6AFE">
      <w:pPr>
        <w:pStyle w:val="Fuzeile"/>
        <w:jc w:val="both"/>
      </w:pPr>
      <w:r w:rsidRPr="00446826">
        <w:t xml:space="preserve">Ife, J. 2010. </w:t>
      </w:r>
      <w:proofErr w:type="gramStart"/>
      <w:r w:rsidRPr="00446826">
        <w:rPr>
          <w:i/>
        </w:rPr>
        <w:t>Human Rights From Below</w:t>
      </w:r>
      <w:r w:rsidRPr="00446826">
        <w:t>.</w:t>
      </w:r>
      <w:proofErr w:type="gramEnd"/>
      <w:r w:rsidRPr="00446826">
        <w:t xml:space="preserve"> Cambridge: Cambridge University Press</w:t>
      </w:r>
    </w:p>
    <w:p w:rsidR="00C5341F" w:rsidRPr="00446826" w:rsidRDefault="00C5341F" w:rsidP="00CF6AFE">
      <w:pPr>
        <w:pStyle w:val="Fuzeile"/>
      </w:pPr>
    </w:p>
    <w:p w:rsidR="00CF6AFE" w:rsidRPr="00446826" w:rsidRDefault="00CF6AFE" w:rsidP="00CF6AFE">
      <w:pPr>
        <w:pStyle w:val="Fuzeile"/>
      </w:pPr>
      <w:proofErr w:type="gramStart"/>
      <w:r w:rsidRPr="00446826">
        <w:t>JMP (World Health Organization and United Nations Children’s Fund Joint Monitoring Programme for Water Supply and Sanitation), 2008.</w:t>
      </w:r>
      <w:proofErr w:type="gramEnd"/>
      <w:r w:rsidRPr="00446826">
        <w:t xml:space="preserve"> </w:t>
      </w:r>
      <w:r w:rsidRPr="00446826">
        <w:rPr>
          <w:i/>
        </w:rPr>
        <w:t>Progress on drinking water and sanitation: special focus on sanitation</w:t>
      </w:r>
      <w:r w:rsidRPr="00446826">
        <w:t xml:space="preserve">. Available at: </w:t>
      </w:r>
      <w:hyperlink r:id="rId22" w:history="1">
        <w:r w:rsidRPr="00446826">
          <w:rPr>
            <w:rStyle w:val="Hyperlink"/>
            <w:color w:val="auto"/>
          </w:rPr>
          <w:t>http://www.who.int/water_sanitation_health/monitoring/jmp2008.pdf</w:t>
        </w:r>
      </w:hyperlink>
      <w:r w:rsidRPr="00446826">
        <w:t xml:space="preserve"> [Accessed: 3 November 2010]</w:t>
      </w:r>
      <w:r w:rsidRPr="00446826">
        <w:br/>
      </w:r>
    </w:p>
    <w:p w:rsidR="00CF6AFE" w:rsidRPr="00446826" w:rsidRDefault="00CF6AFE" w:rsidP="00CF6AFE">
      <w:proofErr w:type="spellStart"/>
      <w:r w:rsidRPr="00446826">
        <w:t>Kar</w:t>
      </w:r>
      <w:proofErr w:type="spellEnd"/>
      <w:r w:rsidRPr="00446826">
        <w:t xml:space="preserve">, K. and Chambers, R., 2008. </w:t>
      </w:r>
      <w:proofErr w:type="gramStart"/>
      <w:r w:rsidRPr="00446826">
        <w:rPr>
          <w:i/>
        </w:rPr>
        <w:t>Handbook on Community-Led Total Sanitation</w:t>
      </w:r>
      <w:r w:rsidRPr="00446826">
        <w:t>.</w:t>
      </w:r>
      <w:proofErr w:type="gramEnd"/>
      <w:r w:rsidRPr="00446826">
        <w:t xml:space="preserve"> London: Plan Int. and Institute of Development Studies.</w:t>
      </w:r>
    </w:p>
    <w:p w:rsidR="00CF6AFE" w:rsidRPr="00446826" w:rsidRDefault="00CF6AFE" w:rsidP="00CF6AFE">
      <w:proofErr w:type="spellStart"/>
      <w:r w:rsidRPr="00446826">
        <w:t>Kar</w:t>
      </w:r>
      <w:proofErr w:type="spellEnd"/>
      <w:r w:rsidRPr="00446826">
        <w:t xml:space="preserve">, K, 2010. </w:t>
      </w:r>
      <w:proofErr w:type="gramStart"/>
      <w:r w:rsidRPr="00446826">
        <w:rPr>
          <w:i/>
        </w:rPr>
        <w:t>Online interview from World Water Week, 6 September 2010, Stockholm</w:t>
      </w:r>
      <w:r w:rsidRPr="00446826">
        <w:t>.</w:t>
      </w:r>
      <w:proofErr w:type="gramEnd"/>
      <w:r w:rsidRPr="00446826">
        <w:rPr>
          <w:i/>
        </w:rPr>
        <w:t xml:space="preserve"> </w:t>
      </w:r>
      <w:r w:rsidRPr="00446826">
        <w:t xml:space="preserve">Available at: </w:t>
      </w:r>
      <w:hyperlink r:id="rId23" w:history="1">
        <w:r w:rsidRPr="00446826">
          <w:rPr>
            <w:rStyle w:val="Hyperlink"/>
            <w:color w:val="auto"/>
          </w:rPr>
          <w:t>http://sanitationupdates.wordpress.com/2010/09/06/clts-pioneer-dr-kamal-kar-interviewed-at-the-stockholm-water-week/</w:t>
        </w:r>
      </w:hyperlink>
      <w:r w:rsidRPr="00446826">
        <w:t xml:space="preserve"> [Accessed 20/11/10]</w:t>
      </w:r>
    </w:p>
    <w:p w:rsidR="00C5341F" w:rsidRPr="00446826" w:rsidRDefault="00C5341F" w:rsidP="00CF6AFE"/>
    <w:p w:rsidR="00CF6AFE" w:rsidRPr="00446826" w:rsidRDefault="00CF6AFE" w:rsidP="00CF6AFE">
      <w:proofErr w:type="spellStart"/>
      <w:r w:rsidRPr="00446826">
        <w:t>Kaupp</w:t>
      </w:r>
      <w:proofErr w:type="spellEnd"/>
      <w:r w:rsidRPr="00446826">
        <w:t xml:space="preserve">, R., August 2011. Interview: </w:t>
      </w:r>
      <w:r w:rsidRPr="00446826">
        <w:rPr>
          <w:i/>
        </w:rPr>
        <w:t>International Officer, Homeless International.</w:t>
      </w:r>
      <w:r w:rsidRPr="00446826">
        <w:t xml:space="preserve"> 03/08/11.</w:t>
      </w:r>
      <w:r w:rsidRPr="00446826">
        <w:rPr>
          <w:i/>
        </w:rPr>
        <w:t xml:space="preserve"> </w:t>
      </w:r>
      <w:r w:rsidRPr="00446826">
        <w:t>[</w:t>
      </w:r>
      <w:proofErr w:type="gramStart"/>
      <w:r w:rsidRPr="00446826">
        <w:t>via</w:t>
      </w:r>
      <w:proofErr w:type="gramEnd"/>
      <w:r w:rsidRPr="00446826">
        <w:t xml:space="preserve"> email].</w:t>
      </w:r>
    </w:p>
    <w:p w:rsidR="00C5341F" w:rsidRPr="00446826" w:rsidRDefault="00C5341F" w:rsidP="00CF6AFE"/>
    <w:p w:rsidR="00CF6AFE" w:rsidRPr="00446826" w:rsidRDefault="00CF6AFE" w:rsidP="00CF6AFE">
      <w:proofErr w:type="gramStart"/>
      <w:r w:rsidRPr="00446826">
        <w:t xml:space="preserve">Keck, M.E. and </w:t>
      </w:r>
      <w:proofErr w:type="spellStart"/>
      <w:r w:rsidRPr="00446826">
        <w:t>Sikkink</w:t>
      </w:r>
      <w:proofErr w:type="spellEnd"/>
      <w:r w:rsidRPr="00446826">
        <w:t>, K., 1998.</w:t>
      </w:r>
      <w:proofErr w:type="gramEnd"/>
      <w:r w:rsidRPr="00446826">
        <w:t xml:space="preserve"> </w:t>
      </w:r>
      <w:r w:rsidRPr="00446826">
        <w:rPr>
          <w:i/>
        </w:rPr>
        <w:t xml:space="preserve">Activists </w:t>
      </w:r>
      <w:proofErr w:type="gramStart"/>
      <w:r w:rsidRPr="00446826">
        <w:rPr>
          <w:i/>
        </w:rPr>
        <w:t>Beyond</w:t>
      </w:r>
      <w:proofErr w:type="gramEnd"/>
      <w:r w:rsidRPr="00446826">
        <w:rPr>
          <w:i/>
        </w:rPr>
        <w:t xml:space="preserve"> Borders</w:t>
      </w:r>
      <w:r w:rsidRPr="00446826">
        <w:t>. Ithaca: Cornell University Press.</w:t>
      </w:r>
    </w:p>
    <w:p w:rsidR="00C5341F" w:rsidRPr="00446826" w:rsidRDefault="00C5341F" w:rsidP="00CF6AFE"/>
    <w:p w:rsidR="00CF6AFE" w:rsidRPr="00446826" w:rsidRDefault="00CF6AFE" w:rsidP="00CF6AFE">
      <w:proofErr w:type="gramStart"/>
      <w:r w:rsidRPr="00446826">
        <w:t>Khan, I. 2009.</w:t>
      </w:r>
      <w:proofErr w:type="gramEnd"/>
      <w:r w:rsidRPr="00446826">
        <w:t xml:space="preserve"> </w:t>
      </w:r>
      <w:r w:rsidRPr="00446826">
        <w:rPr>
          <w:i/>
        </w:rPr>
        <w:t xml:space="preserve">The Unheard Truth: Poverty and Human Rights. </w:t>
      </w:r>
      <w:r w:rsidRPr="00446826">
        <w:t>New York: Amnesty International.</w:t>
      </w:r>
    </w:p>
    <w:p w:rsidR="00CF6AFE" w:rsidRPr="00446826" w:rsidRDefault="00CF6AFE" w:rsidP="00C5341F">
      <w:pPr>
        <w:pStyle w:val="berschrift1"/>
        <w:tabs>
          <w:tab w:val="clear" w:pos="2880"/>
        </w:tabs>
        <w:ind w:left="0" w:firstLine="0"/>
        <w:rPr>
          <w:rFonts w:ascii="Times New Roman" w:hAnsi="Times New Roman"/>
          <w:b w:val="0"/>
          <w:color w:val="auto"/>
          <w:sz w:val="24"/>
          <w:szCs w:val="24"/>
        </w:rPr>
      </w:pPr>
      <w:proofErr w:type="spellStart"/>
      <w:r w:rsidRPr="00446826">
        <w:rPr>
          <w:rFonts w:ascii="Times New Roman" w:hAnsi="Times New Roman"/>
          <w:b w:val="0"/>
          <w:color w:val="auto"/>
          <w:sz w:val="24"/>
          <w:szCs w:val="24"/>
        </w:rPr>
        <w:t>Khoo</w:t>
      </w:r>
      <w:proofErr w:type="spellEnd"/>
      <w:r w:rsidRPr="00446826">
        <w:rPr>
          <w:rFonts w:ascii="Times New Roman" w:hAnsi="Times New Roman"/>
          <w:b w:val="0"/>
          <w:color w:val="auto"/>
          <w:sz w:val="24"/>
          <w:szCs w:val="24"/>
        </w:rPr>
        <w:t>, S., 2006,</w:t>
      </w:r>
      <w:r w:rsidRPr="00446826">
        <w:rPr>
          <w:rFonts w:ascii="Times New Roman" w:hAnsi="Times New Roman"/>
          <w:color w:val="auto"/>
          <w:sz w:val="24"/>
          <w:szCs w:val="24"/>
        </w:rPr>
        <w:t xml:space="preserve"> </w:t>
      </w:r>
      <w:r w:rsidRPr="00446826">
        <w:rPr>
          <w:rFonts w:ascii="Times New Roman" w:hAnsi="Times New Roman"/>
          <w:b w:val="0"/>
          <w:i/>
          <w:color w:val="auto"/>
          <w:sz w:val="24"/>
          <w:szCs w:val="24"/>
        </w:rPr>
        <w:t xml:space="preserve">The Millennium Development Goals: a critical discussion. </w:t>
      </w:r>
      <w:r w:rsidRPr="00446826">
        <w:rPr>
          <w:rFonts w:ascii="Times New Roman" w:hAnsi="Times New Roman"/>
          <w:b w:val="0"/>
          <w:color w:val="auto"/>
          <w:sz w:val="24"/>
          <w:szCs w:val="24"/>
        </w:rPr>
        <w:t>Available at:</w:t>
      </w:r>
      <w:r w:rsidRPr="00446826">
        <w:rPr>
          <w:rFonts w:ascii="Times New Roman" w:hAnsi="Times New Roman"/>
          <w:color w:val="auto"/>
          <w:sz w:val="24"/>
          <w:szCs w:val="24"/>
        </w:rPr>
        <w:t xml:space="preserve"> </w:t>
      </w:r>
      <w:hyperlink r:id="rId24" w:history="1">
        <w:r w:rsidRPr="00446826">
          <w:rPr>
            <w:rStyle w:val="Hyperlink"/>
            <w:rFonts w:ascii="Times New Roman" w:eastAsia="Calibri" w:hAnsi="Times New Roman"/>
            <w:b w:val="0"/>
            <w:color w:val="auto"/>
            <w:sz w:val="24"/>
            <w:szCs w:val="24"/>
          </w:rPr>
          <w:t>http://www.trocaire.org/resources/tdr-article/millennium-development-goals-critical-discussion</w:t>
        </w:r>
      </w:hyperlink>
      <w:r w:rsidRPr="00446826">
        <w:rPr>
          <w:rFonts w:ascii="Times New Roman" w:hAnsi="Times New Roman"/>
          <w:b w:val="0"/>
          <w:i/>
          <w:color w:val="auto"/>
          <w:sz w:val="24"/>
          <w:szCs w:val="24"/>
        </w:rPr>
        <w:t xml:space="preserve"> </w:t>
      </w:r>
      <w:r w:rsidRPr="00446826">
        <w:rPr>
          <w:rFonts w:ascii="Times New Roman" w:hAnsi="Times New Roman"/>
          <w:b w:val="0"/>
          <w:color w:val="auto"/>
          <w:sz w:val="24"/>
          <w:szCs w:val="24"/>
        </w:rPr>
        <w:t>[Accessed: April 2011]</w:t>
      </w:r>
    </w:p>
    <w:p w:rsidR="00CF6AFE" w:rsidRPr="00446826" w:rsidRDefault="00CF6AFE" w:rsidP="00C5341F">
      <w:pPr>
        <w:pStyle w:val="berschrift1"/>
        <w:tabs>
          <w:tab w:val="clear" w:pos="2880"/>
        </w:tabs>
        <w:ind w:left="0" w:firstLine="0"/>
        <w:rPr>
          <w:rFonts w:ascii="Times New Roman" w:hAnsi="Times New Roman"/>
          <w:b w:val="0"/>
          <w:color w:val="auto"/>
          <w:sz w:val="24"/>
          <w:szCs w:val="24"/>
        </w:rPr>
      </w:pPr>
      <w:proofErr w:type="spellStart"/>
      <w:r w:rsidRPr="00446826">
        <w:rPr>
          <w:rFonts w:ascii="Times New Roman" w:hAnsi="Times New Roman"/>
          <w:b w:val="0"/>
          <w:color w:val="auto"/>
          <w:sz w:val="24"/>
          <w:szCs w:val="24"/>
        </w:rPr>
        <w:t>Lakoff</w:t>
      </w:r>
      <w:proofErr w:type="spellEnd"/>
      <w:r w:rsidRPr="00446826">
        <w:rPr>
          <w:rFonts w:ascii="Times New Roman" w:hAnsi="Times New Roman"/>
          <w:b w:val="0"/>
          <w:color w:val="auto"/>
          <w:sz w:val="24"/>
          <w:szCs w:val="24"/>
        </w:rPr>
        <w:t xml:space="preserve">, G., 2004. </w:t>
      </w:r>
      <w:r w:rsidRPr="00446826">
        <w:rPr>
          <w:rFonts w:ascii="Times New Roman" w:hAnsi="Times New Roman"/>
          <w:b w:val="0"/>
          <w:i/>
          <w:color w:val="auto"/>
          <w:sz w:val="24"/>
          <w:szCs w:val="24"/>
        </w:rPr>
        <w:t xml:space="preserve">Don’t </w:t>
      </w:r>
      <w:proofErr w:type="gramStart"/>
      <w:r w:rsidRPr="00446826">
        <w:rPr>
          <w:rFonts w:ascii="Times New Roman" w:hAnsi="Times New Roman"/>
          <w:b w:val="0"/>
          <w:i/>
          <w:color w:val="auto"/>
          <w:sz w:val="24"/>
          <w:szCs w:val="24"/>
        </w:rPr>
        <w:t>Think</w:t>
      </w:r>
      <w:proofErr w:type="gramEnd"/>
      <w:r w:rsidRPr="00446826">
        <w:rPr>
          <w:rFonts w:ascii="Times New Roman" w:hAnsi="Times New Roman"/>
          <w:b w:val="0"/>
          <w:i/>
          <w:color w:val="auto"/>
          <w:sz w:val="24"/>
          <w:szCs w:val="24"/>
        </w:rPr>
        <w:t xml:space="preserve"> of an Elephant: know your values and frame the debate.</w:t>
      </w:r>
      <w:r w:rsidRPr="00446826">
        <w:rPr>
          <w:rFonts w:ascii="Times New Roman" w:hAnsi="Times New Roman"/>
          <w:b w:val="0"/>
          <w:color w:val="auto"/>
          <w:sz w:val="24"/>
          <w:szCs w:val="24"/>
        </w:rPr>
        <w:t xml:space="preserve"> Vermont: Chelsea Green</w:t>
      </w:r>
    </w:p>
    <w:p w:rsidR="00CF6AFE" w:rsidRPr="00446826" w:rsidRDefault="00CF6AFE" w:rsidP="00C5341F">
      <w:pPr>
        <w:pStyle w:val="Fuzeile"/>
      </w:pPr>
      <w:proofErr w:type="gramStart"/>
      <w:r w:rsidRPr="00446826">
        <w:t xml:space="preserve">Lancet (Editorial), </w:t>
      </w:r>
      <w:r w:rsidRPr="00446826">
        <w:rPr>
          <w:i/>
        </w:rPr>
        <w:t>Keeping Sanitation in the International Spotlight.</w:t>
      </w:r>
      <w:proofErr w:type="gramEnd"/>
      <w:r w:rsidRPr="00446826">
        <w:t xml:space="preserve"> March 29, 2008 (Vol. 371)</w:t>
      </w:r>
    </w:p>
    <w:p w:rsidR="00CF6AFE" w:rsidRPr="00446826" w:rsidRDefault="00CF6AFE" w:rsidP="00C5341F">
      <w:pPr>
        <w:pStyle w:val="berschrift1"/>
        <w:tabs>
          <w:tab w:val="clear" w:pos="2880"/>
        </w:tabs>
        <w:ind w:left="0" w:firstLine="0"/>
        <w:rPr>
          <w:rFonts w:ascii="Times New Roman" w:hAnsi="Times New Roman"/>
          <w:b w:val="0"/>
          <w:color w:val="auto"/>
          <w:sz w:val="24"/>
          <w:szCs w:val="24"/>
        </w:rPr>
      </w:pPr>
      <w:proofErr w:type="spellStart"/>
      <w:r w:rsidRPr="00446826">
        <w:rPr>
          <w:rFonts w:ascii="Times New Roman" w:hAnsi="Times New Roman"/>
          <w:b w:val="0"/>
          <w:color w:val="auto"/>
          <w:sz w:val="24"/>
          <w:szCs w:val="24"/>
        </w:rPr>
        <w:t>Luchesi</w:t>
      </w:r>
      <w:proofErr w:type="spellEnd"/>
      <w:r w:rsidRPr="00446826">
        <w:rPr>
          <w:rFonts w:ascii="Times New Roman" w:hAnsi="Times New Roman"/>
          <w:b w:val="0"/>
          <w:color w:val="auto"/>
          <w:sz w:val="24"/>
          <w:szCs w:val="24"/>
        </w:rPr>
        <w:t xml:space="preserve">, T., July 2011. Interview: </w:t>
      </w:r>
      <w:r w:rsidRPr="00446826">
        <w:rPr>
          <w:rFonts w:ascii="Times New Roman" w:hAnsi="Times New Roman"/>
          <w:b w:val="0"/>
          <w:i/>
          <w:color w:val="auto"/>
          <w:sz w:val="24"/>
          <w:szCs w:val="24"/>
        </w:rPr>
        <w:t>Advisor for Child Health Policy and Rights</w:t>
      </w:r>
      <w:r w:rsidRPr="00446826">
        <w:rPr>
          <w:rFonts w:ascii="Times New Roman" w:hAnsi="Times New Roman"/>
          <w:b w:val="0"/>
          <w:color w:val="auto"/>
          <w:sz w:val="24"/>
          <w:szCs w:val="24"/>
        </w:rPr>
        <w:t xml:space="preserve">, </w:t>
      </w:r>
      <w:r w:rsidRPr="00446826">
        <w:rPr>
          <w:rFonts w:ascii="Times New Roman" w:hAnsi="Times New Roman"/>
          <w:b w:val="0"/>
          <w:i/>
          <w:color w:val="auto"/>
          <w:sz w:val="24"/>
          <w:szCs w:val="24"/>
        </w:rPr>
        <w:t xml:space="preserve">World Vision. </w:t>
      </w:r>
      <w:proofErr w:type="gramStart"/>
      <w:r w:rsidRPr="00446826">
        <w:rPr>
          <w:rFonts w:ascii="Times New Roman" w:hAnsi="Times New Roman"/>
          <w:b w:val="0"/>
          <w:color w:val="auto"/>
          <w:sz w:val="24"/>
          <w:szCs w:val="24"/>
        </w:rPr>
        <w:t>13/07/11 [via email].</w:t>
      </w:r>
      <w:proofErr w:type="gramEnd"/>
    </w:p>
    <w:p w:rsidR="00CF6AFE" w:rsidRPr="00446826" w:rsidRDefault="00CF6AFE" w:rsidP="00C5341F">
      <w:pPr>
        <w:pStyle w:val="berschrift1"/>
        <w:tabs>
          <w:tab w:val="clear" w:pos="2880"/>
        </w:tabs>
        <w:ind w:left="0" w:firstLine="0"/>
        <w:rPr>
          <w:rFonts w:ascii="Times New Roman" w:hAnsi="Times New Roman"/>
          <w:b w:val="0"/>
          <w:color w:val="auto"/>
          <w:sz w:val="24"/>
          <w:szCs w:val="24"/>
        </w:rPr>
      </w:pPr>
      <w:r w:rsidRPr="00446826">
        <w:rPr>
          <w:rFonts w:ascii="Times New Roman" w:hAnsi="Times New Roman"/>
          <w:b w:val="0"/>
          <w:color w:val="auto"/>
          <w:sz w:val="24"/>
          <w:szCs w:val="24"/>
        </w:rPr>
        <w:t xml:space="preserve">Marlin, A., August 2011. Interview: </w:t>
      </w:r>
      <w:proofErr w:type="spellStart"/>
      <w:r w:rsidRPr="00446826">
        <w:rPr>
          <w:rFonts w:ascii="Times New Roman" w:hAnsi="Times New Roman"/>
          <w:b w:val="0"/>
          <w:i/>
          <w:color w:val="auto"/>
          <w:sz w:val="24"/>
          <w:szCs w:val="24"/>
        </w:rPr>
        <w:t>Programme</w:t>
      </w:r>
      <w:proofErr w:type="spellEnd"/>
      <w:r w:rsidRPr="00446826">
        <w:rPr>
          <w:rFonts w:ascii="Times New Roman" w:hAnsi="Times New Roman"/>
          <w:b w:val="0"/>
          <w:i/>
          <w:color w:val="auto"/>
          <w:sz w:val="24"/>
          <w:szCs w:val="24"/>
        </w:rPr>
        <w:t xml:space="preserve"> Manager for Advocacy and Communications, WSSCC</w:t>
      </w:r>
      <w:r w:rsidRPr="00446826">
        <w:rPr>
          <w:rFonts w:ascii="Times New Roman" w:hAnsi="Times New Roman"/>
          <w:b w:val="0"/>
          <w:color w:val="auto"/>
          <w:sz w:val="24"/>
          <w:szCs w:val="24"/>
        </w:rPr>
        <w:t xml:space="preserve">. </w:t>
      </w:r>
      <w:proofErr w:type="gramStart"/>
      <w:r w:rsidRPr="00446826">
        <w:rPr>
          <w:rFonts w:ascii="Times New Roman" w:hAnsi="Times New Roman"/>
          <w:b w:val="0"/>
          <w:color w:val="auto"/>
          <w:sz w:val="24"/>
          <w:szCs w:val="24"/>
        </w:rPr>
        <w:t>15/08/11[via Skype].</w:t>
      </w:r>
      <w:proofErr w:type="gramEnd"/>
    </w:p>
    <w:p w:rsidR="00CF6AFE" w:rsidRPr="00446826" w:rsidRDefault="00CF6AFE" w:rsidP="00C5341F">
      <w:pPr>
        <w:pStyle w:val="berschrift1"/>
        <w:tabs>
          <w:tab w:val="clear" w:pos="2880"/>
        </w:tabs>
        <w:ind w:left="0" w:firstLine="0"/>
        <w:rPr>
          <w:rFonts w:ascii="Times New Roman" w:hAnsi="Times New Roman"/>
          <w:color w:val="auto"/>
          <w:sz w:val="24"/>
          <w:szCs w:val="24"/>
        </w:rPr>
      </w:pPr>
      <w:r w:rsidRPr="00446826">
        <w:rPr>
          <w:rFonts w:ascii="Times New Roman" w:hAnsi="Times New Roman"/>
          <w:b w:val="0"/>
          <w:color w:val="auto"/>
          <w:sz w:val="24"/>
          <w:szCs w:val="24"/>
        </w:rPr>
        <w:t xml:space="preserve">Morley, D., 2010. </w:t>
      </w:r>
      <w:proofErr w:type="gramStart"/>
      <w:r w:rsidRPr="00446826">
        <w:rPr>
          <w:rFonts w:ascii="Times New Roman" w:hAnsi="Times New Roman"/>
          <w:b w:val="0"/>
          <w:i/>
          <w:color w:val="auto"/>
          <w:sz w:val="24"/>
          <w:szCs w:val="24"/>
        </w:rPr>
        <w:t>Rights breakthrough: legal recognition of water and sanitation affirmed by UN</w:t>
      </w:r>
      <w:r w:rsidRPr="00446826">
        <w:rPr>
          <w:rFonts w:ascii="Times New Roman" w:hAnsi="Times New Roman"/>
          <w:b w:val="0"/>
          <w:color w:val="auto"/>
          <w:sz w:val="24"/>
          <w:szCs w:val="24"/>
        </w:rPr>
        <w:t>.</w:t>
      </w:r>
      <w:proofErr w:type="gramEnd"/>
      <w:r w:rsidRPr="00446826">
        <w:rPr>
          <w:rFonts w:ascii="Times New Roman" w:hAnsi="Times New Roman"/>
          <w:b w:val="0"/>
          <w:color w:val="auto"/>
          <w:sz w:val="24"/>
          <w:szCs w:val="24"/>
        </w:rPr>
        <w:t xml:space="preserve"> Available at: </w:t>
      </w:r>
      <w:hyperlink r:id="rId25" w:history="1">
        <w:r w:rsidRPr="00446826">
          <w:rPr>
            <w:rStyle w:val="Hyperlink"/>
            <w:rFonts w:ascii="Times New Roman" w:hAnsi="Times New Roman"/>
            <w:b w:val="0"/>
            <w:color w:val="auto"/>
            <w:sz w:val="24"/>
            <w:szCs w:val="24"/>
          </w:rPr>
          <w:t>http://www.righttowater.info/right-water-and-sanitation-affirmed/</w:t>
        </w:r>
      </w:hyperlink>
      <w:r w:rsidRPr="00446826">
        <w:rPr>
          <w:rFonts w:ascii="Times New Roman" w:hAnsi="Times New Roman"/>
          <w:b w:val="0"/>
          <w:color w:val="auto"/>
          <w:sz w:val="24"/>
          <w:szCs w:val="24"/>
        </w:rPr>
        <w:t xml:space="preserve">  [Accessed: May 2011) </w:t>
      </w:r>
    </w:p>
    <w:p w:rsidR="00CF6AFE" w:rsidRPr="00446826" w:rsidRDefault="00CF6AFE" w:rsidP="00C5341F">
      <w:pPr>
        <w:pStyle w:val="berschrift1"/>
        <w:tabs>
          <w:tab w:val="clear" w:pos="2880"/>
        </w:tabs>
        <w:ind w:left="0" w:firstLine="0"/>
        <w:rPr>
          <w:rFonts w:ascii="Times New Roman" w:hAnsi="Times New Roman"/>
          <w:b w:val="0"/>
          <w:color w:val="auto"/>
          <w:sz w:val="24"/>
          <w:szCs w:val="24"/>
        </w:rPr>
      </w:pPr>
      <w:proofErr w:type="gramStart"/>
      <w:r w:rsidRPr="00446826">
        <w:rPr>
          <w:rFonts w:ascii="Times New Roman" w:hAnsi="Times New Roman"/>
          <w:b w:val="0"/>
          <w:color w:val="auto"/>
          <w:sz w:val="24"/>
          <w:szCs w:val="24"/>
        </w:rPr>
        <w:t>Nelson, P. &amp; Dobson, E., 2008.</w:t>
      </w:r>
      <w:proofErr w:type="gramEnd"/>
      <w:r w:rsidRPr="00446826">
        <w:rPr>
          <w:rFonts w:ascii="Times New Roman" w:hAnsi="Times New Roman"/>
          <w:b w:val="0"/>
          <w:color w:val="auto"/>
          <w:sz w:val="24"/>
          <w:szCs w:val="24"/>
        </w:rPr>
        <w:t xml:space="preserve"> </w:t>
      </w:r>
      <w:proofErr w:type="gramStart"/>
      <w:r w:rsidRPr="00446826">
        <w:rPr>
          <w:rFonts w:ascii="Times New Roman" w:hAnsi="Times New Roman"/>
          <w:b w:val="0"/>
          <w:i/>
          <w:color w:val="auto"/>
          <w:sz w:val="24"/>
          <w:szCs w:val="24"/>
        </w:rPr>
        <w:t>New Rights Advocacy.</w:t>
      </w:r>
      <w:proofErr w:type="gramEnd"/>
      <w:r w:rsidRPr="00446826">
        <w:rPr>
          <w:rFonts w:ascii="Times New Roman" w:hAnsi="Times New Roman"/>
          <w:b w:val="0"/>
          <w:i/>
          <w:color w:val="auto"/>
          <w:sz w:val="24"/>
          <w:szCs w:val="24"/>
        </w:rPr>
        <w:t xml:space="preserve"> </w:t>
      </w:r>
      <w:r w:rsidRPr="00446826">
        <w:rPr>
          <w:rFonts w:ascii="Times New Roman" w:hAnsi="Times New Roman"/>
          <w:b w:val="0"/>
          <w:color w:val="auto"/>
          <w:sz w:val="24"/>
          <w:szCs w:val="24"/>
        </w:rPr>
        <w:t>Washington: Georgetown University Press.</w:t>
      </w:r>
    </w:p>
    <w:p w:rsidR="00CF6AFE" w:rsidRPr="00446826" w:rsidRDefault="00CF6AFE" w:rsidP="00CF6AFE">
      <w:proofErr w:type="spellStart"/>
      <w:r w:rsidRPr="00446826">
        <w:t>Norgrove</w:t>
      </w:r>
      <w:proofErr w:type="spellEnd"/>
      <w:r w:rsidRPr="00446826">
        <w:t xml:space="preserve">, K., July 2011. Interview: </w:t>
      </w:r>
      <w:r w:rsidRPr="00446826">
        <w:rPr>
          <w:i/>
        </w:rPr>
        <w:t xml:space="preserve">Head of Campaigns, </w:t>
      </w:r>
      <w:proofErr w:type="spellStart"/>
      <w:r w:rsidRPr="00446826">
        <w:rPr>
          <w:i/>
        </w:rPr>
        <w:t>WaterAid</w:t>
      </w:r>
      <w:proofErr w:type="spellEnd"/>
      <w:r w:rsidRPr="00446826">
        <w:rPr>
          <w:i/>
        </w:rPr>
        <w:t xml:space="preserve"> UK. </w:t>
      </w:r>
      <w:r w:rsidRPr="00446826">
        <w:t>18/07/11 [</w:t>
      </w:r>
      <w:proofErr w:type="spellStart"/>
      <w:r w:rsidRPr="00446826">
        <w:t>WaterAid</w:t>
      </w:r>
      <w:proofErr w:type="spellEnd"/>
      <w:r w:rsidRPr="00446826">
        <w:t xml:space="preserve"> offices, Vauxhall, London].</w:t>
      </w:r>
    </w:p>
    <w:p w:rsidR="00C5341F" w:rsidRPr="00446826" w:rsidRDefault="00C5341F" w:rsidP="00CF6AFE"/>
    <w:p w:rsidR="00CF6AFE" w:rsidRPr="00446826" w:rsidRDefault="00CF6AFE" w:rsidP="00CF6AFE">
      <w:proofErr w:type="spellStart"/>
      <w:r w:rsidRPr="00446826">
        <w:t>Northover</w:t>
      </w:r>
      <w:proofErr w:type="spellEnd"/>
      <w:r w:rsidRPr="00446826">
        <w:t>, H</w:t>
      </w:r>
      <w:r w:rsidRPr="00446826">
        <w:rPr>
          <w:i/>
        </w:rPr>
        <w:t>. July 2011. Interview</w:t>
      </w:r>
      <w:r w:rsidRPr="00446826">
        <w:t xml:space="preserve">: </w:t>
      </w:r>
      <w:r w:rsidRPr="00446826">
        <w:rPr>
          <w:i/>
        </w:rPr>
        <w:t xml:space="preserve">Head of Policy, </w:t>
      </w:r>
      <w:proofErr w:type="spellStart"/>
      <w:r w:rsidRPr="00446826">
        <w:rPr>
          <w:i/>
        </w:rPr>
        <w:t>WaterAid</w:t>
      </w:r>
      <w:proofErr w:type="spellEnd"/>
      <w:r w:rsidRPr="00446826">
        <w:rPr>
          <w:i/>
        </w:rPr>
        <w:t xml:space="preserve"> UK</w:t>
      </w:r>
      <w:r w:rsidRPr="00446826">
        <w:t>. 25/07/11 [</w:t>
      </w:r>
      <w:proofErr w:type="spellStart"/>
      <w:r w:rsidRPr="00446826">
        <w:t>WaterAid</w:t>
      </w:r>
      <w:proofErr w:type="spellEnd"/>
      <w:r w:rsidRPr="00446826">
        <w:t xml:space="preserve"> offices, Vauxhall, London].</w:t>
      </w:r>
    </w:p>
    <w:p w:rsidR="00C5341F" w:rsidRPr="00446826" w:rsidRDefault="00C5341F" w:rsidP="00CF6AFE">
      <w:pPr>
        <w:pStyle w:val="Fuzeile"/>
      </w:pPr>
    </w:p>
    <w:p w:rsidR="00CF6AFE" w:rsidRPr="00446826" w:rsidRDefault="00CF6AFE" w:rsidP="00CF6AFE">
      <w:pPr>
        <w:pStyle w:val="Fuzeile"/>
      </w:pPr>
      <w:r w:rsidRPr="00446826">
        <w:t xml:space="preserve">Marlin, A., August 2011. Interview: </w:t>
      </w:r>
      <w:r w:rsidRPr="00446826">
        <w:rPr>
          <w:i/>
        </w:rPr>
        <w:t xml:space="preserve">Programme Manager for Advocacy and Communications, Water Supply and Sanitation Collaborative Council (WSSCC). </w:t>
      </w:r>
      <w:proofErr w:type="gramStart"/>
      <w:r w:rsidRPr="00446826">
        <w:t>15/08/11 [via Skype].</w:t>
      </w:r>
      <w:proofErr w:type="gramEnd"/>
    </w:p>
    <w:p w:rsidR="00CF6AFE" w:rsidRPr="00446826" w:rsidRDefault="00CF6AFE" w:rsidP="00CF6AFE">
      <w:pPr>
        <w:pStyle w:val="Fuzeile"/>
      </w:pPr>
    </w:p>
    <w:p w:rsidR="00CF6AFE" w:rsidRPr="00446826" w:rsidRDefault="00CF6AFE" w:rsidP="00CF6AFE">
      <w:pPr>
        <w:pStyle w:val="Fuzeile"/>
      </w:pPr>
      <w:r w:rsidRPr="00446826">
        <w:t xml:space="preserve">Moeller, S. D. 1999. </w:t>
      </w:r>
      <w:proofErr w:type="gramStart"/>
      <w:r w:rsidRPr="00446826">
        <w:rPr>
          <w:i/>
        </w:rPr>
        <w:t>Compassion Fatigue.</w:t>
      </w:r>
      <w:proofErr w:type="gramEnd"/>
      <w:r w:rsidRPr="00446826">
        <w:rPr>
          <w:i/>
        </w:rPr>
        <w:t xml:space="preserve"> </w:t>
      </w:r>
      <w:r w:rsidRPr="00446826">
        <w:t xml:space="preserve">London / New York: </w:t>
      </w:r>
      <w:proofErr w:type="spellStart"/>
      <w:r w:rsidRPr="00446826">
        <w:t>Routledge</w:t>
      </w:r>
      <w:proofErr w:type="spellEnd"/>
    </w:p>
    <w:p w:rsidR="00CF6AFE" w:rsidRPr="00446826" w:rsidRDefault="00CF6AFE" w:rsidP="00CF6AFE">
      <w:pPr>
        <w:pStyle w:val="Fuzeile"/>
      </w:pPr>
    </w:p>
    <w:p w:rsidR="00CF6AFE" w:rsidRPr="00446826" w:rsidRDefault="00CF6AFE" w:rsidP="00CF6AFE">
      <w:r w:rsidRPr="00446826">
        <w:t xml:space="preserve">Nowak, M. 2008. </w:t>
      </w:r>
      <w:proofErr w:type="gramStart"/>
      <w:r w:rsidRPr="00446826">
        <w:rPr>
          <w:i/>
        </w:rPr>
        <w:t>The Three Pillars of the United Nations.</w:t>
      </w:r>
      <w:proofErr w:type="gramEnd"/>
      <w:r w:rsidRPr="00446826">
        <w:rPr>
          <w:i/>
        </w:rPr>
        <w:t xml:space="preserve"> </w:t>
      </w:r>
      <w:proofErr w:type="gramStart"/>
      <w:r w:rsidRPr="00446826">
        <w:t xml:space="preserve">In Salomon, M.E, </w:t>
      </w:r>
      <w:proofErr w:type="spellStart"/>
      <w:r w:rsidRPr="00446826">
        <w:t>Tostensen</w:t>
      </w:r>
      <w:proofErr w:type="spellEnd"/>
      <w:r w:rsidRPr="00446826">
        <w:t xml:space="preserve">, A. and </w:t>
      </w:r>
      <w:proofErr w:type="spellStart"/>
      <w:r w:rsidRPr="00446826">
        <w:t>Vandenhole</w:t>
      </w:r>
      <w:proofErr w:type="spellEnd"/>
      <w:r w:rsidRPr="00446826">
        <w:t>, W. 2008.</w:t>
      </w:r>
      <w:proofErr w:type="gramEnd"/>
      <w:r w:rsidRPr="00446826">
        <w:t xml:space="preserve"> </w:t>
      </w:r>
      <w:proofErr w:type="gramStart"/>
      <w:r w:rsidRPr="00446826">
        <w:rPr>
          <w:i/>
        </w:rPr>
        <w:t>Casting the Net Wider: Human Rights, Development and New Duty-bearers.</w:t>
      </w:r>
      <w:proofErr w:type="gramEnd"/>
      <w:r w:rsidRPr="00446826">
        <w:t xml:space="preserve">  Antwerp: Oxford</w:t>
      </w:r>
    </w:p>
    <w:p w:rsidR="00CF6AFE" w:rsidRPr="00446826" w:rsidRDefault="00CF6AFE" w:rsidP="00CF6AFE">
      <w:r w:rsidRPr="00446826">
        <w:t xml:space="preserve">O’Leary, D., de </w:t>
      </w:r>
      <w:proofErr w:type="spellStart"/>
      <w:r w:rsidRPr="00446826">
        <w:t>Asis</w:t>
      </w:r>
      <w:proofErr w:type="spellEnd"/>
      <w:r w:rsidRPr="00446826">
        <w:t xml:space="preserve">, M.G., Butterworth, J., </w:t>
      </w:r>
      <w:proofErr w:type="spellStart"/>
      <w:r w:rsidRPr="00446826">
        <w:t>Ljung</w:t>
      </w:r>
      <w:proofErr w:type="spellEnd"/>
      <w:r w:rsidRPr="00446826">
        <w:t xml:space="preserve">, P., 2004. </w:t>
      </w:r>
      <w:proofErr w:type="gramStart"/>
      <w:r w:rsidRPr="00446826">
        <w:rPr>
          <w:i/>
        </w:rPr>
        <w:t>Improving Transparency, Integrity, and Accountability in Water Supply and Sanitation</w:t>
      </w:r>
      <w:r w:rsidRPr="00446826">
        <w:t>.</w:t>
      </w:r>
      <w:proofErr w:type="gramEnd"/>
      <w:r w:rsidRPr="00446826">
        <w:t xml:space="preserve"> Available at: </w:t>
      </w:r>
      <w:hyperlink r:id="rId26" w:history="1">
        <w:r w:rsidRPr="00446826">
          <w:rPr>
            <w:rStyle w:val="Hyperlink"/>
            <w:color w:val="auto"/>
          </w:rPr>
          <w:t>www.oecd.org/dataoecd/1/49/44475062.pdf</w:t>
        </w:r>
      </w:hyperlink>
      <w:r w:rsidRPr="00446826">
        <w:rPr>
          <w:u w:val="single"/>
        </w:rPr>
        <w:t xml:space="preserve"> </w:t>
      </w:r>
      <w:r w:rsidRPr="00446826">
        <w:t>[Accessed: May 2011]</w:t>
      </w:r>
    </w:p>
    <w:p w:rsidR="00C5341F" w:rsidRPr="00446826" w:rsidRDefault="00C5341F" w:rsidP="00CF6AFE"/>
    <w:p w:rsidR="00CF6AFE" w:rsidRPr="00446826" w:rsidRDefault="00CF6AFE" w:rsidP="00CF6AFE">
      <w:r w:rsidRPr="00446826">
        <w:t>Philpot-</w:t>
      </w:r>
      <w:proofErr w:type="spellStart"/>
      <w:r w:rsidRPr="00446826">
        <w:t>Nissen</w:t>
      </w:r>
      <w:proofErr w:type="spellEnd"/>
      <w:r w:rsidRPr="00446826">
        <w:t xml:space="preserve">, J., </w:t>
      </w:r>
      <w:proofErr w:type="gramStart"/>
      <w:r w:rsidRPr="00446826">
        <w:t>July</w:t>
      </w:r>
      <w:proofErr w:type="gramEnd"/>
      <w:r w:rsidRPr="00446826">
        <w:t xml:space="preserve"> 2011: Interview: </w:t>
      </w:r>
      <w:r w:rsidRPr="00446826">
        <w:rPr>
          <w:i/>
        </w:rPr>
        <w:t>Senior Human Rights Advisor, World Vision.</w:t>
      </w:r>
      <w:r w:rsidRPr="00446826">
        <w:t xml:space="preserve"> </w:t>
      </w:r>
      <w:proofErr w:type="gramStart"/>
      <w:r w:rsidRPr="00446826">
        <w:t>13/07/11</w:t>
      </w:r>
      <w:r w:rsidRPr="00446826">
        <w:rPr>
          <w:i/>
        </w:rPr>
        <w:t xml:space="preserve"> </w:t>
      </w:r>
      <w:r w:rsidRPr="00446826">
        <w:t>[via email].</w:t>
      </w:r>
      <w:proofErr w:type="gramEnd"/>
    </w:p>
    <w:p w:rsidR="00C5341F" w:rsidRPr="00446826" w:rsidRDefault="00C5341F" w:rsidP="00CF6AFE"/>
    <w:p w:rsidR="00CF6AFE" w:rsidRPr="00446826" w:rsidRDefault="00CF6AFE" w:rsidP="00CF6AFE">
      <w:proofErr w:type="gramStart"/>
      <w:r w:rsidRPr="00446826">
        <w:t>Republic of Namibia.</w:t>
      </w:r>
      <w:proofErr w:type="gramEnd"/>
      <w:r w:rsidRPr="00446826">
        <w:t xml:space="preserve"> 1990. </w:t>
      </w:r>
      <w:r w:rsidRPr="00446826">
        <w:rPr>
          <w:i/>
        </w:rPr>
        <w:t>Constitution of the State of Namibia.</w:t>
      </w:r>
      <w:r w:rsidRPr="00446826">
        <w:t xml:space="preserve"> Available at: </w:t>
      </w:r>
      <w:hyperlink r:id="rId27" w:history="1">
        <w:r w:rsidRPr="00446826">
          <w:rPr>
            <w:rStyle w:val="Hyperlink"/>
            <w:color w:val="auto"/>
          </w:rPr>
          <w:t>http://www.orusovo.com/namcon/</w:t>
        </w:r>
      </w:hyperlink>
      <w:r w:rsidRPr="00446826">
        <w:t xml:space="preserve"> [Accessed: August 2011]</w:t>
      </w:r>
    </w:p>
    <w:p w:rsidR="00C5341F" w:rsidRPr="00446826" w:rsidRDefault="00C5341F" w:rsidP="00CF6AFE"/>
    <w:p w:rsidR="00CF6AFE" w:rsidRPr="00446826" w:rsidRDefault="00CF6AFE" w:rsidP="00CF6AFE">
      <w:proofErr w:type="spellStart"/>
      <w:proofErr w:type="gramStart"/>
      <w:r w:rsidRPr="00446826">
        <w:t>Risse</w:t>
      </w:r>
      <w:proofErr w:type="spellEnd"/>
      <w:r w:rsidRPr="00446826">
        <w:t xml:space="preserve"> T., </w:t>
      </w:r>
      <w:proofErr w:type="spellStart"/>
      <w:r w:rsidRPr="00446826">
        <w:t>Ropp</w:t>
      </w:r>
      <w:proofErr w:type="spellEnd"/>
      <w:r w:rsidRPr="00446826">
        <w:t xml:space="preserve">, S. and </w:t>
      </w:r>
      <w:proofErr w:type="spellStart"/>
      <w:r w:rsidRPr="00446826">
        <w:t>Sikkink</w:t>
      </w:r>
      <w:proofErr w:type="spellEnd"/>
      <w:r w:rsidRPr="00446826">
        <w:t>, K. (</w:t>
      </w:r>
      <w:proofErr w:type="spellStart"/>
      <w:r w:rsidRPr="00446826">
        <w:t>Eds</w:t>
      </w:r>
      <w:proofErr w:type="spellEnd"/>
      <w:r w:rsidRPr="00446826">
        <w:t>), 1999.</w:t>
      </w:r>
      <w:proofErr w:type="gramEnd"/>
      <w:r w:rsidRPr="00446826">
        <w:t xml:space="preserve"> </w:t>
      </w:r>
      <w:r w:rsidRPr="00446826">
        <w:rPr>
          <w:i/>
        </w:rPr>
        <w:t xml:space="preserve">The Power of Human Rights: International Norms and Domestic Change. </w:t>
      </w:r>
      <w:r w:rsidRPr="00446826">
        <w:t>Cambridge: Cambridge University Press.</w:t>
      </w:r>
    </w:p>
    <w:p w:rsidR="00C5341F" w:rsidRPr="00446826" w:rsidRDefault="00C5341F" w:rsidP="00CF6AFE"/>
    <w:p w:rsidR="00CF6AFE" w:rsidRPr="00446826" w:rsidRDefault="00CF6AFE" w:rsidP="00CF6AFE">
      <w:r w:rsidRPr="00446826">
        <w:t>Romero-</w:t>
      </w:r>
      <w:proofErr w:type="spellStart"/>
      <w:r w:rsidRPr="00446826">
        <w:t>Ardoy</w:t>
      </w:r>
      <w:proofErr w:type="spellEnd"/>
      <w:r w:rsidRPr="00446826">
        <w:t xml:space="preserve">, P. August 2011. Interview: </w:t>
      </w:r>
      <w:r w:rsidRPr="00446826">
        <w:rPr>
          <w:i/>
        </w:rPr>
        <w:t>Wash Manager, Goal International – Haiti.</w:t>
      </w:r>
      <w:r w:rsidRPr="00446826">
        <w:t xml:space="preserve"> </w:t>
      </w:r>
      <w:proofErr w:type="gramStart"/>
      <w:r w:rsidRPr="00446826">
        <w:t>04/08/11</w:t>
      </w:r>
      <w:r w:rsidRPr="00446826">
        <w:rPr>
          <w:i/>
        </w:rPr>
        <w:t xml:space="preserve"> </w:t>
      </w:r>
      <w:r w:rsidRPr="00446826">
        <w:t>[via email].</w:t>
      </w:r>
      <w:proofErr w:type="gramEnd"/>
    </w:p>
    <w:p w:rsidR="00C5341F" w:rsidRPr="00446826" w:rsidRDefault="00C5341F" w:rsidP="00CF6AFE"/>
    <w:p w:rsidR="00CF6AFE" w:rsidRPr="00446826" w:rsidRDefault="00CF6AFE" w:rsidP="00CF6AFE">
      <w:proofErr w:type="gramStart"/>
      <w:r w:rsidRPr="00446826">
        <w:t xml:space="preserve">Salomon, M.E, </w:t>
      </w:r>
      <w:proofErr w:type="spellStart"/>
      <w:r w:rsidRPr="00446826">
        <w:t>Tostensen</w:t>
      </w:r>
      <w:proofErr w:type="spellEnd"/>
      <w:r w:rsidRPr="00446826">
        <w:t xml:space="preserve">, A. and </w:t>
      </w:r>
      <w:proofErr w:type="spellStart"/>
      <w:r w:rsidRPr="00446826">
        <w:t>Vandenhole</w:t>
      </w:r>
      <w:proofErr w:type="spellEnd"/>
      <w:r w:rsidRPr="00446826">
        <w:t>, W. 2008.</w:t>
      </w:r>
      <w:proofErr w:type="gramEnd"/>
      <w:r w:rsidRPr="00446826">
        <w:t xml:space="preserve"> </w:t>
      </w:r>
      <w:proofErr w:type="gramStart"/>
      <w:r w:rsidRPr="00446826">
        <w:rPr>
          <w:i/>
        </w:rPr>
        <w:t>Casting the Net Wider: Human Rights, Development and New Duty-bearers.</w:t>
      </w:r>
      <w:proofErr w:type="gramEnd"/>
      <w:r w:rsidRPr="00446826">
        <w:t xml:space="preserve">  Antwerp: Oxford</w:t>
      </w:r>
    </w:p>
    <w:p w:rsidR="00CF6AFE" w:rsidRPr="00446826" w:rsidRDefault="00CF6AFE" w:rsidP="00CF6AFE">
      <w:pPr>
        <w:shd w:val="clear" w:color="auto" w:fill="FFFFFF"/>
        <w:spacing w:before="100" w:beforeAutospacing="1" w:after="100" w:afterAutospacing="1"/>
        <w:rPr>
          <w:rFonts w:ascii="Arial" w:hAnsi="Arial" w:cs="Arial"/>
          <w:lang w:eastAsia="en-GB"/>
        </w:rPr>
      </w:pPr>
      <w:proofErr w:type="gramStart"/>
      <w:r w:rsidRPr="00446826">
        <w:t>Sanitation and Water for All, 2011.</w:t>
      </w:r>
      <w:proofErr w:type="gramEnd"/>
      <w:r w:rsidRPr="00446826">
        <w:t xml:space="preserve"> Available at: </w:t>
      </w:r>
      <w:hyperlink r:id="rId28" w:history="1">
        <w:r w:rsidRPr="00446826">
          <w:rPr>
            <w:rStyle w:val="Hyperlink"/>
            <w:color w:val="auto"/>
            <w:lang w:eastAsia="en-GB"/>
          </w:rPr>
          <w:t>http://www.sanitationandwaterforall.org/</w:t>
        </w:r>
      </w:hyperlink>
      <w:r w:rsidRPr="00446826">
        <w:t xml:space="preserve"> [Accessed June 2011]</w:t>
      </w:r>
    </w:p>
    <w:p w:rsidR="00CF6AFE" w:rsidRPr="00446826" w:rsidRDefault="00CF6AFE" w:rsidP="00CF6AFE">
      <w:pPr>
        <w:pStyle w:val="Fuzeile"/>
      </w:pPr>
      <w:proofErr w:type="spellStart"/>
      <w:r w:rsidRPr="00446826">
        <w:t>Sarankatos</w:t>
      </w:r>
      <w:proofErr w:type="spellEnd"/>
      <w:r w:rsidRPr="00446826">
        <w:t xml:space="preserve">, S., 2005. </w:t>
      </w:r>
      <w:proofErr w:type="gramStart"/>
      <w:r w:rsidRPr="00446826">
        <w:rPr>
          <w:i/>
        </w:rPr>
        <w:t>Social Research – 3</w:t>
      </w:r>
      <w:r w:rsidRPr="00446826">
        <w:rPr>
          <w:i/>
          <w:vertAlign w:val="superscript"/>
        </w:rPr>
        <w:t>rd</w:t>
      </w:r>
      <w:r w:rsidRPr="00446826">
        <w:rPr>
          <w:i/>
        </w:rPr>
        <w:t xml:space="preserve"> Edition.</w:t>
      </w:r>
      <w:proofErr w:type="gramEnd"/>
      <w:r w:rsidRPr="00446826">
        <w:rPr>
          <w:i/>
        </w:rPr>
        <w:t xml:space="preserve"> </w:t>
      </w:r>
      <w:r w:rsidRPr="00446826">
        <w:t>London: Palgrave MacMillan</w:t>
      </w:r>
    </w:p>
    <w:p w:rsidR="00CF6AFE" w:rsidRPr="00446826" w:rsidRDefault="00CF6AFE" w:rsidP="00CF6AFE">
      <w:pPr>
        <w:pStyle w:val="Fuzeile"/>
      </w:pPr>
    </w:p>
    <w:p w:rsidR="00CF6AFE" w:rsidRPr="00446826" w:rsidRDefault="00CF6AFE" w:rsidP="00CF6AFE">
      <w:pPr>
        <w:pStyle w:val="Fuzeile"/>
      </w:pPr>
      <w:r w:rsidRPr="00446826">
        <w:t xml:space="preserve">Search for the Obvious, 2011. </w:t>
      </w:r>
      <w:r w:rsidRPr="00446826">
        <w:rPr>
          <w:i/>
        </w:rPr>
        <w:t>Make Sanitation Sexy</w:t>
      </w:r>
      <w:r w:rsidRPr="00446826">
        <w:t xml:space="preserve">. Available at: </w:t>
      </w:r>
      <w:hyperlink r:id="rId29" w:history="1">
        <w:r w:rsidRPr="00446826">
          <w:rPr>
            <w:rStyle w:val="Hyperlink"/>
            <w:color w:val="auto"/>
          </w:rPr>
          <w:t>http://www.searchfortheobvious.com/sanitation</w:t>
        </w:r>
      </w:hyperlink>
      <w:r w:rsidRPr="00446826">
        <w:t xml:space="preserve"> [Accessed May 2011]</w:t>
      </w:r>
    </w:p>
    <w:p w:rsidR="00CF6AFE" w:rsidRPr="00446826" w:rsidRDefault="00CF6AFE" w:rsidP="00CF6AFE">
      <w:pPr>
        <w:pStyle w:val="Fuzeile"/>
      </w:pPr>
    </w:p>
    <w:p w:rsidR="00CF6AFE" w:rsidRPr="00446826" w:rsidRDefault="00CF6AFE" w:rsidP="00CF6AFE">
      <w:proofErr w:type="spellStart"/>
      <w:proofErr w:type="gramStart"/>
      <w:r w:rsidRPr="00446826">
        <w:t>Sengupta</w:t>
      </w:r>
      <w:proofErr w:type="spellEnd"/>
      <w:r w:rsidRPr="00446826">
        <w:t xml:space="preserve">, A., </w:t>
      </w:r>
      <w:proofErr w:type="spellStart"/>
      <w:r w:rsidRPr="00446826">
        <w:t>Negi</w:t>
      </w:r>
      <w:proofErr w:type="spellEnd"/>
      <w:r w:rsidRPr="00446826">
        <w:t>, A.</w:t>
      </w:r>
      <w:proofErr w:type="gramEnd"/>
      <w:r w:rsidRPr="00446826">
        <w:t xml:space="preserve"> And </w:t>
      </w:r>
      <w:proofErr w:type="spellStart"/>
      <w:r w:rsidRPr="00446826">
        <w:t>Basi</w:t>
      </w:r>
      <w:proofErr w:type="spellEnd"/>
      <w:r w:rsidRPr="00446826">
        <w:t xml:space="preserve">, M, 2005. </w:t>
      </w:r>
      <w:proofErr w:type="gramStart"/>
      <w:r w:rsidRPr="00446826">
        <w:rPr>
          <w:i/>
        </w:rPr>
        <w:t>Reflections on the Right to Development.</w:t>
      </w:r>
      <w:proofErr w:type="gramEnd"/>
      <w:r w:rsidRPr="00446826">
        <w:rPr>
          <w:i/>
        </w:rPr>
        <w:t xml:space="preserve"> </w:t>
      </w:r>
      <w:r w:rsidRPr="00446826">
        <w:t>London / New Delhi: Sage</w:t>
      </w:r>
    </w:p>
    <w:p w:rsidR="00C5341F" w:rsidRPr="00446826" w:rsidRDefault="00C5341F" w:rsidP="00CF6AFE"/>
    <w:p w:rsidR="00CF6AFE" w:rsidRPr="00446826" w:rsidRDefault="00CF6AFE" w:rsidP="00CF6AFE">
      <w:proofErr w:type="spellStart"/>
      <w:r w:rsidRPr="00446826">
        <w:t>Seringhaus</w:t>
      </w:r>
      <w:proofErr w:type="spellEnd"/>
      <w:r w:rsidRPr="00446826">
        <w:t xml:space="preserve">, C., 2011. </w:t>
      </w:r>
      <w:r w:rsidRPr="00446826">
        <w:rPr>
          <w:i/>
        </w:rPr>
        <w:t xml:space="preserve">Sanitation is </w:t>
      </w:r>
      <w:proofErr w:type="gramStart"/>
      <w:r w:rsidRPr="00446826">
        <w:rPr>
          <w:i/>
        </w:rPr>
        <w:t>Swell</w:t>
      </w:r>
      <w:proofErr w:type="gramEnd"/>
      <w:r w:rsidRPr="00446826">
        <w:t xml:space="preserve"> at Search for the Obvious, 2011. </w:t>
      </w:r>
      <w:r w:rsidRPr="00446826">
        <w:rPr>
          <w:i/>
        </w:rPr>
        <w:t>Make Sanitation Sexy</w:t>
      </w:r>
      <w:r w:rsidRPr="00446826">
        <w:t xml:space="preserve">. Available at: </w:t>
      </w:r>
      <w:hyperlink r:id="rId30" w:history="1">
        <w:r w:rsidRPr="00446826">
          <w:rPr>
            <w:rStyle w:val="Hyperlink"/>
            <w:color w:val="auto"/>
          </w:rPr>
          <w:t>http://www.searchfortheobvious.com/sanitation</w:t>
        </w:r>
      </w:hyperlink>
      <w:r w:rsidRPr="00446826">
        <w:t xml:space="preserve"> [Accessed May 2011]</w:t>
      </w:r>
    </w:p>
    <w:p w:rsidR="00C5341F" w:rsidRPr="00446826" w:rsidRDefault="00C5341F" w:rsidP="00CF6AFE">
      <w:pPr>
        <w:autoSpaceDE w:val="0"/>
        <w:autoSpaceDN w:val="0"/>
        <w:adjustRightInd w:val="0"/>
        <w:snapToGrid w:val="0"/>
      </w:pPr>
    </w:p>
    <w:p w:rsidR="00CF6AFE" w:rsidRPr="00446826" w:rsidRDefault="00CF6AFE" w:rsidP="00CF6AFE">
      <w:pPr>
        <w:autoSpaceDE w:val="0"/>
        <w:autoSpaceDN w:val="0"/>
        <w:adjustRightInd w:val="0"/>
        <w:snapToGrid w:val="0"/>
      </w:pPr>
      <w:proofErr w:type="spellStart"/>
      <w:proofErr w:type="gramStart"/>
      <w:r w:rsidRPr="00446826">
        <w:t>Tarrow</w:t>
      </w:r>
      <w:proofErr w:type="spellEnd"/>
      <w:r w:rsidRPr="00446826">
        <w:t xml:space="preserve">, S. &amp; </w:t>
      </w:r>
      <w:proofErr w:type="spellStart"/>
      <w:r w:rsidRPr="00446826">
        <w:t>McAdam</w:t>
      </w:r>
      <w:proofErr w:type="spellEnd"/>
      <w:r w:rsidRPr="00446826">
        <w:t>, D. 2005.</w:t>
      </w:r>
      <w:proofErr w:type="gramEnd"/>
      <w:r w:rsidRPr="00446826">
        <w:t xml:space="preserve"> </w:t>
      </w:r>
      <w:proofErr w:type="gramStart"/>
      <w:r w:rsidRPr="00446826">
        <w:rPr>
          <w:i/>
        </w:rPr>
        <w:t>Patterns of dynamic multilevel governance and the insider-outsider coalition</w:t>
      </w:r>
      <w:r w:rsidRPr="00446826">
        <w:t xml:space="preserve"> in Della </w:t>
      </w:r>
      <w:proofErr w:type="spellStart"/>
      <w:r w:rsidRPr="00446826">
        <w:t>Porta</w:t>
      </w:r>
      <w:proofErr w:type="spellEnd"/>
      <w:r w:rsidRPr="00446826">
        <w:t xml:space="preserve">, D. &amp; </w:t>
      </w:r>
      <w:proofErr w:type="spellStart"/>
      <w:r w:rsidRPr="00446826">
        <w:t>Tarrow</w:t>
      </w:r>
      <w:proofErr w:type="spellEnd"/>
      <w:r w:rsidRPr="00446826">
        <w:t>, S. (</w:t>
      </w:r>
      <w:proofErr w:type="spellStart"/>
      <w:r w:rsidRPr="00446826">
        <w:t>Eds</w:t>
      </w:r>
      <w:proofErr w:type="spellEnd"/>
      <w:r w:rsidRPr="00446826">
        <w:t>).</w:t>
      </w:r>
      <w:proofErr w:type="gramEnd"/>
      <w:r w:rsidRPr="00446826">
        <w:t xml:space="preserve"> 2005. </w:t>
      </w:r>
      <w:r w:rsidRPr="00446826">
        <w:rPr>
          <w:i/>
        </w:rPr>
        <w:t xml:space="preserve">Transnational Protest and Global Activism. </w:t>
      </w:r>
      <w:r w:rsidRPr="00446826">
        <w:t xml:space="preserve">Oxford: </w:t>
      </w:r>
      <w:proofErr w:type="spellStart"/>
      <w:r w:rsidRPr="00446826">
        <w:t>Rowman</w:t>
      </w:r>
      <w:proofErr w:type="spellEnd"/>
      <w:r w:rsidRPr="00446826">
        <w:t xml:space="preserve"> &amp; Littlefield</w:t>
      </w:r>
    </w:p>
    <w:p w:rsidR="00CF6AFE" w:rsidRPr="00446826" w:rsidRDefault="00CF6AFE" w:rsidP="00CF6AFE">
      <w:r w:rsidRPr="00446826">
        <w:br/>
      </w:r>
      <w:proofErr w:type="gramStart"/>
      <w:r w:rsidRPr="00446826">
        <w:t>United Nations.</w:t>
      </w:r>
      <w:proofErr w:type="gramEnd"/>
      <w:r w:rsidRPr="00446826">
        <w:t xml:space="preserve"> 1945. </w:t>
      </w:r>
      <w:r w:rsidRPr="00446826">
        <w:rPr>
          <w:i/>
        </w:rPr>
        <w:t xml:space="preserve">Charter of the United Nations </w:t>
      </w:r>
      <w:r w:rsidRPr="00446826">
        <w:t>(UN Charter).</w:t>
      </w:r>
    </w:p>
    <w:p w:rsidR="00C5341F" w:rsidRPr="00446826" w:rsidRDefault="00C5341F" w:rsidP="00CF6AFE"/>
    <w:p w:rsidR="00CF6AFE" w:rsidRPr="00446826" w:rsidRDefault="00CF6AFE" w:rsidP="00CF6AFE">
      <w:proofErr w:type="gramStart"/>
      <w:r w:rsidRPr="00446826">
        <w:t>United Nations.</w:t>
      </w:r>
      <w:proofErr w:type="gramEnd"/>
      <w:r w:rsidRPr="00446826">
        <w:t xml:space="preserve"> </w:t>
      </w:r>
      <w:proofErr w:type="gramStart"/>
      <w:r w:rsidRPr="00446826">
        <w:t xml:space="preserve">2002, </w:t>
      </w:r>
      <w:r w:rsidRPr="00446826">
        <w:rPr>
          <w:i/>
        </w:rPr>
        <w:t>Millennium Development Goals</w:t>
      </w:r>
      <w:r w:rsidRPr="00446826">
        <w:t>.</w:t>
      </w:r>
      <w:proofErr w:type="gramEnd"/>
      <w:r w:rsidRPr="00446826">
        <w:t xml:space="preserve"> Available at: </w:t>
      </w:r>
      <w:hyperlink r:id="rId31" w:history="1">
        <w:r w:rsidRPr="00446826">
          <w:rPr>
            <w:rStyle w:val="Hyperlink"/>
            <w:color w:val="auto"/>
          </w:rPr>
          <w:t>http://www.un.org/millenniumgoals/</w:t>
        </w:r>
      </w:hyperlink>
      <w:r w:rsidRPr="00446826">
        <w:t xml:space="preserve"> [Accessed: 25 April 2011]</w:t>
      </w:r>
    </w:p>
    <w:p w:rsidR="00C5341F" w:rsidRPr="00446826" w:rsidRDefault="00C5341F" w:rsidP="00CF6AFE"/>
    <w:p w:rsidR="00CF6AFE" w:rsidRPr="00446826" w:rsidRDefault="00CF6AFE" w:rsidP="00CF6AFE">
      <w:proofErr w:type="gramStart"/>
      <w:r w:rsidRPr="00446826">
        <w:t>United Nations (UN MDG Report), 2010.</w:t>
      </w:r>
      <w:proofErr w:type="gramEnd"/>
      <w:r w:rsidRPr="00446826">
        <w:t xml:space="preserve"> </w:t>
      </w:r>
      <w:r w:rsidRPr="00446826">
        <w:rPr>
          <w:i/>
        </w:rPr>
        <w:t>Millennium Development Goals Report</w:t>
      </w:r>
      <w:r w:rsidRPr="00446826">
        <w:t>. New York: UN.</w:t>
      </w:r>
    </w:p>
    <w:p w:rsidR="00C5341F" w:rsidRPr="00446826" w:rsidRDefault="00C5341F" w:rsidP="00CF6AFE"/>
    <w:p w:rsidR="00CF6AFE" w:rsidRPr="00446826" w:rsidRDefault="00CF6AFE" w:rsidP="00CF6AFE">
      <w:pPr>
        <w:rPr>
          <w:u w:val="single"/>
        </w:rPr>
      </w:pPr>
      <w:r w:rsidRPr="00446826">
        <w:t xml:space="preserve">United Nations Children’s Fund (UNICEF), 2009. </w:t>
      </w:r>
      <w:proofErr w:type="gramStart"/>
      <w:r w:rsidRPr="00446826">
        <w:rPr>
          <w:i/>
        </w:rPr>
        <w:t>Soap, Toilets and Taps</w:t>
      </w:r>
      <w:r w:rsidRPr="00446826">
        <w:t>.</w:t>
      </w:r>
      <w:proofErr w:type="gramEnd"/>
      <w:r w:rsidRPr="00446826">
        <w:t xml:space="preserve"> Available at: </w:t>
      </w:r>
      <w:hyperlink r:id="rId32" w:history="1">
        <w:r w:rsidRPr="00446826">
          <w:rPr>
            <w:rStyle w:val="Hyperlink"/>
            <w:color w:val="auto"/>
          </w:rPr>
          <w:t>www.unicef.org/wash/files/26351FINALLayoutEn1small.pdf</w:t>
        </w:r>
      </w:hyperlink>
      <w:r w:rsidRPr="00446826">
        <w:t xml:space="preserve"> [Accessed: May 2011]</w:t>
      </w:r>
    </w:p>
    <w:p w:rsidR="00CF6AFE" w:rsidRPr="00446826" w:rsidRDefault="00CF6AFE" w:rsidP="00CF6AFE">
      <w:pPr>
        <w:autoSpaceDE w:val="0"/>
        <w:autoSpaceDN w:val="0"/>
        <w:adjustRightInd w:val="0"/>
        <w:snapToGrid w:val="0"/>
      </w:pPr>
    </w:p>
    <w:p w:rsidR="00CF6AFE" w:rsidRPr="00446826" w:rsidRDefault="00CF6AFE" w:rsidP="00CF6AFE">
      <w:pPr>
        <w:autoSpaceDE w:val="0"/>
        <w:autoSpaceDN w:val="0"/>
        <w:adjustRightInd w:val="0"/>
        <w:snapToGrid w:val="0"/>
      </w:pPr>
      <w:proofErr w:type="gramStart"/>
      <w:r w:rsidRPr="00446826">
        <w:t>United Nations Common Understanding (UN CU), 2003.</w:t>
      </w:r>
      <w:proofErr w:type="gramEnd"/>
      <w:r w:rsidRPr="00446826">
        <w:t xml:space="preserve">  </w:t>
      </w:r>
      <w:r w:rsidRPr="00446826">
        <w:rPr>
          <w:i/>
        </w:rPr>
        <w:t xml:space="preserve">The Human Rights Based Approach to Development Cooperation </w:t>
      </w:r>
      <w:proofErr w:type="gramStart"/>
      <w:r w:rsidRPr="00446826">
        <w:rPr>
          <w:i/>
        </w:rPr>
        <w:t>Towards a Common Understanding Among</w:t>
      </w:r>
      <w:proofErr w:type="gramEnd"/>
      <w:r w:rsidRPr="00446826">
        <w:rPr>
          <w:i/>
        </w:rPr>
        <w:t xml:space="preserve"> UN Agencies</w:t>
      </w:r>
      <w:r w:rsidRPr="00446826">
        <w:t xml:space="preserve"> [online]. Available at: </w:t>
      </w:r>
      <w:r w:rsidRPr="00446826">
        <w:rPr>
          <w:u w:val="single"/>
        </w:rPr>
        <w:t>http://www.undg.org/index.cfm?P=221</w:t>
      </w:r>
      <w:r w:rsidRPr="00446826">
        <w:t xml:space="preserve"> [Accessed: April 2011].</w:t>
      </w:r>
    </w:p>
    <w:p w:rsidR="00CF6AFE" w:rsidRPr="00446826" w:rsidRDefault="00CF6AFE" w:rsidP="00CF6AFE">
      <w:pPr>
        <w:autoSpaceDE w:val="0"/>
        <w:autoSpaceDN w:val="0"/>
        <w:adjustRightInd w:val="0"/>
        <w:snapToGrid w:val="0"/>
      </w:pPr>
    </w:p>
    <w:p w:rsidR="00CF6AFE" w:rsidRPr="00446826" w:rsidRDefault="00CF6AFE" w:rsidP="00CF6AFE">
      <w:r w:rsidRPr="00446826">
        <w:t xml:space="preserve">United Nations Development Programme (UNDP), 2006. </w:t>
      </w:r>
      <w:r w:rsidRPr="00446826">
        <w:rPr>
          <w:i/>
        </w:rPr>
        <w:t>Human rights and the Millennium Development Goals: making the link.</w:t>
      </w:r>
      <w:r w:rsidRPr="00446826">
        <w:t xml:space="preserve"> UNDP: Oslo.</w:t>
      </w:r>
    </w:p>
    <w:p w:rsidR="00CF6AFE" w:rsidRPr="00446826" w:rsidRDefault="00CF6AFE" w:rsidP="00CF6AFE"/>
    <w:p w:rsidR="00CF6AFE" w:rsidRPr="00446826" w:rsidRDefault="00CF6AFE" w:rsidP="00CF6AFE">
      <w:r w:rsidRPr="00446826">
        <w:t xml:space="preserve">United Nations General Assembly. 1948. </w:t>
      </w:r>
      <w:r w:rsidRPr="00446826">
        <w:rPr>
          <w:i/>
        </w:rPr>
        <w:t>Universal Declaration of Human Rights</w:t>
      </w:r>
      <w:r w:rsidRPr="00446826">
        <w:t xml:space="preserve"> (UDHR).</w:t>
      </w:r>
    </w:p>
    <w:p w:rsidR="00CF6AFE" w:rsidRPr="00446826" w:rsidRDefault="00CF6AFE" w:rsidP="00CF6AFE"/>
    <w:p w:rsidR="00CF6AFE" w:rsidRPr="00446826" w:rsidRDefault="00CF6AFE" w:rsidP="00CF6AFE">
      <w:r w:rsidRPr="00446826">
        <w:t xml:space="preserve">United Nations General Assembly. 1966. </w:t>
      </w:r>
      <w:r w:rsidRPr="00446826">
        <w:rPr>
          <w:i/>
        </w:rPr>
        <w:t>International Convention on Economic, Social and Cultural Rights</w:t>
      </w:r>
      <w:r w:rsidRPr="00446826">
        <w:t xml:space="preserve"> (ICESCR).</w:t>
      </w:r>
    </w:p>
    <w:p w:rsidR="00CF6AFE" w:rsidRPr="00446826" w:rsidRDefault="00CF6AFE" w:rsidP="00CF6AFE"/>
    <w:p w:rsidR="00CF6AFE" w:rsidRPr="00446826" w:rsidRDefault="00CF6AFE" w:rsidP="00CF6AFE">
      <w:r w:rsidRPr="00446826">
        <w:t xml:space="preserve">United Nations General Assembly.1966. </w:t>
      </w:r>
      <w:proofErr w:type="gramStart"/>
      <w:r w:rsidRPr="00446826">
        <w:rPr>
          <w:i/>
        </w:rPr>
        <w:t>International Convention on Civil and Political Rights</w:t>
      </w:r>
      <w:r w:rsidRPr="00446826">
        <w:t xml:space="preserve"> (ICCPR).</w:t>
      </w:r>
      <w:proofErr w:type="gramEnd"/>
    </w:p>
    <w:p w:rsidR="00CF6AFE" w:rsidRPr="00446826" w:rsidRDefault="00CF6AFE" w:rsidP="00CF6AFE">
      <w:pPr>
        <w:pStyle w:val="Fuzeile"/>
      </w:pPr>
      <w:r w:rsidRPr="00446826">
        <w:t xml:space="preserve">United Nations General Assembly. 1979. </w:t>
      </w:r>
      <w:r w:rsidRPr="00446826">
        <w:rPr>
          <w:i/>
        </w:rPr>
        <w:t xml:space="preserve">Convention on the Elimination of All forms of Discrimination </w:t>
      </w:r>
      <w:proofErr w:type="gramStart"/>
      <w:r w:rsidRPr="00446826">
        <w:rPr>
          <w:i/>
        </w:rPr>
        <w:t>Against</w:t>
      </w:r>
      <w:proofErr w:type="gramEnd"/>
      <w:r w:rsidRPr="00446826">
        <w:rPr>
          <w:i/>
        </w:rPr>
        <w:t xml:space="preserve"> Women</w:t>
      </w:r>
      <w:r w:rsidRPr="00446826">
        <w:t xml:space="preserve"> (CEDAW).</w:t>
      </w:r>
    </w:p>
    <w:p w:rsidR="00CF6AFE" w:rsidRPr="00446826" w:rsidRDefault="00CF6AFE" w:rsidP="00CF6AFE">
      <w:pPr>
        <w:pStyle w:val="Fuzeile"/>
      </w:pPr>
    </w:p>
    <w:p w:rsidR="00CF6AFE" w:rsidRPr="00446826" w:rsidRDefault="00CF6AFE" w:rsidP="00CF6AFE">
      <w:pPr>
        <w:pStyle w:val="Fuzeile"/>
      </w:pPr>
      <w:r w:rsidRPr="00446826">
        <w:t xml:space="preserve">United Nations General Assembly. 1989. </w:t>
      </w:r>
      <w:r w:rsidRPr="00446826">
        <w:rPr>
          <w:i/>
        </w:rPr>
        <w:t>Convention on the Rights of the Child</w:t>
      </w:r>
      <w:r w:rsidRPr="00446826">
        <w:t xml:space="preserve"> (CRC).</w:t>
      </w:r>
    </w:p>
    <w:p w:rsidR="00CF6AFE" w:rsidRPr="00446826" w:rsidRDefault="00CF6AFE" w:rsidP="00CF6AFE">
      <w:pPr>
        <w:pStyle w:val="Fuzeile"/>
      </w:pPr>
    </w:p>
    <w:p w:rsidR="00CF6AFE" w:rsidRPr="00446826" w:rsidRDefault="00CF6AFE" w:rsidP="00CF6AFE">
      <w:r w:rsidRPr="00446826">
        <w:t xml:space="preserve">United Nations General Assembly. 1993. </w:t>
      </w:r>
      <w:r w:rsidRPr="00446826">
        <w:rPr>
          <w:i/>
        </w:rPr>
        <w:t>Vienna Declaration and Programme of Action</w:t>
      </w:r>
      <w:r w:rsidRPr="00446826">
        <w:t xml:space="preserve"> (VD). </w:t>
      </w:r>
    </w:p>
    <w:p w:rsidR="00CF6AFE" w:rsidRPr="00446826" w:rsidRDefault="00CF6AFE" w:rsidP="00CF6AFE"/>
    <w:p w:rsidR="00CF6AFE" w:rsidRPr="00446826" w:rsidRDefault="00CF6AFE" w:rsidP="00CF6AFE">
      <w:pPr>
        <w:rPr>
          <w:i/>
        </w:rPr>
      </w:pPr>
      <w:r w:rsidRPr="00446826">
        <w:t xml:space="preserve">United Nations General Assembly. 2010. </w:t>
      </w:r>
      <w:r w:rsidRPr="00446826">
        <w:rPr>
          <w:i/>
        </w:rPr>
        <w:t>Res. 64/292.</w:t>
      </w:r>
    </w:p>
    <w:p w:rsidR="00CF6AFE" w:rsidRPr="00446826" w:rsidRDefault="00CF6AFE" w:rsidP="00CF6AFE">
      <w:pPr>
        <w:rPr>
          <w:i/>
        </w:rPr>
      </w:pPr>
    </w:p>
    <w:p w:rsidR="00CF6AFE" w:rsidRPr="00446826" w:rsidRDefault="00CF6AFE" w:rsidP="00CF6AFE">
      <w:pPr>
        <w:rPr>
          <w:bCs/>
          <w:i/>
        </w:rPr>
      </w:pPr>
      <w:proofErr w:type="gramStart"/>
      <w:r w:rsidRPr="00446826">
        <w:t>United Nations Human Rights Council.</w:t>
      </w:r>
      <w:proofErr w:type="gramEnd"/>
      <w:r w:rsidRPr="00446826">
        <w:t xml:space="preserve"> 2011. </w:t>
      </w:r>
      <w:r w:rsidRPr="00446826">
        <w:rPr>
          <w:bCs/>
          <w:i/>
        </w:rPr>
        <w:t>Res.65/153.</w:t>
      </w:r>
    </w:p>
    <w:p w:rsidR="00CF6AFE" w:rsidRPr="00446826" w:rsidRDefault="00CF6AFE" w:rsidP="00CF6AFE">
      <w:pPr>
        <w:rPr>
          <w:bCs/>
          <w:i/>
        </w:rPr>
      </w:pPr>
    </w:p>
    <w:p w:rsidR="00CF6AFE" w:rsidRPr="00446826" w:rsidRDefault="00CF6AFE" w:rsidP="00CF6AFE">
      <w:pPr>
        <w:rPr>
          <w:bCs/>
          <w:i/>
        </w:rPr>
      </w:pPr>
      <w:proofErr w:type="gramStart"/>
      <w:r w:rsidRPr="00446826">
        <w:t>United Nations Human Rights Council.</w:t>
      </w:r>
      <w:proofErr w:type="gramEnd"/>
      <w:r w:rsidRPr="00446826">
        <w:t xml:space="preserve"> 2008. </w:t>
      </w:r>
      <w:r w:rsidRPr="00446826">
        <w:rPr>
          <w:bCs/>
          <w:i/>
        </w:rPr>
        <w:t>Res.7/22.</w:t>
      </w:r>
    </w:p>
    <w:p w:rsidR="00CF6AFE" w:rsidRPr="00446826" w:rsidRDefault="00CF6AFE" w:rsidP="00CF6AFE">
      <w:pPr>
        <w:rPr>
          <w:bCs/>
          <w:i/>
        </w:rPr>
      </w:pPr>
    </w:p>
    <w:p w:rsidR="00CF6AFE" w:rsidRPr="00446826" w:rsidRDefault="00CF6AFE" w:rsidP="00CF6AFE">
      <w:pPr>
        <w:rPr>
          <w:bCs/>
          <w:i/>
        </w:rPr>
      </w:pPr>
      <w:proofErr w:type="gramStart"/>
      <w:r w:rsidRPr="00446826">
        <w:t>United Nations Human Rights Council.</w:t>
      </w:r>
      <w:proofErr w:type="gramEnd"/>
      <w:r w:rsidRPr="00446826">
        <w:t xml:space="preserve"> </w:t>
      </w:r>
      <w:proofErr w:type="gramStart"/>
      <w:r w:rsidRPr="00446826">
        <w:t xml:space="preserve">2010. </w:t>
      </w:r>
      <w:r w:rsidRPr="00446826">
        <w:rPr>
          <w:bCs/>
          <w:i/>
        </w:rPr>
        <w:t>Res.15/L.14.</w:t>
      </w:r>
      <w:proofErr w:type="gramEnd"/>
    </w:p>
    <w:p w:rsidR="00CF6AFE" w:rsidRPr="00446826" w:rsidRDefault="00CF6AFE" w:rsidP="00CF6AFE">
      <w:pPr>
        <w:rPr>
          <w:bCs/>
          <w:i/>
        </w:rPr>
      </w:pPr>
    </w:p>
    <w:p w:rsidR="00CF6AFE" w:rsidRPr="00446826" w:rsidRDefault="00CF6AFE" w:rsidP="00CF6AFE">
      <w:pPr>
        <w:rPr>
          <w:bCs/>
          <w:i/>
        </w:rPr>
      </w:pPr>
      <w:proofErr w:type="gramStart"/>
      <w:r w:rsidRPr="00446826">
        <w:t>United Nations Human Rights Council.</w:t>
      </w:r>
      <w:proofErr w:type="gramEnd"/>
      <w:r w:rsidRPr="00446826">
        <w:t xml:space="preserve"> 2011. </w:t>
      </w:r>
      <w:r w:rsidRPr="00446826">
        <w:rPr>
          <w:bCs/>
          <w:i/>
        </w:rPr>
        <w:t>Res. 16/2.</w:t>
      </w:r>
    </w:p>
    <w:p w:rsidR="00CF6AFE" w:rsidRPr="00446826" w:rsidRDefault="00CF6AFE" w:rsidP="00CF6AFE">
      <w:pPr>
        <w:rPr>
          <w:bCs/>
          <w:i/>
        </w:rPr>
      </w:pPr>
    </w:p>
    <w:p w:rsidR="00CF6AFE" w:rsidRPr="00446826" w:rsidRDefault="00CF6AFE" w:rsidP="00CF6AFE">
      <w:pPr>
        <w:autoSpaceDE w:val="0"/>
        <w:autoSpaceDN w:val="0"/>
        <w:adjustRightInd w:val="0"/>
        <w:snapToGrid w:val="0"/>
      </w:pPr>
      <w:proofErr w:type="gramStart"/>
      <w:r w:rsidRPr="00446826">
        <w:t>United Nations Sub-Commission on the Protection and Protection of Human Rights.</w:t>
      </w:r>
      <w:proofErr w:type="gramEnd"/>
      <w:r w:rsidRPr="00446826">
        <w:t xml:space="preserve"> </w:t>
      </w:r>
      <w:r w:rsidRPr="00446826">
        <w:rPr>
          <w:i/>
        </w:rPr>
        <w:t>Draft Guidelines for the Realisation of the Right to Drinking Water and Sanitation.</w:t>
      </w:r>
      <w:r w:rsidRPr="00446826">
        <w:t xml:space="preserve">2006. </w:t>
      </w:r>
      <w:proofErr w:type="gramStart"/>
      <w:r w:rsidRPr="00446826">
        <w:rPr>
          <w:i/>
        </w:rPr>
        <w:t>Res. 2006/10</w:t>
      </w:r>
      <w:r w:rsidRPr="00446826">
        <w:t xml:space="preserve"> </w:t>
      </w:r>
      <w:r w:rsidRPr="00446826">
        <w:br/>
      </w:r>
      <w:r w:rsidRPr="00446826">
        <w:br/>
        <w:t>United Nations University, Institute of Water, Environment &amp; Health (UN-INWEH), 2010.</w:t>
      </w:r>
      <w:proofErr w:type="gramEnd"/>
      <w:r w:rsidRPr="00446826">
        <w:t xml:space="preserve"> </w:t>
      </w:r>
      <w:r w:rsidRPr="00446826">
        <w:rPr>
          <w:i/>
        </w:rPr>
        <w:t>Sanitation as a Key to Global Health:</w:t>
      </w:r>
      <w:r w:rsidRPr="00446826">
        <w:t xml:space="preserve"> </w:t>
      </w:r>
      <w:r w:rsidRPr="00446826">
        <w:rPr>
          <w:i/>
        </w:rPr>
        <w:t xml:space="preserve">voices from the field. </w:t>
      </w:r>
      <w:r w:rsidRPr="00446826">
        <w:t xml:space="preserve">Ontario: United Nations University </w:t>
      </w:r>
      <w:r w:rsidRPr="00446826">
        <w:br/>
      </w:r>
    </w:p>
    <w:p w:rsidR="00CF6AFE" w:rsidRPr="00446826" w:rsidRDefault="00CF6AFE" w:rsidP="00CF6AFE">
      <w:pPr>
        <w:rPr>
          <w:bCs/>
        </w:rPr>
      </w:pPr>
      <w:proofErr w:type="gramStart"/>
      <w:r w:rsidRPr="00446826">
        <w:rPr>
          <w:bCs/>
        </w:rPr>
        <w:t>United Nations Water.</w:t>
      </w:r>
      <w:proofErr w:type="gramEnd"/>
      <w:r w:rsidRPr="00446826">
        <w:rPr>
          <w:bCs/>
        </w:rPr>
        <w:t xml:space="preserve"> 2008. </w:t>
      </w:r>
      <w:r w:rsidRPr="00446826">
        <w:rPr>
          <w:bCs/>
          <w:i/>
        </w:rPr>
        <w:t>Tackling a Global Crisis: International Year of Sanitation 2008.</w:t>
      </w:r>
      <w:r w:rsidRPr="00446826">
        <w:rPr>
          <w:bCs/>
        </w:rPr>
        <w:t xml:space="preserve"> Geneva: UN-Water</w:t>
      </w:r>
    </w:p>
    <w:p w:rsidR="00CF6AFE" w:rsidRPr="00446826" w:rsidRDefault="00CF6AFE" w:rsidP="00CF6AFE">
      <w:pPr>
        <w:shd w:val="clear" w:color="auto" w:fill="FFFFFF"/>
        <w:spacing w:before="100" w:beforeAutospacing="1" w:after="100" w:afterAutospacing="1"/>
        <w:outlineLvl w:val="2"/>
      </w:pPr>
      <w:proofErr w:type="gramStart"/>
      <w:r w:rsidRPr="00446826">
        <w:t>United Nations Water.</w:t>
      </w:r>
      <w:proofErr w:type="gramEnd"/>
      <w:r w:rsidRPr="00446826">
        <w:t xml:space="preserve"> 2011. </w:t>
      </w:r>
      <w:r w:rsidRPr="00446826">
        <w:rPr>
          <w:i/>
        </w:rPr>
        <w:t>World Water Day 2011 Press Pack</w:t>
      </w:r>
      <w:r w:rsidRPr="00446826">
        <w:t>.</w:t>
      </w:r>
      <w:r w:rsidRPr="00446826">
        <w:rPr>
          <w:i/>
        </w:rPr>
        <w:t xml:space="preserve"> </w:t>
      </w:r>
      <w:r w:rsidRPr="00446826">
        <w:t xml:space="preserve">Available at: </w:t>
      </w:r>
      <w:r w:rsidRPr="00446826">
        <w:rPr>
          <w:u w:val="single"/>
        </w:rPr>
        <w:t>http://www.worldwaterday2011.org/</w:t>
      </w:r>
      <w:r w:rsidRPr="00446826">
        <w:t xml:space="preserve"> [Accessed February 2011]</w:t>
      </w:r>
    </w:p>
    <w:p w:rsidR="00CF6AFE" w:rsidRPr="00446826" w:rsidRDefault="00CF6AFE" w:rsidP="00CF6AFE">
      <w:pPr>
        <w:shd w:val="clear" w:color="auto" w:fill="FFFFFF"/>
        <w:spacing w:before="100" w:beforeAutospacing="1" w:after="100" w:afterAutospacing="1"/>
        <w:outlineLvl w:val="2"/>
      </w:pPr>
      <w:proofErr w:type="gramStart"/>
      <w:r w:rsidRPr="00446826">
        <w:t>United Nations Water &amp; World Health Organisation (WHO).</w:t>
      </w:r>
      <w:proofErr w:type="gramEnd"/>
      <w:r w:rsidRPr="00446826">
        <w:t xml:space="preserve"> 2010. </w:t>
      </w:r>
      <w:r w:rsidRPr="00446826">
        <w:rPr>
          <w:i/>
        </w:rPr>
        <w:t>Global Annual Assessment off Sanitation and Drinking Water (GLAAS)</w:t>
      </w:r>
      <w:r w:rsidRPr="00446826">
        <w:t>. 2010.</w:t>
      </w:r>
    </w:p>
    <w:p w:rsidR="00CF6AFE" w:rsidRPr="00446826" w:rsidRDefault="00CF6AFE" w:rsidP="00CF6AFE">
      <w:pPr>
        <w:autoSpaceDE w:val="0"/>
        <w:autoSpaceDN w:val="0"/>
        <w:adjustRightInd w:val="0"/>
        <w:snapToGrid w:val="0"/>
      </w:pPr>
      <w:proofErr w:type="spellStart"/>
      <w:r w:rsidRPr="00446826">
        <w:t>WaterAid</w:t>
      </w:r>
      <w:proofErr w:type="spellEnd"/>
      <w:r w:rsidRPr="00446826">
        <w:t xml:space="preserve"> (CP). 2008. </w:t>
      </w:r>
      <w:r w:rsidRPr="00446826">
        <w:rPr>
          <w:i/>
        </w:rPr>
        <w:t xml:space="preserve">Community Participation. </w:t>
      </w:r>
      <w:r w:rsidRPr="00446826">
        <w:t xml:space="preserve">London: </w:t>
      </w:r>
      <w:proofErr w:type="spellStart"/>
      <w:r w:rsidRPr="00446826">
        <w:t>WaterAid</w:t>
      </w:r>
      <w:proofErr w:type="spellEnd"/>
    </w:p>
    <w:p w:rsidR="00CF6AFE" w:rsidRPr="00446826" w:rsidRDefault="00CF6AFE" w:rsidP="00CF6AFE">
      <w:pPr>
        <w:autoSpaceDE w:val="0"/>
        <w:autoSpaceDN w:val="0"/>
        <w:adjustRightInd w:val="0"/>
        <w:snapToGrid w:val="0"/>
      </w:pPr>
    </w:p>
    <w:p w:rsidR="00CF6AFE" w:rsidRPr="00446826" w:rsidRDefault="00CF6AFE" w:rsidP="00CF6AFE">
      <w:pPr>
        <w:autoSpaceDE w:val="0"/>
        <w:autoSpaceDN w:val="0"/>
        <w:adjustRightInd w:val="0"/>
        <w:snapToGrid w:val="0"/>
      </w:pPr>
      <w:proofErr w:type="spellStart"/>
      <w:proofErr w:type="gramStart"/>
      <w:r w:rsidRPr="00446826">
        <w:t>WaterAid</w:t>
      </w:r>
      <w:proofErr w:type="spellEnd"/>
      <w:r w:rsidRPr="00446826">
        <w:t>.</w:t>
      </w:r>
      <w:proofErr w:type="gramEnd"/>
      <w:r w:rsidRPr="00446826">
        <w:t xml:space="preserve"> 2009. </w:t>
      </w:r>
      <w:r w:rsidRPr="00446826">
        <w:rPr>
          <w:i/>
        </w:rPr>
        <w:t xml:space="preserve">Global Strategy 2009-2015. </w:t>
      </w:r>
      <w:r w:rsidRPr="00446826">
        <w:t xml:space="preserve">London: </w:t>
      </w:r>
      <w:proofErr w:type="spellStart"/>
      <w:r w:rsidRPr="00446826">
        <w:t>WaterAid</w:t>
      </w:r>
      <w:proofErr w:type="spellEnd"/>
      <w:r w:rsidRPr="00446826">
        <w:br/>
      </w:r>
    </w:p>
    <w:p w:rsidR="00CF6AFE" w:rsidRPr="00446826" w:rsidRDefault="00CF6AFE" w:rsidP="00CF6AFE">
      <w:proofErr w:type="spellStart"/>
      <w:proofErr w:type="gramStart"/>
      <w:r w:rsidRPr="00446826">
        <w:t>WaterAid</w:t>
      </w:r>
      <w:proofErr w:type="spellEnd"/>
      <w:r w:rsidRPr="00446826">
        <w:t>.</w:t>
      </w:r>
      <w:proofErr w:type="gramEnd"/>
      <w:r w:rsidRPr="00446826">
        <w:t xml:space="preserve"> 2010. </w:t>
      </w:r>
      <w:r w:rsidRPr="00446826">
        <w:rPr>
          <w:i/>
        </w:rPr>
        <w:t>Ignored: Biggest Child Killer</w:t>
      </w:r>
      <w:r w:rsidRPr="00446826">
        <w:t xml:space="preserve">. London: </w:t>
      </w:r>
      <w:proofErr w:type="spellStart"/>
      <w:r w:rsidRPr="00446826">
        <w:t>WaterAid</w:t>
      </w:r>
      <w:proofErr w:type="spellEnd"/>
    </w:p>
    <w:p w:rsidR="00CF6AFE" w:rsidRPr="00446826" w:rsidRDefault="00CF6AFE" w:rsidP="00CF6AFE"/>
    <w:p w:rsidR="00CF6AFE" w:rsidRPr="00446826" w:rsidRDefault="00CF6AFE" w:rsidP="00CF6AFE">
      <w:proofErr w:type="spellStart"/>
      <w:proofErr w:type="gramStart"/>
      <w:r w:rsidRPr="00446826">
        <w:t>WaterAid</w:t>
      </w:r>
      <w:proofErr w:type="spellEnd"/>
      <w:r w:rsidRPr="00446826">
        <w:t>.</w:t>
      </w:r>
      <w:proofErr w:type="gramEnd"/>
      <w:r w:rsidRPr="00446826">
        <w:t xml:space="preserve"> 2011. Website available at: </w:t>
      </w:r>
      <w:hyperlink r:id="rId33" w:history="1">
        <w:r w:rsidRPr="00446826">
          <w:rPr>
            <w:rStyle w:val="Hyperlink"/>
            <w:color w:val="auto"/>
          </w:rPr>
          <w:t>http://www.wateraid.org/uk/</w:t>
        </w:r>
      </w:hyperlink>
      <w:r w:rsidRPr="00446826">
        <w:t xml:space="preserve"> [Accessed: August 2011]</w:t>
      </w:r>
    </w:p>
    <w:p w:rsidR="00CF6AFE" w:rsidRPr="00446826" w:rsidRDefault="00CF6AFE" w:rsidP="00CF6AFE"/>
    <w:p w:rsidR="00CF6AFE" w:rsidRPr="00446826" w:rsidRDefault="00CF6AFE" w:rsidP="00CF6AFE">
      <w:proofErr w:type="spellStart"/>
      <w:proofErr w:type="gramStart"/>
      <w:r w:rsidRPr="00446826">
        <w:t>WaterAid</w:t>
      </w:r>
      <w:proofErr w:type="spellEnd"/>
      <w:r w:rsidRPr="00446826">
        <w:t>.</w:t>
      </w:r>
      <w:proofErr w:type="gramEnd"/>
      <w:r w:rsidRPr="00446826">
        <w:t xml:space="preserve"> 2011. </w:t>
      </w:r>
      <w:r w:rsidRPr="00446826">
        <w:rPr>
          <w:i/>
        </w:rPr>
        <w:t>The Sanitation Problem: what could and should the health sector do?</w:t>
      </w:r>
      <w:r w:rsidRPr="00446826">
        <w:t xml:space="preserve"> London: </w:t>
      </w:r>
      <w:proofErr w:type="spellStart"/>
      <w:r w:rsidRPr="00446826">
        <w:t>WaterAid</w:t>
      </w:r>
      <w:proofErr w:type="spellEnd"/>
    </w:p>
    <w:p w:rsidR="00CF6AFE" w:rsidRPr="00446826" w:rsidRDefault="00CF6AFE" w:rsidP="00CF6AFE"/>
    <w:p w:rsidR="00CF6AFE" w:rsidRPr="00446826" w:rsidRDefault="00CF6AFE" w:rsidP="00CF6AFE">
      <w:pPr>
        <w:pStyle w:val="Fuzeile"/>
      </w:pPr>
      <w:proofErr w:type="gramStart"/>
      <w:r w:rsidRPr="00446826">
        <w:t>World Health Organisation (WHO), 2010.</w:t>
      </w:r>
      <w:proofErr w:type="gramEnd"/>
      <w:r w:rsidRPr="00446826">
        <w:t xml:space="preserve"> </w:t>
      </w:r>
      <w:proofErr w:type="gramStart"/>
      <w:r w:rsidRPr="00446826">
        <w:rPr>
          <w:i/>
        </w:rPr>
        <w:t>Health through safe drinking water and basic sanitation.</w:t>
      </w:r>
      <w:proofErr w:type="gramEnd"/>
      <w:r w:rsidRPr="00446826">
        <w:rPr>
          <w:i/>
        </w:rPr>
        <w:t xml:space="preserve"> </w:t>
      </w:r>
      <w:r w:rsidRPr="00446826">
        <w:t xml:space="preserve">Available at: </w:t>
      </w:r>
      <w:hyperlink r:id="rId34" w:history="1">
        <w:r w:rsidRPr="00446826">
          <w:rPr>
            <w:rStyle w:val="Hyperlink"/>
            <w:color w:val="auto"/>
          </w:rPr>
          <w:t>http://www.who.int/water_sanitation_health/mdg1/en/index.html</w:t>
        </w:r>
      </w:hyperlink>
      <w:r w:rsidRPr="00446826">
        <w:t xml:space="preserve"> [Accessed: May 2011</w:t>
      </w:r>
      <w:proofErr w:type="gramStart"/>
      <w:r w:rsidRPr="00446826">
        <w:t>]</w:t>
      </w:r>
      <w:proofErr w:type="gramEnd"/>
      <w:r w:rsidRPr="00446826">
        <w:rPr>
          <w:i/>
        </w:rPr>
        <w:br/>
      </w:r>
      <w:r w:rsidRPr="00446826">
        <w:br/>
        <w:t>WSP (Water and Sanitation Project), 2007.</w:t>
      </w:r>
      <w:r w:rsidRPr="00446826">
        <w:rPr>
          <w:i/>
        </w:rPr>
        <w:t>Community-Led Total Sanitation in Rural Areas: An approach that works</w:t>
      </w:r>
      <w:r w:rsidRPr="00446826">
        <w:t xml:space="preserve">. New </w:t>
      </w:r>
      <w:proofErr w:type="spellStart"/>
      <w:r w:rsidRPr="00446826">
        <w:t>Dehli</w:t>
      </w:r>
      <w:proofErr w:type="spellEnd"/>
      <w:r w:rsidRPr="00446826">
        <w:t>: World Bank.</w:t>
      </w:r>
    </w:p>
    <w:p w:rsidR="00CF6AFE" w:rsidRPr="00446826" w:rsidRDefault="00CF6AFE" w:rsidP="00CF6AFE">
      <w:pPr>
        <w:pStyle w:val="Fuzeile"/>
      </w:pPr>
    </w:p>
    <w:p w:rsidR="00CF6AFE" w:rsidRPr="00446826" w:rsidRDefault="00CF6AFE" w:rsidP="00CF6AFE">
      <w:r w:rsidRPr="00446826">
        <w:t xml:space="preserve">Yeo, D., July 2011. Interview: </w:t>
      </w:r>
      <w:r w:rsidRPr="00446826">
        <w:rPr>
          <w:i/>
        </w:rPr>
        <w:t xml:space="preserve">Senior Policy Analyst, Water Security and Climate Change, </w:t>
      </w:r>
      <w:proofErr w:type="spellStart"/>
      <w:r w:rsidRPr="00446826">
        <w:rPr>
          <w:i/>
        </w:rPr>
        <w:t>WaterAid</w:t>
      </w:r>
      <w:proofErr w:type="spellEnd"/>
      <w:r w:rsidRPr="00446826">
        <w:rPr>
          <w:i/>
        </w:rPr>
        <w:t xml:space="preserve"> UK.</w:t>
      </w:r>
      <w:r w:rsidRPr="00446826">
        <w:t xml:space="preserve"> 18/07/11 10:30</w:t>
      </w:r>
      <w:r w:rsidRPr="00446826">
        <w:rPr>
          <w:i/>
        </w:rPr>
        <w:t xml:space="preserve"> </w:t>
      </w:r>
      <w:proofErr w:type="spellStart"/>
      <w:r w:rsidRPr="00446826">
        <w:t>WaterAid</w:t>
      </w:r>
      <w:proofErr w:type="spellEnd"/>
      <w:r w:rsidRPr="00446826">
        <w:t xml:space="preserve"> Offices, Vauxhall, London</w:t>
      </w:r>
    </w:p>
    <w:p w:rsidR="00CF6AFE" w:rsidRDefault="00CF6AFE" w:rsidP="00125271">
      <w:pPr>
        <w:rPr>
          <w:lang w:eastAsia="en-GB"/>
        </w:rPr>
      </w:pPr>
    </w:p>
    <w:p w:rsidR="00CF6AFE" w:rsidRPr="00960780" w:rsidRDefault="00CF6AFE" w:rsidP="00125271"/>
    <w:p w:rsidR="001058D1" w:rsidRDefault="001058D1" w:rsidP="00FD76C3">
      <w:pPr>
        <w:rPr>
          <w:lang w:eastAsia="en-GB"/>
        </w:rPr>
      </w:pPr>
    </w:p>
    <w:p w:rsidR="00FD76C3" w:rsidRDefault="00FD76C3" w:rsidP="00FD76C3">
      <w:pPr>
        <w:ind w:left="720"/>
        <w:rPr>
          <w:b/>
          <w:lang w:eastAsia="en-GB"/>
        </w:rPr>
      </w:pPr>
    </w:p>
    <w:p w:rsidR="00FD76C3" w:rsidRPr="000541C5" w:rsidRDefault="00FD76C3" w:rsidP="00FD76C3">
      <w:pPr>
        <w:ind w:left="720"/>
      </w:pPr>
    </w:p>
    <w:p w:rsidR="00FD76C3" w:rsidRDefault="00FD76C3" w:rsidP="00FD76C3">
      <w:pPr>
        <w:rPr>
          <w:lang w:eastAsia="en-GB"/>
        </w:rPr>
      </w:pPr>
    </w:p>
    <w:p w:rsidR="00FD76C3" w:rsidRDefault="00FD76C3"/>
    <w:sectPr w:rsidR="00FD76C3" w:rsidSect="00731980">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4A" w:rsidRDefault="00FB404A" w:rsidP="00805AEE">
      <w:r>
        <w:separator/>
      </w:r>
    </w:p>
  </w:endnote>
  <w:endnote w:type="continuationSeparator" w:id="0">
    <w:p w:rsidR="00FB404A" w:rsidRDefault="00FB404A" w:rsidP="0080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sNewRomanPSMT">
    <w:altName w:v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ker2Lancet-Regular">
    <w:altName w:v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onPro-Regular">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6535"/>
      <w:docPartObj>
        <w:docPartGallery w:val="Page Numbers (Bottom of Page)"/>
        <w:docPartUnique/>
      </w:docPartObj>
    </w:sdtPr>
    <w:sdtEndPr/>
    <w:sdtContent>
      <w:p w:rsidR="007A77E1" w:rsidRDefault="00B37410">
        <w:pPr>
          <w:pStyle w:val="Fuzeile"/>
          <w:jc w:val="right"/>
        </w:pPr>
        <w:r>
          <w:fldChar w:fldCharType="begin"/>
        </w:r>
        <w:r>
          <w:instrText xml:space="preserve"> PAGE   \* MERGEFORMAT </w:instrText>
        </w:r>
        <w:r>
          <w:fldChar w:fldCharType="separate"/>
        </w:r>
        <w:r>
          <w:rPr>
            <w:noProof/>
          </w:rPr>
          <w:t>1</w:t>
        </w:r>
        <w:r>
          <w:rPr>
            <w:noProof/>
          </w:rPr>
          <w:fldChar w:fldCharType="end"/>
        </w:r>
      </w:p>
    </w:sdtContent>
  </w:sdt>
  <w:p w:rsidR="007A77E1" w:rsidRDefault="007A77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4A" w:rsidRDefault="00FB404A" w:rsidP="00805AEE">
      <w:r>
        <w:separator/>
      </w:r>
    </w:p>
  </w:footnote>
  <w:footnote w:type="continuationSeparator" w:id="0">
    <w:p w:rsidR="00FB404A" w:rsidRDefault="00FB404A" w:rsidP="00805AEE">
      <w:r>
        <w:continuationSeparator/>
      </w:r>
    </w:p>
  </w:footnote>
  <w:footnote w:id="1">
    <w:p w:rsidR="007A77E1" w:rsidRPr="00B37410" w:rsidRDefault="007A77E1">
      <w:pPr>
        <w:pStyle w:val="Funotentext"/>
        <w:rPr>
          <w:sz w:val="22"/>
          <w:szCs w:val="22"/>
          <w:lang w:val="fr-FR"/>
        </w:rPr>
      </w:pPr>
      <w:r w:rsidRPr="00293205">
        <w:rPr>
          <w:rStyle w:val="Funotenzeichen"/>
          <w:sz w:val="22"/>
          <w:szCs w:val="22"/>
        </w:rPr>
        <w:footnoteRef/>
      </w:r>
      <w:r w:rsidRPr="00B37410">
        <w:rPr>
          <w:sz w:val="22"/>
          <w:szCs w:val="22"/>
          <w:lang w:val="fr-FR"/>
        </w:rPr>
        <w:t xml:space="preserve"> Farmer, 2005: p.230</w:t>
      </w:r>
    </w:p>
  </w:footnote>
  <w:footnote w:id="2">
    <w:p w:rsidR="007A77E1" w:rsidRPr="00B37410" w:rsidRDefault="007A77E1" w:rsidP="008C26E5">
      <w:pPr>
        <w:pStyle w:val="Funotentext"/>
        <w:rPr>
          <w:sz w:val="22"/>
          <w:szCs w:val="22"/>
          <w:lang w:val="fr-FR"/>
        </w:rPr>
      </w:pPr>
      <w:r w:rsidRPr="00293205">
        <w:rPr>
          <w:rStyle w:val="Funotenzeichen"/>
          <w:sz w:val="22"/>
          <w:szCs w:val="22"/>
        </w:rPr>
        <w:footnoteRef/>
      </w:r>
      <w:r w:rsidRPr="00B37410">
        <w:rPr>
          <w:sz w:val="22"/>
          <w:szCs w:val="22"/>
          <w:lang w:val="fr-FR"/>
        </w:rPr>
        <w:t xml:space="preserve"> COHRE et al, 2008: p.17</w:t>
      </w:r>
    </w:p>
  </w:footnote>
  <w:footnote w:id="3">
    <w:p w:rsidR="007A77E1" w:rsidRPr="00293205" w:rsidRDefault="007A77E1" w:rsidP="008C26E5">
      <w:pPr>
        <w:pStyle w:val="Funotentext"/>
        <w:rPr>
          <w:sz w:val="22"/>
          <w:szCs w:val="22"/>
        </w:rPr>
      </w:pPr>
      <w:r w:rsidRPr="00293205">
        <w:rPr>
          <w:rStyle w:val="Funotenzeichen"/>
          <w:sz w:val="22"/>
          <w:szCs w:val="22"/>
        </w:rPr>
        <w:footnoteRef/>
      </w:r>
      <w:r>
        <w:rPr>
          <w:sz w:val="22"/>
          <w:szCs w:val="22"/>
        </w:rPr>
        <w:t xml:space="preserve"> </w:t>
      </w:r>
      <w:proofErr w:type="spellStart"/>
      <w:r>
        <w:rPr>
          <w:sz w:val="22"/>
          <w:szCs w:val="22"/>
        </w:rPr>
        <w:t>WaterAid</w:t>
      </w:r>
      <w:proofErr w:type="spellEnd"/>
      <w:r>
        <w:rPr>
          <w:sz w:val="22"/>
          <w:szCs w:val="22"/>
        </w:rPr>
        <w:t xml:space="preserve"> (Cumming), 2008:</w:t>
      </w:r>
      <w:r w:rsidRPr="00293205">
        <w:rPr>
          <w:sz w:val="22"/>
          <w:szCs w:val="22"/>
        </w:rPr>
        <w:t xml:space="preserve"> p.2</w:t>
      </w:r>
    </w:p>
  </w:footnote>
  <w:footnote w:id="4">
    <w:p w:rsidR="007A77E1" w:rsidRPr="00293205" w:rsidRDefault="007A77E1" w:rsidP="003503CD">
      <w:pPr>
        <w:pStyle w:val="Funotentext"/>
        <w:rPr>
          <w:sz w:val="22"/>
          <w:szCs w:val="22"/>
        </w:rPr>
      </w:pPr>
      <w:r w:rsidRPr="00293205">
        <w:rPr>
          <w:rStyle w:val="Funotenzeichen"/>
          <w:sz w:val="22"/>
          <w:szCs w:val="22"/>
        </w:rPr>
        <w:footnoteRef/>
      </w:r>
      <w:r w:rsidRPr="00293205">
        <w:rPr>
          <w:sz w:val="22"/>
          <w:szCs w:val="22"/>
        </w:rPr>
        <w:t xml:space="preserve"> Bartram, J, cited in </w:t>
      </w:r>
      <w:proofErr w:type="spellStart"/>
      <w:r w:rsidRPr="00293205">
        <w:rPr>
          <w:sz w:val="22"/>
          <w:szCs w:val="22"/>
        </w:rPr>
        <w:t>WaterAid</w:t>
      </w:r>
      <w:proofErr w:type="spellEnd"/>
      <w:r w:rsidRPr="00293205">
        <w:rPr>
          <w:sz w:val="22"/>
          <w:szCs w:val="22"/>
        </w:rPr>
        <w:t>, 2010</w:t>
      </w:r>
      <w:r>
        <w:rPr>
          <w:sz w:val="22"/>
          <w:szCs w:val="22"/>
        </w:rPr>
        <w:t>: p:11</w:t>
      </w:r>
    </w:p>
  </w:footnote>
  <w:footnote w:id="5">
    <w:p w:rsidR="007A77E1" w:rsidRDefault="007A77E1">
      <w:pPr>
        <w:pStyle w:val="Funotentext"/>
      </w:pPr>
      <w:r>
        <w:rPr>
          <w:rStyle w:val="Funotenzeichen"/>
        </w:rPr>
        <w:footnoteRef/>
      </w:r>
      <w:r>
        <w:t xml:space="preserve"> </w:t>
      </w:r>
      <w:r w:rsidRPr="00425967">
        <w:rPr>
          <w:sz w:val="22"/>
          <w:szCs w:val="22"/>
        </w:rPr>
        <w:t>For example, see UNDP (2006), UN MDG Report (2010), UN-Water &amp; WHO (2010)</w:t>
      </w:r>
    </w:p>
  </w:footnote>
  <w:footnote w:id="6">
    <w:p w:rsidR="007A77E1" w:rsidRDefault="007A77E1">
      <w:pPr>
        <w:pStyle w:val="Funotentext"/>
      </w:pPr>
      <w:r>
        <w:rPr>
          <w:rStyle w:val="Funotenzeichen"/>
        </w:rPr>
        <w:footnoteRef/>
      </w:r>
      <w:r>
        <w:t xml:space="preserve"> </w:t>
      </w:r>
      <w:r w:rsidRPr="00930A6E">
        <w:rPr>
          <w:sz w:val="22"/>
          <w:szCs w:val="22"/>
        </w:rPr>
        <w:t>See Albuquerque (2009, 2010, 2011)</w:t>
      </w:r>
    </w:p>
  </w:footnote>
  <w:footnote w:id="7">
    <w:p w:rsidR="007A77E1" w:rsidRPr="000D40CE" w:rsidRDefault="007A77E1" w:rsidP="00FF7A5F">
      <w:pPr>
        <w:pStyle w:val="Funotentext"/>
        <w:rPr>
          <w:sz w:val="22"/>
          <w:szCs w:val="22"/>
        </w:rPr>
      </w:pPr>
      <w:r w:rsidRPr="000D40CE">
        <w:rPr>
          <w:rStyle w:val="Funotenzeichen"/>
          <w:sz w:val="22"/>
          <w:szCs w:val="22"/>
        </w:rPr>
        <w:footnoteRef/>
      </w:r>
      <w:r w:rsidRPr="000D40CE">
        <w:rPr>
          <w:sz w:val="22"/>
          <w:szCs w:val="22"/>
        </w:rPr>
        <w:t xml:space="preserve"> Fawcett and Black, 2008: p. 220</w:t>
      </w:r>
    </w:p>
  </w:footnote>
  <w:footnote w:id="8">
    <w:p w:rsidR="007A77E1" w:rsidRPr="00B37410" w:rsidRDefault="007A77E1" w:rsidP="00FF7A5F">
      <w:pPr>
        <w:rPr>
          <w:sz w:val="22"/>
          <w:szCs w:val="22"/>
          <w:lang w:val="fr-FR"/>
        </w:rPr>
      </w:pPr>
      <w:r w:rsidRPr="000D40CE">
        <w:rPr>
          <w:rStyle w:val="Funotenzeichen"/>
          <w:sz w:val="22"/>
          <w:szCs w:val="22"/>
        </w:rPr>
        <w:footnoteRef/>
      </w:r>
      <w:r w:rsidRPr="00B37410">
        <w:rPr>
          <w:sz w:val="22"/>
          <w:szCs w:val="22"/>
          <w:lang w:val="fr-FR"/>
        </w:rPr>
        <w:t xml:space="preserve"> </w:t>
      </w:r>
      <w:r w:rsidRPr="00B37410">
        <w:rPr>
          <w:sz w:val="22"/>
          <w:szCs w:val="22"/>
          <w:lang w:val="fr-FR"/>
        </w:rPr>
        <w:t>Albuquerque, 2009: p.3</w:t>
      </w:r>
    </w:p>
  </w:footnote>
  <w:footnote w:id="9">
    <w:p w:rsidR="007A77E1" w:rsidRPr="00B37410" w:rsidRDefault="007A77E1" w:rsidP="00FF7A5F">
      <w:pPr>
        <w:pStyle w:val="Funotentext"/>
        <w:rPr>
          <w:sz w:val="22"/>
          <w:szCs w:val="22"/>
          <w:lang w:val="fr-FR"/>
        </w:rPr>
      </w:pPr>
      <w:r w:rsidRPr="00AF61B8">
        <w:rPr>
          <w:rStyle w:val="Funotenzeichen"/>
          <w:sz w:val="22"/>
          <w:szCs w:val="22"/>
        </w:rPr>
        <w:footnoteRef/>
      </w:r>
      <w:r w:rsidRPr="00B37410">
        <w:rPr>
          <w:sz w:val="22"/>
          <w:szCs w:val="22"/>
          <w:lang w:val="fr-FR"/>
        </w:rPr>
        <w:t xml:space="preserve"> UN Water, 2008: p.6</w:t>
      </w:r>
    </w:p>
  </w:footnote>
  <w:footnote w:id="10">
    <w:p w:rsidR="007A77E1" w:rsidRPr="00BC0571" w:rsidRDefault="007A77E1" w:rsidP="00F313A4">
      <w:pPr>
        <w:pStyle w:val="Funotentext"/>
        <w:ind w:left="142" w:hanging="142"/>
        <w:rPr>
          <w:sz w:val="22"/>
          <w:szCs w:val="22"/>
        </w:rPr>
      </w:pPr>
      <w:r w:rsidRPr="00BC0571">
        <w:rPr>
          <w:rStyle w:val="Funotenzeichen"/>
          <w:sz w:val="22"/>
          <w:szCs w:val="22"/>
        </w:rPr>
        <w:footnoteRef/>
      </w:r>
      <w:r w:rsidRPr="00BC0571">
        <w:rPr>
          <w:sz w:val="22"/>
          <w:szCs w:val="22"/>
        </w:rPr>
        <w:t xml:space="preserve"> </w:t>
      </w:r>
      <w:r w:rsidRPr="00BC0571">
        <w:rPr>
          <w:sz w:val="22"/>
          <w:szCs w:val="22"/>
          <w:lang w:eastAsia="en-GB"/>
        </w:rPr>
        <w:t xml:space="preserve">as “presented in a general and non-specific </w:t>
      </w:r>
      <w:r>
        <w:rPr>
          <w:sz w:val="22"/>
          <w:szCs w:val="22"/>
          <w:lang w:eastAsia="en-GB"/>
        </w:rPr>
        <w:t xml:space="preserve"> </w:t>
      </w:r>
      <w:r w:rsidRPr="00BC0571">
        <w:rPr>
          <w:sz w:val="22"/>
          <w:szCs w:val="22"/>
          <w:lang w:eastAsia="en-GB"/>
        </w:rPr>
        <w:t>manner, allowing interpretations, leaving further space for further decisions to be considered”</w:t>
      </w:r>
      <w:r>
        <w:rPr>
          <w:sz w:val="22"/>
          <w:szCs w:val="22"/>
          <w:lang w:eastAsia="en-GB"/>
        </w:rPr>
        <w:t xml:space="preserve"> . </w:t>
      </w:r>
      <w:proofErr w:type="spellStart"/>
      <w:r>
        <w:rPr>
          <w:sz w:val="22"/>
          <w:szCs w:val="22"/>
          <w:lang w:eastAsia="en-GB"/>
        </w:rPr>
        <w:t>Sarantakos</w:t>
      </w:r>
      <w:proofErr w:type="spellEnd"/>
      <w:r>
        <w:rPr>
          <w:sz w:val="22"/>
          <w:szCs w:val="22"/>
          <w:lang w:eastAsia="en-GB"/>
        </w:rPr>
        <w:t>, 2005: p.113</w:t>
      </w:r>
    </w:p>
  </w:footnote>
  <w:footnote w:id="11">
    <w:p w:rsidR="007A77E1" w:rsidRPr="00BC0571" w:rsidRDefault="007A77E1" w:rsidP="00FF7A5F">
      <w:pPr>
        <w:pStyle w:val="Funotentext"/>
        <w:rPr>
          <w:sz w:val="22"/>
          <w:szCs w:val="22"/>
        </w:rPr>
      </w:pPr>
      <w:r w:rsidRPr="00BC0571">
        <w:rPr>
          <w:rStyle w:val="Funotenzeichen"/>
          <w:sz w:val="22"/>
          <w:szCs w:val="22"/>
        </w:rPr>
        <w:footnoteRef/>
      </w:r>
      <w:r w:rsidRPr="00BC0571">
        <w:rPr>
          <w:sz w:val="22"/>
          <w:szCs w:val="22"/>
        </w:rPr>
        <w:t xml:space="preserve"> </w:t>
      </w:r>
      <w:proofErr w:type="spellStart"/>
      <w:r w:rsidRPr="00BC0571">
        <w:rPr>
          <w:sz w:val="22"/>
          <w:szCs w:val="22"/>
        </w:rPr>
        <w:t>Sarantakos</w:t>
      </w:r>
      <w:proofErr w:type="spellEnd"/>
      <w:r w:rsidRPr="00BC0571">
        <w:rPr>
          <w:sz w:val="22"/>
          <w:szCs w:val="22"/>
        </w:rPr>
        <w:t>, 2005: p. 118</w:t>
      </w:r>
    </w:p>
  </w:footnote>
  <w:footnote w:id="12">
    <w:p w:rsidR="007A77E1" w:rsidRDefault="007A77E1" w:rsidP="00FF7A5F">
      <w:pPr>
        <w:pStyle w:val="Funotentext"/>
      </w:pPr>
      <w:r w:rsidRPr="00BC0571">
        <w:rPr>
          <w:rStyle w:val="Funotenzeichen"/>
          <w:sz w:val="22"/>
          <w:szCs w:val="22"/>
        </w:rPr>
        <w:footnoteRef/>
      </w:r>
      <w:r w:rsidRPr="00BC0571">
        <w:rPr>
          <w:sz w:val="22"/>
          <w:szCs w:val="22"/>
        </w:rPr>
        <w:t xml:space="preserve"> Pfeifer, 2000, cited in </w:t>
      </w:r>
      <w:proofErr w:type="spellStart"/>
      <w:r w:rsidRPr="00BC0571">
        <w:rPr>
          <w:sz w:val="22"/>
          <w:szCs w:val="22"/>
        </w:rPr>
        <w:t>Sarantakos</w:t>
      </w:r>
      <w:proofErr w:type="spellEnd"/>
      <w:r w:rsidRPr="00BC0571">
        <w:rPr>
          <w:sz w:val="22"/>
          <w:szCs w:val="22"/>
        </w:rPr>
        <w:t>, 2005: p. 118</w:t>
      </w:r>
    </w:p>
  </w:footnote>
  <w:footnote w:id="13">
    <w:p w:rsidR="007A77E1" w:rsidRPr="00F06D99" w:rsidRDefault="007A77E1" w:rsidP="004752C2">
      <w:pPr>
        <w:pStyle w:val="Funotentext"/>
        <w:rPr>
          <w:sz w:val="22"/>
          <w:szCs w:val="22"/>
        </w:rPr>
      </w:pPr>
      <w:r w:rsidRPr="00F06D99">
        <w:rPr>
          <w:rStyle w:val="Funotenzeichen"/>
          <w:sz w:val="22"/>
          <w:szCs w:val="22"/>
        </w:rPr>
        <w:footnoteRef/>
      </w:r>
      <w:r w:rsidRPr="00F06D99">
        <w:rPr>
          <w:sz w:val="22"/>
          <w:szCs w:val="22"/>
        </w:rPr>
        <w:t xml:space="preserve"> COHRE et al, 2008: p.17</w:t>
      </w:r>
    </w:p>
  </w:footnote>
  <w:footnote w:id="14">
    <w:p w:rsidR="007A77E1" w:rsidRPr="00F06D99" w:rsidRDefault="007A77E1" w:rsidP="009805DA">
      <w:pPr>
        <w:pStyle w:val="Funotentext"/>
        <w:rPr>
          <w:sz w:val="22"/>
          <w:szCs w:val="22"/>
        </w:rPr>
      </w:pPr>
      <w:r w:rsidRPr="00F06D99">
        <w:rPr>
          <w:rStyle w:val="Funotenzeichen"/>
          <w:sz w:val="22"/>
          <w:szCs w:val="22"/>
        </w:rPr>
        <w:footnoteRef/>
      </w:r>
      <w:r w:rsidRPr="00F06D99">
        <w:rPr>
          <w:sz w:val="22"/>
          <w:szCs w:val="22"/>
        </w:rPr>
        <w:t xml:space="preserve"> Chambers &amp; </w:t>
      </w:r>
      <w:proofErr w:type="spellStart"/>
      <w:r w:rsidRPr="00F06D99">
        <w:rPr>
          <w:sz w:val="22"/>
          <w:szCs w:val="22"/>
        </w:rPr>
        <w:t>Kar</w:t>
      </w:r>
      <w:proofErr w:type="spellEnd"/>
      <w:r w:rsidRPr="00F06D99">
        <w:rPr>
          <w:sz w:val="22"/>
          <w:szCs w:val="22"/>
        </w:rPr>
        <w:t>, 2006: p.7</w:t>
      </w:r>
    </w:p>
  </w:footnote>
  <w:footnote w:id="15">
    <w:p w:rsidR="007A77E1" w:rsidRPr="00F06D99" w:rsidRDefault="007A77E1">
      <w:pPr>
        <w:pStyle w:val="Funotentext"/>
        <w:rPr>
          <w:sz w:val="22"/>
          <w:szCs w:val="22"/>
        </w:rPr>
      </w:pPr>
      <w:r w:rsidRPr="00F06D99">
        <w:rPr>
          <w:rStyle w:val="Funotenzeichen"/>
          <w:sz w:val="22"/>
          <w:szCs w:val="22"/>
        </w:rPr>
        <w:footnoteRef/>
      </w:r>
      <w:r w:rsidRPr="00F06D99">
        <w:rPr>
          <w:sz w:val="22"/>
          <w:szCs w:val="22"/>
        </w:rPr>
        <w:t xml:space="preserve"> Chambers &amp; </w:t>
      </w:r>
      <w:proofErr w:type="spellStart"/>
      <w:r w:rsidRPr="00F06D99">
        <w:rPr>
          <w:sz w:val="22"/>
          <w:szCs w:val="22"/>
        </w:rPr>
        <w:t>Kar</w:t>
      </w:r>
      <w:proofErr w:type="spellEnd"/>
      <w:r w:rsidRPr="00F06D99">
        <w:rPr>
          <w:sz w:val="22"/>
          <w:szCs w:val="22"/>
        </w:rPr>
        <w:t xml:space="preserve"> (2006)</w:t>
      </w:r>
    </w:p>
  </w:footnote>
  <w:footnote w:id="16">
    <w:p w:rsidR="007A77E1" w:rsidRPr="00F06D99" w:rsidRDefault="007A77E1" w:rsidP="00316666">
      <w:pPr>
        <w:pStyle w:val="Funotentext"/>
        <w:rPr>
          <w:sz w:val="22"/>
          <w:szCs w:val="22"/>
        </w:rPr>
      </w:pPr>
      <w:r w:rsidRPr="00F06D99">
        <w:rPr>
          <w:rStyle w:val="Funotenzeichen"/>
          <w:sz w:val="22"/>
          <w:szCs w:val="22"/>
        </w:rPr>
        <w:footnoteRef/>
      </w:r>
      <w:r w:rsidRPr="00F06D99">
        <w:rPr>
          <w:sz w:val="22"/>
          <w:szCs w:val="22"/>
        </w:rPr>
        <w:t xml:space="preserve"> The term “basic sanitation” appears in Millennium Development Goal (MDG) 7, Target c</w:t>
      </w:r>
    </w:p>
  </w:footnote>
  <w:footnote w:id="17">
    <w:p w:rsidR="007A77E1" w:rsidRPr="00F06D99" w:rsidRDefault="007A77E1" w:rsidP="00023896">
      <w:pPr>
        <w:pStyle w:val="Funotentext"/>
        <w:ind w:left="142" w:hanging="142"/>
        <w:rPr>
          <w:sz w:val="22"/>
          <w:szCs w:val="22"/>
        </w:rPr>
      </w:pPr>
      <w:r w:rsidRPr="00F06D99">
        <w:rPr>
          <w:rStyle w:val="Funotenzeichen"/>
          <w:sz w:val="22"/>
          <w:szCs w:val="22"/>
        </w:rPr>
        <w:footnoteRef/>
      </w:r>
      <w:r w:rsidRPr="00F06D99">
        <w:rPr>
          <w:sz w:val="22"/>
          <w:szCs w:val="22"/>
        </w:rPr>
        <w:t xml:space="preserve"> The term “improved sanitation” is used by the Joint Monitoring Programme (JMP) as an indicator to measure progress towards MDG 7c. </w:t>
      </w:r>
    </w:p>
  </w:footnote>
  <w:footnote w:id="18">
    <w:p w:rsidR="007A77E1" w:rsidRPr="00B37410" w:rsidRDefault="007A77E1">
      <w:pPr>
        <w:pStyle w:val="Funotentext"/>
        <w:rPr>
          <w:sz w:val="22"/>
          <w:szCs w:val="22"/>
          <w:lang w:val="fr-FR"/>
        </w:rPr>
      </w:pPr>
      <w:r w:rsidRPr="00F06D99">
        <w:rPr>
          <w:rStyle w:val="Funotenzeichen"/>
          <w:sz w:val="22"/>
          <w:szCs w:val="22"/>
        </w:rPr>
        <w:footnoteRef/>
      </w:r>
      <w:r w:rsidRPr="00B37410">
        <w:rPr>
          <w:sz w:val="22"/>
          <w:szCs w:val="22"/>
          <w:lang w:val="fr-FR"/>
        </w:rPr>
        <w:t xml:space="preserve"> </w:t>
      </w:r>
      <w:r w:rsidRPr="00B37410">
        <w:rPr>
          <w:sz w:val="22"/>
          <w:szCs w:val="22"/>
          <w:lang w:val="fr-FR"/>
        </w:rPr>
        <w:t>COHRE et al, 2008: p.18</w:t>
      </w:r>
    </w:p>
  </w:footnote>
  <w:footnote w:id="19">
    <w:p w:rsidR="007A77E1" w:rsidRPr="00B37410" w:rsidRDefault="007A77E1" w:rsidP="00316666">
      <w:pPr>
        <w:pStyle w:val="Funotentext"/>
        <w:rPr>
          <w:sz w:val="22"/>
          <w:szCs w:val="22"/>
          <w:lang w:val="fr-FR"/>
        </w:rPr>
      </w:pPr>
      <w:r w:rsidRPr="00F06D99">
        <w:rPr>
          <w:rStyle w:val="Funotenzeichen"/>
          <w:sz w:val="22"/>
          <w:szCs w:val="22"/>
        </w:rPr>
        <w:footnoteRef/>
      </w:r>
      <w:r w:rsidRPr="00B37410">
        <w:rPr>
          <w:sz w:val="22"/>
          <w:szCs w:val="22"/>
          <w:lang w:val="fr-FR"/>
        </w:rPr>
        <w:t xml:space="preserve"> COHRE et al, 2008: p.18</w:t>
      </w:r>
    </w:p>
  </w:footnote>
  <w:footnote w:id="20">
    <w:p w:rsidR="007A77E1" w:rsidRPr="00B37410" w:rsidRDefault="007A77E1">
      <w:pPr>
        <w:pStyle w:val="Funotentext"/>
        <w:rPr>
          <w:sz w:val="22"/>
          <w:szCs w:val="22"/>
          <w:lang w:val="fr-FR"/>
        </w:rPr>
      </w:pPr>
      <w:r w:rsidRPr="00F06D99">
        <w:rPr>
          <w:rStyle w:val="Funotenzeichen"/>
          <w:sz w:val="22"/>
          <w:szCs w:val="22"/>
        </w:rPr>
        <w:footnoteRef/>
      </w:r>
      <w:r w:rsidRPr="00B37410">
        <w:rPr>
          <w:sz w:val="22"/>
          <w:szCs w:val="22"/>
          <w:lang w:val="fr-FR"/>
        </w:rPr>
        <w:t xml:space="preserve"> WSSCC (2011)</w:t>
      </w:r>
    </w:p>
  </w:footnote>
  <w:footnote w:id="21">
    <w:p w:rsidR="007A77E1" w:rsidRPr="00B37410" w:rsidRDefault="007A77E1" w:rsidP="00006500">
      <w:pPr>
        <w:pStyle w:val="Funotentext"/>
        <w:rPr>
          <w:sz w:val="22"/>
          <w:szCs w:val="22"/>
          <w:lang w:val="fr-FR"/>
        </w:rPr>
      </w:pPr>
      <w:r w:rsidRPr="00F06D99">
        <w:rPr>
          <w:rStyle w:val="Funotenzeichen"/>
          <w:sz w:val="22"/>
          <w:szCs w:val="22"/>
        </w:rPr>
        <w:footnoteRef/>
      </w:r>
      <w:r w:rsidRPr="00B37410">
        <w:rPr>
          <w:sz w:val="22"/>
          <w:szCs w:val="22"/>
          <w:lang w:val="fr-FR"/>
        </w:rPr>
        <w:t xml:space="preserve"> COHRE et al, 2008: p.18</w:t>
      </w:r>
    </w:p>
  </w:footnote>
  <w:footnote w:id="22">
    <w:p w:rsidR="007A77E1" w:rsidRPr="00F06D99" w:rsidRDefault="007A77E1" w:rsidP="00715B8B">
      <w:pPr>
        <w:pStyle w:val="Funotentext"/>
        <w:rPr>
          <w:sz w:val="22"/>
          <w:szCs w:val="22"/>
        </w:rPr>
      </w:pPr>
      <w:r w:rsidRPr="00F06D99">
        <w:rPr>
          <w:rStyle w:val="Funotenzeichen"/>
          <w:sz w:val="22"/>
          <w:szCs w:val="22"/>
        </w:rPr>
        <w:footnoteRef/>
      </w:r>
      <w:r w:rsidRPr="00F06D99">
        <w:rPr>
          <w:sz w:val="22"/>
          <w:szCs w:val="22"/>
        </w:rPr>
        <w:t xml:space="preserve"> </w:t>
      </w:r>
      <w:r>
        <w:rPr>
          <w:sz w:val="22"/>
          <w:szCs w:val="22"/>
        </w:rPr>
        <w:t xml:space="preserve">UN </w:t>
      </w:r>
      <w:r w:rsidRPr="00F06D99">
        <w:rPr>
          <w:sz w:val="22"/>
          <w:szCs w:val="22"/>
        </w:rPr>
        <w:t>Sub-Commission</w:t>
      </w:r>
      <w:r>
        <w:rPr>
          <w:sz w:val="22"/>
          <w:szCs w:val="22"/>
        </w:rPr>
        <w:t>, 2006</w:t>
      </w:r>
      <w:r w:rsidRPr="00F06D99">
        <w:rPr>
          <w:sz w:val="22"/>
          <w:szCs w:val="22"/>
        </w:rPr>
        <w:t xml:space="preserve"> cited in COHRE et al, 2008: p.22</w:t>
      </w:r>
    </w:p>
  </w:footnote>
  <w:footnote w:id="23">
    <w:p w:rsidR="007A77E1" w:rsidRPr="00F06D99" w:rsidRDefault="007A77E1" w:rsidP="000A0894">
      <w:pPr>
        <w:pStyle w:val="Funotentext"/>
        <w:rPr>
          <w:sz w:val="22"/>
          <w:szCs w:val="22"/>
        </w:rPr>
      </w:pPr>
      <w:r w:rsidRPr="00F06D99">
        <w:rPr>
          <w:rStyle w:val="Funotenzeichen"/>
          <w:sz w:val="22"/>
          <w:szCs w:val="22"/>
        </w:rPr>
        <w:footnoteRef/>
      </w:r>
      <w:r w:rsidRPr="00F06D99">
        <w:rPr>
          <w:sz w:val="22"/>
          <w:szCs w:val="22"/>
        </w:rPr>
        <w:t xml:space="preserve"> Ife, 2010: p75</w:t>
      </w:r>
    </w:p>
  </w:footnote>
  <w:footnote w:id="24">
    <w:p w:rsidR="007A77E1" w:rsidRPr="00F06D99" w:rsidRDefault="007A77E1" w:rsidP="00715B8B">
      <w:pPr>
        <w:pStyle w:val="Funotentext"/>
        <w:rPr>
          <w:sz w:val="22"/>
          <w:szCs w:val="22"/>
        </w:rPr>
      </w:pPr>
      <w:r w:rsidRPr="00F06D99">
        <w:rPr>
          <w:rStyle w:val="Funotenzeichen"/>
          <w:sz w:val="22"/>
          <w:szCs w:val="22"/>
        </w:rPr>
        <w:footnoteRef/>
      </w:r>
      <w:r w:rsidRPr="00F06D99">
        <w:rPr>
          <w:sz w:val="22"/>
          <w:szCs w:val="22"/>
        </w:rPr>
        <w:t xml:space="preserve"> Hobbes, cited in Ife, 2010: p.90</w:t>
      </w:r>
    </w:p>
  </w:footnote>
  <w:footnote w:id="25">
    <w:p w:rsidR="007A77E1" w:rsidRPr="00B37410" w:rsidRDefault="007A77E1" w:rsidP="00C8633F">
      <w:pPr>
        <w:pStyle w:val="Funotentext"/>
        <w:rPr>
          <w:sz w:val="22"/>
          <w:szCs w:val="22"/>
          <w:lang w:val="fr-FR"/>
        </w:rPr>
      </w:pPr>
      <w:r w:rsidRPr="00F02383">
        <w:rPr>
          <w:rStyle w:val="Funotenzeichen"/>
          <w:sz w:val="22"/>
          <w:szCs w:val="22"/>
        </w:rPr>
        <w:footnoteRef/>
      </w:r>
      <w:r w:rsidRPr="00B37410">
        <w:rPr>
          <w:sz w:val="22"/>
          <w:szCs w:val="22"/>
          <w:lang w:val="fr-FR"/>
        </w:rPr>
        <w:t xml:space="preserve"> </w:t>
      </w:r>
      <w:r w:rsidRPr="00B37410">
        <w:rPr>
          <w:color w:val="000000"/>
          <w:sz w:val="22"/>
          <w:szCs w:val="22"/>
          <w:lang w:val="fr-FR" w:eastAsia="en-GB"/>
        </w:rPr>
        <w:t>UN GA Res. 64/292, 2010</w:t>
      </w:r>
    </w:p>
  </w:footnote>
  <w:footnote w:id="26">
    <w:p w:rsidR="007A77E1" w:rsidRPr="00B37410" w:rsidRDefault="007A77E1">
      <w:pPr>
        <w:pStyle w:val="Funotentext"/>
        <w:rPr>
          <w:sz w:val="22"/>
          <w:szCs w:val="22"/>
          <w:lang w:val="fr-FR"/>
        </w:rPr>
      </w:pPr>
      <w:r w:rsidRPr="00F02383">
        <w:rPr>
          <w:rStyle w:val="Funotenzeichen"/>
          <w:sz w:val="22"/>
          <w:szCs w:val="22"/>
        </w:rPr>
        <w:footnoteRef/>
      </w:r>
      <w:r w:rsidRPr="00B37410">
        <w:rPr>
          <w:sz w:val="22"/>
          <w:szCs w:val="22"/>
          <w:lang w:val="fr-FR"/>
        </w:rPr>
        <w:t xml:space="preserve"> UN HRC Res. 16/2, 2010</w:t>
      </w:r>
    </w:p>
  </w:footnote>
  <w:footnote w:id="27">
    <w:p w:rsidR="007A77E1" w:rsidRPr="00B37410" w:rsidRDefault="007A77E1">
      <w:pPr>
        <w:pStyle w:val="Funotentext"/>
        <w:rPr>
          <w:sz w:val="22"/>
          <w:szCs w:val="22"/>
          <w:lang w:val="fr-FR"/>
        </w:rPr>
      </w:pPr>
      <w:r w:rsidRPr="00F02383">
        <w:rPr>
          <w:rStyle w:val="Funotenzeichen"/>
          <w:sz w:val="22"/>
          <w:szCs w:val="22"/>
        </w:rPr>
        <w:footnoteRef/>
      </w:r>
      <w:r w:rsidRPr="00B37410">
        <w:rPr>
          <w:sz w:val="22"/>
          <w:szCs w:val="22"/>
          <w:lang w:val="fr-FR"/>
        </w:rPr>
        <w:t xml:space="preserve"> </w:t>
      </w:r>
      <w:r w:rsidRPr="00B37410">
        <w:rPr>
          <w:color w:val="000000"/>
          <w:sz w:val="22"/>
          <w:szCs w:val="22"/>
          <w:lang w:val="fr-FR" w:eastAsia="en-GB"/>
        </w:rPr>
        <w:t>UN, GA Res. 64/292, 2010</w:t>
      </w:r>
    </w:p>
  </w:footnote>
  <w:footnote w:id="28">
    <w:p w:rsidR="007A77E1" w:rsidRPr="00B37410" w:rsidRDefault="007A77E1">
      <w:pPr>
        <w:pStyle w:val="Funotentext"/>
        <w:rPr>
          <w:lang w:val="fr-FR"/>
        </w:rPr>
      </w:pPr>
      <w:r>
        <w:rPr>
          <w:rStyle w:val="Funotenzeichen"/>
        </w:rPr>
        <w:footnoteRef/>
      </w:r>
      <w:r w:rsidRPr="00B37410">
        <w:rPr>
          <w:lang w:val="fr-FR"/>
        </w:rPr>
        <w:t xml:space="preserve"> </w:t>
      </w:r>
      <w:r w:rsidRPr="00B37410">
        <w:rPr>
          <w:sz w:val="22"/>
          <w:szCs w:val="22"/>
          <w:lang w:val="fr-FR"/>
        </w:rPr>
        <w:t>COHRE et al, 2008: p. 5</w:t>
      </w:r>
    </w:p>
  </w:footnote>
  <w:footnote w:id="29">
    <w:p w:rsidR="007A77E1" w:rsidRPr="00B37410" w:rsidRDefault="007A77E1" w:rsidP="000A0894">
      <w:pPr>
        <w:pStyle w:val="Funotentext"/>
        <w:rPr>
          <w:sz w:val="22"/>
          <w:szCs w:val="22"/>
          <w:lang w:val="fr-FR"/>
        </w:rPr>
      </w:pPr>
      <w:r w:rsidRPr="00F02383">
        <w:rPr>
          <w:rStyle w:val="Funotenzeichen"/>
          <w:sz w:val="22"/>
          <w:szCs w:val="22"/>
        </w:rPr>
        <w:footnoteRef/>
      </w:r>
      <w:r w:rsidRPr="00B37410">
        <w:rPr>
          <w:sz w:val="22"/>
          <w:szCs w:val="22"/>
          <w:lang w:val="fr-FR"/>
        </w:rPr>
        <w:t xml:space="preserve"> COHRE et al, 2008: p. 5</w:t>
      </w:r>
    </w:p>
  </w:footnote>
  <w:footnote w:id="30">
    <w:p w:rsidR="007A77E1" w:rsidRPr="00B37410" w:rsidRDefault="007A77E1">
      <w:pPr>
        <w:pStyle w:val="Funotentext"/>
        <w:rPr>
          <w:sz w:val="22"/>
          <w:szCs w:val="22"/>
          <w:lang w:val="fr-FR"/>
        </w:rPr>
      </w:pPr>
      <w:r w:rsidRPr="00F02383">
        <w:rPr>
          <w:rStyle w:val="Funotenzeichen"/>
          <w:sz w:val="22"/>
          <w:szCs w:val="22"/>
        </w:rPr>
        <w:footnoteRef/>
      </w:r>
      <w:r w:rsidRPr="00B37410">
        <w:rPr>
          <w:sz w:val="22"/>
          <w:szCs w:val="22"/>
          <w:lang w:val="fr-FR"/>
        </w:rPr>
        <w:t xml:space="preserve"> Amnesty International, 2010 </w:t>
      </w:r>
    </w:p>
  </w:footnote>
  <w:footnote w:id="31">
    <w:p w:rsidR="007A77E1" w:rsidRPr="00F02383" w:rsidRDefault="007A77E1" w:rsidP="00415441">
      <w:pPr>
        <w:rPr>
          <w:sz w:val="22"/>
          <w:szCs w:val="22"/>
        </w:rPr>
      </w:pPr>
      <w:r w:rsidRPr="00F02383">
        <w:rPr>
          <w:rStyle w:val="Funotenzeichen"/>
          <w:sz w:val="22"/>
          <w:szCs w:val="22"/>
        </w:rPr>
        <w:footnoteRef/>
      </w:r>
      <w:r w:rsidRPr="00F02383">
        <w:rPr>
          <w:sz w:val="22"/>
          <w:szCs w:val="22"/>
        </w:rPr>
        <w:t xml:space="preserve"> Morley, 2010</w:t>
      </w:r>
    </w:p>
  </w:footnote>
  <w:footnote w:id="32">
    <w:p w:rsidR="007A77E1" w:rsidRPr="00F02383" w:rsidRDefault="007A77E1">
      <w:pPr>
        <w:pStyle w:val="Funotentext"/>
        <w:rPr>
          <w:sz w:val="22"/>
          <w:szCs w:val="22"/>
        </w:rPr>
      </w:pPr>
      <w:r w:rsidRPr="00F02383">
        <w:rPr>
          <w:rStyle w:val="Funotenzeichen"/>
          <w:sz w:val="22"/>
          <w:szCs w:val="22"/>
        </w:rPr>
        <w:footnoteRef/>
      </w:r>
      <w:r w:rsidRPr="00F02383">
        <w:rPr>
          <w:sz w:val="22"/>
          <w:szCs w:val="22"/>
        </w:rPr>
        <w:t xml:space="preserve"> </w:t>
      </w:r>
      <w:proofErr w:type="spellStart"/>
      <w:r w:rsidRPr="00F02383">
        <w:rPr>
          <w:sz w:val="22"/>
          <w:szCs w:val="22"/>
        </w:rPr>
        <w:t>Lucheshi</w:t>
      </w:r>
      <w:proofErr w:type="spellEnd"/>
      <w:r w:rsidRPr="00F02383">
        <w:rPr>
          <w:sz w:val="22"/>
          <w:szCs w:val="22"/>
        </w:rPr>
        <w:t>, Interview, July 2011</w:t>
      </w:r>
    </w:p>
  </w:footnote>
  <w:footnote w:id="33">
    <w:p w:rsidR="007A77E1" w:rsidRPr="00F02383" w:rsidRDefault="007A77E1">
      <w:pPr>
        <w:pStyle w:val="Funotentext"/>
        <w:rPr>
          <w:sz w:val="22"/>
          <w:szCs w:val="22"/>
        </w:rPr>
      </w:pPr>
      <w:r w:rsidRPr="00F02383">
        <w:rPr>
          <w:rStyle w:val="Funotenzeichen"/>
          <w:sz w:val="22"/>
          <w:szCs w:val="22"/>
        </w:rPr>
        <w:footnoteRef/>
      </w:r>
      <w:r w:rsidRPr="00F02383">
        <w:rPr>
          <w:sz w:val="22"/>
          <w:szCs w:val="22"/>
        </w:rPr>
        <w:t xml:space="preserve"> Anderson, Interview, July 2011</w:t>
      </w:r>
    </w:p>
  </w:footnote>
  <w:footnote w:id="34">
    <w:p w:rsidR="007A77E1" w:rsidRPr="00F02383" w:rsidRDefault="007A77E1">
      <w:pPr>
        <w:pStyle w:val="Funotentext"/>
        <w:rPr>
          <w:sz w:val="22"/>
          <w:szCs w:val="22"/>
        </w:rPr>
      </w:pPr>
      <w:r w:rsidRPr="00F02383">
        <w:rPr>
          <w:rStyle w:val="Funotenzeichen"/>
          <w:sz w:val="22"/>
          <w:szCs w:val="22"/>
        </w:rPr>
        <w:footnoteRef/>
      </w:r>
      <w:r w:rsidRPr="00F02383">
        <w:rPr>
          <w:sz w:val="22"/>
          <w:szCs w:val="22"/>
        </w:rPr>
        <w:t xml:space="preserve"> Fawcett, Interview June 2011</w:t>
      </w:r>
    </w:p>
  </w:footnote>
  <w:footnote w:id="35">
    <w:p w:rsidR="007A77E1" w:rsidRDefault="007A77E1">
      <w:pPr>
        <w:pStyle w:val="Funotentext"/>
      </w:pPr>
      <w:r>
        <w:rPr>
          <w:rStyle w:val="Funotenzeichen"/>
        </w:rPr>
        <w:footnoteRef/>
      </w:r>
      <w:r>
        <w:t xml:space="preserve"> </w:t>
      </w:r>
      <w:proofErr w:type="spellStart"/>
      <w:r w:rsidRPr="00304627">
        <w:rPr>
          <w:sz w:val="22"/>
          <w:szCs w:val="22"/>
        </w:rPr>
        <w:t>Norgrove</w:t>
      </w:r>
      <w:proofErr w:type="spellEnd"/>
      <w:r w:rsidRPr="00304627">
        <w:rPr>
          <w:sz w:val="22"/>
          <w:szCs w:val="22"/>
        </w:rPr>
        <w:t>, 2010</w:t>
      </w:r>
    </w:p>
  </w:footnote>
  <w:footnote w:id="36">
    <w:p w:rsidR="007A77E1" w:rsidRPr="00304627" w:rsidRDefault="007A77E1" w:rsidP="00583EEF">
      <w:pPr>
        <w:pStyle w:val="Funotentext"/>
        <w:rPr>
          <w:sz w:val="22"/>
          <w:szCs w:val="22"/>
        </w:rPr>
      </w:pPr>
      <w:r w:rsidRPr="00304627">
        <w:rPr>
          <w:rStyle w:val="Funotenzeichen"/>
          <w:sz w:val="22"/>
          <w:szCs w:val="22"/>
        </w:rPr>
        <w:footnoteRef/>
      </w:r>
      <w:r w:rsidRPr="00304627">
        <w:rPr>
          <w:sz w:val="22"/>
          <w:szCs w:val="22"/>
        </w:rPr>
        <w:t xml:space="preserve"> </w:t>
      </w:r>
      <w:proofErr w:type="spellStart"/>
      <w:r w:rsidRPr="00304627">
        <w:rPr>
          <w:sz w:val="22"/>
          <w:szCs w:val="22"/>
        </w:rPr>
        <w:t>Norgrove</w:t>
      </w:r>
      <w:proofErr w:type="spellEnd"/>
      <w:r w:rsidRPr="00304627">
        <w:rPr>
          <w:sz w:val="22"/>
          <w:szCs w:val="22"/>
        </w:rPr>
        <w:t>, 2010</w:t>
      </w:r>
    </w:p>
  </w:footnote>
  <w:footnote w:id="37">
    <w:p w:rsidR="007A77E1" w:rsidRPr="00304627" w:rsidRDefault="007A77E1">
      <w:pPr>
        <w:pStyle w:val="Funotentext"/>
        <w:rPr>
          <w:sz w:val="22"/>
          <w:szCs w:val="22"/>
        </w:rPr>
      </w:pPr>
      <w:r w:rsidRPr="00304627">
        <w:rPr>
          <w:rStyle w:val="Funotenzeichen"/>
          <w:sz w:val="22"/>
          <w:szCs w:val="22"/>
        </w:rPr>
        <w:footnoteRef/>
      </w:r>
      <w:r w:rsidRPr="00304627">
        <w:rPr>
          <w:sz w:val="22"/>
          <w:szCs w:val="22"/>
        </w:rPr>
        <w:t xml:space="preserve"> </w:t>
      </w:r>
      <w:proofErr w:type="spellStart"/>
      <w:r w:rsidRPr="00304627">
        <w:rPr>
          <w:sz w:val="22"/>
          <w:szCs w:val="22"/>
        </w:rPr>
        <w:t>Norgrove</w:t>
      </w:r>
      <w:proofErr w:type="spellEnd"/>
      <w:r w:rsidRPr="00304627">
        <w:rPr>
          <w:sz w:val="22"/>
          <w:szCs w:val="22"/>
        </w:rPr>
        <w:t xml:space="preserve">, Interview, </w:t>
      </w:r>
      <w:r>
        <w:rPr>
          <w:sz w:val="22"/>
          <w:szCs w:val="22"/>
        </w:rPr>
        <w:t xml:space="preserve">July </w:t>
      </w:r>
      <w:r w:rsidRPr="00304627">
        <w:rPr>
          <w:sz w:val="22"/>
          <w:szCs w:val="22"/>
        </w:rPr>
        <w:t>2011</w:t>
      </w:r>
    </w:p>
  </w:footnote>
  <w:footnote w:id="38">
    <w:p w:rsidR="007A77E1" w:rsidRPr="00450CBD" w:rsidRDefault="007A77E1">
      <w:pPr>
        <w:pStyle w:val="Funotentext"/>
        <w:rPr>
          <w:sz w:val="22"/>
          <w:szCs w:val="22"/>
        </w:rPr>
      </w:pPr>
      <w:r w:rsidRPr="00450CBD">
        <w:rPr>
          <w:rStyle w:val="Funotenzeichen"/>
          <w:sz w:val="22"/>
          <w:szCs w:val="22"/>
        </w:rPr>
        <w:footnoteRef/>
      </w:r>
      <w:r w:rsidRPr="00450CBD">
        <w:rPr>
          <w:sz w:val="22"/>
          <w:szCs w:val="22"/>
        </w:rPr>
        <w:t xml:space="preserve"> See </w:t>
      </w:r>
      <w:r>
        <w:rPr>
          <w:sz w:val="22"/>
          <w:szCs w:val="22"/>
        </w:rPr>
        <w:t xml:space="preserve">UN </w:t>
      </w:r>
      <w:r w:rsidRPr="00450CBD">
        <w:rPr>
          <w:sz w:val="22"/>
          <w:szCs w:val="22"/>
        </w:rPr>
        <w:t>HRC Res. 7/22</w:t>
      </w:r>
    </w:p>
  </w:footnote>
  <w:footnote w:id="39">
    <w:p w:rsidR="007A77E1" w:rsidRDefault="007A77E1">
      <w:pPr>
        <w:pStyle w:val="Funotentext"/>
      </w:pPr>
      <w:r>
        <w:rPr>
          <w:rStyle w:val="Funotenzeichen"/>
        </w:rPr>
        <w:footnoteRef/>
      </w:r>
      <w:r>
        <w:t xml:space="preserve"> </w:t>
      </w:r>
      <w:r w:rsidRPr="00450CBD">
        <w:rPr>
          <w:sz w:val="22"/>
          <w:szCs w:val="22"/>
        </w:rPr>
        <w:t>Albuquerque, Interview, July 2011</w:t>
      </w:r>
    </w:p>
  </w:footnote>
  <w:footnote w:id="40">
    <w:p w:rsidR="007A77E1" w:rsidRPr="00450CBD" w:rsidRDefault="007A77E1">
      <w:pPr>
        <w:pStyle w:val="Funotentext"/>
        <w:rPr>
          <w:sz w:val="22"/>
          <w:szCs w:val="22"/>
        </w:rPr>
      </w:pPr>
      <w:r w:rsidRPr="00450CBD">
        <w:rPr>
          <w:rStyle w:val="Funotenzeichen"/>
          <w:sz w:val="22"/>
          <w:szCs w:val="22"/>
        </w:rPr>
        <w:footnoteRef/>
      </w:r>
      <w:r w:rsidRPr="00450CBD">
        <w:rPr>
          <w:sz w:val="22"/>
          <w:szCs w:val="22"/>
        </w:rPr>
        <w:t xml:space="preserve"> Albuquerque, Interview, July 2011</w:t>
      </w:r>
    </w:p>
  </w:footnote>
  <w:footnote w:id="41">
    <w:p w:rsidR="007A77E1" w:rsidRDefault="007A77E1">
      <w:pPr>
        <w:pStyle w:val="Funotentext"/>
      </w:pPr>
      <w:r>
        <w:rPr>
          <w:rStyle w:val="Funotenzeichen"/>
        </w:rPr>
        <w:footnoteRef/>
      </w:r>
      <w:r>
        <w:t xml:space="preserve"> </w:t>
      </w:r>
      <w:r w:rsidRPr="00450CBD">
        <w:rPr>
          <w:sz w:val="22"/>
          <w:szCs w:val="22"/>
        </w:rPr>
        <w:t>Albuquerque, Interview, July 2011</w:t>
      </w:r>
    </w:p>
  </w:footnote>
  <w:footnote w:id="42">
    <w:p w:rsidR="007A77E1" w:rsidRDefault="007A77E1">
      <w:pPr>
        <w:pStyle w:val="Funotentext"/>
      </w:pPr>
      <w:r>
        <w:rPr>
          <w:rStyle w:val="Funotenzeichen"/>
        </w:rPr>
        <w:footnoteRef/>
      </w:r>
      <w:r>
        <w:t xml:space="preserve"> </w:t>
      </w:r>
      <w:r w:rsidRPr="00450CBD">
        <w:rPr>
          <w:sz w:val="22"/>
          <w:szCs w:val="22"/>
        </w:rPr>
        <w:t>Albuquerque, Interview, July 2011</w:t>
      </w:r>
    </w:p>
  </w:footnote>
  <w:footnote w:id="43">
    <w:p w:rsidR="007A77E1" w:rsidRDefault="007A77E1">
      <w:pPr>
        <w:pStyle w:val="Funotentext"/>
      </w:pPr>
      <w:r>
        <w:rPr>
          <w:rStyle w:val="Funotenzeichen"/>
        </w:rPr>
        <w:footnoteRef/>
      </w:r>
      <w:r>
        <w:t xml:space="preserve"> </w:t>
      </w:r>
      <w:r w:rsidRPr="00450CBD">
        <w:rPr>
          <w:sz w:val="22"/>
          <w:szCs w:val="22"/>
        </w:rPr>
        <w:t>Albuquerque, Interview, July 2011</w:t>
      </w:r>
    </w:p>
  </w:footnote>
  <w:footnote w:id="44">
    <w:p w:rsidR="007A77E1" w:rsidRDefault="007A77E1">
      <w:pPr>
        <w:pStyle w:val="Funotentext"/>
      </w:pPr>
      <w:r>
        <w:rPr>
          <w:rStyle w:val="Funotenzeichen"/>
        </w:rPr>
        <w:footnoteRef/>
      </w:r>
      <w:r>
        <w:t xml:space="preserve"> </w:t>
      </w:r>
      <w:r w:rsidRPr="00450CBD">
        <w:rPr>
          <w:sz w:val="22"/>
          <w:szCs w:val="22"/>
        </w:rPr>
        <w:t>Albuquerque, Interview, July 2011</w:t>
      </w:r>
    </w:p>
  </w:footnote>
  <w:footnote w:id="45">
    <w:p w:rsidR="007A77E1" w:rsidRPr="00B37410" w:rsidRDefault="007A77E1" w:rsidP="001D1350">
      <w:pPr>
        <w:pStyle w:val="Funotentext"/>
        <w:rPr>
          <w:sz w:val="22"/>
          <w:szCs w:val="22"/>
          <w:lang w:val="fr-FR"/>
        </w:rPr>
      </w:pPr>
      <w:r w:rsidRPr="00450CBD">
        <w:rPr>
          <w:rStyle w:val="Funotenzeichen"/>
          <w:sz w:val="22"/>
          <w:szCs w:val="22"/>
        </w:rPr>
        <w:footnoteRef/>
      </w:r>
      <w:r w:rsidRPr="00B37410">
        <w:rPr>
          <w:sz w:val="22"/>
          <w:szCs w:val="22"/>
          <w:lang w:val="fr-FR"/>
        </w:rPr>
        <w:t xml:space="preserve"> </w:t>
      </w:r>
      <w:r w:rsidRPr="00B37410">
        <w:rPr>
          <w:sz w:val="22"/>
          <w:szCs w:val="22"/>
          <w:lang w:val="fr-FR"/>
        </w:rPr>
        <w:t xml:space="preserve">UN HRC Res. 16/2 </w:t>
      </w:r>
    </w:p>
  </w:footnote>
  <w:footnote w:id="46">
    <w:p w:rsidR="007A77E1" w:rsidRPr="00B37410" w:rsidRDefault="007A77E1">
      <w:pPr>
        <w:pStyle w:val="Funotentext"/>
        <w:rPr>
          <w:lang w:val="fr-FR"/>
        </w:rPr>
      </w:pPr>
      <w:r>
        <w:rPr>
          <w:rStyle w:val="Funotenzeichen"/>
        </w:rPr>
        <w:footnoteRef/>
      </w:r>
      <w:r w:rsidRPr="00B37410">
        <w:rPr>
          <w:lang w:val="fr-FR"/>
        </w:rPr>
        <w:t xml:space="preserve"> </w:t>
      </w:r>
      <w:r w:rsidRPr="00B37410">
        <w:rPr>
          <w:sz w:val="22"/>
          <w:szCs w:val="22"/>
          <w:lang w:val="fr-FR"/>
        </w:rPr>
        <w:t>Albuquerque, 2011: p.3</w:t>
      </w:r>
    </w:p>
  </w:footnote>
  <w:footnote w:id="47">
    <w:p w:rsidR="007A77E1" w:rsidRPr="00B37410" w:rsidRDefault="007A77E1">
      <w:pPr>
        <w:pStyle w:val="Funotentext"/>
        <w:rPr>
          <w:lang w:val="fr-FR"/>
        </w:rPr>
      </w:pPr>
      <w:r>
        <w:rPr>
          <w:rStyle w:val="Funotenzeichen"/>
        </w:rPr>
        <w:footnoteRef/>
      </w:r>
      <w:r w:rsidRPr="00B37410">
        <w:rPr>
          <w:lang w:val="fr-FR"/>
        </w:rPr>
        <w:t xml:space="preserve"> </w:t>
      </w:r>
      <w:r w:rsidRPr="00B37410">
        <w:rPr>
          <w:sz w:val="22"/>
          <w:szCs w:val="22"/>
          <w:lang w:val="fr-FR"/>
        </w:rPr>
        <w:t>Albuquerque, 2011: p.3</w:t>
      </w:r>
    </w:p>
  </w:footnote>
  <w:footnote w:id="48">
    <w:p w:rsidR="007A77E1" w:rsidRPr="00B37410" w:rsidRDefault="007A77E1">
      <w:pPr>
        <w:pStyle w:val="Funotentext"/>
        <w:rPr>
          <w:sz w:val="22"/>
          <w:szCs w:val="22"/>
          <w:lang w:val="fr-FR"/>
        </w:rPr>
      </w:pPr>
      <w:r w:rsidRPr="00F878C0">
        <w:rPr>
          <w:rStyle w:val="Funotenzeichen"/>
          <w:sz w:val="22"/>
          <w:szCs w:val="22"/>
        </w:rPr>
        <w:footnoteRef/>
      </w:r>
      <w:r w:rsidRPr="00B37410">
        <w:rPr>
          <w:sz w:val="22"/>
          <w:szCs w:val="22"/>
          <w:lang w:val="fr-FR"/>
        </w:rPr>
        <w:t xml:space="preserve"> Albuquerque, 2011: p.27</w:t>
      </w:r>
    </w:p>
  </w:footnote>
  <w:footnote w:id="49">
    <w:p w:rsidR="007A77E1" w:rsidRPr="00B37410" w:rsidRDefault="007A77E1" w:rsidP="00E6549A">
      <w:pPr>
        <w:pStyle w:val="Funotentext"/>
        <w:rPr>
          <w:sz w:val="22"/>
          <w:szCs w:val="22"/>
          <w:lang w:val="fr-FR"/>
        </w:rPr>
      </w:pPr>
      <w:r w:rsidRPr="00F878C0">
        <w:rPr>
          <w:rStyle w:val="Funotenzeichen"/>
          <w:sz w:val="22"/>
          <w:szCs w:val="22"/>
        </w:rPr>
        <w:footnoteRef/>
      </w:r>
      <w:r w:rsidRPr="00B37410">
        <w:rPr>
          <w:sz w:val="22"/>
          <w:szCs w:val="22"/>
          <w:lang w:val="fr-FR"/>
        </w:rPr>
        <w:t xml:space="preserve"> Albuquerque, 2011: p.5</w:t>
      </w:r>
    </w:p>
  </w:footnote>
  <w:footnote w:id="50">
    <w:p w:rsidR="007A77E1" w:rsidRPr="00B37410" w:rsidRDefault="007A77E1" w:rsidP="00E6549A">
      <w:pPr>
        <w:pStyle w:val="Funotentext"/>
        <w:rPr>
          <w:sz w:val="22"/>
          <w:szCs w:val="22"/>
          <w:lang w:val="fr-FR"/>
        </w:rPr>
      </w:pPr>
      <w:r w:rsidRPr="00F878C0">
        <w:rPr>
          <w:rStyle w:val="Funotenzeichen"/>
          <w:sz w:val="22"/>
          <w:szCs w:val="22"/>
        </w:rPr>
        <w:footnoteRef/>
      </w:r>
      <w:r w:rsidRPr="00B37410">
        <w:rPr>
          <w:sz w:val="22"/>
          <w:szCs w:val="22"/>
          <w:lang w:val="fr-FR"/>
        </w:rPr>
        <w:t xml:space="preserve"> De Albuquerque, 2011: p.29</w:t>
      </w:r>
    </w:p>
  </w:footnote>
  <w:footnote w:id="51">
    <w:p w:rsidR="007A77E1" w:rsidRPr="00B37410" w:rsidRDefault="007A77E1">
      <w:pPr>
        <w:pStyle w:val="Funotentext"/>
        <w:rPr>
          <w:sz w:val="22"/>
          <w:szCs w:val="22"/>
          <w:lang w:val="fr-FR"/>
        </w:rPr>
      </w:pPr>
      <w:r w:rsidRPr="00F878C0">
        <w:rPr>
          <w:rStyle w:val="Funotenzeichen"/>
          <w:sz w:val="22"/>
          <w:szCs w:val="22"/>
        </w:rPr>
        <w:footnoteRef/>
      </w:r>
      <w:r w:rsidRPr="00B37410">
        <w:rPr>
          <w:sz w:val="22"/>
          <w:szCs w:val="22"/>
          <w:lang w:val="fr-FR"/>
        </w:rPr>
        <w:t xml:space="preserve"> Nowak, 2008: p.5</w:t>
      </w:r>
    </w:p>
  </w:footnote>
  <w:footnote w:id="52">
    <w:p w:rsidR="007A77E1" w:rsidRPr="00F878C0" w:rsidRDefault="007A77E1" w:rsidP="002D270F">
      <w:pPr>
        <w:pStyle w:val="Funotentext"/>
        <w:rPr>
          <w:sz w:val="22"/>
          <w:szCs w:val="22"/>
        </w:rPr>
      </w:pPr>
      <w:r w:rsidRPr="00F878C0">
        <w:rPr>
          <w:rStyle w:val="Funotenzeichen"/>
          <w:sz w:val="22"/>
          <w:szCs w:val="22"/>
        </w:rPr>
        <w:footnoteRef/>
      </w:r>
      <w:r w:rsidRPr="00F878C0">
        <w:rPr>
          <w:sz w:val="22"/>
          <w:szCs w:val="22"/>
        </w:rPr>
        <w:t xml:space="preserve"> Albuquerque, Interview, July 2011</w:t>
      </w:r>
    </w:p>
  </w:footnote>
  <w:footnote w:id="53">
    <w:p w:rsidR="007A77E1" w:rsidRPr="00F878C0" w:rsidRDefault="007A77E1" w:rsidP="001667B2">
      <w:pPr>
        <w:pStyle w:val="Funotentext"/>
        <w:rPr>
          <w:sz w:val="22"/>
          <w:szCs w:val="22"/>
        </w:rPr>
      </w:pPr>
      <w:r w:rsidRPr="00F878C0">
        <w:rPr>
          <w:rStyle w:val="Funotenzeichen"/>
          <w:sz w:val="22"/>
          <w:szCs w:val="22"/>
        </w:rPr>
        <w:footnoteRef/>
      </w:r>
      <w:r w:rsidRPr="00F878C0">
        <w:rPr>
          <w:sz w:val="22"/>
          <w:szCs w:val="22"/>
        </w:rPr>
        <w:t xml:space="preserve"> Albuquerque, USA Report, March 2011</w:t>
      </w:r>
    </w:p>
  </w:footnote>
  <w:footnote w:id="54">
    <w:p w:rsidR="007A77E1" w:rsidRPr="00F878C0" w:rsidRDefault="007A77E1" w:rsidP="001667B2">
      <w:pPr>
        <w:pStyle w:val="Funotentext"/>
        <w:rPr>
          <w:sz w:val="22"/>
          <w:szCs w:val="22"/>
        </w:rPr>
      </w:pPr>
      <w:r w:rsidRPr="00F878C0">
        <w:rPr>
          <w:rStyle w:val="Funotenzeichen"/>
          <w:sz w:val="22"/>
          <w:szCs w:val="22"/>
        </w:rPr>
        <w:footnoteRef/>
      </w:r>
      <w:r w:rsidRPr="00F878C0">
        <w:rPr>
          <w:sz w:val="22"/>
          <w:szCs w:val="22"/>
        </w:rPr>
        <w:t xml:space="preserve"> Albuquerque, USA Report, March 2011</w:t>
      </w:r>
    </w:p>
  </w:footnote>
  <w:footnote w:id="55">
    <w:p w:rsidR="007A77E1" w:rsidRPr="00F878C0" w:rsidRDefault="007A77E1">
      <w:pPr>
        <w:pStyle w:val="Funotentext"/>
        <w:rPr>
          <w:sz w:val="22"/>
          <w:szCs w:val="22"/>
        </w:rPr>
      </w:pPr>
      <w:r w:rsidRPr="00F878C0">
        <w:rPr>
          <w:rStyle w:val="Funotenzeichen"/>
          <w:sz w:val="22"/>
          <w:szCs w:val="22"/>
        </w:rPr>
        <w:footnoteRef/>
      </w:r>
      <w:r w:rsidRPr="00F878C0">
        <w:rPr>
          <w:sz w:val="22"/>
          <w:szCs w:val="22"/>
        </w:rPr>
        <w:t xml:space="preserve"> Bob, 2009: p.9</w:t>
      </w:r>
    </w:p>
  </w:footnote>
  <w:footnote w:id="56">
    <w:p w:rsidR="007A77E1" w:rsidRPr="00F878C0" w:rsidRDefault="007A77E1">
      <w:pPr>
        <w:pStyle w:val="Funotentext"/>
        <w:rPr>
          <w:sz w:val="22"/>
          <w:szCs w:val="22"/>
        </w:rPr>
      </w:pPr>
      <w:r w:rsidRPr="00F878C0">
        <w:rPr>
          <w:rStyle w:val="Funotenzeichen"/>
          <w:sz w:val="22"/>
          <w:szCs w:val="22"/>
        </w:rPr>
        <w:footnoteRef/>
      </w:r>
      <w:r w:rsidRPr="00F878C0">
        <w:rPr>
          <w:sz w:val="22"/>
          <w:szCs w:val="22"/>
        </w:rPr>
        <w:t xml:space="preserve"> </w:t>
      </w:r>
      <w:proofErr w:type="spellStart"/>
      <w:r w:rsidRPr="00F878C0">
        <w:rPr>
          <w:sz w:val="22"/>
          <w:szCs w:val="22"/>
        </w:rPr>
        <w:t>Lucheshi</w:t>
      </w:r>
      <w:proofErr w:type="spellEnd"/>
      <w:r w:rsidRPr="00F878C0">
        <w:rPr>
          <w:sz w:val="22"/>
          <w:szCs w:val="22"/>
        </w:rPr>
        <w:t>, Interview, July 2011</w:t>
      </w:r>
    </w:p>
  </w:footnote>
  <w:footnote w:id="57">
    <w:p w:rsidR="007A77E1" w:rsidRPr="00DC751F" w:rsidRDefault="007A77E1" w:rsidP="001B0392">
      <w:pPr>
        <w:pStyle w:val="Funotentext"/>
        <w:rPr>
          <w:sz w:val="22"/>
          <w:szCs w:val="22"/>
        </w:rPr>
      </w:pPr>
      <w:r w:rsidRPr="00F878C0">
        <w:rPr>
          <w:rStyle w:val="Funotenzeichen"/>
          <w:sz w:val="22"/>
          <w:szCs w:val="22"/>
        </w:rPr>
        <w:footnoteRef/>
      </w:r>
      <w:r w:rsidRPr="00F878C0">
        <w:rPr>
          <w:sz w:val="22"/>
          <w:szCs w:val="22"/>
        </w:rPr>
        <w:t xml:space="preserve"> Della </w:t>
      </w:r>
      <w:proofErr w:type="spellStart"/>
      <w:r w:rsidRPr="00F878C0">
        <w:rPr>
          <w:sz w:val="22"/>
          <w:szCs w:val="22"/>
        </w:rPr>
        <w:t>Porta</w:t>
      </w:r>
      <w:proofErr w:type="spellEnd"/>
      <w:r w:rsidRPr="00F878C0">
        <w:rPr>
          <w:sz w:val="22"/>
          <w:szCs w:val="22"/>
        </w:rPr>
        <w:t xml:space="preserve"> &amp; </w:t>
      </w:r>
      <w:proofErr w:type="spellStart"/>
      <w:r w:rsidRPr="00F878C0">
        <w:rPr>
          <w:sz w:val="22"/>
          <w:szCs w:val="22"/>
        </w:rPr>
        <w:t>Tarrow</w:t>
      </w:r>
      <w:proofErr w:type="spellEnd"/>
      <w:r w:rsidRPr="00F878C0">
        <w:rPr>
          <w:sz w:val="22"/>
          <w:szCs w:val="22"/>
        </w:rPr>
        <w:t>, 200</w:t>
      </w:r>
      <w:r>
        <w:rPr>
          <w:sz w:val="22"/>
          <w:szCs w:val="22"/>
        </w:rPr>
        <w:t>5</w:t>
      </w:r>
      <w:r w:rsidRPr="00F878C0">
        <w:rPr>
          <w:sz w:val="22"/>
          <w:szCs w:val="22"/>
        </w:rPr>
        <w:t>: p.153</w:t>
      </w:r>
    </w:p>
  </w:footnote>
  <w:footnote w:id="58">
    <w:p w:rsidR="007A77E1" w:rsidRPr="008F64A2" w:rsidRDefault="007A77E1">
      <w:pPr>
        <w:pStyle w:val="Funotentext"/>
        <w:rPr>
          <w:sz w:val="22"/>
          <w:szCs w:val="22"/>
        </w:rPr>
      </w:pPr>
      <w:r w:rsidRPr="0073253F">
        <w:rPr>
          <w:rStyle w:val="Funotenzeichen"/>
          <w:sz w:val="22"/>
          <w:szCs w:val="22"/>
        </w:rPr>
        <w:footnoteRef/>
      </w:r>
      <w:r w:rsidRPr="0073253F">
        <w:rPr>
          <w:sz w:val="22"/>
          <w:szCs w:val="22"/>
        </w:rPr>
        <w:t xml:space="preserve"> </w:t>
      </w:r>
      <w:proofErr w:type="spellStart"/>
      <w:r w:rsidRPr="008F64A2">
        <w:rPr>
          <w:sz w:val="22"/>
          <w:szCs w:val="22"/>
        </w:rPr>
        <w:t>Riise</w:t>
      </w:r>
      <w:proofErr w:type="spellEnd"/>
      <w:r w:rsidRPr="008F64A2">
        <w:rPr>
          <w:sz w:val="22"/>
          <w:szCs w:val="22"/>
        </w:rPr>
        <w:t xml:space="preserve">, </w:t>
      </w:r>
      <w:proofErr w:type="spellStart"/>
      <w:r w:rsidRPr="008F64A2">
        <w:rPr>
          <w:sz w:val="22"/>
          <w:szCs w:val="22"/>
        </w:rPr>
        <w:t>Ropp</w:t>
      </w:r>
      <w:proofErr w:type="spellEnd"/>
      <w:r w:rsidRPr="008F64A2">
        <w:rPr>
          <w:sz w:val="22"/>
          <w:szCs w:val="22"/>
        </w:rPr>
        <w:t xml:space="preserve"> &amp; </w:t>
      </w:r>
      <w:proofErr w:type="spellStart"/>
      <w:r w:rsidRPr="008F64A2">
        <w:rPr>
          <w:sz w:val="22"/>
          <w:szCs w:val="22"/>
        </w:rPr>
        <w:t>Sikkink</w:t>
      </w:r>
      <w:proofErr w:type="spellEnd"/>
      <w:r w:rsidRPr="008F64A2">
        <w:rPr>
          <w:sz w:val="22"/>
          <w:szCs w:val="22"/>
        </w:rPr>
        <w:t>, 1999: p.13</w:t>
      </w:r>
    </w:p>
  </w:footnote>
  <w:footnote w:id="59">
    <w:p w:rsidR="007A77E1" w:rsidRPr="008F64A2" w:rsidRDefault="007A77E1">
      <w:pPr>
        <w:pStyle w:val="Funotentext"/>
        <w:rPr>
          <w:sz w:val="22"/>
          <w:szCs w:val="22"/>
        </w:rPr>
      </w:pPr>
      <w:r w:rsidRPr="008F64A2">
        <w:rPr>
          <w:rStyle w:val="Funotenzeichen"/>
          <w:sz w:val="22"/>
          <w:szCs w:val="22"/>
        </w:rPr>
        <w:footnoteRef/>
      </w:r>
      <w:r w:rsidRPr="008F64A2">
        <w:rPr>
          <w:sz w:val="22"/>
          <w:szCs w:val="22"/>
        </w:rPr>
        <w:t xml:space="preserve"> Anderson, Interview, July 2011</w:t>
      </w:r>
    </w:p>
  </w:footnote>
  <w:footnote w:id="60">
    <w:p w:rsidR="007A77E1" w:rsidRPr="008F64A2" w:rsidRDefault="007A77E1">
      <w:pPr>
        <w:pStyle w:val="Funotentext"/>
        <w:rPr>
          <w:sz w:val="22"/>
          <w:szCs w:val="22"/>
        </w:rPr>
      </w:pPr>
      <w:r w:rsidRPr="008F64A2">
        <w:rPr>
          <w:rStyle w:val="Funotenzeichen"/>
          <w:sz w:val="22"/>
          <w:szCs w:val="22"/>
        </w:rPr>
        <w:footnoteRef/>
      </w:r>
      <w:r w:rsidRPr="008F64A2">
        <w:rPr>
          <w:sz w:val="22"/>
          <w:szCs w:val="22"/>
        </w:rPr>
        <w:t xml:space="preserve"> Anderson, Interview, July 2011</w:t>
      </w:r>
    </w:p>
  </w:footnote>
  <w:footnote w:id="61">
    <w:p w:rsidR="007A77E1" w:rsidRPr="008F64A2" w:rsidRDefault="007A77E1">
      <w:pPr>
        <w:pStyle w:val="Funotentext"/>
        <w:rPr>
          <w:sz w:val="22"/>
          <w:szCs w:val="22"/>
        </w:rPr>
      </w:pPr>
      <w:r w:rsidRPr="008F64A2">
        <w:rPr>
          <w:rStyle w:val="Funotenzeichen"/>
          <w:sz w:val="22"/>
          <w:szCs w:val="22"/>
        </w:rPr>
        <w:footnoteRef/>
      </w:r>
      <w:r w:rsidRPr="008F64A2">
        <w:rPr>
          <w:sz w:val="22"/>
          <w:szCs w:val="22"/>
        </w:rPr>
        <w:t xml:space="preserve"> EWP, 2011</w:t>
      </w:r>
    </w:p>
  </w:footnote>
  <w:footnote w:id="62">
    <w:p w:rsidR="007A77E1" w:rsidRDefault="007A77E1">
      <w:pPr>
        <w:pStyle w:val="Funotentext"/>
      </w:pPr>
      <w:r>
        <w:rPr>
          <w:rStyle w:val="Funotenzeichen"/>
        </w:rPr>
        <w:footnoteRef/>
      </w:r>
      <w:r>
        <w:t xml:space="preserve"> </w:t>
      </w:r>
      <w:r w:rsidRPr="008F64A2">
        <w:rPr>
          <w:sz w:val="22"/>
          <w:szCs w:val="22"/>
        </w:rPr>
        <w:t>EWP, 2011</w:t>
      </w:r>
    </w:p>
  </w:footnote>
  <w:footnote w:id="63">
    <w:p w:rsidR="007A77E1" w:rsidRPr="008F64A2" w:rsidRDefault="007A77E1" w:rsidP="0073253F">
      <w:pPr>
        <w:pStyle w:val="Funotentext"/>
        <w:tabs>
          <w:tab w:val="center" w:pos="4513"/>
        </w:tabs>
        <w:rPr>
          <w:sz w:val="22"/>
          <w:szCs w:val="22"/>
        </w:rPr>
      </w:pPr>
      <w:r w:rsidRPr="008F64A2">
        <w:rPr>
          <w:rStyle w:val="Funotenzeichen"/>
          <w:sz w:val="22"/>
          <w:szCs w:val="22"/>
        </w:rPr>
        <w:footnoteRef/>
      </w:r>
      <w:r w:rsidRPr="008F64A2">
        <w:rPr>
          <w:sz w:val="22"/>
          <w:szCs w:val="22"/>
        </w:rPr>
        <w:t xml:space="preserve"> EWP, 2011</w:t>
      </w:r>
      <w:r w:rsidRPr="008F64A2">
        <w:rPr>
          <w:sz w:val="22"/>
          <w:szCs w:val="22"/>
        </w:rPr>
        <w:tab/>
      </w:r>
    </w:p>
  </w:footnote>
  <w:footnote w:id="64">
    <w:p w:rsidR="007A77E1" w:rsidRPr="008F64A2" w:rsidRDefault="007A77E1" w:rsidP="00111C12">
      <w:pPr>
        <w:pStyle w:val="Funotentext"/>
        <w:rPr>
          <w:sz w:val="22"/>
          <w:szCs w:val="22"/>
        </w:rPr>
      </w:pPr>
      <w:r w:rsidRPr="008F64A2">
        <w:rPr>
          <w:rStyle w:val="Funotenzeichen"/>
          <w:sz w:val="22"/>
          <w:szCs w:val="22"/>
        </w:rPr>
        <w:footnoteRef/>
      </w:r>
      <w:r w:rsidRPr="008F64A2">
        <w:rPr>
          <w:sz w:val="22"/>
          <w:szCs w:val="22"/>
        </w:rPr>
        <w:t xml:space="preserve"> </w:t>
      </w:r>
      <w:r>
        <w:rPr>
          <w:sz w:val="22"/>
          <w:szCs w:val="22"/>
        </w:rPr>
        <w:t xml:space="preserve">Summarised from Chapman, 2001, </w:t>
      </w:r>
      <w:r w:rsidRPr="008F64A2">
        <w:rPr>
          <w:sz w:val="22"/>
          <w:szCs w:val="22"/>
        </w:rPr>
        <w:t xml:space="preserve">in Edwards &amp; </w:t>
      </w:r>
      <w:proofErr w:type="spellStart"/>
      <w:r w:rsidRPr="008F64A2">
        <w:rPr>
          <w:sz w:val="22"/>
          <w:szCs w:val="22"/>
        </w:rPr>
        <w:t>Gaventa</w:t>
      </w:r>
      <w:proofErr w:type="spellEnd"/>
      <w:r w:rsidRPr="008F64A2">
        <w:rPr>
          <w:sz w:val="22"/>
          <w:szCs w:val="22"/>
        </w:rPr>
        <w:t>, 2001: p.263 (fig. 19.1)</w:t>
      </w:r>
    </w:p>
  </w:footnote>
  <w:footnote w:id="65">
    <w:p w:rsidR="007A77E1" w:rsidRPr="008F64A2" w:rsidRDefault="007A77E1">
      <w:pPr>
        <w:pStyle w:val="Funotentext"/>
        <w:rPr>
          <w:sz w:val="22"/>
          <w:szCs w:val="22"/>
        </w:rPr>
      </w:pPr>
      <w:r w:rsidRPr="008F64A2">
        <w:rPr>
          <w:rStyle w:val="Funotenzeichen"/>
          <w:sz w:val="22"/>
          <w:szCs w:val="22"/>
        </w:rPr>
        <w:footnoteRef/>
      </w:r>
      <w:r w:rsidRPr="008F64A2">
        <w:rPr>
          <w:sz w:val="22"/>
          <w:szCs w:val="22"/>
        </w:rPr>
        <w:t xml:space="preserve"> Albuquerque, Interview, July 2011</w:t>
      </w:r>
    </w:p>
  </w:footnote>
  <w:footnote w:id="66">
    <w:p w:rsidR="007A77E1" w:rsidRPr="008F64A2" w:rsidRDefault="007A77E1">
      <w:pPr>
        <w:pStyle w:val="Funotentext"/>
        <w:rPr>
          <w:sz w:val="22"/>
          <w:szCs w:val="22"/>
        </w:rPr>
      </w:pPr>
      <w:r w:rsidRPr="008F64A2">
        <w:rPr>
          <w:rStyle w:val="Funotenzeichen"/>
          <w:sz w:val="22"/>
          <w:szCs w:val="22"/>
        </w:rPr>
        <w:footnoteRef/>
      </w:r>
      <w:r w:rsidRPr="008F64A2">
        <w:rPr>
          <w:sz w:val="22"/>
          <w:szCs w:val="22"/>
        </w:rPr>
        <w:t xml:space="preserve"> Albuquerque, Interview, July 2011</w:t>
      </w:r>
    </w:p>
  </w:footnote>
  <w:footnote w:id="67">
    <w:p w:rsidR="007A77E1" w:rsidRPr="008F64A2" w:rsidRDefault="007A77E1" w:rsidP="00A370E9">
      <w:pPr>
        <w:pStyle w:val="Funotentext"/>
        <w:rPr>
          <w:sz w:val="22"/>
          <w:szCs w:val="22"/>
        </w:rPr>
      </w:pPr>
      <w:r w:rsidRPr="008F64A2">
        <w:rPr>
          <w:rStyle w:val="Funotenzeichen"/>
          <w:sz w:val="22"/>
          <w:szCs w:val="22"/>
        </w:rPr>
        <w:footnoteRef/>
      </w:r>
      <w:r w:rsidRPr="008F64A2">
        <w:rPr>
          <w:sz w:val="22"/>
          <w:szCs w:val="22"/>
        </w:rPr>
        <w:t xml:space="preserve"> EWP, 200</w:t>
      </w:r>
      <w:r>
        <w:rPr>
          <w:sz w:val="22"/>
          <w:szCs w:val="22"/>
        </w:rPr>
        <w:t>8</w:t>
      </w:r>
    </w:p>
  </w:footnote>
  <w:footnote w:id="68">
    <w:p w:rsidR="007A77E1" w:rsidRPr="008F64A2" w:rsidRDefault="007A77E1" w:rsidP="00AE4822">
      <w:pPr>
        <w:pStyle w:val="Funotentext"/>
        <w:rPr>
          <w:sz w:val="22"/>
          <w:szCs w:val="22"/>
        </w:rPr>
      </w:pPr>
      <w:r w:rsidRPr="008F64A2">
        <w:rPr>
          <w:rStyle w:val="Funotenzeichen"/>
          <w:sz w:val="22"/>
          <w:szCs w:val="22"/>
        </w:rPr>
        <w:footnoteRef/>
      </w:r>
      <w:r w:rsidRPr="008F64A2">
        <w:rPr>
          <w:sz w:val="22"/>
          <w:szCs w:val="22"/>
        </w:rPr>
        <w:t xml:space="preserve"> Anderson, Interview, July 2011</w:t>
      </w:r>
    </w:p>
  </w:footnote>
  <w:footnote w:id="69">
    <w:p w:rsidR="007A77E1" w:rsidRPr="008F64A2" w:rsidRDefault="007A77E1">
      <w:pPr>
        <w:pStyle w:val="Funotentext"/>
        <w:rPr>
          <w:sz w:val="22"/>
          <w:szCs w:val="22"/>
        </w:rPr>
      </w:pPr>
      <w:r w:rsidRPr="008F64A2">
        <w:rPr>
          <w:rStyle w:val="Funotenzeichen"/>
          <w:sz w:val="22"/>
          <w:szCs w:val="22"/>
        </w:rPr>
        <w:footnoteRef/>
      </w:r>
      <w:r w:rsidRPr="008F64A2">
        <w:rPr>
          <w:sz w:val="22"/>
          <w:szCs w:val="22"/>
        </w:rPr>
        <w:t xml:space="preserve"> SWA</w:t>
      </w:r>
      <w:r>
        <w:rPr>
          <w:sz w:val="22"/>
          <w:szCs w:val="22"/>
        </w:rPr>
        <w:t xml:space="preserve"> definition from EWP</w:t>
      </w:r>
      <w:r w:rsidRPr="008F64A2">
        <w:rPr>
          <w:sz w:val="22"/>
          <w:szCs w:val="22"/>
        </w:rPr>
        <w:t>, 2010</w:t>
      </w:r>
    </w:p>
  </w:footnote>
  <w:footnote w:id="70">
    <w:p w:rsidR="007A77E1" w:rsidRPr="007A77A3" w:rsidRDefault="007A77E1" w:rsidP="009807F8">
      <w:pPr>
        <w:pStyle w:val="Funotentext"/>
        <w:rPr>
          <w:sz w:val="22"/>
          <w:szCs w:val="22"/>
        </w:rPr>
      </w:pPr>
      <w:r w:rsidRPr="007A77A3">
        <w:rPr>
          <w:rStyle w:val="Funotenzeichen"/>
          <w:sz w:val="22"/>
          <w:szCs w:val="22"/>
        </w:rPr>
        <w:footnoteRef/>
      </w:r>
      <w:r w:rsidRPr="007A77A3">
        <w:rPr>
          <w:sz w:val="22"/>
          <w:szCs w:val="22"/>
        </w:rPr>
        <w:t xml:space="preserve"> SWA guiding principles, 2010 (9)</w:t>
      </w:r>
    </w:p>
  </w:footnote>
  <w:footnote w:id="71">
    <w:p w:rsidR="007A77E1" w:rsidRPr="007A77A3" w:rsidRDefault="007A77E1">
      <w:pPr>
        <w:pStyle w:val="Funotentext"/>
        <w:rPr>
          <w:sz w:val="22"/>
          <w:szCs w:val="22"/>
        </w:rPr>
      </w:pPr>
      <w:r w:rsidRPr="007A77A3">
        <w:rPr>
          <w:rStyle w:val="Funotenzeichen"/>
          <w:sz w:val="22"/>
          <w:szCs w:val="22"/>
        </w:rPr>
        <w:footnoteRef/>
      </w:r>
      <w:r w:rsidRPr="007A77A3">
        <w:rPr>
          <w:sz w:val="22"/>
          <w:szCs w:val="22"/>
        </w:rPr>
        <w:t xml:space="preserve"> Putnam (1998) cited in Della </w:t>
      </w:r>
      <w:proofErr w:type="spellStart"/>
      <w:r w:rsidRPr="007A77A3">
        <w:rPr>
          <w:sz w:val="22"/>
          <w:szCs w:val="22"/>
        </w:rPr>
        <w:t>Porta</w:t>
      </w:r>
      <w:proofErr w:type="spellEnd"/>
      <w:r w:rsidRPr="007A77A3">
        <w:rPr>
          <w:sz w:val="22"/>
          <w:szCs w:val="22"/>
        </w:rPr>
        <w:t xml:space="preserve"> &amp; </w:t>
      </w:r>
      <w:proofErr w:type="spellStart"/>
      <w:r w:rsidRPr="007A77A3">
        <w:rPr>
          <w:sz w:val="22"/>
          <w:szCs w:val="22"/>
        </w:rPr>
        <w:t>Tarrow</w:t>
      </w:r>
      <w:proofErr w:type="spellEnd"/>
      <w:r w:rsidRPr="007A77A3">
        <w:rPr>
          <w:sz w:val="22"/>
          <w:szCs w:val="22"/>
        </w:rPr>
        <w:t>, 200</w:t>
      </w:r>
      <w:r>
        <w:rPr>
          <w:sz w:val="22"/>
          <w:szCs w:val="22"/>
        </w:rPr>
        <w:t>5</w:t>
      </w:r>
      <w:r w:rsidRPr="007A77A3">
        <w:rPr>
          <w:sz w:val="22"/>
          <w:szCs w:val="22"/>
        </w:rPr>
        <w:t>: p.154</w:t>
      </w:r>
    </w:p>
  </w:footnote>
  <w:footnote w:id="72">
    <w:p w:rsidR="007A77E1" w:rsidRPr="007A77A3" w:rsidRDefault="007A77E1">
      <w:pPr>
        <w:pStyle w:val="Funotentext"/>
        <w:rPr>
          <w:sz w:val="22"/>
          <w:szCs w:val="22"/>
        </w:rPr>
      </w:pPr>
      <w:r w:rsidRPr="007A77A3">
        <w:rPr>
          <w:rStyle w:val="Funotenzeichen"/>
          <w:sz w:val="22"/>
          <w:szCs w:val="22"/>
        </w:rPr>
        <w:footnoteRef/>
      </w:r>
      <w:r w:rsidRPr="007A77A3">
        <w:rPr>
          <w:sz w:val="22"/>
          <w:szCs w:val="22"/>
        </w:rPr>
        <w:t xml:space="preserve"> Della </w:t>
      </w:r>
      <w:proofErr w:type="spellStart"/>
      <w:r w:rsidRPr="007A77A3">
        <w:rPr>
          <w:sz w:val="22"/>
          <w:szCs w:val="22"/>
        </w:rPr>
        <w:t>Porta</w:t>
      </w:r>
      <w:proofErr w:type="spellEnd"/>
      <w:r w:rsidRPr="007A77A3">
        <w:rPr>
          <w:sz w:val="22"/>
          <w:szCs w:val="22"/>
        </w:rPr>
        <w:t xml:space="preserve"> &amp; </w:t>
      </w:r>
      <w:proofErr w:type="spellStart"/>
      <w:r w:rsidRPr="007A77A3">
        <w:rPr>
          <w:sz w:val="22"/>
          <w:szCs w:val="22"/>
        </w:rPr>
        <w:t>Tarrow</w:t>
      </w:r>
      <w:proofErr w:type="spellEnd"/>
      <w:r w:rsidRPr="007A77A3">
        <w:rPr>
          <w:sz w:val="22"/>
          <w:szCs w:val="22"/>
        </w:rPr>
        <w:t>, 200</w:t>
      </w:r>
      <w:r>
        <w:rPr>
          <w:sz w:val="22"/>
          <w:szCs w:val="22"/>
        </w:rPr>
        <w:t>5</w:t>
      </w:r>
      <w:r w:rsidRPr="007A77A3">
        <w:rPr>
          <w:sz w:val="22"/>
          <w:szCs w:val="22"/>
        </w:rPr>
        <w:t>: p.154</w:t>
      </w:r>
    </w:p>
  </w:footnote>
  <w:footnote w:id="73">
    <w:p w:rsidR="007A77E1" w:rsidRPr="006463F6" w:rsidRDefault="007A77E1" w:rsidP="00A94F02">
      <w:pPr>
        <w:autoSpaceDE w:val="0"/>
        <w:autoSpaceDN w:val="0"/>
        <w:adjustRightInd w:val="0"/>
        <w:snapToGrid w:val="0"/>
        <w:rPr>
          <w:color w:val="000000"/>
          <w:sz w:val="22"/>
          <w:szCs w:val="22"/>
        </w:rPr>
      </w:pPr>
      <w:r w:rsidRPr="006463F6">
        <w:rPr>
          <w:rStyle w:val="Funotenzeichen"/>
          <w:sz w:val="22"/>
          <w:szCs w:val="22"/>
        </w:rPr>
        <w:footnoteRef/>
      </w:r>
      <w:r w:rsidRPr="006463F6">
        <w:rPr>
          <w:sz w:val="22"/>
          <w:szCs w:val="22"/>
        </w:rPr>
        <w:t xml:space="preserve"> See </w:t>
      </w:r>
      <w:r w:rsidRPr="006463F6">
        <w:rPr>
          <w:color w:val="000000"/>
          <w:sz w:val="22"/>
          <w:szCs w:val="22"/>
        </w:rPr>
        <w:t>written statement by the UK for the SWA High Level Meeting, April 23 2010</w:t>
      </w:r>
    </w:p>
  </w:footnote>
  <w:footnote w:id="74">
    <w:p w:rsidR="007A77E1" w:rsidRPr="007A77A3" w:rsidRDefault="007A77E1">
      <w:pPr>
        <w:pStyle w:val="Funotentext"/>
        <w:rPr>
          <w:sz w:val="22"/>
          <w:szCs w:val="22"/>
        </w:rPr>
      </w:pPr>
      <w:r w:rsidRPr="007A77A3">
        <w:rPr>
          <w:rStyle w:val="Funotenzeichen"/>
          <w:sz w:val="22"/>
          <w:szCs w:val="22"/>
        </w:rPr>
        <w:footnoteRef/>
      </w:r>
      <w:r w:rsidRPr="007A77A3">
        <w:rPr>
          <w:sz w:val="22"/>
          <w:szCs w:val="22"/>
        </w:rPr>
        <w:t xml:space="preserve"> </w:t>
      </w:r>
      <w:r w:rsidRPr="007A77A3">
        <w:rPr>
          <w:color w:val="000000"/>
          <w:sz w:val="22"/>
          <w:szCs w:val="22"/>
        </w:rPr>
        <w:t>Sanitation was not mentioned in the Millennium Declaration</w:t>
      </w:r>
      <w:r w:rsidRPr="007A77A3">
        <w:rPr>
          <w:rStyle w:val="Funotenzeichen"/>
          <w:color w:val="000000"/>
          <w:sz w:val="22"/>
          <w:szCs w:val="22"/>
        </w:rPr>
        <w:footnoteRef/>
      </w:r>
      <w:r w:rsidRPr="007A77A3">
        <w:rPr>
          <w:color w:val="000000"/>
          <w:sz w:val="22"/>
          <w:szCs w:val="22"/>
        </w:rPr>
        <w:t xml:space="preserve"> of 2000 and was only negotiated into the MDG target 7 at the Johannesburg World Summit in 2002.</w:t>
      </w:r>
    </w:p>
  </w:footnote>
  <w:footnote w:id="75">
    <w:p w:rsidR="007A77E1" w:rsidRPr="007A77A3" w:rsidRDefault="007A77E1">
      <w:pPr>
        <w:pStyle w:val="Funotentext"/>
        <w:rPr>
          <w:sz w:val="22"/>
          <w:szCs w:val="22"/>
        </w:rPr>
      </w:pPr>
      <w:r w:rsidRPr="007A77A3">
        <w:rPr>
          <w:rStyle w:val="Funotenzeichen"/>
          <w:sz w:val="22"/>
          <w:szCs w:val="22"/>
        </w:rPr>
        <w:footnoteRef/>
      </w:r>
      <w:r w:rsidRPr="007A77A3">
        <w:rPr>
          <w:sz w:val="22"/>
          <w:szCs w:val="22"/>
        </w:rPr>
        <w:t xml:space="preserve"> Marlin, Interview, </w:t>
      </w:r>
      <w:r>
        <w:rPr>
          <w:sz w:val="22"/>
          <w:szCs w:val="22"/>
        </w:rPr>
        <w:t xml:space="preserve">August </w:t>
      </w:r>
      <w:r w:rsidRPr="007A77A3">
        <w:rPr>
          <w:sz w:val="22"/>
          <w:szCs w:val="22"/>
        </w:rPr>
        <w:t>2011</w:t>
      </w:r>
    </w:p>
  </w:footnote>
  <w:footnote w:id="76">
    <w:p w:rsidR="007A77E1" w:rsidRPr="007A77A3" w:rsidRDefault="007A77E1" w:rsidP="00177A66">
      <w:pPr>
        <w:pStyle w:val="Funotentext"/>
        <w:rPr>
          <w:sz w:val="22"/>
          <w:szCs w:val="22"/>
        </w:rPr>
      </w:pPr>
      <w:r w:rsidRPr="007A77A3">
        <w:rPr>
          <w:rStyle w:val="Funotenzeichen"/>
          <w:sz w:val="22"/>
          <w:szCs w:val="22"/>
        </w:rPr>
        <w:footnoteRef/>
      </w:r>
      <w:r w:rsidRPr="007A77A3">
        <w:rPr>
          <w:sz w:val="22"/>
          <w:szCs w:val="22"/>
        </w:rPr>
        <w:t xml:space="preserve"> George, 2008: p.88</w:t>
      </w:r>
    </w:p>
  </w:footnote>
  <w:footnote w:id="77">
    <w:p w:rsidR="007A77E1" w:rsidRDefault="007A77E1">
      <w:pPr>
        <w:pStyle w:val="Funotentext"/>
      </w:pPr>
      <w:r>
        <w:rPr>
          <w:rStyle w:val="Funotenzeichen"/>
        </w:rPr>
        <w:footnoteRef/>
      </w:r>
      <w:r>
        <w:t xml:space="preserve"> </w:t>
      </w:r>
      <w:r w:rsidRPr="007A77A3">
        <w:rPr>
          <w:sz w:val="22"/>
          <w:szCs w:val="22"/>
        </w:rPr>
        <w:t>George, 2008: p.88</w:t>
      </w:r>
    </w:p>
  </w:footnote>
  <w:footnote w:id="78">
    <w:p w:rsidR="007A77E1" w:rsidRPr="007A77A3" w:rsidRDefault="007A77E1">
      <w:pPr>
        <w:pStyle w:val="Funotentext"/>
        <w:rPr>
          <w:sz w:val="22"/>
          <w:szCs w:val="22"/>
        </w:rPr>
      </w:pPr>
      <w:r w:rsidRPr="007A77A3">
        <w:rPr>
          <w:rStyle w:val="Funotenzeichen"/>
          <w:sz w:val="22"/>
          <w:szCs w:val="22"/>
        </w:rPr>
        <w:footnoteRef/>
      </w:r>
      <w:r w:rsidRPr="007A77A3">
        <w:rPr>
          <w:sz w:val="22"/>
          <w:szCs w:val="22"/>
        </w:rPr>
        <w:t xml:space="preserve"> WSSCC, 2000 cited in George, 2008</w:t>
      </w:r>
    </w:p>
  </w:footnote>
  <w:footnote w:id="79">
    <w:p w:rsidR="007A77E1" w:rsidRPr="00BC0571" w:rsidRDefault="007A77E1">
      <w:pPr>
        <w:pStyle w:val="Funotentext"/>
        <w:rPr>
          <w:sz w:val="22"/>
          <w:szCs w:val="22"/>
        </w:rPr>
      </w:pPr>
      <w:r w:rsidRPr="00BC0571">
        <w:rPr>
          <w:rStyle w:val="Funotenzeichen"/>
          <w:sz w:val="22"/>
          <w:szCs w:val="22"/>
        </w:rPr>
        <w:footnoteRef/>
      </w:r>
      <w:r>
        <w:rPr>
          <w:sz w:val="22"/>
          <w:szCs w:val="22"/>
        </w:rPr>
        <w:t xml:space="preserve"> Marlin</w:t>
      </w:r>
      <w:r w:rsidRPr="00BC0571">
        <w:rPr>
          <w:sz w:val="22"/>
          <w:szCs w:val="22"/>
        </w:rPr>
        <w:t>, Interview, August 2011</w:t>
      </w:r>
    </w:p>
  </w:footnote>
  <w:footnote w:id="80">
    <w:p w:rsidR="007A77E1" w:rsidRDefault="007A77E1">
      <w:pPr>
        <w:pStyle w:val="Funotentext"/>
      </w:pPr>
      <w:r>
        <w:rPr>
          <w:rStyle w:val="Funotenzeichen"/>
        </w:rPr>
        <w:footnoteRef/>
      </w:r>
      <w:r>
        <w:t xml:space="preserve"> </w:t>
      </w:r>
      <w:r>
        <w:rPr>
          <w:sz w:val="22"/>
          <w:szCs w:val="22"/>
        </w:rPr>
        <w:t>Marlin</w:t>
      </w:r>
      <w:r w:rsidRPr="00BC0571">
        <w:rPr>
          <w:sz w:val="22"/>
          <w:szCs w:val="22"/>
        </w:rPr>
        <w:t>, Interview, August 2011</w:t>
      </w:r>
    </w:p>
  </w:footnote>
  <w:footnote w:id="81">
    <w:p w:rsidR="007A77E1" w:rsidRDefault="007A77E1">
      <w:pPr>
        <w:pStyle w:val="Funotentext"/>
      </w:pPr>
      <w:r>
        <w:rPr>
          <w:rStyle w:val="Funotenzeichen"/>
        </w:rPr>
        <w:footnoteRef/>
      </w:r>
      <w:r>
        <w:t xml:space="preserve"> </w:t>
      </w:r>
      <w:r>
        <w:rPr>
          <w:sz w:val="22"/>
          <w:szCs w:val="22"/>
        </w:rPr>
        <w:t>Marlin</w:t>
      </w:r>
      <w:r w:rsidRPr="00BC0571">
        <w:rPr>
          <w:sz w:val="22"/>
          <w:szCs w:val="22"/>
        </w:rPr>
        <w:t>, Interview, August 2011</w:t>
      </w:r>
    </w:p>
  </w:footnote>
  <w:footnote w:id="82">
    <w:p w:rsidR="007A77E1" w:rsidRPr="00BC0571" w:rsidRDefault="007A77E1" w:rsidP="00F44B07">
      <w:pPr>
        <w:pStyle w:val="Funotentext"/>
        <w:rPr>
          <w:sz w:val="22"/>
          <w:szCs w:val="22"/>
        </w:rPr>
      </w:pPr>
      <w:r w:rsidRPr="00BC0571">
        <w:rPr>
          <w:rStyle w:val="Funotenzeichen"/>
          <w:sz w:val="22"/>
          <w:szCs w:val="22"/>
        </w:rPr>
        <w:footnoteRef/>
      </w:r>
      <w:r w:rsidRPr="00BC0571">
        <w:rPr>
          <w:sz w:val="22"/>
          <w:szCs w:val="22"/>
        </w:rPr>
        <w:t xml:space="preserve"> </w:t>
      </w:r>
      <w:proofErr w:type="spellStart"/>
      <w:r w:rsidRPr="00BC0571">
        <w:rPr>
          <w:sz w:val="22"/>
          <w:szCs w:val="22"/>
        </w:rPr>
        <w:t>Gready</w:t>
      </w:r>
      <w:proofErr w:type="spellEnd"/>
      <w:r w:rsidRPr="00BC0571">
        <w:rPr>
          <w:sz w:val="22"/>
          <w:szCs w:val="22"/>
        </w:rPr>
        <w:t>, 2004: p.17</w:t>
      </w:r>
    </w:p>
  </w:footnote>
  <w:footnote w:id="83">
    <w:p w:rsidR="007A77E1" w:rsidRPr="00586330" w:rsidRDefault="007A77E1">
      <w:pPr>
        <w:pStyle w:val="Funotentext"/>
        <w:rPr>
          <w:sz w:val="22"/>
          <w:szCs w:val="22"/>
        </w:rPr>
      </w:pPr>
      <w:r w:rsidRPr="00586330">
        <w:rPr>
          <w:rStyle w:val="Funotenzeichen"/>
          <w:sz w:val="22"/>
          <w:szCs w:val="22"/>
        </w:rPr>
        <w:footnoteRef/>
      </w:r>
      <w:r>
        <w:rPr>
          <w:sz w:val="22"/>
          <w:szCs w:val="22"/>
        </w:rPr>
        <w:t xml:space="preserve"> </w:t>
      </w:r>
      <w:r w:rsidRPr="00586330">
        <w:rPr>
          <w:sz w:val="22"/>
          <w:szCs w:val="22"/>
        </w:rPr>
        <w:t>Edwards (1993),</w:t>
      </w:r>
      <w:r>
        <w:rPr>
          <w:sz w:val="22"/>
          <w:szCs w:val="22"/>
        </w:rPr>
        <w:t xml:space="preserve"> cited by Chapman (2001)</w:t>
      </w:r>
      <w:r w:rsidRPr="00586330">
        <w:rPr>
          <w:sz w:val="22"/>
          <w:szCs w:val="22"/>
        </w:rPr>
        <w:t xml:space="preserve"> in Edwards &amp; </w:t>
      </w:r>
      <w:proofErr w:type="spellStart"/>
      <w:r w:rsidRPr="00586330">
        <w:rPr>
          <w:sz w:val="22"/>
          <w:szCs w:val="22"/>
        </w:rPr>
        <w:t>Gaventa</w:t>
      </w:r>
      <w:proofErr w:type="spellEnd"/>
      <w:r w:rsidRPr="00586330">
        <w:rPr>
          <w:sz w:val="22"/>
          <w:szCs w:val="22"/>
        </w:rPr>
        <w:t>, 2001: p.249</w:t>
      </w:r>
    </w:p>
  </w:footnote>
  <w:footnote w:id="84">
    <w:p w:rsidR="007A77E1" w:rsidRPr="00C55C9F" w:rsidRDefault="007A77E1" w:rsidP="00BD7031">
      <w:pPr>
        <w:pStyle w:val="Funotentext"/>
        <w:rPr>
          <w:sz w:val="22"/>
          <w:szCs w:val="22"/>
        </w:rPr>
      </w:pPr>
      <w:r w:rsidRPr="00C55C9F">
        <w:rPr>
          <w:rStyle w:val="Funotenzeichen"/>
          <w:sz w:val="22"/>
          <w:szCs w:val="22"/>
        </w:rPr>
        <w:footnoteRef/>
      </w:r>
      <w:r w:rsidRPr="00C55C9F">
        <w:rPr>
          <w:sz w:val="22"/>
          <w:szCs w:val="22"/>
        </w:rPr>
        <w:t xml:space="preserve"> </w:t>
      </w:r>
      <w:r w:rsidRPr="00586330">
        <w:rPr>
          <w:sz w:val="22"/>
          <w:szCs w:val="22"/>
        </w:rPr>
        <w:t>Edwards (1993),</w:t>
      </w:r>
      <w:r>
        <w:rPr>
          <w:sz w:val="22"/>
          <w:szCs w:val="22"/>
        </w:rPr>
        <w:t xml:space="preserve"> cited by Chapman (2001)</w:t>
      </w:r>
      <w:r w:rsidRPr="00586330">
        <w:rPr>
          <w:sz w:val="22"/>
          <w:szCs w:val="22"/>
        </w:rPr>
        <w:t xml:space="preserve"> in Edwards &amp; </w:t>
      </w:r>
      <w:proofErr w:type="spellStart"/>
      <w:r w:rsidRPr="00586330">
        <w:rPr>
          <w:sz w:val="22"/>
          <w:szCs w:val="22"/>
        </w:rPr>
        <w:t>Gaventa</w:t>
      </w:r>
      <w:proofErr w:type="spellEnd"/>
      <w:r w:rsidRPr="00586330">
        <w:rPr>
          <w:sz w:val="22"/>
          <w:szCs w:val="22"/>
        </w:rPr>
        <w:t>, 2001: p.249</w:t>
      </w:r>
    </w:p>
  </w:footnote>
  <w:footnote w:id="85">
    <w:p w:rsidR="007A77E1" w:rsidRPr="00C55C9F" w:rsidRDefault="007A77E1" w:rsidP="00BD7031">
      <w:pPr>
        <w:pStyle w:val="Funotentext"/>
        <w:rPr>
          <w:sz w:val="22"/>
          <w:szCs w:val="22"/>
        </w:rPr>
      </w:pPr>
      <w:r w:rsidRPr="00C55C9F">
        <w:rPr>
          <w:rStyle w:val="Funotenzeichen"/>
          <w:sz w:val="22"/>
          <w:szCs w:val="22"/>
        </w:rPr>
        <w:footnoteRef/>
      </w:r>
      <w:r w:rsidRPr="00C55C9F">
        <w:rPr>
          <w:sz w:val="22"/>
          <w:szCs w:val="22"/>
        </w:rPr>
        <w:t xml:space="preserve"> Nelson &amp; Dobson, 2008: p.174</w:t>
      </w:r>
    </w:p>
  </w:footnote>
  <w:footnote w:id="86">
    <w:p w:rsidR="007A77E1" w:rsidRDefault="007A77E1">
      <w:pPr>
        <w:pStyle w:val="Funotentext"/>
      </w:pPr>
      <w:r>
        <w:rPr>
          <w:rStyle w:val="Funotenzeichen"/>
        </w:rPr>
        <w:footnoteRef/>
      </w:r>
      <w:r>
        <w:t xml:space="preserve"> </w:t>
      </w:r>
      <w:proofErr w:type="spellStart"/>
      <w:r w:rsidRPr="00C55C9F">
        <w:rPr>
          <w:sz w:val="22"/>
          <w:szCs w:val="22"/>
        </w:rPr>
        <w:t>Tarrow</w:t>
      </w:r>
      <w:proofErr w:type="spellEnd"/>
      <w:r w:rsidRPr="00C55C9F">
        <w:rPr>
          <w:sz w:val="22"/>
          <w:szCs w:val="22"/>
        </w:rPr>
        <w:t xml:space="preserve"> &amp; </w:t>
      </w:r>
      <w:proofErr w:type="spellStart"/>
      <w:r w:rsidRPr="00C55C9F">
        <w:rPr>
          <w:sz w:val="22"/>
          <w:szCs w:val="22"/>
        </w:rPr>
        <w:t>McAdam</w:t>
      </w:r>
      <w:proofErr w:type="spellEnd"/>
      <w:r w:rsidRPr="00C55C9F">
        <w:rPr>
          <w:sz w:val="22"/>
          <w:szCs w:val="22"/>
        </w:rPr>
        <w:t>, 2005: p.130</w:t>
      </w:r>
    </w:p>
  </w:footnote>
  <w:footnote w:id="87">
    <w:p w:rsidR="007A77E1" w:rsidRPr="00C55C9F" w:rsidRDefault="007A77E1" w:rsidP="006D412B">
      <w:pPr>
        <w:pStyle w:val="Funotentext"/>
        <w:rPr>
          <w:sz w:val="22"/>
          <w:szCs w:val="22"/>
        </w:rPr>
      </w:pPr>
      <w:r w:rsidRPr="00C55C9F">
        <w:rPr>
          <w:rStyle w:val="Funotenzeichen"/>
          <w:sz w:val="22"/>
          <w:szCs w:val="22"/>
        </w:rPr>
        <w:footnoteRef/>
      </w:r>
      <w:r w:rsidRPr="00C55C9F">
        <w:rPr>
          <w:sz w:val="22"/>
          <w:szCs w:val="22"/>
        </w:rPr>
        <w:t xml:space="preserve"> </w:t>
      </w:r>
      <w:proofErr w:type="spellStart"/>
      <w:r w:rsidRPr="00C55C9F">
        <w:rPr>
          <w:sz w:val="22"/>
          <w:szCs w:val="22"/>
        </w:rPr>
        <w:t>Tarrow</w:t>
      </w:r>
      <w:proofErr w:type="spellEnd"/>
      <w:r w:rsidRPr="00C55C9F">
        <w:rPr>
          <w:sz w:val="22"/>
          <w:szCs w:val="22"/>
        </w:rPr>
        <w:t xml:space="preserve"> &amp; </w:t>
      </w:r>
      <w:proofErr w:type="spellStart"/>
      <w:r w:rsidRPr="00C55C9F">
        <w:rPr>
          <w:sz w:val="22"/>
          <w:szCs w:val="22"/>
        </w:rPr>
        <w:t>McAdam</w:t>
      </w:r>
      <w:proofErr w:type="spellEnd"/>
      <w:r w:rsidRPr="00C55C9F">
        <w:rPr>
          <w:sz w:val="22"/>
          <w:szCs w:val="22"/>
        </w:rPr>
        <w:t>, 2005: p.130</w:t>
      </w:r>
    </w:p>
  </w:footnote>
  <w:footnote w:id="88">
    <w:p w:rsidR="007A77E1" w:rsidRPr="00C55C9F" w:rsidRDefault="007A77E1" w:rsidP="00EE27C1">
      <w:pPr>
        <w:pStyle w:val="Funotentext"/>
        <w:rPr>
          <w:sz w:val="22"/>
          <w:szCs w:val="22"/>
        </w:rPr>
      </w:pPr>
      <w:r w:rsidRPr="00C55C9F">
        <w:rPr>
          <w:rStyle w:val="Funotenzeichen"/>
          <w:sz w:val="22"/>
          <w:szCs w:val="22"/>
        </w:rPr>
        <w:footnoteRef/>
      </w:r>
      <w:r w:rsidRPr="00C55C9F">
        <w:rPr>
          <w:sz w:val="22"/>
          <w:szCs w:val="22"/>
        </w:rPr>
        <w:t xml:space="preserve"> Yeo, Interview, July 2011</w:t>
      </w:r>
    </w:p>
  </w:footnote>
  <w:footnote w:id="89">
    <w:p w:rsidR="007A77E1" w:rsidRPr="00C55C9F" w:rsidRDefault="007A77E1" w:rsidP="00EE27C1">
      <w:pPr>
        <w:pStyle w:val="Funotentext"/>
        <w:rPr>
          <w:sz w:val="22"/>
          <w:szCs w:val="22"/>
        </w:rPr>
      </w:pPr>
      <w:r w:rsidRPr="00C55C9F">
        <w:rPr>
          <w:rStyle w:val="Funotenzeichen"/>
          <w:sz w:val="22"/>
          <w:szCs w:val="22"/>
        </w:rPr>
        <w:footnoteRef/>
      </w:r>
      <w:r w:rsidRPr="00C55C9F">
        <w:rPr>
          <w:sz w:val="22"/>
          <w:szCs w:val="22"/>
        </w:rPr>
        <w:t xml:space="preserve"> Yeo, Interview, July 2011</w:t>
      </w:r>
    </w:p>
  </w:footnote>
  <w:footnote w:id="90">
    <w:p w:rsidR="007A77E1" w:rsidRPr="00C55C9F" w:rsidRDefault="007A77E1" w:rsidP="00EE27C1">
      <w:pPr>
        <w:pStyle w:val="Funotentext"/>
        <w:rPr>
          <w:sz w:val="22"/>
          <w:szCs w:val="22"/>
        </w:rPr>
      </w:pPr>
      <w:r w:rsidRPr="00C55C9F">
        <w:rPr>
          <w:rStyle w:val="Funotenzeichen"/>
          <w:sz w:val="22"/>
          <w:szCs w:val="22"/>
        </w:rPr>
        <w:footnoteRef/>
      </w:r>
      <w:r w:rsidRPr="00C55C9F">
        <w:rPr>
          <w:sz w:val="22"/>
          <w:szCs w:val="22"/>
        </w:rPr>
        <w:t xml:space="preserve"> WSSCC, 2011</w:t>
      </w:r>
    </w:p>
  </w:footnote>
  <w:footnote w:id="91">
    <w:p w:rsidR="007A77E1" w:rsidRPr="00C55C9F" w:rsidRDefault="007A77E1" w:rsidP="00EE27C1">
      <w:pPr>
        <w:pStyle w:val="Funotentext"/>
        <w:rPr>
          <w:sz w:val="22"/>
          <w:szCs w:val="22"/>
        </w:rPr>
      </w:pPr>
      <w:r w:rsidRPr="00C55C9F">
        <w:rPr>
          <w:rStyle w:val="Funotenzeichen"/>
          <w:sz w:val="22"/>
          <w:szCs w:val="22"/>
        </w:rPr>
        <w:footnoteRef/>
      </w:r>
      <w:r>
        <w:rPr>
          <w:sz w:val="22"/>
          <w:szCs w:val="22"/>
        </w:rPr>
        <w:t xml:space="preserve"> </w:t>
      </w:r>
      <w:proofErr w:type="gramStart"/>
      <w:r>
        <w:rPr>
          <w:sz w:val="22"/>
          <w:szCs w:val="22"/>
        </w:rPr>
        <w:t>Marlin</w:t>
      </w:r>
      <w:r w:rsidRPr="00C55C9F">
        <w:rPr>
          <w:sz w:val="22"/>
          <w:szCs w:val="22"/>
        </w:rPr>
        <w:t>.</w:t>
      </w:r>
      <w:proofErr w:type="gramEnd"/>
      <w:r w:rsidRPr="00C55C9F">
        <w:rPr>
          <w:sz w:val="22"/>
          <w:szCs w:val="22"/>
        </w:rPr>
        <w:t xml:space="preserve"> 2011</w:t>
      </w:r>
    </w:p>
  </w:footnote>
  <w:footnote w:id="92">
    <w:p w:rsidR="007A77E1" w:rsidRPr="00C55C9F" w:rsidRDefault="007A77E1">
      <w:pPr>
        <w:pStyle w:val="Funotentext"/>
        <w:rPr>
          <w:sz w:val="22"/>
          <w:szCs w:val="22"/>
        </w:rPr>
      </w:pPr>
      <w:r w:rsidRPr="00C55C9F">
        <w:rPr>
          <w:rStyle w:val="Funotenzeichen"/>
          <w:sz w:val="22"/>
          <w:szCs w:val="22"/>
        </w:rPr>
        <w:footnoteRef/>
      </w:r>
      <w:r w:rsidRPr="00C55C9F">
        <w:rPr>
          <w:sz w:val="22"/>
          <w:szCs w:val="22"/>
        </w:rPr>
        <w:t xml:space="preserve"> WSSCC, 2011</w:t>
      </w:r>
    </w:p>
  </w:footnote>
  <w:footnote w:id="93">
    <w:p w:rsidR="007A77E1" w:rsidRPr="00BC0571" w:rsidRDefault="007A77E1" w:rsidP="00EE27C1">
      <w:pPr>
        <w:pStyle w:val="Funotentext"/>
        <w:rPr>
          <w:sz w:val="22"/>
          <w:szCs w:val="22"/>
        </w:rPr>
      </w:pPr>
      <w:r w:rsidRPr="00C55C9F">
        <w:rPr>
          <w:rStyle w:val="Funotenzeichen"/>
          <w:sz w:val="22"/>
          <w:szCs w:val="22"/>
        </w:rPr>
        <w:footnoteRef/>
      </w:r>
      <w:r w:rsidRPr="00C55C9F">
        <w:rPr>
          <w:sz w:val="22"/>
          <w:szCs w:val="22"/>
        </w:rPr>
        <w:t xml:space="preserve"> Keck &amp; </w:t>
      </w:r>
      <w:proofErr w:type="spellStart"/>
      <w:r w:rsidRPr="00C55C9F">
        <w:rPr>
          <w:sz w:val="22"/>
          <w:szCs w:val="22"/>
        </w:rPr>
        <w:t>Sikkink</w:t>
      </w:r>
      <w:proofErr w:type="spellEnd"/>
      <w:r w:rsidRPr="00C55C9F">
        <w:rPr>
          <w:sz w:val="22"/>
          <w:szCs w:val="22"/>
        </w:rPr>
        <w:t>, 20</w:t>
      </w:r>
      <w:r>
        <w:rPr>
          <w:sz w:val="22"/>
          <w:szCs w:val="22"/>
        </w:rPr>
        <w:t>08</w:t>
      </w:r>
      <w:r w:rsidRPr="00C55C9F">
        <w:rPr>
          <w:sz w:val="22"/>
          <w:szCs w:val="22"/>
        </w:rPr>
        <w:t>: p.7</w:t>
      </w:r>
    </w:p>
  </w:footnote>
  <w:footnote w:id="94">
    <w:p w:rsidR="007A77E1" w:rsidRPr="00696456" w:rsidRDefault="007A77E1" w:rsidP="00EE27C1">
      <w:pPr>
        <w:pStyle w:val="Funotentext"/>
        <w:rPr>
          <w:sz w:val="22"/>
          <w:szCs w:val="22"/>
        </w:rPr>
      </w:pPr>
      <w:r w:rsidRPr="00696456">
        <w:rPr>
          <w:rStyle w:val="Funotenzeichen"/>
          <w:sz w:val="22"/>
          <w:szCs w:val="22"/>
        </w:rPr>
        <w:footnoteRef/>
      </w:r>
      <w:r w:rsidRPr="00696456">
        <w:rPr>
          <w:sz w:val="22"/>
          <w:szCs w:val="22"/>
        </w:rPr>
        <w:t xml:space="preserve"> </w:t>
      </w:r>
      <w:proofErr w:type="spellStart"/>
      <w:r w:rsidRPr="00696456">
        <w:rPr>
          <w:sz w:val="22"/>
          <w:szCs w:val="22"/>
        </w:rPr>
        <w:t>Northover</w:t>
      </w:r>
      <w:proofErr w:type="spellEnd"/>
      <w:r w:rsidRPr="00696456">
        <w:rPr>
          <w:sz w:val="22"/>
          <w:szCs w:val="22"/>
        </w:rPr>
        <w:t>, Interview, August 2011</w:t>
      </w:r>
    </w:p>
  </w:footnote>
  <w:footnote w:id="95">
    <w:p w:rsidR="007A77E1" w:rsidRPr="00696456" w:rsidRDefault="007A77E1" w:rsidP="008E7B8F">
      <w:pPr>
        <w:pStyle w:val="Funotentext"/>
        <w:rPr>
          <w:sz w:val="22"/>
          <w:szCs w:val="22"/>
        </w:rPr>
      </w:pPr>
      <w:r w:rsidRPr="00696456">
        <w:rPr>
          <w:rStyle w:val="Funotenzeichen"/>
          <w:sz w:val="22"/>
          <w:szCs w:val="22"/>
        </w:rPr>
        <w:footnoteRef/>
      </w:r>
      <w:r w:rsidRPr="00696456">
        <w:rPr>
          <w:sz w:val="22"/>
          <w:szCs w:val="22"/>
        </w:rPr>
        <w:t xml:space="preserve"> Ife, 2010: p.117</w:t>
      </w:r>
    </w:p>
  </w:footnote>
  <w:footnote w:id="96">
    <w:p w:rsidR="007A77E1" w:rsidRPr="00696456" w:rsidRDefault="007A77E1" w:rsidP="008E7B8F">
      <w:pPr>
        <w:pStyle w:val="Funotentext"/>
        <w:rPr>
          <w:sz w:val="22"/>
          <w:szCs w:val="22"/>
        </w:rPr>
      </w:pPr>
      <w:r w:rsidRPr="00696456">
        <w:rPr>
          <w:rStyle w:val="Funotenzeichen"/>
          <w:sz w:val="22"/>
          <w:szCs w:val="22"/>
        </w:rPr>
        <w:footnoteRef/>
      </w:r>
      <w:r w:rsidRPr="00696456">
        <w:rPr>
          <w:sz w:val="22"/>
          <w:szCs w:val="22"/>
        </w:rPr>
        <w:t xml:space="preserve"> Ife, 2010: p.116</w:t>
      </w:r>
    </w:p>
  </w:footnote>
  <w:footnote w:id="97">
    <w:p w:rsidR="007A77E1" w:rsidRPr="00696456" w:rsidRDefault="007A77E1">
      <w:pPr>
        <w:pStyle w:val="Funotentext"/>
        <w:rPr>
          <w:sz w:val="22"/>
          <w:szCs w:val="22"/>
        </w:rPr>
      </w:pPr>
      <w:r w:rsidRPr="00696456">
        <w:rPr>
          <w:rStyle w:val="Funotenzeichen"/>
          <w:sz w:val="22"/>
          <w:szCs w:val="22"/>
        </w:rPr>
        <w:footnoteRef/>
      </w:r>
      <w:r w:rsidRPr="00696456">
        <w:rPr>
          <w:sz w:val="22"/>
          <w:szCs w:val="22"/>
        </w:rPr>
        <w:t xml:space="preserve"> Nelson &amp; Dobson, 2008: p.46</w:t>
      </w:r>
    </w:p>
  </w:footnote>
  <w:footnote w:id="98">
    <w:p w:rsidR="007A77E1" w:rsidRPr="00696456" w:rsidRDefault="007A77E1" w:rsidP="00E107E0">
      <w:pPr>
        <w:pStyle w:val="Funotentext"/>
        <w:rPr>
          <w:sz w:val="22"/>
          <w:szCs w:val="22"/>
        </w:rPr>
      </w:pPr>
      <w:r w:rsidRPr="00696456">
        <w:rPr>
          <w:rStyle w:val="Funotenzeichen"/>
          <w:sz w:val="22"/>
          <w:szCs w:val="22"/>
        </w:rPr>
        <w:footnoteRef/>
      </w:r>
      <w:r w:rsidRPr="00696456">
        <w:rPr>
          <w:sz w:val="22"/>
          <w:szCs w:val="22"/>
        </w:rPr>
        <w:t xml:space="preserve"> Nelson &amp; Dobson, 2008: p.46</w:t>
      </w:r>
    </w:p>
  </w:footnote>
  <w:footnote w:id="99">
    <w:p w:rsidR="007A77E1" w:rsidRPr="00696456" w:rsidRDefault="007A77E1" w:rsidP="00F9153A">
      <w:pPr>
        <w:pStyle w:val="Funotentext"/>
        <w:rPr>
          <w:sz w:val="22"/>
          <w:szCs w:val="22"/>
        </w:rPr>
      </w:pPr>
      <w:r w:rsidRPr="00696456">
        <w:rPr>
          <w:rStyle w:val="Funotenzeichen"/>
          <w:sz w:val="22"/>
          <w:szCs w:val="22"/>
        </w:rPr>
        <w:footnoteRef/>
      </w:r>
      <w:r w:rsidRPr="00696456">
        <w:rPr>
          <w:sz w:val="22"/>
          <w:szCs w:val="22"/>
        </w:rPr>
        <w:t xml:space="preserve"> AI’s 2005 Annual report, cited in Nelson &amp; Dobson, 2008: p. 68</w:t>
      </w:r>
    </w:p>
  </w:footnote>
  <w:footnote w:id="100">
    <w:p w:rsidR="00E8257C" w:rsidRPr="00696456" w:rsidRDefault="00E8257C" w:rsidP="00E8257C">
      <w:pPr>
        <w:pStyle w:val="Funotentext"/>
        <w:rPr>
          <w:sz w:val="22"/>
          <w:szCs w:val="22"/>
        </w:rPr>
      </w:pPr>
      <w:r w:rsidRPr="00696456">
        <w:rPr>
          <w:rStyle w:val="Funotenzeichen"/>
          <w:sz w:val="22"/>
          <w:szCs w:val="22"/>
        </w:rPr>
        <w:footnoteRef/>
      </w:r>
      <w:r w:rsidRPr="00696456">
        <w:rPr>
          <w:sz w:val="22"/>
          <w:szCs w:val="22"/>
        </w:rPr>
        <w:t xml:space="preserve"> The figure of 160 refers to those States who have ratified the1966 UN </w:t>
      </w:r>
      <w:r w:rsidRPr="00696456">
        <w:rPr>
          <w:bCs/>
          <w:sz w:val="22"/>
          <w:szCs w:val="22"/>
        </w:rPr>
        <w:t>ICESCR</w:t>
      </w:r>
    </w:p>
  </w:footnote>
  <w:footnote w:id="101">
    <w:p w:rsidR="007A77E1" w:rsidRPr="0021628A" w:rsidRDefault="007A77E1" w:rsidP="006710FB">
      <w:pPr>
        <w:rPr>
          <w:sz w:val="22"/>
          <w:szCs w:val="22"/>
        </w:rPr>
      </w:pPr>
      <w:r w:rsidRPr="00696456">
        <w:rPr>
          <w:rStyle w:val="Funotenzeichen"/>
          <w:sz w:val="22"/>
          <w:szCs w:val="22"/>
        </w:rPr>
        <w:footnoteRef/>
      </w:r>
      <w:r>
        <w:rPr>
          <w:sz w:val="22"/>
          <w:szCs w:val="22"/>
        </w:rPr>
        <w:t xml:space="preserve">  Morley, 2010</w:t>
      </w:r>
    </w:p>
  </w:footnote>
  <w:footnote w:id="102">
    <w:p w:rsidR="007A77E1" w:rsidRPr="006463F6" w:rsidRDefault="007A77E1" w:rsidP="00DE6AF6">
      <w:pPr>
        <w:pStyle w:val="Funotentext"/>
        <w:rPr>
          <w:sz w:val="22"/>
          <w:szCs w:val="22"/>
        </w:rPr>
      </w:pPr>
      <w:r w:rsidRPr="006463F6">
        <w:rPr>
          <w:rStyle w:val="Funotenzeichen"/>
          <w:sz w:val="22"/>
          <w:szCs w:val="22"/>
        </w:rPr>
        <w:footnoteRef/>
      </w:r>
      <w:r w:rsidRPr="006463F6">
        <w:rPr>
          <w:sz w:val="22"/>
          <w:szCs w:val="22"/>
        </w:rPr>
        <w:t xml:space="preserve"> </w:t>
      </w:r>
      <w:r>
        <w:rPr>
          <w:sz w:val="22"/>
          <w:szCs w:val="22"/>
        </w:rPr>
        <w:t xml:space="preserve"> </w:t>
      </w:r>
      <w:proofErr w:type="spellStart"/>
      <w:r>
        <w:rPr>
          <w:sz w:val="22"/>
          <w:szCs w:val="22"/>
        </w:rPr>
        <w:t>DfID</w:t>
      </w:r>
      <w:proofErr w:type="spellEnd"/>
      <w:r>
        <w:rPr>
          <w:sz w:val="22"/>
          <w:szCs w:val="22"/>
        </w:rPr>
        <w:t>, 2006</w:t>
      </w:r>
    </w:p>
  </w:footnote>
  <w:footnote w:id="103">
    <w:p w:rsidR="007A77E1" w:rsidRPr="006463F6" w:rsidRDefault="007A77E1" w:rsidP="000B666C">
      <w:pPr>
        <w:pStyle w:val="Funotentext"/>
        <w:rPr>
          <w:sz w:val="22"/>
          <w:szCs w:val="22"/>
        </w:rPr>
      </w:pPr>
      <w:r w:rsidRPr="006463F6">
        <w:rPr>
          <w:rStyle w:val="Funotenzeichen"/>
          <w:sz w:val="22"/>
          <w:szCs w:val="22"/>
        </w:rPr>
        <w:footnoteRef/>
      </w:r>
      <w:r w:rsidRPr="006463F6">
        <w:rPr>
          <w:sz w:val="22"/>
          <w:szCs w:val="22"/>
        </w:rPr>
        <w:t xml:space="preserve"> Philpot-</w:t>
      </w:r>
      <w:proofErr w:type="spellStart"/>
      <w:r w:rsidRPr="006463F6">
        <w:rPr>
          <w:sz w:val="22"/>
          <w:szCs w:val="22"/>
        </w:rPr>
        <w:t>Nissen</w:t>
      </w:r>
      <w:proofErr w:type="spellEnd"/>
      <w:r w:rsidRPr="006463F6">
        <w:rPr>
          <w:sz w:val="22"/>
          <w:szCs w:val="22"/>
        </w:rPr>
        <w:t>, Interview, July 2011</w:t>
      </w:r>
    </w:p>
  </w:footnote>
  <w:footnote w:id="104">
    <w:p w:rsidR="007A77E1" w:rsidRPr="006463F6" w:rsidRDefault="007A77E1" w:rsidP="000B666C">
      <w:pPr>
        <w:pStyle w:val="Funotentext"/>
        <w:rPr>
          <w:sz w:val="22"/>
          <w:szCs w:val="22"/>
        </w:rPr>
      </w:pPr>
      <w:r w:rsidRPr="006463F6">
        <w:rPr>
          <w:rStyle w:val="Funotenzeichen"/>
          <w:sz w:val="22"/>
          <w:szCs w:val="22"/>
        </w:rPr>
        <w:footnoteRef/>
      </w:r>
      <w:r>
        <w:rPr>
          <w:sz w:val="22"/>
          <w:szCs w:val="22"/>
        </w:rPr>
        <w:t xml:space="preserve"> AI, 2011</w:t>
      </w:r>
      <w:r w:rsidRPr="006463F6">
        <w:rPr>
          <w:sz w:val="22"/>
          <w:szCs w:val="22"/>
        </w:rPr>
        <w:t xml:space="preserve"> </w:t>
      </w:r>
    </w:p>
  </w:footnote>
  <w:footnote w:id="105">
    <w:p w:rsidR="007A77E1" w:rsidRPr="006463F6" w:rsidRDefault="007A77E1" w:rsidP="000B666C">
      <w:pPr>
        <w:pStyle w:val="Funotentext"/>
        <w:rPr>
          <w:sz w:val="22"/>
          <w:szCs w:val="22"/>
        </w:rPr>
      </w:pPr>
      <w:r w:rsidRPr="006463F6">
        <w:rPr>
          <w:rStyle w:val="Funotenzeichen"/>
          <w:sz w:val="22"/>
          <w:szCs w:val="22"/>
        </w:rPr>
        <w:footnoteRef/>
      </w:r>
      <w:r w:rsidRPr="006463F6">
        <w:rPr>
          <w:sz w:val="22"/>
          <w:szCs w:val="22"/>
        </w:rPr>
        <w:t xml:space="preserve"> </w:t>
      </w:r>
      <w:proofErr w:type="spellStart"/>
      <w:r w:rsidRPr="006463F6">
        <w:rPr>
          <w:sz w:val="22"/>
          <w:szCs w:val="22"/>
        </w:rPr>
        <w:t>Northover</w:t>
      </w:r>
      <w:proofErr w:type="spellEnd"/>
      <w:r w:rsidRPr="006463F6">
        <w:rPr>
          <w:sz w:val="22"/>
          <w:szCs w:val="22"/>
        </w:rPr>
        <w:t>, Interview, July 2011</w:t>
      </w:r>
    </w:p>
  </w:footnote>
  <w:footnote w:id="106">
    <w:p w:rsidR="007A77E1" w:rsidRPr="006463F6" w:rsidRDefault="007A77E1" w:rsidP="000B666C">
      <w:pPr>
        <w:pStyle w:val="Funotentext"/>
        <w:rPr>
          <w:sz w:val="22"/>
          <w:szCs w:val="22"/>
        </w:rPr>
      </w:pPr>
      <w:r w:rsidRPr="006463F6">
        <w:rPr>
          <w:rStyle w:val="Funotenzeichen"/>
          <w:sz w:val="22"/>
          <w:szCs w:val="22"/>
        </w:rPr>
        <w:footnoteRef/>
      </w:r>
      <w:r w:rsidRPr="006463F6">
        <w:rPr>
          <w:sz w:val="22"/>
          <w:szCs w:val="22"/>
        </w:rPr>
        <w:t xml:space="preserve"> </w:t>
      </w:r>
      <w:proofErr w:type="spellStart"/>
      <w:r w:rsidRPr="006463F6">
        <w:rPr>
          <w:sz w:val="22"/>
          <w:szCs w:val="22"/>
        </w:rPr>
        <w:t>Northover</w:t>
      </w:r>
      <w:proofErr w:type="spellEnd"/>
      <w:r w:rsidRPr="006463F6">
        <w:rPr>
          <w:sz w:val="22"/>
          <w:szCs w:val="22"/>
        </w:rPr>
        <w:t>, Interview, July 2011</w:t>
      </w:r>
    </w:p>
  </w:footnote>
  <w:footnote w:id="107">
    <w:p w:rsidR="007A77E1" w:rsidRPr="006463F6" w:rsidRDefault="007A77E1">
      <w:pPr>
        <w:pStyle w:val="Funotentext"/>
        <w:rPr>
          <w:sz w:val="22"/>
          <w:szCs w:val="22"/>
        </w:rPr>
      </w:pPr>
      <w:r w:rsidRPr="006463F6">
        <w:rPr>
          <w:rStyle w:val="Funotenzeichen"/>
          <w:sz w:val="22"/>
          <w:szCs w:val="22"/>
        </w:rPr>
        <w:footnoteRef/>
      </w:r>
      <w:r w:rsidRPr="006463F6">
        <w:rPr>
          <w:sz w:val="22"/>
          <w:szCs w:val="22"/>
        </w:rPr>
        <w:t xml:space="preserve"> </w:t>
      </w:r>
      <w:proofErr w:type="spellStart"/>
      <w:r w:rsidRPr="006463F6">
        <w:rPr>
          <w:sz w:val="22"/>
          <w:szCs w:val="22"/>
        </w:rPr>
        <w:t>Northover</w:t>
      </w:r>
      <w:proofErr w:type="spellEnd"/>
      <w:r w:rsidRPr="006463F6">
        <w:rPr>
          <w:sz w:val="22"/>
          <w:szCs w:val="22"/>
        </w:rPr>
        <w:t>, Interview, July 2011</w:t>
      </w:r>
    </w:p>
  </w:footnote>
  <w:footnote w:id="108">
    <w:p w:rsidR="007A77E1" w:rsidRPr="006463F6" w:rsidRDefault="007A77E1" w:rsidP="000B666C">
      <w:pPr>
        <w:pStyle w:val="Funotentext"/>
        <w:rPr>
          <w:sz w:val="22"/>
          <w:szCs w:val="22"/>
        </w:rPr>
      </w:pPr>
      <w:r w:rsidRPr="006463F6">
        <w:rPr>
          <w:rStyle w:val="Funotenzeichen"/>
          <w:sz w:val="22"/>
          <w:szCs w:val="22"/>
        </w:rPr>
        <w:footnoteRef/>
      </w:r>
      <w:r w:rsidRPr="006463F6">
        <w:rPr>
          <w:sz w:val="22"/>
          <w:szCs w:val="22"/>
        </w:rPr>
        <w:t xml:space="preserve"> George, Interview, August 2011</w:t>
      </w:r>
    </w:p>
  </w:footnote>
  <w:footnote w:id="109">
    <w:p w:rsidR="007A77E1" w:rsidRPr="0021628A" w:rsidRDefault="007A77E1" w:rsidP="000B666C">
      <w:pPr>
        <w:pStyle w:val="Funotentext"/>
        <w:rPr>
          <w:sz w:val="22"/>
          <w:szCs w:val="22"/>
        </w:rPr>
      </w:pPr>
      <w:r w:rsidRPr="0021628A">
        <w:rPr>
          <w:rStyle w:val="Funotenzeichen"/>
          <w:sz w:val="22"/>
          <w:szCs w:val="22"/>
        </w:rPr>
        <w:footnoteRef/>
      </w:r>
      <w:r w:rsidRPr="0021628A">
        <w:rPr>
          <w:sz w:val="22"/>
          <w:szCs w:val="22"/>
        </w:rPr>
        <w:t xml:space="preserve"> Summary of Chapman in Edwards &amp; </w:t>
      </w:r>
      <w:proofErr w:type="spellStart"/>
      <w:r w:rsidRPr="0021628A">
        <w:rPr>
          <w:sz w:val="22"/>
          <w:szCs w:val="22"/>
        </w:rPr>
        <w:t>Gaventa</w:t>
      </w:r>
      <w:proofErr w:type="spellEnd"/>
      <w:r w:rsidRPr="0021628A">
        <w:rPr>
          <w:sz w:val="22"/>
          <w:szCs w:val="22"/>
        </w:rPr>
        <w:t>, 2001: p.263 (fig. 19.1)</w:t>
      </w:r>
    </w:p>
  </w:footnote>
  <w:footnote w:id="110">
    <w:p w:rsidR="007A77E1" w:rsidRPr="009F0E5E" w:rsidRDefault="007A77E1" w:rsidP="00A50A52">
      <w:pPr>
        <w:pStyle w:val="Funotentext"/>
        <w:rPr>
          <w:sz w:val="22"/>
          <w:szCs w:val="22"/>
        </w:rPr>
      </w:pPr>
      <w:r w:rsidRPr="009F0E5E">
        <w:rPr>
          <w:rStyle w:val="Funotenzeichen"/>
          <w:sz w:val="22"/>
          <w:szCs w:val="22"/>
        </w:rPr>
        <w:footnoteRef/>
      </w:r>
      <w:r w:rsidRPr="009F0E5E">
        <w:rPr>
          <w:sz w:val="22"/>
          <w:szCs w:val="22"/>
        </w:rPr>
        <w:t xml:space="preserve"> </w:t>
      </w:r>
      <w:r w:rsidRPr="00374C23">
        <w:rPr>
          <w:sz w:val="22"/>
          <w:szCs w:val="22"/>
        </w:rPr>
        <w:t>Albuquerque, Namibia Country Report, 2011</w:t>
      </w:r>
    </w:p>
  </w:footnote>
  <w:footnote w:id="111">
    <w:p w:rsidR="007A77E1" w:rsidRPr="00D079F6" w:rsidRDefault="007A77E1" w:rsidP="00A50A52">
      <w:pPr>
        <w:pStyle w:val="Funotentext"/>
        <w:rPr>
          <w:sz w:val="22"/>
          <w:szCs w:val="22"/>
        </w:rPr>
      </w:pPr>
      <w:r w:rsidRPr="009F0E5E">
        <w:rPr>
          <w:rStyle w:val="Funotenzeichen"/>
          <w:sz w:val="22"/>
          <w:szCs w:val="22"/>
        </w:rPr>
        <w:footnoteRef/>
      </w:r>
      <w:r w:rsidRPr="009F0E5E">
        <w:rPr>
          <w:sz w:val="22"/>
          <w:szCs w:val="22"/>
        </w:rPr>
        <w:t xml:space="preserve"> </w:t>
      </w:r>
      <w:r>
        <w:rPr>
          <w:sz w:val="22"/>
          <w:szCs w:val="22"/>
        </w:rPr>
        <w:t>Republic of Namibia, 1990</w:t>
      </w:r>
      <w:r w:rsidRPr="00D079F6">
        <w:rPr>
          <w:sz w:val="22"/>
          <w:szCs w:val="22"/>
        </w:rPr>
        <w:t xml:space="preserve"> </w:t>
      </w:r>
    </w:p>
  </w:footnote>
  <w:footnote w:id="112">
    <w:p w:rsidR="007A77E1" w:rsidRPr="00D079F6" w:rsidRDefault="007A77E1" w:rsidP="009D7192">
      <w:pPr>
        <w:pStyle w:val="Funotentext"/>
        <w:rPr>
          <w:sz w:val="22"/>
          <w:szCs w:val="22"/>
        </w:rPr>
      </w:pPr>
      <w:r w:rsidRPr="00D079F6">
        <w:rPr>
          <w:rStyle w:val="Funotenzeichen"/>
          <w:sz w:val="22"/>
          <w:szCs w:val="22"/>
        </w:rPr>
        <w:footnoteRef/>
      </w:r>
      <w:r w:rsidRPr="00D079F6">
        <w:rPr>
          <w:sz w:val="22"/>
          <w:szCs w:val="22"/>
        </w:rPr>
        <w:t xml:space="preserve"> Albuquerque, Namibia Report, 2011</w:t>
      </w:r>
    </w:p>
  </w:footnote>
  <w:footnote w:id="113">
    <w:p w:rsidR="007A77E1" w:rsidRPr="00D079F6" w:rsidRDefault="007A77E1" w:rsidP="009F0E5E">
      <w:pPr>
        <w:pStyle w:val="Funotentext"/>
        <w:rPr>
          <w:sz w:val="22"/>
          <w:szCs w:val="22"/>
        </w:rPr>
      </w:pPr>
      <w:r w:rsidRPr="00D079F6">
        <w:rPr>
          <w:rStyle w:val="Funotenzeichen"/>
          <w:sz w:val="22"/>
          <w:szCs w:val="22"/>
        </w:rPr>
        <w:footnoteRef/>
      </w:r>
      <w:r w:rsidRPr="00D079F6">
        <w:rPr>
          <w:sz w:val="22"/>
          <w:szCs w:val="22"/>
        </w:rPr>
        <w:t xml:space="preserve"> </w:t>
      </w:r>
      <w:proofErr w:type="spellStart"/>
      <w:r w:rsidRPr="00D079F6">
        <w:rPr>
          <w:sz w:val="22"/>
          <w:szCs w:val="22"/>
        </w:rPr>
        <w:t>Northover</w:t>
      </w:r>
      <w:proofErr w:type="spellEnd"/>
      <w:r w:rsidRPr="00D079F6">
        <w:rPr>
          <w:sz w:val="22"/>
          <w:szCs w:val="22"/>
        </w:rPr>
        <w:t>, 2008: p.4</w:t>
      </w:r>
    </w:p>
  </w:footnote>
  <w:footnote w:id="114">
    <w:p w:rsidR="007A77E1" w:rsidRPr="00D079F6" w:rsidRDefault="007A77E1">
      <w:pPr>
        <w:pStyle w:val="Funotentext"/>
        <w:rPr>
          <w:sz w:val="22"/>
          <w:szCs w:val="22"/>
        </w:rPr>
      </w:pPr>
      <w:r w:rsidRPr="00D079F6">
        <w:rPr>
          <w:rStyle w:val="Funotenzeichen"/>
          <w:sz w:val="22"/>
          <w:szCs w:val="22"/>
        </w:rPr>
        <w:footnoteRef/>
      </w:r>
      <w:r w:rsidRPr="00D079F6">
        <w:rPr>
          <w:sz w:val="22"/>
          <w:szCs w:val="22"/>
        </w:rPr>
        <w:t xml:space="preserve"> </w:t>
      </w:r>
      <w:proofErr w:type="spellStart"/>
      <w:r w:rsidRPr="00D079F6">
        <w:rPr>
          <w:sz w:val="22"/>
          <w:szCs w:val="22"/>
        </w:rPr>
        <w:t>Northover</w:t>
      </w:r>
      <w:proofErr w:type="spellEnd"/>
      <w:r w:rsidRPr="00D079F6">
        <w:rPr>
          <w:sz w:val="22"/>
          <w:szCs w:val="22"/>
        </w:rPr>
        <w:t>, Interview, July 2011</w:t>
      </w:r>
    </w:p>
  </w:footnote>
  <w:footnote w:id="115">
    <w:p w:rsidR="007A77E1" w:rsidRDefault="007A77E1">
      <w:pPr>
        <w:pStyle w:val="Funotentext"/>
      </w:pPr>
      <w:r>
        <w:rPr>
          <w:rStyle w:val="Funotenzeichen"/>
        </w:rPr>
        <w:footnoteRef/>
      </w:r>
      <w:r>
        <w:t xml:space="preserve"> </w:t>
      </w:r>
      <w:proofErr w:type="spellStart"/>
      <w:r w:rsidRPr="00C23438">
        <w:rPr>
          <w:sz w:val="22"/>
          <w:szCs w:val="22"/>
        </w:rPr>
        <w:t>Ratlam</w:t>
      </w:r>
      <w:proofErr w:type="spellEnd"/>
      <w:r w:rsidRPr="00C23438">
        <w:rPr>
          <w:sz w:val="22"/>
          <w:szCs w:val="22"/>
        </w:rPr>
        <w:t xml:space="preserve"> Municipal Council v. </w:t>
      </w:r>
      <w:proofErr w:type="spellStart"/>
      <w:r w:rsidRPr="00C23438">
        <w:rPr>
          <w:sz w:val="22"/>
          <w:szCs w:val="22"/>
        </w:rPr>
        <w:t>Shri</w:t>
      </w:r>
      <w:proofErr w:type="spellEnd"/>
      <w:r w:rsidRPr="00C23438">
        <w:rPr>
          <w:sz w:val="22"/>
          <w:szCs w:val="22"/>
        </w:rPr>
        <w:t xml:space="preserve"> </w:t>
      </w:r>
      <w:proofErr w:type="spellStart"/>
      <w:r w:rsidRPr="00C23438">
        <w:rPr>
          <w:sz w:val="22"/>
          <w:szCs w:val="22"/>
        </w:rPr>
        <w:t>Vardhichand</w:t>
      </w:r>
      <w:proofErr w:type="spellEnd"/>
      <w:r w:rsidRPr="00C23438">
        <w:rPr>
          <w:sz w:val="22"/>
          <w:szCs w:val="22"/>
        </w:rPr>
        <w:t xml:space="preserve"> &amp; Others, Supreme Court of India, </w:t>
      </w:r>
      <w:proofErr w:type="gramStart"/>
      <w:r w:rsidRPr="00C23438">
        <w:rPr>
          <w:sz w:val="22"/>
          <w:szCs w:val="22"/>
        </w:rPr>
        <w:t>29</w:t>
      </w:r>
      <w:proofErr w:type="gramEnd"/>
      <w:r w:rsidRPr="00C23438">
        <w:rPr>
          <w:sz w:val="22"/>
          <w:szCs w:val="22"/>
        </w:rPr>
        <w:t xml:space="preserve"> July 1980 is perhaps the strongest piece of jurisprudence on the legal right to sanitation. The </w:t>
      </w:r>
      <w:proofErr w:type="spellStart"/>
      <w:r w:rsidRPr="00C23438">
        <w:rPr>
          <w:sz w:val="22"/>
          <w:szCs w:val="22"/>
        </w:rPr>
        <w:t>courts</w:t>
      </w:r>
      <w:proofErr w:type="spellEnd"/>
      <w:r w:rsidRPr="00C23438">
        <w:rPr>
          <w:sz w:val="22"/>
          <w:szCs w:val="22"/>
        </w:rPr>
        <w:t xml:space="preserve"> decision ruled against the “municipality’s failure to provide basic public conveniences” and asserted that the human need that leads to OD makes “bashfulness becomes a luxury and dignity a difficult art.” Cited in COHRE et al, 2008: p.15</w:t>
      </w:r>
    </w:p>
  </w:footnote>
  <w:footnote w:id="116">
    <w:p w:rsidR="007A77E1" w:rsidRPr="004033ED" w:rsidRDefault="007A77E1" w:rsidP="001618BF">
      <w:pPr>
        <w:pStyle w:val="Funotentext"/>
        <w:rPr>
          <w:sz w:val="22"/>
          <w:szCs w:val="22"/>
        </w:rPr>
      </w:pPr>
      <w:r w:rsidRPr="004033ED">
        <w:rPr>
          <w:rStyle w:val="Funotenzeichen"/>
          <w:sz w:val="22"/>
          <w:szCs w:val="22"/>
        </w:rPr>
        <w:footnoteRef/>
      </w:r>
      <w:r w:rsidRPr="004033ED">
        <w:rPr>
          <w:sz w:val="22"/>
          <w:szCs w:val="22"/>
        </w:rPr>
        <w:t xml:space="preserve"> Chapman in Edwards &amp; </w:t>
      </w:r>
      <w:proofErr w:type="spellStart"/>
      <w:r w:rsidRPr="004033ED">
        <w:rPr>
          <w:sz w:val="22"/>
          <w:szCs w:val="22"/>
        </w:rPr>
        <w:t>Gaventa</w:t>
      </w:r>
      <w:proofErr w:type="spellEnd"/>
      <w:r w:rsidRPr="004033ED">
        <w:rPr>
          <w:sz w:val="22"/>
          <w:szCs w:val="22"/>
        </w:rPr>
        <w:t>, 2001: p.260</w:t>
      </w:r>
    </w:p>
  </w:footnote>
  <w:footnote w:id="117">
    <w:p w:rsidR="007A77E1" w:rsidRPr="004033ED" w:rsidRDefault="007A77E1">
      <w:pPr>
        <w:pStyle w:val="Funotentext"/>
        <w:rPr>
          <w:sz w:val="22"/>
          <w:szCs w:val="22"/>
        </w:rPr>
      </w:pPr>
      <w:r w:rsidRPr="004033ED">
        <w:rPr>
          <w:rStyle w:val="Funotenzeichen"/>
          <w:sz w:val="22"/>
          <w:szCs w:val="22"/>
        </w:rPr>
        <w:footnoteRef/>
      </w:r>
      <w:r w:rsidRPr="004033ED">
        <w:rPr>
          <w:sz w:val="22"/>
          <w:szCs w:val="22"/>
        </w:rPr>
        <w:t xml:space="preserve"> </w:t>
      </w:r>
      <w:proofErr w:type="spellStart"/>
      <w:r w:rsidRPr="004033ED">
        <w:rPr>
          <w:sz w:val="22"/>
          <w:szCs w:val="22"/>
        </w:rPr>
        <w:t>Gready</w:t>
      </w:r>
      <w:proofErr w:type="spellEnd"/>
      <w:r w:rsidRPr="004033ED">
        <w:rPr>
          <w:sz w:val="22"/>
          <w:szCs w:val="22"/>
        </w:rPr>
        <w:t>, 2004: p.24</w:t>
      </w:r>
    </w:p>
  </w:footnote>
  <w:footnote w:id="118">
    <w:p w:rsidR="007A77E1" w:rsidRPr="004033ED" w:rsidRDefault="007A77E1" w:rsidP="00671D10">
      <w:pPr>
        <w:pStyle w:val="Funotentext"/>
        <w:rPr>
          <w:sz w:val="22"/>
          <w:szCs w:val="22"/>
        </w:rPr>
      </w:pPr>
      <w:r w:rsidRPr="004033ED">
        <w:rPr>
          <w:rStyle w:val="Funotenzeichen"/>
          <w:sz w:val="22"/>
          <w:szCs w:val="22"/>
        </w:rPr>
        <w:footnoteRef/>
      </w:r>
      <w:r w:rsidRPr="004033ED">
        <w:rPr>
          <w:sz w:val="22"/>
          <w:szCs w:val="22"/>
        </w:rPr>
        <w:t xml:space="preserve"> </w:t>
      </w:r>
      <w:proofErr w:type="spellStart"/>
      <w:r w:rsidRPr="004033ED">
        <w:rPr>
          <w:sz w:val="22"/>
          <w:szCs w:val="22"/>
        </w:rPr>
        <w:t>Gready</w:t>
      </w:r>
      <w:proofErr w:type="spellEnd"/>
      <w:r w:rsidRPr="004033ED">
        <w:rPr>
          <w:sz w:val="22"/>
          <w:szCs w:val="22"/>
        </w:rPr>
        <w:t>, 2004: p.24</w:t>
      </w:r>
    </w:p>
  </w:footnote>
  <w:footnote w:id="119">
    <w:p w:rsidR="007A77E1" w:rsidRPr="004033ED" w:rsidRDefault="007A77E1" w:rsidP="001618BF">
      <w:pPr>
        <w:pStyle w:val="Funotentext"/>
        <w:rPr>
          <w:sz w:val="22"/>
          <w:szCs w:val="22"/>
        </w:rPr>
      </w:pPr>
      <w:r w:rsidRPr="004033ED">
        <w:rPr>
          <w:rStyle w:val="Funotenzeichen"/>
          <w:sz w:val="22"/>
          <w:szCs w:val="22"/>
        </w:rPr>
        <w:footnoteRef/>
      </w:r>
      <w:r w:rsidRPr="004033ED">
        <w:rPr>
          <w:sz w:val="22"/>
          <w:szCs w:val="22"/>
        </w:rPr>
        <w:t xml:space="preserve"> Chapman in Edwards &amp; </w:t>
      </w:r>
      <w:proofErr w:type="spellStart"/>
      <w:r w:rsidRPr="004033ED">
        <w:rPr>
          <w:sz w:val="22"/>
          <w:szCs w:val="22"/>
        </w:rPr>
        <w:t>Gaventa</w:t>
      </w:r>
      <w:proofErr w:type="spellEnd"/>
      <w:r w:rsidRPr="004033ED">
        <w:rPr>
          <w:sz w:val="22"/>
          <w:szCs w:val="22"/>
        </w:rPr>
        <w:t>, 2001: p.260</w:t>
      </w:r>
    </w:p>
  </w:footnote>
  <w:footnote w:id="120">
    <w:p w:rsidR="007A77E1" w:rsidRPr="004033ED" w:rsidRDefault="007A77E1">
      <w:pPr>
        <w:pStyle w:val="Funotentext"/>
        <w:rPr>
          <w:sz w:val="22"/>
          <w:szCs w:val="22"/>
        </w:rPr>
      </w:pPr>
      <w:r w:rsidRPr="004033ED">
        <w:rPr>
          <w:rStyle w:val="Funotenzeichen"/>
          <w:sz w:val="22"/>
          <w:szCs w:val="22"/>
        </w:rPr>
        <w:footnoteRef/>
      </w:r>
      <w:r w:rsidRPr="004033ED">
        <w:rPr>
          <w:sz w:val="22"/>
          <w:szCs w:val="22"/>
        </w:rPr>
        <w:t xml:space="preserve"> See Keck &amp; </w:t>
      </w:r>
      <w:proofErr w:type="spellStart"/>
      <w:r w:rsidRPr="004033ED">
        <w:rPr>
          <w:sz w:val="22"/>
          <w:szCs w:val="22"/>
        </w:rPr>
        <w:t>Sikkink</w:t>
      </w:r>
      <w:proofErr w:type="spellEnd"/>
      <w:r w:rsidRPr="004033ED">
        <w:rPr>
          <w:sz w:val="22"/>
          <w:szCs w:val="22"/>
        </w:rPr>
        <w:t xml:space="preserve"> for a discussion of David Snow’s work on “frame alignment”, 1998: p.17</w:t>
      </w:r>
    </w:p>
  </w:footnote>
  <w:footnote w:id="121">
    <w:p w:rsidR="007A77E1" w:rsidRPr="004033ED" w:rsidRDefault="007A77E1">
      <w:pPr>
        <w:pStyle w:val="Funotentext"/>
        <w:rPr>
          <w:sz w:val="22"/>
          <w:szCs w:val="22"/>
        </w:rPr>
      </w:pPr>
      <w:r w:rsidRPr="004033ED">
        <w:rPr>
          <w:rStyle w:val="Funotenzeichen"/>
          <w:sz w:val="22"/>
          <w:szCs w:val="22"/>
        </w:rPr>
        <w:footnoteRef/>
      </w:r>
      <w:r w:rsidRPr="004033ED">
        <w:rPr>
          <w:sz w:val="22"/>
          <w:szCs w:val="22"/>
        </w:rPr>
        <w:t xml:space="preserve"> Keck &amp; </w:t>
      </w:r>
      <w:proofErr w:type="spellStart"/>
      <w:r w:rsidRPr="004033ED">
        <w:rPr>
          <w:sz w:val="22"/>
          <w:szCs w:val="22"/>
        </w:rPr>
        <w:t>Sikkink</w:t>
      </w:r>
      <w:proofErr w:type="spellEnd"/>
      <w:r w:rsidRPr="004033ED">
        <w:rPr>
          <w:sz w:val="22"/>
          <w:szCs w:val="22"/>
        </w:rPr>
        <w:t>, 1998: p.17</w:t>
      </w:r>
    </w:p>
  </w:footnote>
  <w:footnote w:id="122">
    <w:p w:rsidR="007A77E1" w:rsidRPr="004033ED" w:rsidRDefault="007A77E1" w:rsidP="00671D10">
      <w:pPr>
        <w:pStyle w:val="Funotentext"/>
        <w:rPr>
          <w:sz w:val="22"/>
          <w:szCs w:val="22"/>
        </w:rPr>
      </w:pPr>
      <w:r w:rsidRPr="004033ED">
        <w:rPr>
          <w:rStyle w:val="Funotenzeichen"/>
          <w:sz w:val="22"/>
          <w:szCs w:val="22"/>
        </w:rPr>
        <w:footnoteRef/>
      </w:r>
      <w:r w:rsidRPr="004033ED">
        <w:rPr>
          <w:sz w:val="22"/>
          <w:szCs w:val="22"/>
        </w:rPr>
        <w:t xml:space="preserve"> </w:t>
      </w:r>
      <w:proofErr w:type="spellStart"/>
      <w:r w:rsidRPr="004033ED">
        <w:rPr>
          <w:sz w:val="22"/>
          <w:szCs w:val="22"/>
        </w:rPr>
        <w:t>Gready</w:t>
      </w:r>
      <w:proofErr w:type="spellEnd"/>
      <w:r w:rsidRPr="004033ED">
        <w:rPr>
          <w:sz w:val="22"/>
          <w:szCs w:val="22"/>
        </w:rPr>
        <w:t>, 2004: p.24</w:t>
      </w:r>
    </w:p>
  </w:footnote>
  <w:footnote w:id="123">
    <w:p w:rsidR="007A77E1" w:rsidRPr="004033ED" w:rsidRDefault="007A77E1" w:rsidP="00244E65">
      <w:pPr>
        <w:pStyle w:val="Funotentext"/>
        <w:ind w:left="284" w:hanging="284"/>
        <w:rPr>
          <w:sz w:val="22"/>
          <w:szCs w:val="22"/>
        </w:rPr>
      </w:pPr>
      <w:r w:rsidRPr="004033ED">
        <w:rPr>
          <w:rStyle w:val="Funotenzeichen"/>
          <w:sz w:val="22"/>
          <w:szCs w:val="22"/>
        </w:rPr>
        <w:footnoteRef/>
      </w:r>
      <w:r w:rsidRPr="004033ED">
        <w:rPr>
          <w:sz w:val="22"/>
          <w:szCs w:val="22"/>
        </w:rPr>
        <w:t xml:space="preserve"> For example, see discussion of the successful reframing from female circumcision to Female  Genital Mutilation (FGM) in Keck &amp; </w:t>
      </w:r>
      <w:proofErr w:type="spellStart"/>
      <w:r w:rsidRPr="004033ED">
        <w:rPr>
          <w:sz w:val="22"/>
          <w:szCs w:val="22"/>
        </w:rPr>
        <w:t>Sikkink</w:t>
      </w:r>
      <w:proofErr w:type="spellEnd"/>
      <w:r w:rsidRPr="004033ED">
        <w:rPr>
          <w:sz w:val="22"/>
          <w:szCs w:val="22"/>
        </w:rPr>
        <w:t xml:space="preserve"> (1998: 66-72)</w:t>
      </w:r>
    </w:p>
  </w:footnote>
  <w:footnote w:id="124">
    <w:p w:rsidR="007A77E1" w:rsidRPr="004033ED" w:rsidRDefault="007A77E1">
      <w:pPr>
        <w:pStyle w:val="Funotentext"/>
        <w:rPr>
          <w:sz w:val="22"/>
          <w:szCs w:val="22"/>
        </w:rPr>
      </w:pPr>
      <w:r w:rsidRPr="004033ED">
        <w:rPr>
          <w:rStyle w:val="Funotenzeichen"/>
          <w:sz w:val="22"/>
          <w:szCs w:val="22"/>
        </w:rPr>
        <w:footnoteRef/>
      </w:r>
      <w:r w:rsidRPr="004033ED">
        <w:rPr>
          <w:sz w:val="22"/>
          <w:szCs w:val="22"/>
        </w:rPr>
        <w:t xml:space="preserve"> </w:t>
      </w:r>
      <w:proofErr w:type="spellStart"/>
      <w:r w:rsidRPr="004033ED">
        <w:rPr>
          <w:sz w:val="22"/>
          <w:szCs w:val="22"/>
        </w:rPr>
        <w:t>Lakoff</w:t>
      </w:r>
      <w:proofErr w:type="spellEnd"/>
      <w:r w:rsidRPr="004033ED">
        <w:rPr>
          <w:sz w:val="22"/>
          <w:szCs w:val="22"/>
        </w:rPr>
        <w:t xml:space="preserve"> (2004), cited in </w:t>
      </w:r>
      <w:proofErr w:type="spellStart"/>
      <w:r w:rsidRPr="004033ED">
        <w:rPr>
          <w:sz w:val="22"/>
          <w:szCs w:val="22"/>
        </w:rPr>
        <w:t>Darnton</w:t>
      </w:r>
      <w:proofErr w:type="spellEnd"/>
      <w:r w:rsidRPr="004033ED">
        <w:rPr>
          <w:sz w:val="22"/>
          <w:szCs w:val="22"/>
        </w:rPr>
        <w:t xml:space="preserve"> &amp; Kirk, 2011: p.8</w:t>
      </w:r>
    </w:p>
  </w:footnote>
  <w:footnote w:id="125">
    <w:p w:rsidR="007A77E1" w:rsidRPr="00AB59EE" w:rsidRDefault="007A77E1" w:rsidP="007F150E">
      <w:pPr>
        <w:pStyle w:val="Funotentext"/>
        <w:rPr>
          <w:sz w:val="22"/>
          <w:szCs w:val="22"/>
        </w:rPr>
      </w:pPr>
      <w:r w:rsidRPr="004033ED">
        <w:rPr>
          <w:rStyle w:val="Funotenzeichen"/>
          <w:sz w:val="22"/>
          <w:szCs w:val="22"/>
        </w:rPr>
        <w:footnoteRef/>
      </w:r>
      <w:r w:rsidRPr="004033ED">
        <w:rPr>
          <w:sz w:val="22"/>
          <w:szCs w:val="22"/>
        </w:rPr>
        <w:t xml:space="preserve"> </w:t>
      </w:r>
      <w:proofErr w:type="spellStart"/>
      <w:r w:rsidRPr="004033ED">
        <w:rPr>
          <w:sz w:val="22"/>
          <w:szCs w:val="22"/>
        </w:rPr>
        <w:t>Lakoff</w:t>
      </w:r>
      <w:proofErr w:type="spellEnd"/>
      <w:r w:rsidRPr="004033ED">
        <w:rPr>
          <w:sz w:val="22"/>
          <w:szCs w:val="22"/>
        </w:rPr>
        <w:t xml:space="preserve">, cited in </w:t>
      </w:r>
      <w:proofErr w:type="spellStart"/>
      <w:r w:rsidRPr="004033ED">
        <w:rPr>
          <w:sz w:val="22"/>
          <w:szCs w:val="22"/>
        </w:rPr>
        <w:t>Darton</w:t>
      </w:r>
      <w:proofErr w:type="spellEnd"/>
      <w:r w:rsidRPr="004033ED">
        <w:rPr>
          <w:sz w:val="22"/>
          <w:szCs w:val="22"/>
        </w:rPr>
        <w:t xml:space="preserve"> and Kirk (exec. 2011: p.1)</w:t>
      </w:r>
    </w:p>
  </w:footnote>
  <w:footnote w:id="126">
    <w:p w:rsidR="007A77E1" w:rsidRPr="00AB59EE" w:rsidRDefault="007A77E1" w:rsidP="00BD5A40">
      <w:pPr>
        <w:pStyle w:val="Funotentext"/>
        <w:rPr>
          <w:sz w:val="22"/>
          <w:szCs w:val="22"/>
        </w:rPr>
      </w:pPr>
      <w:r w:rsidRPr="00AB59EE">
        <w:rPr>
          <w:rStyle w:val="Funotenzeichen"/>
          <w:sz w:val="22"/>
          <w:szCs w:val="22"/>
        </w:rPr>
        <w:footnoteRef/>
      </w:r>
      <w:r w:rsidRPr="00AB59EE">
        <w:rPr>
          <w:sz w:val="22"/>
          <w:szCs w:val="22"/>
        </w:rPr>
        <w:t xml:space="preserve"> </w:t>
      </w:r>
      <w:proofErr w:type="spellStart"/>
      <w:r w:rsidRPr="00AB59EE">
        <w:rPr>
          <w:sz w:val="22"/>
          <w:szCs w:val="22"/>
        </w:rPr>
        <w:t>Darnton</w:t>
      </w:r>
      <w:proofErr w:type="spellEnd"/>
      <w:r w:rsidRPr="00AB59EE">
        <w:rPr>
          <w:sz w:val="22"/>
          <w:szCs w:val="22"/>
        </w:rPr>
        <w:t xml:space="preserve"> &amp; Kirk, 2011: p.40</w:t>
      </w:r>
    </w:p>
  </w:footnote>
  <w:footnote w:id="127">
    <w:p w:rsidR="007A77E1" w:rsidRPr="00AD5909" w:rsidRDefault="007A77E1" w:rsidP="00973635">
      <w:pPr>
        <w:pStyle w:val="Funotentext"/>
        <w:rPr>
          <w:sz w:val="22"/>
          <w:szCs w:val="22"/>
        </w:rPr>
      </w:pPr>
      <w:r w:rsidRPr="00AD5909">
        <w:rPr>
          <w:rStyle w:val="Funotenzeichen"/>
          <w:sz w:val="22"/>
          <w:szCs w:val="22"/>
        </w:rPr>
        <w:footnoteRef/>
      </w:r>
      <w:r w:rsidRPr="00AD5909">
        <w:rPr>
          <w:sz w:val="22"/>
          <w:szCs w:val="22"/>
        </w:rPr>
        <w:t xml:space="preserve"> Chapman in Edwards &amp; </w:t>
      </w:r>
      <w:proofErr w:type="spellStart"/>
      <w:r w:rsidRPr="00AD5909">
        <w:rPr>
          <w:sz w:val="22"/>
          <w:szCs w:val="22"/>
        </w:rPr>
        <w:t>Gaventa</w:t>
      </w:r>
      <w:proofErr w:type="spellEnd"/>
      <w:r w:rsidRPr="00AD5909">
        <w:rPr>
          <w:sz w:val="22"/>
          <w:szCs w:val="22"/>
        </w:rPr>
        <w:t>, 2001: p.260</w:t>
      </w:r>
    </w:p>
  </w:footnote>
  <w:footnote w:id="128">
    <w:p w:rsidR="007A77E1" w:rsidRDefault="007A77E1">
      <w:pPr>
        <w:pStyle w:val="Funotentext"/>
      </w:pPr>
      <w:r>
        <w:rPr>
          <w:rStyle w:val="Funotenzeichen"/>
        </w:rPr>
        <w:footnoteRef/>
      </w:r>
      <w:r>
        <w:t xml:space="preserve">  </w:t>
      </w:r>
      <w:proofErr w:type="spellStart"/>
      <w:r w:rsidRPr="001D753E">
        <w:rPr>
          <w:sz w:val="22"/>
          <w:szCs w:val="22"/>
        </w:rPr>
        <w:t>Gladwell</w:t>
      </w:r>
      <w:proofErr w:type="spellEnd"/>
      <w:r w:rsidRPr="001D753E">
        <w:rPr>
          <w:sz w:val="22"/>
          <w:szCs w:val="22"/>
        </w:rPr>
        <w:t>, 2001: p.7</w:t>
      </w:r>
    </w:p>
  </w:footnote>
  <w:footnote w:id="129">
    <w:p w:rsidR="007A77E1" w:rsidRDefault="007A77E1">
      <w:pPr>
        <w:pStyle w:val="Funotentext"/>
      </w:pPr>
      <w:r>
        <w:rPr>
          <w:rStyle w:val="Funotenzeichen"/>
        </w:rPr>
        <w:footnoteRef/>
      </w:r>
      <w:r>
        <w:t xml:space="preserve">  </w:t>
      </w:r>
      <w:proofErr w:type="spellStart"/>
      <w:r w:rsidRPr="001D753E">
        <w:rPr>
          <w:sz w:val="22"/>
          <w:szCs w:val="22"/>
        </w:rPr>
        <w:t>Gladwell</w:t>
      </w:r>
      <w:proofErr w:type="spellEnd"/>
      <w:r w:rsidRPr="001D753E">
        <w:rPr>
          <w:sz w:val="22"/>
          <w:szCs w:val="22"/>
        </w:rPr>
        <w:t>, 2001: p.7</w:t>
      </w:r>
    </w:p>
  </w:footnote>
  <w:footnote w:id="130">
    <w:p w:rsidR="007A77E1" w:rsidRPr="00AD5909" w:rsidRDefault="007A77E1" w:rsidP="001039A2">
      <w:pPr>
        <w:pStyle w:val="Funotentext"/>
        <w:rPr>
          <w:sz w:val="22"/>
          <w:szCs w:val="22"/>
        </w:rPr>
      </w:pPr>
      <w:r w:rsidRPr="00AD5909">
        <w:rPr>
          <w:rStyle w:val="Funotenzeichen"/>
          <w:sz w:val="22"/>
          <w:szCs w:val="22"/>
        </w:rPr>
        <w:footnoteRef/>
      </w:r>
      <w:r w:rsidRPr="00AD5909">
        <w:rPr>
          <w:sz w:val="22"/>
          <w:szCs w:val="22"/>
        </w:rPr>
        <w:t xml:space="preserve"> </w:t>
      </w:r>
      <w:proofErr w:type="spellStart"/>
      <w:r w:rsidRPr="00AD5909">
        <w:rPr>
          <w:sz w:val="22"/>
          <w:szCs w:val="22"/>
        </w:rPr>
        <w:t>Finnemore</w:t>
      </w:r>
      <w:proofErr w:type="spellEnd"/>
      <w:r w:rsidRPr="00AD5909">
        <w:rPr>
          <w:sz w:val="22"/>
          <w:szCs w:val="22"/>
        </w:rPr>
        <w:t xml:space="preserve"> &amp; </w:t>
      </w:r>
      <w:proofErr w:type="spellStart"/>
      <w:r w:rsidRPr="00AD5909">
        <w:rPr>
          <w:sz w:val="22"/>
          <w:szCs w:val="22"/>
        </w:rPr>
        <w:t>Sikkink</w:t>
      </w:r>
      <w:proofErr w:type="spellEnd"/>
      <w:r w:rsidRPr="00AD5909">
        <w:rPr>
          <w:sz w:val="22"/>
          <w:szCs w:val="22"/>
        </w:rPr>
        <w:t>, 1998, p.895</w:t>
      </w:r>
    </w:p>
  </w:footnote>
  <w:footnote w:id="131">
    <w:p w:rsidR="007A77E1" w:rsidRDefault="007A77E1">
      <w:pPr>
        <w:pStyle w:val="Funotentext"/>
      </w:pPr>
      <w:r>
        <w:rPr>
          <w:rStyle w:val="Funotenzeichen"/>
        </w:rPr>
        <w:footnoteRef/>
      </w:r>
      <w:r>
        <w:t xml:space="preserve">  </w:t>
      </w:r>
      <w:proofErr w:type="spellStart"/>
      <w:r w:rsidRPr="00A07F1A">
        <w:rPr>
          <w:sz w:val="22"/>
          <w:szCs w:val="22"/>
        </w:rPr>
        <w:t>Gladwell</w:t>
      </w:r>
      <w:proofErr w:type="spellEnd"/>
      <w:r w:rsidRPr="00A07F1A">
        <w:rPr>
          <w:sz w:val="22"/>
          <w:szCs w:val="22"/>
        </w:rPr>
        <w:t xml:space="preserve">, </w:t>
      </w:r>
      <w:r w:rsidRPr="001D753E">
        <w:rPr>
          <w:sz w:val="22"/>
          <w:szCs w:val="22"/>
        </w:rPr>
        <w:t>2004: p.12</w:t>
      </w:r>
    </w:p>
  </w:footnote>
  <w:footnote w:id="132">
    <w:p w:rsidR="007A77E1" w:rsidRPr="00AD5909" w:rsidRDefault="007A77E1">
      <w:pPr>
        <w:pStyle w:val="Funotentext"/>
        <w:rPr>
          <w:sz w:val="22"/>
          <w:szCs w:val="22"/>
        </w:rPr>
      </w:pPr>
      <w:r w:rsidRPr="00AD5909">
        <w:rPr>
          <w:rStyle w:val="Funotenzeichen"/>
          <w:sz w:val="22"/>
          <w:szCs w:val="22"/>
        </w:rPr>
        <w:footnoteRef/>
      </w:r>
      <w:r w:rsidRPr="00AD5909">
        <w:rPr>
          <w:sz w:val="22"/>
          <w:szCs w:val="22"/>
        </w:rPr>
        <w:t xml:space="preserve"> </w:t>
      </w:r>
      <w:proofErr w:type="spellStart"/>
      <w:r w:rsidRPr="00AD5909">
        <w:rPr>
          <w:sz w:val="22"/>
          <w:szCs w:val="22"/>
        </w:rPr>
        <w:t>Tarrow</w:t>
      </w:r>
      <w:proofErr w:type="spellEnd"/>
      <w:r w:rsidRPr="00AD5909">
        <w:rPr>
          <w:sz w:val="22"/>
          <w:szCs w:val="22"/>
        </w:rPr>
        <w:t xml:space="preserve"> &amp; </w:t>
      </w:r>
      <w:proofErr w:type="spellStart"/>
      <w:r w:rsidRPr="00AD5909">
        <w:rPr>
          <w:sz w:val="22"/>
          <w:szCs w:val="22"/>
        </w:rPr>
        <w:t>McAd</w:t>
      </w:r>
      <w:r>
        <w:rPr>
          <w:sz w:val="22"/>
          <w:szCs w:val="22"/>
        </w:rPr>
        <w:t>am</w:t>
      </w:r>
      <w:proofErr w:type="spellEnd"/>
      <w:r w:rsidRPr="00AD5909">
        <w:rPr>
          <w:sz w:val="22"/>
          <w:szCs w:val="22"/>
        </w:rPr>
        <w:t>, 2005: p.129</w:t>
      </w:r>
    </w:p>
  </w:footnote>
  <w:footnote w:id="133">
    <w:p w:rsidR="007A77E1" w:rsidRPr="00AD5909" w:rsidRDefault="007A77E1" w:rsidP="000802E1">
      <w:pPr>
        <w:pStyle w:val="Funotentext"/>
        <w:rPr>
          <w:sz w:val="22"/>
          <w:szCs w:val="22"/>
        </w:rPr>
      </w:pPr>
      <w:r w:rsidRPr="00AD5909">
        <w:rPr>
          <w:rStyle w:val="Funotenzeichen"/>
          <w:sz w:val="22"/>
          <w:szCs w:val="22"/>
        </w:rPr>
        <w:footnoteRef/>
      </w:r>
      <w:r w:rsidRPr="00AD5909">
        <w:rPr>
          <w:sz w:val="22"/>
          <w:szCs w:val="22"/>
        </w:rPr>
        <w:t xml:space="preserve"> De Albuquerque, 2011: p.29</w:t>
      </w:r>
    </w:p>
  </w:footnote>
  <w:footnote w:id="134">
    <w:p w:rsidR="007A77E1" w:rsidRPr="00AD5909" w:rsidRDefault="007A77E1" w:rsidP="005C51A4">
      <w:pPr>
        <w:pStyle w:val="Funotentext"/>
        <w:rPr>
          <w:sz w:val="22"/>
          <w:szCs w:val="22"/>
        </w:rPr>
      </w:pPr>
      <w:r w:rsidRPr="00AD5909">
        <w:rPr>
          <w:rStyle w:val="Funotenzeichen"/>
          <w:sz w:val="22"/>
          <w:szCs w:val="22"/>
        </w:rPr>
        <w:footnoteRef/>
      </w:r>
      <w:r w:rsidRPr="00AD5909">
        <w:rPr>
          <w:sz w:val="22"/>
          <w:szCs w:val="22"/>
        </w:rPr>
        <w:t xml:space="preserve"> Chapman in Edwards &amp; </w:t>
      </w:r>
      <w:proofErr w:type="spellStart"/>
      <w:r w:rsidRPr="00AD5909">
        <w:rPr>
          <w:sz w:val="22"/>
          <w:szCs w:val="22"/>
        </w:rPr>
        <w:t>Gaventa</w:t>
      </w:r>
      <w:proofErr w:type="spellEnd"/>
      <w:r w:rsidRPr="00AD5909">
        <w:rPr>
          <w:sz w:val="22"/>
          <w:szCs w:val="22"/>
        </w:rPr>
        <w:t>, 2001: p.259</w:t>
      </w:r>
    </w:p>
  </w:footnote>
  <w:footnote w:id="135">
    <w:p w:rsidR="007A77E1" w:rsidRPr="00AD5909" w:rsidRDefault="007A77E1" w:rsidP="00D86169">
      <w:pPr>
        <w:pStyle w:val="Funotentext"/>
        <w:rPr>
          <w:sz w:val="22"/>
          <w:szCs w:val="22"/>
        </w:rPr>
      </w:pPr>
      <w:r w:rsidRPr="00AD5909">
        <w:rPr>
          <w:rStyle w:val="Funotenzeichen"/>
          <w:sz w:val="22"/>
          <w:szCs w:val="22"/>
        </w:rPr>
        <w:footnoteRef/>
      </w:r>
      <w:r w:rsidRPr="00AD5909">
        <w:rPr>
          <w:sz w:val="22"/>
          <w:szCs w:val="22"/>
        </w:rPr>
        <w:t xml:space="preserve"> </w:t>
      </w:r>
      <w:proofErr w:type="spellStart"/>
      <w:r w:rsidRPr="00AD5909">
        <w:rPr>
          <w:sz w:val="22"/>
          <w:szCs w:val="22"/>
        </w:rPr>
        <w:t>Tarrow</w:t>
      </w:r>
      <w:proofErr w:type="spellEnd"/>
      <w:r w:rsidRPr="00AD5909">
        <w:rPr>
          <w:sz w:val="22"/>
          <w:szCs w:val="22"/>
        </w:rPr>
        <w:t xml:space="preserve"> &amp; </w:t>
      </w:r>
      <w:proofErr w:type="spellStart"/>
      <w:r w:rsidRPr="00AD5909">
        <w:rPr>
          <w:sz w:val="22"/>
          <w:szCs w:val="22"/>
        </w:rPr>
        <w:t>McAdam</w:t>
      </w:r>
      <w:proofErr w:type="spellEnd"/>
      <w:r w:rsidRPr="00AD5909">
        <w:rPr>
          <w:sz w:val="22"/>
          <w:szCs w:val="22"/>
        </w:rPr>
        <w:t>, 2005: p.123</w:t>
      </w:r>
    </w:p>
  </w:footnote>
  <w:footnote w:id="136">
    <w:p w:rsidR="007A77E1" w:rsidRPr="00AD5909" w:rsidRDefault="007A77E1" w:rsidP="008D52E4">
      <w:pPr>
        <w:pStyle w:val="Funotentext"/>
        <w:rPr>
          <w:sz w:val="22"/>
          <w:szCs w:val="22"/>
        </w:rPr>
      </w:pPr>
      <w:r w:rsidRPr="00AD5909">
        <w:rPr>
          <w:rStyle w:val="Funotenzeichen"/>
          <w:sz w:val="22"/>
          <w:szCs w:val="22"/>
        </w:rPr>
        <w:footnoteRef/>
      </w:r>
      <w:r w:rsidRPr="00AD5909">
        <w:rPr>
          <w:sz w:val="22"/>
          <w:szCs w:val="22"/>
        </w:rPr>
        <w:t xml:space="preserve"> Della </w:t>
      </w:r>
      <w:proofErr w:type="spellStart"/>
      <w:r w:rsidRPr="00AD5909">
        <w:rPr>
          <w:sz w:val="22"/>
          <w:szCs w:val="22"/>
        </w:rPr>
        <w:t>Porta</w:t>
      </w:r>
      <w:proofErr w:type="spellEnd"/>
      <w:r w:rsidRPr="00AD5909">
        <w:rPr>
          <w:sz w:val="22"/>
          <w:szCs w:val="22"/>
        </w:rPr>
        <w:t xml:space="preserve"> &amp; </w:t>
      </w:r>
      <w:proofErr w:type="spellStart"/>
      <w:r w:rsidRPr="00AD5909">
        <w:rPr>
          <w:sz w:val="22"/>
          <w:szCs w:val="22"/>
        </w:rPr>
        <w:t>Tarrow</w:t>
      </w:r>
      <w:proofErr w:type="spellEnd"/>
      <w:r w:rsidRPr="00AD5909">
        <w:rPr>
          <w:sz w:val="22"/>
          <w:szCs w:val="22"/>
        </w:rPr>
        <w:t>, 200</w:t>
      </w:r>
      <w:r>
        <w:rPr>
          <w:sz w:val="22"/>
          <w:szCs w:val="22"/>
        </w:rPr>
        <w:t>5</w:t>
      </w:r>
      <w:r w:rsidRPr="00AD5909">
        <w:rPr>
          <w:sz w:val="22"/>
          <w:szCs w:val="22"/>
        </w:rPr>
        <w:t>: p.2</w:t>
      </w:r>
    </w:p>
  </w:footnote>
  <w:footnote w:id="137">
    <w:p w:rsidR="007A77E1" w:rsidRPr="00AD5909" w:rsidRDefault="007A77E1">
      <w:pPr>
        <w:pStyle w:val="Funotentext"/>
        <w:rPr>
          <w:sz w:val="22"/>
          <w:szCs w:val="22"/>
        </w:rPr>
      </w:pPr>
      <w:r w:rsidRPr="00AD5909">
        <w:rPr>
          <w:rStyle w:val="Funotenzeichen"/>
          <w:sz w:val="22"/>
          <w:szCs w:val="22"/>
        </w:rPr>
        <w:footnoteRef/>
      </w:r>
      <w:r w:rsidRPr="00AD5909">
        <w:rPr>
          <w:sz w:val="22"/>
          <w:szCs w:val="22"/>
        </w:rPr>
        <w:t xml:space="preserve"> </w:t>
      </w:r>
      <w:proofErr w:type="spellStart"/>
      <w:r w:rsidRPr="00AD5909">
        <w:rPr>
          <w:sz w:val="22"/>
          <w:szCs w:val="22"/>
        </w:rPr>
        <w:t>Gladwell</w:t>
      </w:r>
      <w:proofErr w:type="spellEnd"/>
      <w:r w:rsidRPr="00AD5909">
        <w:rPr>
          <w:sz w:val="22"/>
          <w:szCs w:val="22"/>
        </w:rPr>
        <w:t>, 2001: p.258</w:t>
      </w:r>
    </w:p>
  </w:footnote>
  <w:footnote w:id="138">
    <w:p w:rsidR="007A77E1" w:rsidRPr="00890D8B" w:rsidRDefault="007A77E1" w:rsidP="00911662">
      <w:pPr>
        <w:pStyle w:val="Funotentext"/>
        <w:rPr>
          <w:sz w:val="22"/>
          <w:szCs w:val="22"/>
        </w:rPr>
      </w:pPr>
      <w:r w:rsidRPr="00AD5909">
        <w:rPr>
          <w:rStyle w:val="Funotenzeichen"/>
          <w:sz w:val="22"/>
          <w:szCs w:val="22"/>
        </w:rPr>
        <w:footnoteRef/>
      </w:r>
      <w:r w:rsidRPr="00AD5909">
        <w:rPr>
          <w:sz w:val="22"/>
          <w:szCs w:val="22"/>
        </w:rPr>
        <w:t xml:space="preserve"> </w:t>
      </w:r>
      <w:proofErr w:type="spellStart"/>
      <w:r w:rsidRPr="00AD5909">
        <w:rPr>
          <w:sz w:val="22"/>
          <w:szCs w:val="22"/>
        </w:rPr>
        <w:t>Darnton</w:t>
      </w:r>
      <w:proofErr w:type="spellEnd"/>
      <w:r w:rsidRPr="00AD5909">
        <w:rPr>
          <w:sz w:val="22"/>
          <w:szCs w:val="22"/>
        </w:rPr>
        <w:t xml:space="preserve"> &amp; Kirk, 2011: p.91</w:t>
      </w:r>
    </w:p>
  </w:footnote>
  <w:footnote w:id="139">
    <w:p w:rsidR="007A77E1" w:rsidRPr="00890D8B" w:rsidRDefault="007A77E1">
      <w:pPr>
        <w:pStyle w:val="Funotentext"/>
        <w:rPr>
          <w:sz w:val="22"/>
          <w:szCs w:val="22"/>
        </w:rPr>
      </w:pPr>
      <w:r w:rsidRPr="00890D8B">
        <w:rPr>
          <w:rStyle w:val="Funotenzeichen"/>
          <w:sz w:val="22"/>
          <w:szCs w:val="22"/>
        </w:rPr>
        <w:footnoteRef/>
      </w:r>
      <w:r w:rsidRPr="00890D8B">
        <w:rPr>
          <w:sz w:val="22"/>
          <w:szCs w:val="22"/>
        </w:rPr>
        <w:t xml:space="preserve"> Fawcett and Black, 2008: p.95</w:t>
      </w:r>
    </w:p>
  </w:footnote>
  <w:footnote w:id="140">
    <w:p w:rsidR="007A77E1" w:rsidRPr="00890D8B" w:rsidRDefault="007A77E1">
      <w:pPr>
        <w:pStyle w:val="Funotentext"/>
        <w:rPr>
          <w:sz w:val="22"/>
          <w:szCs w:val="22"/>
        </w:rPr>
      </w:pPr>
      <w:r w:rsidRPr="00890D8B">
        <w:rPr>
          <w:rStyle w:val="Funotenzeichen"/>
          <w:sz w:val="22"/>
          <w:szCs w:val="22"/>
        </w:rPr>
        <w:footnoteRef/>
      </w:r>
      <w:r w:rsidRPr="00890D8B">
        <w:rPr>
          <w:sz w:val="22"/>
          <w:szCs w:val="22"/>
        </w:rPr>
        <w:t xml:space="preserve"> Anderson, Interview, July 2011</w:t>
      </w:r>
    </w:p>
  </w:footnote>
  <w:footnote w:id="141">
    <w:p w:rsidR="007A77E1" w:rsidRDefault="007A77E1">
      <w:pPr>
        <w:pStyle w:val="Funotentext"/>
      </w:pPr>
      <w:r w:rsidRPr="00890D8B">
        <w:rPr>
          <w:rStyle w:val="Funotenzeichen"/>
          <w:sz w:val="22"/>
          <w:szCs w:val="22"/>
        </w:rPr>
        <w:footnoteRef/>
      </w:r>
      <w:r w:rsidRPr="00890D8B">
        <w:rPr>
          <w:sz w:val="22"/>
          <w:szCs w:val="22"/>
        </w:rPr>
        <w:t xml:space="preserve"> Anderson, Interview, July 2011</w:t>
      </w:r>
    </w:p>
  </w:footnote>
  <w:footnote w:id="142">
    <w:p w:rsidR="007A77E1" w:rsidRDefault="007A77E1">
      <w:pPr>
        <w:pStyle w:val="Funotentext"/>
      </w:pPr>
      <w:r>
        <w:rPr>
          <w:rStyle w:val="Funotenzeichen"/>
        </w:rPr>
        <w:footnoteRef/>
      </w:r>
      <w:r>
        <w:t xml:space="preserve">  </w:t>
      </w:r>
      <w:r w:rsidRPr="00890D8B">
        <w:rPr>
          <w:sz w:val="22"/>
          <w:szCs w:val="22"/>
        </w:rPr>
        <w:t>Anderson, Interview, July 2011</w:t>
      </w:r>
    </w:p>
  </w:footnote>
  <w:footnote w:id="143">
    <w:p w:rsidR="007A77E1" w:rsidRPr="004C13CA" w:rsidRDefault="007A77E1" w:rsidP="00C8507A">
      <w:pPr>
        <w:pStyle w:val="Funotentext"/>
        <w:rPr>
          <w:sz w:val="22"/>
          <w:szCs w:val="22"/>
        </w:rPr>
      </w:pPr>
      <w:r w:rsidRPr="004C13CA">
        <w:rPr>
          <w:rStyle w:val="Funotenzeichen"/>
          <w:sz w:val="22"/>
          <w:szCs w:val="22"/>
        </w:rPr>
        <w:footnoteRef/>
      </w:r>
      <w:r w:rsidRPr="004C13CA">
        <w:rPr>
          <w:sz w:val="22"/>
          <w:szCs w:val="22"/>
        </w:rPr>
        <w:t xml:space="preserve"> UN-INWEH, 2010</w:t>
      </w:r>
      <w:r>
        <w:rPr>
          <w:sz w:val="22"/>
          <w:szCs w:val="22"/>
        </w:rPr>
        <w:t>: p.1</w:t>
      </w:r>
    </w:p>
  </w:footnote>
  <w:footnote w:id="144">
    <w:p w:rsidR="007A77E1" w:rsidRPr="00324388" w:rsidRDefault="007A77E1">
      <w:pPr>
        <w:pStyle w:val="Funotentext"/>
        <w:rPr>
          <w:sz w:val="22"/>
          <w:szCs w:val="22"/>
        </w:rPr>
      </w:pPr>
      <w:r w:rsidRPr="00324388">
        <w:rPr>
          <w:rStyle w:val="Funotenzeichen"/>
          <w:sz w:val="22"/>
          <w:szCs w:val="22"/>
        </w:rPr>
        <w:footnoteRef/>
      </w:r>
      <w:r>
        <w:rPr>
          <w:sz w:val="22"/>
          <w:szCs w:val="22"/>
        </w:rPr>
        <w:t xml:space="preserve"> Marlin</w:t>
      </w:r>
      <w:r w:rsidRPr="00324388">
        <w:rPr>
          <w:sz w:val="22"/>
          <w:szCs w:val="22"/>
        </w:rPr>
        <w:t>, Interview</w:t>
      </w:r>
      <w:r>
        <w:rPr>
          <w:sz w:val="22"/>
          <w:szCs w:val="22"/>
        </w:rPr>
        <w:t>, August</w:t>
      </w:r>
      <w:r w:rsidRPr="00324388">
        <w:rPr>
          <w:sz w:val="22"/>
          <w:szCs w:val="22"/>
        </w:rPr>
        <w:t xml:space="preserve"> 2011</w:t>
      </w:r>
    </w:p>
  </w:footnote>
  <w:footnote w:id="145">
    <w:p w:rsidR="007A77E1" w:rsidRPr="00835889" w:rsidRDefault="007A77E1" w:rsidP="00781247">
      <w:pPr>
        <w:pStyle w:val="Funotentext"/>
        <w:rPr>
          <w:sz w:val="22"/>
          <w:szCs w:val="22"/>
        </w:rPr>
      </w:pPr>
      <w:r w:rsidRPr="00835889">
        <w:rPr>
          <w:rStyle w:val="Funotenzeichen"/>
          <w:sz w:val="22"/>
          <w:szCs w:val="22"/>
        </w:rPr>
        <w:footnoteRef/>
      </w:r>
      <w:r w:rsidRPr="00835889">
        <w:rPr>
          <w:sz w:val="22"/>
          <w:szCs w:val="22"/>
        </w:rPr>
        <w:t xml:space="preserve"> </w:t>
      </w:r>
      <w:proofErr w:type="spellStart"/>
      <w:r w:rsidRPr="00835889">
        <w:rPr>
          <w:sz w:val="22"/>
          <w:szCs w:val="22"/>
        </w:rPr>
        <w:t>Norgrove</w:t>
      </w:r>
      <w:proofErr w:type="spellEnd"/>
      <w:r w:rsidRPr="00835889">
        <w:rPr>
          <w:sz w:val="22"/>
          <w:szCs w:val="22"/>
        </w:rPr>
        <w:t>, Interview</w:t>
      </w:r>
      <w:r>
        <w:rPr>
          <w:sz w:val="22"/>
          <w:szCs w:val="22"/>
        </w:rPr>
        <w:t>, July</w:t>
      </w:r>
      <w:r w:rsidRPr="00835889">
        <w:rPr>
          <w:sz w:val="22"/>
          <w:szCs w:val="22"/>
        </w:rPr>
        <w:t xml:space="preserve"> 2011</w:t>
      </w:r>
    </w:p>
  </w:footnote>
  <w:footnote w:id="146">
    <w:p w:rsidR="007A77E1" w:rsidRDefault="007A77E1" w:rsidP="00A444E2">
      <w:pPr>
        <w:ind w:left="284" w:hanging="284"/>
      </w:pPr>
      <w:r>
        <w:rPr>
          <w:rStyle w:val="Funotenzeichen"/>
        </w:rPr>
        <w:footnoteRef/>
      </w:r>
      <w:r>
        <w:t xml:space="preserve"> </w:t>
      </w:r>
      <w:r w:rsidRPr="00324388">
        <w:rPr>
          <w:sz w:val="22"/>
          <w:szCs w:val="22"/>
        </w:rPr>
        <w:t xml:space="preserve">For example, UNICEF’s 2009 report ‘Soap, Toilets and Taps’ </w:t>
      </w:r>
      <w:proofErr w:type="gramStart"/>
      <w:r w:rsidRPr="00324388">
        <w:rPr>
          <w:sz w:val="22"/>
          <w:szCs w:val="22"/>
        </w:rPr>
        <w:t>promotes</w:t>
      </w:r>
      <w:proofErr w:type="gramEnd"/>
      <w:r w:rsidRPr="00324388">
        <w:rPr>
          <w:sz w:val="22"/>
          <w:szCs w:val="22"/>
        </w:rPr>
        <w:t xml:space="preserve"> a holistic ‘Building for Life’</w:t>
      </w:r>
      <w:r w:rsidRPr="00324388">
        <w:rPr>
          <w:rStyle w:val="Funotenzeichen"/>
          <w:sz w:val="22"/>
          <w:szCs w:val="22"/>
        </w:rPr>
        <w:footnoteRef/>
      </w:r>
      <w:r w:rsidRPr="00324388">
        <w:rPr>
          <w:sz w:val="22"/>
          <w:szCs w:val="22"/>
        </w:rPr>
        <w:t xml:space="preserve"> WASH programme in schools. UNICEF also introduced a well-publicised ‘Global Hand-washing Day’. </w:t>
      </w:r>
    </w:p>
  </w:footnote>
  <w:footnote w:id="147">
    <w:p w:rsidR="007A77E1" w:rsidRPr="004C13CA" w:rsidRDefault="007A77E1" w:rsidP="00100D72">
      <w:pPr>
        <w:pStyle w:val="Funotentext"/>
        <w:rPr>
          <w:sz w:val="22"/>
          <w:szCs w:val="22"/>
        </w:rPr>
      </w:pPr>
      <w:r w:rsidRPr="004C13CA">
        <w:rPr>
          <w:rStyle w:val="Funotenzeichen"/>
          <w:sz w:val="22"/>
          <w:szCs w:val="22"/>
        </w:rPr>
        <w:footnoteRef/>
      </w:r>
      <w:r w:rsidRPr="004C13CA">
        <w:rPr>
          <w:sz w:val="22"/>
          <w:szCs w:val="22"/>
        </w:rPr>
        <w:t xml:space="preserve"> Fawcett &amp; Black, 2008: p.72</w:t>
      </w:r>
    </w:p>
  </w:footnote>
  <w:footnote w:id="148">
    <w:p w:rsidR="007A77E1" w:rsidRPr="00276566" w:rsidRDefault="007A77E1">
      <w:pPr>
        <w:pStyle w:val="Funotentext"/>
        <w:rPr>
          <w:sz w:val="22"/>
          <w:szCs w:val="22"/>
        </w:rPr>
      </w:pPr>
      <w:r w:rsidRPr="00276566">
        <w:rPr>
          <w:rStyle w:val="Funotenzeichen"/>
          <w:sz w:val="22"/>
          <w:szCs w:val="22"/>
        </w:rPr>
        <w:footnoteRef/>
      </w:r>
      <w:r w:rsidRPr="00276566">
        <w:rPr>
          <w:sz w:val="22"/>
          <w:szCs w:val="22"/>
        </w:rPr>
        <w:t xml:space="preserve"> </w:t>
      </w:r>
      <w:proofErr w:type="spellStart"/>
      <w:r w:rsidRPr="00276566">
        <w:rPr>
          <w:sz w:val="22"/>
          <w:szCs w:val="22"/>
        </w:rPr>
        <w:t>WaterAid</w:t>
      </w:r>
      <w:proofErr w:type="spellEnd"/>
      <w:r w:rsidRPr="00276566">
        <w:rPr>
          <w:sz w:val="22"/>
          <w:szCs w:val="22"/>
        </w:rPr>
        <w:t>, 2011</w:t>
      </w:r>
    </w:p>
  </w:footnote>
  <w:footnote w:id="149">
    <w:p w:rsidR="007A77E1" w:rsidRPr="009B71A9" w:rsidRDefault="007A77E1">
      <w:pPr>
        <w:pStyle w:val="Funotentext"/>
        <w:rPr>
          <w:sz w:val="22"/>
          <w:szCs w:val="22"/>
        </w:rPr>
      </w:pPr>
      <w:r w:rsidRPr="009B71A9">
        <w:rPr>
          <w:rStyle w:val="Funotenzeichen"/>
          <w:sz w:val="22"/>
          <w:szCs w:val="22"/>
        </w:rPr>
        <w:footnoteRef/>
      </w:r>
      <w:r w:rsidRPr="009B71A9">
        <w:rPr>
          <w:sz w:val="22"/>
          <w:szCs w:val="22"/>
        </w:rPr>
        <w:t xml:space="preserve"> Fawcett, Interview, July 2011</w:t>
      </w:r>
    </w:p>
  </w:footnote>
  <w:footnote w:id="150">
    <w:p w:rsidR="007A77E1" w:rsidRPr="007753B1" w:rsidRDefault="007A77E1">
      <w:pPr>
        <w:pStyle w:val="Funotentext"/>
        <w:rPr>
          <w:sz w:val="22"/>
          <w:szCs w:val="22"/>
        </w:rPr>
      </w:pPr>
      <w:r>
        <w:rPr>
          <w:rStyle w:val="Funotenzeichen"/>
        </w:rPr>
        <w:footnoteRef/>
      </w:r>
      <w:r>
        <w:t xml:space="preserve"> </w:t>
      </w:r>
      <w:r w:rsidRPr="007753B1">
        <w:rPr>
          <w:sz w:val="22"/>
          <w:szCs w:val="22"/>
        </w:rPr>
        <w:t>Anderson, Interview, July 2011</w:t>
      </w:r>
    </w:p>
  </w:footnote>
  <w:footnote w:id="151">
    <w:p w:rsidR="007A77E1" w:rsidRPr="009B71A9" w:rsidRDefault="007A77E1">
      <w:pPr>
        <w:pStyle w:val="Funotentext"/>
        <w:rPr>
          <w:sz w:val="22"/>
          <w:szCs w:val="22"/>
        </w:rPr>
      </w:pPr>
      <w:r w:rsidRPr="009B71A9">
        <w:rPr>
          <w:rStyle w:val="Funotenzeichen"/>
          <w:sz w:val="22"/>
          <w:szCs w:val="22"/>
        </w:rPr>
        <w:footnoteRef/>
      </w:r>
      <w:r w:rsidRPr="009B71A9">
        <w:rPr>
          <w:sz w:val="22"/>
          <w:szCs w:val="22"/>
        </w:rPr>
        <w:t xml:space="preserve"> </w:t>
      </w:r>
      <w:r w:rsidRPr="00AD1D48">
        <w:rPr>
          <w:sz w:val="22"/>
          <w:szCs w:val="22"/>
        </w:rPr>
        <w:t xml:space="preserve">Snow &amp; Bernard, cited in Della </w:t>
      </w:r>
      <w:proofErr w:type="spellStart"/>
      <w:r w:rsidRPr="00AD1D48">
        <w:rPr>
          <w:sz w:val="22"/>
          <w:szCs w:val="22"/>
        </w:rPr>
        <w:t>Porta</w:t>
      </w:r>
      <w:proofErr w:type="spellEnd"/>
      <w:r w:rsidRPr="00AD1D48">
        <w:rPr>
          <w:sz w:val="22"/>
          <w:szCs w:val="22"/>
        </w:rPr>
        <w:t xml:space="preserve"> &amp; </w:t>
      </w:r>
      <w:proofErr w:type="spellStart"/>
      <w:r w:rsidRPr="00AD1D48">
        <w:rPr>
          <w:sz w:val="22"/>
          <w:szCs w:val="22"/>
        </w:rPr>
        <w:t>Tarrow</w:t>
      </w:r>
      <w:proofErr w:type="spellEnd"/>
      <w:r w:rsidRPr="00AD1D48">
        <w:rPr>
          <w:sz w:val="22"/>
          <w:szCs w:val="22"/>
        </w:rPr>
        <w:t>, 200</w:t>
      </w:r>
      <w:r>
        <w:rPr>
          <w:sz w:val="22"/>
          <w:szCs w:val="22"/>
        </w:rPr>
        <w:t>5</w:t>
      </w:r>
      <w:r w:rsidRPr="00AD1D48">
        <w:rPr>
          <w:sz w:val="22"/>
          <w:szCs w:val="22"/>
        </w:rPr>
        <w:t>: p.129</w:t>
      </w:r>
    </w:p>
  </w:footnote>
  <w:footnote w:id="152">
    <w:p w:rsidR="007A77E1" w:rsidRPr="009B71A9" w:rsidRDefault="007A77E1">
      <w:pPr>
        <w:pStyle w:val="Funotentext"/>
        <w:rPr>
          <w:sz w:val="22"/>
          <w:szCs w:val="22"/>
        </w:rPr>
      </w:pPr>
      <w:r w:rsidRPr="009B71A9">
        <w:rPr>
          <w:rStyle w:val="Funotenzeichen"/>
          <w:sz w:val="22"/>
          <w:szCs w:val="22"/>
        </w:rPr>
        <w:footnoteRef/>
      </w:r>
      <w:r w:rsidRPr="009B71A9">
        <w:rPr>
          <w:sz w:val="22"/>
          <w:szCs w:val="22"/>
        </w:rPr>
        <w:t xml:space="preserve"> Fawcett &amp; Black, 2008: p</w:t>
      </w:r>
      <w:r>
        <w:rPr>
          <w:sz w:val="22"/>
          <w:szCs w:val="22"/>
        </w:rPr>
        <w:t>p</w:t>
      </w:r>
      <w:r w:rsidRPr="009B71A9">
        <w:rPr>
          <w:sz w:val="22"/>
          <w:szCs w:val="22"/>
        </w:rPr>
        <w:t>.71</w:t>
      </w:r>
      <w:r>
        <w:rPr>
          <w:sz w:val="22"/>
          <w:szCs w:val="22"/>
        </w:rPr>
        <w:t>-72</w:t>
      </w:r>
    </w:p>
  </w:footnote>
  <w:footnote w:id="153">
    <w:p w:rsidR="007A77E1" w:rsidRPr="004C13CA" w:rsidRDefault="007A77E1" w:rsidP="00202C62">
      <w:pPr>
        <w:pStyle w:val="Funotentext"/>
        <w:rPr>
          <w:sz w:val="22"/>
          <w:szCs w:val="22"/>
        </w:rPr>
      </w:pPr>
      <w:r w:rsidRPr="004C13CA">
        <w:rPr>
          <w:rStyle w:val="Funotenzeichen"/>
          <w:sz w:val="22"/>
          <w:szCs w:val="22"/>
        </w:rPr>
        <w:footnoteRef/>
      </w:r>
      <w:r w:rsidRPr="004C13CA">
        <w:rPr>
          <w:sz w:val="22"/>
          <w:szCs w:val="22"/>
        </w:rPr>
        <w:t xml:space="preserve"> </w:t>
      </w:r>
      <w:r>
        <w:rPr>
          <w:sz w:val="22"/>
          <w:szCs w:val="22"/>
        </w:rPr>
        <w:t xml:space="preserve">Perlman &amp; Sheehan, cited in </w:t>
      </w:r>
      <w:r w:rsidRPr="004C13CA">
        <w:rPr>
          <w:sz w:val="22"/>
          <w:szCs w:val="22"/>
        </w:rPr>
        <w:t>Fawcett &amp; Black, 2007: p.74</w:t>
      </w:r>
    </w:p>
  </w:footnote>
  <w:footnote w:id="154">
    <w:p w:rsidR="007A77E1" w:rsidRDefault="007A77E1">
      <w:pPr>
        <w:pStyle w:val="Funotentext"/>
      </w:pPr>
      <w:r>
        <w:rPr>
          <w:rStyle w:val="Funotenzeichen"/>
        </w:rPr>
        <w:footnoteRef/>
      </w:r>
      <w:r>
        <w:t xml:space="preserve">  </w:t>
      </w:r>
      <w:r w:rsidRPr="00077B8D">
        <w:rPr>
          <w:sz w:val="22"/>
          <w:szCs w:val="22"/>
        </w:rPr>
        <w:t>Lancet, 2008</w:t>
      </w:r>
    </w:p>
  </w:footnote>
  <w:footnote w:id="155">
    <w:p w:rsidR="007A77E1" w:rsidRPr="009B71A9" w:rsidRDefault="007A77E1" w:rsidP="00976FC3">
      <w:pPr>
        <w:pStyle w:val="Funotentext"/>
        <w:rPr>
          <w:sz w:val="22"/>
          <w:szCs w:val="22"/>
        </w:rPr>
      </w:pPr>
      <w:r w:rsidRPr="009B71A9">
        <w:rPr>
          <w:rStyle w:val="Funotenzeichen"/>
          <w:sz w:val="22"/>
          <w:szCs w:val="22"/>
        </w:rPr>
        <w:footnoteRef/>
      </w:r>
      <w:r w:rsidRPr="009B71A9">
        <w:rPr>
          <w:sz w:val="22"/>
          <w:szCs w:val="22"/>
        </w:rPr>
        <w:t xml:space="preserve"> George, Interview, August 2011</w:t>
      </w:r>
    </w:p>
  </w:footnote>
  <w:footnote w:id="156">
    <w:p w:rsidR="007A77E1" w:rsidRPr="0067146C" w:rsidRDefault="007A77E1">
      <w:pPr>
        <w:pStyle w:val="Funotentext"/>
        <w:rPr>
          <w:sz w:val="22"/>
          <w:szCs w:val="22"/>
        </w:rPr>
      </w:pPr>
      <w:r w:rsidRPr="0067146C">
        <w:rPr>
          <w:rStyle w:val="Funotenzeichen"/>
          <w:sz w:val="22"/>
          <w:szCs w:val="22"/>
        </w:rPr>
        <w:footnoteRef/>
      </w:r>
      <w:r w:rsidRPr="0067146C">
        <w:rPr>
          <w:sz w:val="22"/>
          <w:szCs w:val="22"/>
        </w:rPr>
        <w:t xml:space="preserve"> Fawcett, Interview, July 2011</w:t>
      </w:r>
    </w:p>
  </w:footnote>
  <w:footnote w:id="157">
    <w:p w:rsidR="007A77E1" w:rsidRPr="0067146C" w:rsidRDefault="007A77E1" w:rsidP="00DA7F09">
      <w:pPr>
        <w:pStyle w:val="Funotentext"/>
        <w:rPr>
          <w:sz w:val="22"/>
          <w:szCs w:val="22"/>
        </w:rPr>
      </w:pPr>
      <w:r w:rsidRPr="0067146C">
        <w:rPr>
          <w:rStyle w:val="Funotenzeichen"/>
          <w:sz w:val="22"/>
          <w:szCs w:val="22"/>
        </w:rPr>
        <w:footnoteRef/>
      </w:r>
      <w:r w:rsidRPr="0067146C">
        <w:rPr>
          <w:sz w:val="22"/>
          <w:szCs w:val="22"/>
        </w:rPr>
        <w:t xml:space="preserve"> </w:t>
      </w:r>
      <w:proofErr w:type="spellStart"/>
      <w:r w:rsidRPr="0067146C">
        <w:rPr>
          <w:sz w:val="22"/>
          <w:szCs w:val="22"/>
        </w:rPr>
        <w:t>Nathanson</w:t>
      </w:r>
      <w:proofErr w:type="spellEnd"/>
      <w:r w:rsidRPr="0067146C">
        <w:rPr>
          <w:sz w:val="22"/>
          <w:szCs w:val="22"/>
        </w:rPr>
        <w:t xml:space="preserve">, V, 2010, cited in </w:t>
      </w:r>
      <w:proofErr w:type="spellStart"/>
      <w:r w:rsidRPr="0067146C">
        <w:rPr>
          <w:sz w:val="22"/>
          <w:szCs w:val="22"/>
        </w:rPr>
        <w:t>WaterAid</w:t>
      </w:r>
      <w:proofErr w:type="spellEnd"/>
      <w:r w:rsidRPr="0067146C">
        <w:rPr>
          <w:sz w:val="22"/>
          <w:szCs w:val="22"/>
        </w:rPr>
        <w:t xml:space="preserve"> (2010: p.7)</w:t>
      </w:r>
    </w:p>
  </w:footnote>
  <w:footnote w:id="158">
    <w:p w:rsidR="007A77E1" w:rsidRPr="0067146C" w:rsidRDefault="007A77E1" w:rsidP="00B51202">
      <w:pPr>
        <w:pStyle w:val="Funotentext"/>
        <w:rPr>
          <w:sz w:val="22"/>
          <w:szCs w:val="22"/>
        </w:rPr>
      </w:pPr>
      <w:r w:rsidRPr="0067146C">
        <w:rPr>
          <w:rStyle w:val="Funotenzeichen"/>
          <w:sz w:val="22"/>
          <w:szCs w:val="22"/>
        </w:rPr>
        <w:footnoteRef/>
      </w:r>
      <w:r w:rsidRPr="0067146C">
        <w:rPr>
          <w:sz w:val="22"/>
          <w:szCs w:val="22"/>
        </w:rPr>
        <w:t xml:space="preserve"> </w:t>
      </w:r>
      <w:proofErr w:type="spellStart"/>
      <w:r w:rsidRPr="0067146C">
        <w:rPr>
          <w:sz w:val="22"/>
          <w:szCs w:val="22"/>
        </w:rPr>
        <w:t>WaterAid</w:t>
      </w:r>
      <w:proofErr w:type="spellEnd"/>
      <w:r w:rsidRPr="0067146C">
        <w:rPr>
          <w:sz w:val="22"/>
          <w:szCs w:val="22"/>
        </w:rPr>
        <w:t xml:space="preserve"> (Cumming), 2008, p.2</w:t>
      </w:r>
    </w:p>
  </w:footnote>
  <w:footnote w:id="159">
    <w:p w:rsidR="007A77E1" w:rsidRPr="0067146C" w:rsidRDefault="007A77E1">
      <w:pPr>
        <w:pStyle w:val="Funotentext"/>
        <w:rPr>
          <w:sz w:val="22"/>
          <w:szCs w:val="22"/>
        </w:rPr>
      </w:pPr>
      <w:r w:rsidRPr="0067146C">
        <w:rPr>
          <w:rStyle w:val="Funotenzeichen"/>
          <w:sz w:val="22"/>
          <w:szCs w:val="22"/>
        </w:rPr>
        <w:footnoteRef/>
      </w:r>
      <w:r w:rsidRPr="0067146C">
        <w:rPr>
          <w:sz w:val="22"/>
          <w:szCs w:val="22"/>
        </w:rPr>
        <w:t xml:space="preserve"> </w:t>
      </w:r>
      <w:proofErr w:type="spellStart"/>
      <w:r w:rsidRPr="0067146C">
        <w:rPr>
          <w:sz w:val="22"/>
          <w:szCs w:val="22"/>
        </w:rPr>
        <w:t>Norgrove</w:t>
      </w:r>
      <w:proofErr w:type="spellEnd"/>
      <w:r w:rsidRPr="0067146C">
        <w:rPr>
          <w:sz w:val="22"/>
          <w:szCs w:val="22"/>
        </w:rPr>
        <w:t>, Interview, July 2011</w:t>
      </w:r>
    </w:p>
  </w:footnote>
  <w:footnote w:id="160">
    <w:p w:rsidR="007A77E1" w:rsidRPr="0067146C" w:rsidRDefault="007A77E1">
      <w:pPr>
        <w:pStyle w:val="Funotentext"/>
        <w:rPr>
          <w:sz w:val="22"/>
          <w:szCs w:val="22"/>
        </w:rPr>
      </w:pPr>
      <w:r w:rsidRPr="0067146C">
        <w:rPr>
          <w:rStyle w:val="Funotenzeichen"/>
          <w:sz w:val="22"/>
          <w:szCs w:val="22"/>
        </w:rPr>
        <w:footnoteRef/>
      </w:r>
      <w:r w:rsidRPr="0067146C">
        <w:rPr>
          <w:sz w:val="22"/>
          <w:szCs w:val="22"/>
        </w:rPr>
        <w:t xml:space="preserve"> </w:t>
      </w:r>
      <w:proofErr w:type="spellStart"/>
      <w:r w:rsidRPr="0067146C">
        <w:rPr>
          <w:sz w:val="22"/>
          <w:szCs w:val="22"/>
        </w:rPr>
        <w:t>WaterAid</w:t>
      </w:r>
      <w:proofErr w:type="spellEnd"/>
      <w:r w:rsidRPr="0067146C">
        <w:rPr>
          <w:sz w:val="22"/>
          <w:szCs w:val="22"/>
        </w:rPr>
        <w:t xml:space="preserve"> (2010)</w:t>
      </w:r>
    </w:p>
  </w:footnote>
  <w:footnote w:id="161">
    <w:p w:rsidR="007A77E1" w:rsidRPr="0067146C" w:rsidRDefault="007A77E1">
      <w:pPr>
        <w:pStyle w:val="Funotentext"/>
        <w:rPr>
          <w:sz w:val="22"/>
          <w:szCs w:val="22"/>
        </w:rPr>
      </w:pPr>
      <w:r w:rsidRPr="0067146C">
        <w:rPr>
          <w:rStyle w:val="Funotenzeichen"/>
          <w:sz w:val="22"/>
          <w:szCs w:val="22"/>
        </w:rPr>
        <w:footnoteRef/>
      </w:r>
      <w:r w:rsidRPr="0067146C">
        <w:rPr>
          <w:sz w:val="22"/>
          <w:szCs w:val="22"/>
        </w:rPr>
        <w:t xml:space="preserve"> </w:t>
      </w:r>
      <w:proofErr w:type="spellStart"/>
      <w:r w:rsidRPr="0067146C">
        <w:rPr>
          <w:sz w:val="22"/>
          <w:szCs w:val="22"/>
        </w:rPr>
        <w:t>WaterAid</w:t>
      </w:r>
      <w:proofErr w:type="spellEnd"/>
      <w:r w:rsidRPr="0067146C">
        <w:rPr>
          <w:sz w:val="22"/>
          <w:szCs w:val="22"/>
        </w:rPr>
        <w:t>, 2010</w:t>
      </w:r>
    </w:p>
  </w:footnote>
  <w:footnote w:id="162">
    <w:p w:rsidR="007A77E1" w:rsidRPr="004C13CA" w:rsidRDefault="007A77E1">
      <w:pPr>
        <w:pStyle w:val="Funotentext"/>
        <w:rPr>
          <w:sz w:val="22"/>
          <w:szCs w:val="22"/>
        </w:rPr>
      </w:pPr>
      <w:r w:rsidRPr="004C13CA">
        <w:rPr>
          <w:rStyle w:val="Funotenzeichen"/>
          <w:sz w:val="22"/>
          <w:szCs w:val="22"/>
        </w:rPr>
        <w:footnoteRef/>
      </w:r>
      <w:r w:rsidRPr="004C13CA">
        <w:rPr>
          <w:sz w:val="22"/>
          <w:szCs w:val="22"/>
        </w:rPr>
        <w:t xml:space="preserve"> Farmer, 2005: p.231</w:t>
      </w:r>
    </w:p>
  </w:footnote>
  <w:footnote w:id="163">
    <w:p w:rsidR="007A77E1" w:rsidRDefault="007A77E1">
      <w:pPr>
        <w:pStyle w:val="Funotentext"/>
      </w:pPr>
      <w:r>
        <w:rPr>
          <w:rStyle w:val="Funotenzeichen"/>
        </w:rPr>
        <w:footnoteRef/>
      </w:r>
      <w:r>
        <w:t xml:space="preserve"> </w:t>
      </w:r>
      <w:proofErr w:type="spellStart"/>
      <w:r w:rsidRPr="00431E71">
        <w:rPr>
          <w:sz w:val="22"/>
          <w:szCs w:val="22"/>
        </w:rPr>
        <w:t>Norg</w:t>
      </w:r>
      <w:r>
        <w:rPr>
          <w:sz w:val="22"/>
          <w:szCs w:val="22"/>
        </w:rPr>
        <w:t>rove</w:t>
      </w:r>
      <w:proofErr w:type="spellEnd"/>
      <w:r>
        <w:rPr>
          <w:sz w:val="22"/>
          <w:szCs w:val="22"/>
        </w:rPr>
        <w:t xml:space="preserve">, Interview, </w:t>
      </w:r>
      <w:r w:rsidRPr="00431E71">
        <w:rPr>
          <w:sz w:val="22"/>
          <w:szCs w:val="22"/>
        </w:rPr>
        <w:t>July 2011</w:t>
      </w:r>
    </w:p>
  </w:footnote>
  <w:footnote w:id="164">
    <w:p w:rsidR="007A77E1" w:rsidRDefault="007A77E1">
      <w:pPr>
        <w:pStyle w:val="Funotentext"/>
      </w:pPr>
      <w:r>
        <w:rPr>
          <w:rStyle w:val="Funotenzeichen"/>
        </w:rPr>
        <w:footnoteRef/>
      </w:r>
      <w:r>
        <w:t xml:space="preserve"> </w:t>
      </w:r>
      <w:proofErr w:type="spellStart"/>
      <w:r w:rsidRPr="00431E71">
        <w:rPr>
          <w:sz w:val="22"/>
          <w:szCs w:val="22"/>
        </w:rPr>
        <w:t>WaterAid</w:t>
      </w:r>
      <w:proofErr w:type="spellEnd"/>
      <w:r w:rsidRPr="00431E71">
        <w:rPr>
          <w:sz w:val="22"/>
          <w:szCs w:val="22"/>
        </w:rPr>
        <w:t xml:space="preserve"> (2011)</w:t>
      </w:r>
    </w:p>
  </w:footnote>
  <w:footnote w:id="165">
    <w:p w:rsidR="007A77E1" w:rsidRPr="00FA0BF5" w:rsidRDefault="007A77E1">
      <w:pPr>
        <w:pStyle w:val="Funotentext"/>
        <w:rPr>
          <w:sz w:val="22"/>
          <w:szCs w:val="22"/>
        </w:rPr>
      </w:pPr>
      <w:r w:rsidRPr="00FA0BF5">
        <w:rPr>
          <w:rStyle w:val="Funotenzeichen"/>
          <w:sz w:val="22"/>
          <w:szCs w:val="22"/>
        </w:rPr>
        <w:footnoteRef/>
      </w:r>
      <w:r w:rsidRPr="00FA0BF5">
        <w:rPr>
          <w:sz w:val="22"/>
          <w:szCs w:val="22"/>
        </w:rPr>
        <w:t xml:space="preserve"> </w:t>
      </w:r>
      <w:proofErr w:type="spellStart"/>
      <w:r w:rsidRPr="00FA0BF5">
        <w:rPr>
          <w:sz w:val="22"/>
          <w:szCs w:val="22"/>
        </w:rPr>
        <w:t>WaterAid</w:t>
      </w:r>
      <w:proofErr w:type="spellEnd"/>
      <w:r w:rsidRPr="00FA0BF5">
        <w:rPr>
          <w:sz w:val="22"/>
          <w:szCs w:val="22"/>
        </w:rPr>
        <w:t xml:space="preserve"> (2011)</w:t>
      </w:r>
    </w:p>
  </w:footnote>
  <w:footnote w:id="166">
    <w:p w:rsidR="007A77E1" w:rsidRPr="00802B05" w:rsidRDefault="007A77E1" w:rsidP="00264FC9">
      <w:pPr>
        <w:pStyle w:val="Funotentext"/>
        <w:ind w:left="284" w:hanging="284"/>
        <w:rPr>
          <w:sz w:val="22"/>
          <w:szCs w:val="22"/>
        </w:rPr>
      </w:pPr>
      <w:r w:rsidRPr="00802B05">
        <w:rPr>
          <w:rStyle w:val="Funotenzeichen"/>
          <w:sz w:val="22"/>
          <w:szCs w:val="22"/>
        </w:rPr>
        <w:footnoteRef/>
      </w:r>
      <w:r w:rsidRPr="00802B05">
        <w:rPr>
          <w:sz w:val="22"/>
          <w:szCs w:val="22"/>
        </w:rPr>
        <w:t xml:space="preserve"> For a full discussion of this issue, please see </w:t>
      </w:r>
      <w:proofErr w:type="spellStart"/>
      <w:r w:rsidRPr="00802B05">
        <w:rPr>
          <w:sz w:val="22"/>
          <w:szCs w:val="22"/>
        </w:rPr>
        <w:t>WaterAid’s</w:t>
      </w:r>
      <w:proofErr w:type="spellEnd"/>
      <w:r w:rsidRPr="00802B05">
        <w:rPr>
          <w:sz w:val="22"/>
          <w:szCs w:val="22"/>
        </w:rPr>
        <w:t xml:space="preserve"> 2011 report ‘The Sanitation Problem: what could and should the health sector do?’</w:t>
      </w:r>
    </w:p>
  </w:footnote>
  <w:footnote w:id="167">
    <w:p w:rsidR="007A77E1" w:rsidRPr="00802B05" w:rsidRDefault="007A77E1">
      <w:pPr>
        <w:pStyle w:val="Funotentext"/>
        <w:rPr>
          <w:sz w:val="22"/>
          <w:szCs w:val="22"/>
        </w:rPr>
      </w:pPr>
      <w:r w:rsidRPr="00802B05">
        <w:rPr>
          <w:rStyle w:val="Funotenzeichen"/>
          <w:sz w:val="22"/>
          <w:szCs w:val="22"/>
        </w:rPr>
        <w:footnoteRef/>
      </w:r>
      <w:r w:rsidRPr="00802B05">
        <w:rPr>
          <w:sz w:val="22"/>
          <w:szCs w:val="22"/>
        </w:rPr>
        <w:t xml:space="preserve"> Fawcett, Interview, July 2011</w:t>
      </w:r>
    </w:p>
  </w:footnote>
  <w:footnote w:id="168">
    <w:p w:rsidR="007A77E1" w:rsidRPr="00802B05" w:rsidRDefault="007A77E1">
      <w:pPr>
        <w:pStyle w:val="Funotentext"/>
        <w:rPr>
          <w:sz w:val="22"/>
          <w:szCs w:val="22"/>
        </w:rPr>
      </w:pPr>
      <w:r w:rsidRPr="00802B05">
        <w:rPr>
          <w:rStyle w:val="Funotenzeichen"/>
          <w:sz w:val="22"/>
          <w:szCs w:val="22"/>
        </w:rPr>
        <w:footnoteRef/>
      </w:r>
      <w:r w:rsidRPr="00802B05">
        <w:rPr>
          <w:sz w:val="22"/>
          <w:szCs w:val="22"/>
        </w:rPr>
        <w:t xml:space="preserve">  </w:t>
      </w:r>
      <w:proofErr w:type="spellStart"/>
      <w:r w:rsidRPr="00802B05">
        <w:rPr>
          <w:sz w:val="22"/>
          <w:szCs w:val="22"/>
        </w:rPr>
        <w:t>Northover</w:t>
      </w:r>
      <w:proofErr w:type="spellEnd"/>
      <w:r w:rsidRPr="00802B05">
        <w:rPr>
          <w:sz w:val="22"/>
          <w:szCs w:val="22"/>
        </w:rPr>
        <w:t>, Interview, July 2011</w:t>
      </w:r>
    </w:p>
  </w:footnote>
  <w:footnote w:id="169">
    <w:p w:rsidR="007A77E1" w:rsidRPr="00802B05" w:rsidRDefault="007A77E1">
      <w:pPr>
        <w:pStyle w:val="Funotentext"/>
        <w:rPr>
          <w:sz w:val="22"/>
          <w:szCs w:val="22"/>
        </w:rPr>
      </w:pPr>
      <w:r w:rsidRPr="00802B05">
        <w:rPr>
          <w:rStyle w:val="Funotenzeichen"/>
          <w:sz w:val="22"/>
          <w:szCs w:val="22"/>
        </w:rPr>
        <w:footnoteRef/>
      </w:r>
      <w:r w:rsidRPr="00802B05">
        <w:rPr>
          <w:sz w:val="22"/>
          <w:szCs w:val="22"/>
        </w:rPr>
        <w:t xml:space="preserve"> </w:t>
      </w:r>
      <w:proofErr w:type="spellStart"/>
      <w:r w:rsidRPr="00802B05">
        <w:rPr>
          <w:sz w:val="22"/>
          <w:szCs w:val="22"/>
        </w:rPr>
        <w:t>Northover</w:t>
      </w:r>
      <w:proofErr w:type="spellEnd"/>
      <w:r w:rsidRPr="00802B05">
        <w:rPr>
          <w:sz w:val="22"/>
          <w:szCs w:val="22"/>
        </w:rPr>
        <w:t>, Interview, July 2011</w:t>
      </w:r>
    </w:p>
  </w:footnote>
  <w:footnote w:id="170">
    <w:p w:rsidR="007A77E1" w:rsidRPr="00802B05" w:rsidRDefault="007A77E1">
      <w:pPr>
        <w:pStyle w:val="Funotentext"/>
        <w:rPr>
          <w:sz w:val="22"/>
          <w:szCs w:val="22"/>
        </w:rPr>
      </w:pPr>
      <w:r w:rsidRPr="00802B05">
        <w:rPr>
          <w:rStyle w:val="Funotenzeichen"/>
          <w:sz w:val="22"/>
          <w:szCs w:val="22"/>
        </w:rPr>
        <w:footnoteRef/>
      </w:r>
      <w:r w:rsidRPr="00802B05">
        <w:rPr>
          <w:sz w:val="22"/>
          <w:szCs w:val="22"/>
        </w:rPr>
        <w:t xml:space="preserve">  Farmer, 2005: p.234</w:t>
      </w:r>
    </w:p>
  </w:footnote>
  <w:footnote w:id="171">
    <w:p w:rsidR="007A77E1" w:rsidRPr="00802B05" w:rsidRDefault="007A77E1">
      <w:pPr>
        <w:pStyle w:val="Funotentext"/>
        <w:rPr>
          <w:sz w:val="22"/>
          <w:szCs w:val="22"/>
        </w:rPr>
      </w:pPr>
      <w:r w:rsidRPr="00802B05">
        <w:rPr>
          <w:rStyle w:val="Funotenzeichen"/>
          <w:sz w:val="22"/>
          <w:szCs w:val="22"/>
        </w:rPr>
        <w:footnoteRef/>
      </w:r>
      <w:r w:rsidRPr="00802B05">
        <w:rPr>
          <w:sz w:val="22"/>
          <w:szCs w:val="22"/>
        </w:rPr>
        <w:t xml:space="preserve">  Farmer, 2005: p.234</w:t>
      </w:r>
    </w:p>
  </w:footnote>
  <w:footnote w:id="172">
    <w:p w:rsidR="007A77E1" w:rsidRDefault="007A77E1">
      <w:pPr>
        <w:pStyle w:val="Funotentext"/>
      </w:pPr>
      <w:r>
        <w:rPr>
          <w:rStyle w:val="Funotenzeichen"/>
        </w:rPr>
        <w:footnoteRef/>
      </w:r>
      <w:r>
        <w:t xml:space="preserve">  </w:t>
      </w:r>
      <w:r w:rsidRPr="00802B05">
        <w:rPr>
          <w:sz w:val="22"/>
          <w:szCs w:val="22"/>
        </w:rPr>
        <w:t>Farmer, 2005: p.234</w:t>
      </w:r>
    </w:p>
  </w:footnote>
  <w:footnote w:id="173">
    <w:p w:rsidR="007A77E1" w:rsidRPr="00802B05" w:rsidRDefault="007A77E1" w:rsidP="00CF241D">
      <w:pPr>
        <w:pStyle w:val="Funotentext"/>
        <w:rPr>
          <w:sz w:val="22"/>
          <w:szCs w:val="22"/>
        </w:rPr>
      </w:pPr>
      <w:r w:rsidRPr="00802B05">
        <w:rPr>
          <w:rStyle w:val="Funotenzeichen"/>
          <w:sz w:val="22"/>
          <w:szCs w:val="22"/>
        </w:rPr>
        <w:footnoteRef/>
      </w:r>
      <w:r w:rsidRPr="00802B05">
        <w:rPr>
          <w:sz w:val="22"/>
          <w:szCs w:val="22"/>
        </w:rPr>
        <w:t xml:space="preserve"> George, 2008: p.204</w:t>
      </w:r>
    </w:p>
  </w:footnote>
  <w:footnote w:id="174">
    <w:p w:rsidR="007A77E1" w:rsidRPr="00802B05" w:rsidRDefault="007A77E1" w:rsidP="00CF241D">
      <w:pPr>
        <w:pStyle w:val="Funotentext"/>
        <w:rPr>
          <w:sz w:val="22"/>
          <w:szCs w:val="22"/>
        </w:rPr>
      </w:pPr>
      <w:r w:rsidRPr="00802B05">
        <w:rPr>
          <w:rStyle w:val="Funotenzeichen"/>
          <w:sz w:val="22"/>
          <w:szCs w:val="22"/>
        </w:rPr>
        <w:footnoteRef/>
      </w:r>
      <w:r w:rsidRPr="00802B05">
        <w:rPr>
          <w:sz w:val="22"/>
          <w:szCs w:val="22"/>
        </w:rPr>
        <w:t xml:space="preserve"> Curtis, 2008, cited in George, 2008: p.204</w:t>
      </w:r>
    </w:p>
  </w:footnote>
  <w:footnote w:id="175">
    <w:p w:rsidR="007A77E1" w:rsidRPr="00802B05" w:rsidRDefault="007A77E1" w:rsidP="00CF241D">
      <w:pPr>
        <w:pStyle w:val="Funotentext"/>
        <w:rPr>
          <w:sz w:val="22"/>
          <w:szCs w:val="22"/>
        </w:rPr>
      </w:pPr>
      <w:r w:rsidRPr="00802B05">
        <w:rPr>
          <w:rStyle w:val="Funotenzeichen"/>
          <w:sz w:val="22"/>
          <w:szCs w:val="22"/>
        </w:rPr>
        <w:footnoteRef/>
      </w:r>
      <w:r w:rsidRPr="00802B05">
        <w:rPr>
          <w:sz w:val="22"/>
          <w:szCs w:val="22"/>
        </w:rPr>
        <w:t xml:space="preserve"> George, Interview, August 2011</w:t>
      </w:r>
    </w:p>
  </w:footnote>
  <w:footnote w:id="176">
    <w:p w:rsidR="007A77E1" w:rsidRPr="00802B05" w:rsidRDefault="007A77E1" w:rsidP="00CF241D">
      <w:pPr>
        <w:pStyle w:val="Funotentext"/>
        <w:rPr>
          <w:sz w:val="22"/>
          <w:szCs w:val="22"/>
        </w:rPr>
      </w:pPr>
      <w:r w:rsidRPr="00802B05">
        <w:rPr>
          <w:rStyle w:val="Funotenzeichen"/>
          <w:sz w:val="22"/>
          <w:szCs w:val="22"/>
        </w:rPr>
        <w:footnoteRef/>
      </w:r>
      <w:r w:rsidRPr="00802B05">
        <w:rPr>
          <w:sz w:val="22"/>
          <w:szCs w:val="22"/>
        </w:rPr>
        <w:t xml:space="preserve"> </w:t>
      </w:r>
      <w:proofErr w:type="spellStart"/>
      <w:r w:rsidRPr="00802B05">
        <w:rPr>
          <w:sz w:val="22"/>
          <w:szCs w:val="22"/>
        </w:rPr>
        <w:t>WaterAid</w:t>
      </w:r>
      <w:proofErr w:type="spellEnd"/>
      <w:r w:rsidRPr="00802B05">
        <w:rPr>
          <w:sz w:val="22"/>
          <w:szCs w:val="22"/>
        </w:rPr>
        <w:t>, 2008: p:8</w:t>
      </w:r>
    </w:p>
  </w:footnote>
  <w:footnote w:id="177">
    <w:p w:rsidR="007A77E1" w:rsidRPr="00BF07C1" w:rsidRDefault="007A77E1">
      <w:pPr>
        <w:pStyle w:val="Funotentext"/>
        <w:rPr>
          <w:sz w:val="22"/>
          <w:szCs w:val="22"/>
        </w:rPr>
      </w:pPr>
      <w:r w:rsidRPr="00BF07C1">
        <w:rPr>
          <w:rStyle w:val="Funotenzeichen"/>
          <w:sz w:val="22"/>
          <w:szCs w:val="22"/>
        </w:rPr>
        <w:footnoteRef/>
      </w:r>
      <w:r w:rsidRPr="00BF07C1">
        <w:rPr>
          <w:sz w:val="22"/>
          <w:szCs w:val="22"/>
        </w:rPr>
        <w:t xml:space="preserve"> UN UDHR, 1948 (preamble)</w:t>
      </w:r>
    </w:p>
  </w:footnote>
  <w:footnote w:id="178">
    <w:p w:rsidR="007A77E1" w:rsidRPr="00BF07C1" w:rsidRDefault="007A77E1" w:rsidP="002F3C6D">
      <w:pPr>
        <w:pStyle w:val="Funotentext"/>
        <w:rPr>
          <w:sz w:val="22"/>
          <w:szCs w:val="22"/>
        </w:rPr>
      </w:pPr>
      <w:r w:rsidRPr="00BF07C1">
        <w:rPr>
          <w:rStyle w:val="Funotenzeichen"/>
          <w:sz w:val="22"/>
          <w:szCs w:val="22"/>
        </w:rPr>
        <w:footnoteRef/>
      </w:r>
      <w:r w:rsidRPr="00BF07C1">
        <w:rPr>
          <w:sz w:val="22"/>
          <w:szCs w:val="22"/>
        </w:rPr>
        <w:t xml:space="preserve"> UN Water, 2008: p.6</w:t>
      </w:r>
    </w:p>
  </w:footnote>
  <w:footnote w:id="179">
    <w:p w:rsidR="007A77E1" w:rsidRPr="00BF07C1" w:rsidRDefault="007A77E1" w:rsidP="00651508">
      <w:pPr>
        <w:pStyle w:val="Funotentext"/>
        <w:rPr>
          <w:sz w:val="22"/>
          <w:szCs w:val="22"/>
        </w:rPr>
      </w:pPr>
      <w:r w:rsidRPr="00BF07C1">
        <w:rPr>
          <w:rStyle w:val="Funotenzeichen"/>
          <w:sz w:val="22"/>
          <w:szCs w:val="22"/>
        </w:rPr>
        <w:footnoteRef/>
      </w:r>
      <w:r w:rsidRPr="00BF07C1">
        <w:rPr>
          <w:sz w:val="22"/>
          <w:szCs w:val="22"/>
        </w:rPr>
        <w:t xml:space="preserve"> Albuquerque, Interview</w:t>
      </w:r>
      <w:r>
        <w:rPr>
          <w:sz w:val="22"/>
          <w:szCs w:val="22"/>
        </w:rPr>
        <w:t>, July</w:t>
      </w:r>
      <w:r w:rsidRPr="00BF07C1">
        <w:rPr>
          <w:sz w:val="22"/>
          <w:szCs w:val="22"/>
        </w:rPr>
        <w:t xml:space="preserve"> 2011</w:t>
      </w:r>
    </w:p>
  </w:footnote>
  <w:footnote w:id="180">
    <w:p w:rsidR="007A77E1" w:rsidRPr="00BF07C1" w:rsidRDefault="007A77E1" w:rsidP="002764BC">
      <w:pPr>
        <w:pStyle w:val="Funotentext"/>
        <w:rPr>
          <w:sz w:val="22"/>
          <w:szCs w:val="22"/>
        </w:rPr>
      </w:pPr>
      <w:r w:rsidRPr="00BF07C1">
        <w:rPr>
          <w:rStyle w:val="Funotenzeichen"/>
          <w:sz w:val="22"/>
          <w:szCs w:val="22"/>
        </w:rPr>
        <w:footnoteRef/>
      </w:r>
      <w:r w:rsidRPr="00BF07C1">
        <w:rPr>
          <w:sz w:val="22"/>
          <w:szCs w:val="22"/>
        </w:rPr>
        <w:t xml:space="preserve"> Albuquerque, Interview, July 2011</w:t>
      </w:r>
    </w:p>
  </w:footnote>
  <w:footnote w:id="181">
    <w:p w:rsidR="007A77E1" w:rsidRPr="00A26BDE" w:rsidRDefault="007A77E1" w:rsidP="002764BC">
      <w:pPr>
        <w:pStyle w:val="Funotentext"/>
        <w:rPr>
          <w:sz w:val="22"/>
          <w:szCs w:val="22"/>
        </w:rPr>
      </w:pPr>
      <w:r w:rsidRPr="00A26BDE">
        <w:rPr>
          <w:rStyle w:val="Funotenzeichen"/>
          <w:sz w:val="22"/>
          <w:szCs w:val="22"/>
        </w:rPr>
        <w:footnoteRef/>
      </w:r>
      <w:r w:rsidRPr="00A26BDE">
        <w:rPr>
          <w:sz w:val="22"/>
          <w:szCs w:val="22"/>
        </w:rPr>
        <w:t xml:space="preserve"> </w:t>
      </w:r>
      <w:proofErr w:type="spellStart"/>
      <w:r w:rsidRPr="00A26BDE">
        <w:rPr>
          <w:sz w:val="22"/>
          <w:szCs w:val="22"/>
        </w:rPr>
        <w:t>Northover</w:t>
      </w:r>
      <w:proofErr w:type="spellEnd"/>
      <w:r w:rsidRPr="00A26BDE">
        <w:rPr>
          <w:sz w:val="22"/>
          <w:szCs w:val="22"/>
        </w:rPr>
        <w:t>, Interview, July 2011</w:t>
      </w:r>
    </w:p>
  </w:footnote>
  <w:footnote w:id="182">
    <w:p w:rsidR="007A77E1" w:rsidRPr="00A26BDE" w:rsidRDefault="007A77E1" w:rsidP="002764BC">
      <w:pPr>
        <w:pStyle w:val="Funotentext"/>
        <w:rPr>
          <w:sz w:val="22"/>
          <w:szCs w:val="22"/>
        </w:rPr>
      </w:pPr>
      <w:r w:rsidRPr="00A26BDE">
        <w:rPr>
          <w:rStyle w:val="Funotenzeichen"/>
          <w:sz w:val="22"/>
          <w:szCs w:val="22"/>
        </w:rPr>
        <w:footnoteRef/>
      </w:r>
      <w:r w:rsidRPr="00A26BDE">
        <w:rPr>
          <w:sz w:val="22"/>
          <w:szCs w:val="22"/>
        </w:rPr>
        <w:t xml:space="preserve"> De Albuquerque, 2011: p.22</w:t>
      </w:r>
    </w:p>
  </w:footnote>
  <w:footnote w:id="183">
    <w:p w:rsidR="007A77E1" w:rsidRPr="00B37410" w:rsidRDefault="007A77E1">
      <w:pPr>
        <w:pStyle w:val="Funotentext"/>
        <w:rPr>
          <w:sz w:val="22"/>
          <w:szCs w:val="22"/>
          <w:lang w:val="fr-FR"/>
        </w:rPr>
      </w:pPr>
      <w:r w:rsidRPr="00BF07C1">
        <w:rPr>
          <w:rStyle w:val="Funotenzeichen"/>
          <w:sz w:val="22"/>
          <w:szCs w:val="22"/>
        </w:rPr>
        <w:footnoteRef/>
      </w:r>
      <w:r w:rsidRPr="00B37410">
        <w:rPr>
          <w:sz w:val="22"/>
          <w:szCs w:val="22"/>
          <w:lang w:val="fr-FR"/>
        </w:rPr>
        <w:t xml:space="preserve"> </w:t>
      </w:r>
      <w:r w:rsidRPr="00B37410">
        <w:rPr>
          <w:sz w:val="22"/>
          <w:szCs w:val="22"/>
          <w:lang w:val="fr-FR"/>
        </w:rPr>
        <w:t>Albuquerque, Namibia report (2011)</w:t>
      </w:r>
    </w:p>
  </w:footnote>
  <w:footnote w:id="184">
    <w:p w:rsidR="007A77E1" w:rsidRPr="00B37410" w:rsidRDefault="007A77E1" w:rsidP="00943942">
      <w:pPr>
        <w:pStyle w:val="Funotentext"/>
        <w:rPr>
          <w:sz w:val="22"/>
          <w:szCs w:val="22"/>
          <w:lang w:val="fr-FR"/>
        </w:rPr>
      </w:pPr>
      <w:r w:rsidRPr="00BF07C1">
        <w:rPr>
          <w:rStyle w:val="Funotenzeichen"/>
          <w:sz w:val="22"/>
          <w:szCs w:val="22"/>
        </w:rPr>
        <w:footnoteRef/>
      </w:r>
      <w:r w:rsidRPr="00B37410">
        <w:rPr>
          <w:sz w:val="22"/>
          <w:szCs w:val="22"/>
          <w:lang w:val="fr-FR"/>
        </w:rPr>
        <w:t xml:space="preserve"> Albuquerque, 2009</w:t>
      </w:r>
    </w:p>
  </w:footnote>
  <w:footnote w:id="185">
    <w:p w:rsidR="007A77E1" w:rsidRPr="00B37410" w:rsidRDefault="007A77E1" w:rsidP="00566376">
      <w:pPr>
        <w:pStyle w:val="Funotentext"/>
        <w:rPr>
          <w:sz w:val="22"/>
          <w:szCs w:val="22"/>
          <w:lang w:val="fr-FR"/>
        </w:rPr>
      </w:pPr>
      <w:r w:rsidRPr="0069142F">
        <w:rPr>
          <w:rStyle w:val="Funotenzeichen"/>
          <w:sz w:val="22"/>
          <w:szCs w:val="22"/>
        </w:rPr>
        <w:footnoteRef/>
      </w:r>
      <w:r w:rsidRPr="00B37410">
        <w:rPr>
          <w:sz w:val="22"/>
          <w:szCs w:val="22"/>
          <w:lang w:val="fr-FR"/>
        </w:rPr>
        <w:t xml:space="preserve"> AI (2011)</w:t>
      </w:r>
    </w:p>
  </w:footnote>
  <w:footnote w:id="186">
    <w:p w:rsidR="007A77E1" w:rsidRPr="0069142F" w:rsidRDefault="007A77E1" w:rsidP="002764BC">
      <w:pPr>
        <w:pStyle w:val="Funotentext"/>
        <w:rPr>
          <w:sz w:val="22"/>
          <w:szCs w:val="22"/>
        </w:rPr>
      </w:pPr>
      <w:r w:rsidRPr="0069142F">
        <w:rPr>
          <w:rStyle w:val="Funotenzeichen"/>
          <w:sz w:val="22"/>
          <w:szCs w:val="22"/>
        </w:rPr>
        <w:footnoteRef/>
      </w:r>
      <w:r w:rsidRPr="0069142F">
        <w:rPr>
          <w:sz w:val="22"/>
          <w:szCs w:val="22"/>
        </w:rPr>
        <w:t xml:space="preserve"> Search for the Obvious, 2010 </w:t>
      </w:r>
    </w:p>
  </w:footnote>
  <w:footnote w:id="187">
    <w:p w:rsidR="007A77E1" w:rsidRDefault="007A77E1">
      <w:pPr>
        <w:pStyle w:val="Funotentext"/>
      </w:pPr>
      <w:r>
        <w:rPr>
          <w:rStyle w:val="Funotenzeichen"/>
        </w:rPr>
        <w:footnoteRef/>
      </w:r>
      <w:r>
        <w:t xml:space="preserve"> </w:t>
      </w:r>
      <w:r w:rsidRPr="0069142F">
        <w:rPr>
          <w:sz w:val="22"/>
          <w:szCs w:val="22"/>
        </w:rPr>
        <w:t xml:space="preserve">Fernandez, </w:t>
      </w:r>
      <w:proofErr w:type="spellStart"/>
      <w:r w:rsidRPr="0069142F">
        <w:rPr>
          <w:sz w:val="22"/>
          <w:szCs w:val="22"/>
        </w:rPr>
        <w:t>Malz</w:t>
      </w:r>
      <w:proofErr w:type="spellEnd"/>
      <w:r w:rsidRPr="0069142F">
        <w:rPr>
          <w:sz w:val="22"/>
          <w:szCs w:val="22"/>
        </w:rPr>
        <w:t xml:space="preserve"> &amp; Vizcaino</w:t>
      </w:r>
      <w:r>
        <w:rPr>
          <w:sz w:val="22"/>
          <w:szCs w:val="22"/>
        </w:rPr>
        <w:t xml:space="preserve"> (2011)</w:t>
      </w:r>
    </w:p>
  </w:footnote>
  <w:footnote w:id="188">
    <w:p w:rsidR="007A77E1" w:rsidRPr="0069142F" w:rsidRDefault="007A77E1">
      <w:pPr>
        <w:pStyle w:val="Funotentext"/>
        <w:rPr>
          <w:sz w:val="22"/>
          <w:szCs w:val="22"/>
        </w:rPr>
      </w:pPr>
      <w:r w:rsidRPr="0069142F">
        <w:rPr>
          <w:rStyle w:val="Funotenzeichen"/>
          <w:sz w:val="22"/>
          <w:szCs w:val="22"/>
        </w:rPr>
        <w:footnoteRef/>
      </w:r>
      <w:r w:rsidRPr="0069142F">
        <w:rPr>
          <w:sz w:val="22"/>
          <w:szCs w:val="22"/>
        </w:rPr>
        <w:t xml:space="preserve"> Fernandez, </w:t>
      </w:r>
      <w:proofErr w:type="spellStart"/>
      <w:r w:rsidRPr="0069142F">
        <w:rPr>
          <w:sz w:val="22"/>
          <w:szCs w:val="22"/>
        </w:rPr>
        <w:t>Malz</w:t>
      </w:r>
      <w:proofErr w:type="spellEnd"/>
      <w:r w:rsidRPr="0069142F">
        <w:rPr>
          <w:sz w:val="22"/>
          <w:szCs w:val="22"/>
        </w:rPr>
        <w:t xml:space="preserve"> &amp; Vizcaino</w:t>
      </w:r>
      <w:r>
        <w:rPr>
          <w:sz w:val="22"/>
          <w:szCs w:val="22"/>
        </w:rPr>
        <w:t xml:space="preserve"> (2011)</w:t>
      </w:r>
    </w:p>
  </w:footnote>
  <w:footnote w:id="189">
    <w:p w:rsidR="007A77E1" w:rsidRDefault="007A77E1">
      <w:pPr>
        <w:pStyle w:val="Funotentext"/>
      </w:pPr>
      <w:r>
        <w:rPr>
          <w:rStyle w:val="Funotenzeichen"/>
        </w:rPr>
        <w:footnoteRef/>
      </w:r>
      <w:r>
        <w:t xml:space="preserve"> </w:t>
      </w:r>
      <w:proofErr w:type="spellStart"/>
      <w:r w:rsidRPr="009D264C">
        <w:rPr>
          <w:sz w:val="22"/>
          <w:szCs w:val="22"/>
        </w:rPr>
        <w:t>Norgrove</w:t>
      </w:r>
      <w:proofErr w:type="spellEnd"/>
      <w:r w:rsidRPr="009D264C">
        <w:rPr>
          <w:sz w:val="22"/>
          <w:szCs w:val="22"/>
        </w:rPr>
        <w:t xml:space="preserve">, </w:t>
      </w:r>
      <w:r>
        <w:rPr>
          <w:sz w:val="22"/>
          <w:szCs w:val="22"/>
        </w:rPr>
        <w:t xml:space="preserve">Interview, July </w:t>
      </w:r>
      <w:r w:rsidRPr="009D264C">
        <w:rPr>
          <w:sz w:val="22"/>
          <w:szCs w:val="22"/>
        </w:rPr>
        <w:t>2011</w:t>
      </w:r>
    </w:p>
  </w:footnote>
  <w:footnote w:id="190">
    <w:p w:rsidR="007A77E1" w:rsidRPr="00306A32" w:rsidRDefault="007A77E1">
      <w:pPr>
        <w:pStyle w:val="Funotentext"/>
        <w:rPr>
          <w:sz w:val="22"/>
          <w:szCs w:val="22"/>
        </w:rPr>
      </w:pPr>
      <w:r w:rsidRPr="00306A32">
        <w:rPr>
          <w:rStyle w:val="Funotenzeichen"/>
          <w:sz w:val="22"/>
          <w:szCs w:val="22"/>
        </w:rPr>
        <w:footnoteRef/>
      </w:r>
      <w:r w:rsidRPr="00306A32">
        <w:rPr>
          <w:sz w:val="22"/>
          <w:szCs w:val="22"/>
        </w:rPr>
        <w:t xml:space="preserve"> </w:t>
      </w:r>
      <w:proofErr w:type="spellStart"/>
      <w:r w:rsidRPr="00306A32">
        <w:rPr>
          <w:sz w:val="22"/>
          <w:szCs w:val="22"/>
        </w:rPr>
        <w:t>Seringhaus</w:t>
      </w:r>
      <w:proofErr w:type="spellEnd"/>
      <w:r w:rsidRPr="00306A32">
        <w:rPr>
          <w:sz w:val="22"/>
          <w:szCs w:val="22"/>
        </w:rPr>
        <w:t xml:space="preserve"> (2011)</w:t>
      </w:r>
    </w:p>
  </w:footnote>
  <w:footnote w:id="191">
    <w:p w:rsidR="007A77E1" w:rsidRDefault="007A77E1">
      <w:pPr>
        <w:pStyle w:val="Funotentext"/>
      </w:pPr>
      <w:r w:rsidRPr="00306A32">
        <w:rPr>
          <w:rStyle w:val="Funotenzeichen"/>
          <w:sz w:val="22"/>
          <w:szCs w:val="22"/>
        </w:rPr>
        <w:footnoteRef/>
      </w:r>
      <w:r w:rsidRPr="00306A32">
        <w:rPr>
          <w:sz w:val="22"/>
          <w:szCs w:val="22"/>
        </w:rPr>
        <w:t xml:space="preserve"> Fawcett, Interview, July 2011</w:t>
      </w:r>
    </w:p>
  </w:footnote>
  <w:footnote w:id="192">
    <w:p w:rsidR="007A77E1" w:rsidRPr="00D329CC" w:rsidRDefault="007A77E1" w:rsidP="002147C9">
      <w:pPr>
        <w:pStyle w:val="Funotentext"/>
        <w:rPr>
          <w:sz w:val="22"/>
          <w:szCs w:val="22"/>
        </w:rPr>
      </w:pPr>
      <w:r w:rsidRPr="00D329CC">
        <w:rPr>
          <w:rStyle w:val="Funotenzeichen"/>
          <w:sz w:val="22"/>
          <w:szCs w:val="22"/>
        </w:rPr>
        <w:footnoteRef/>
      </w:r>
      <w:r w:rsidRPr="00D329CC">
        <w:rPr>
          <w:sz w:val="22"/>
          <w:szCs w:val="22"/>
        </w:rPr>
        <w:t xml:space="preserve"> UN MDGS, 2002</w:t>
      </w:r>
    </w:p>
  </w:footnote>
  <w:footnote w:id="193">
    <w:p w:rsidR="007A77E1" w:rsidRPr="00D329CC" w:rsidRDefault="007A77E1" w:rsidP="00607533">
      <w:pPr>
        <w:pStyle w:val="Funotentext"/>
        <w:rPr>
          <w:sz w:val="22"/>
          <w:szCs w:val="22"/>
        </w:rPr>
      </w:pPr>
      <w:r w:rsidRPr="00D329CC">
        <w:rPr>
          <w:rStyle w:val="Funotenzeichen"/>
          <w:sz w:val="22"/>
          <w:szCs w:val="22"/>
        </w:rPr>
        <w:footnoteRef/>
      </w:r>
      <w:r w:rsidRPr="00D329CC">
        <w:rPr>
          <w:sz w:val="22"/>
          <w:szCs w:val="22"/>
        </w:rPr>
        <w:t xml:space="preserve"> </w:t>
      </w:r>
      <w:proofErr w:type="spellStart"/>
      <w:r w:rsidRPr="00D329CC">
        <w:rPr>
          <w:sz w:val="22"/>
          <w:szCs w:val="22"/>
        </w:rPr>
        <w:t>WaterAid</w:t>
      </w:r>
      <w:proofErr w:type="spellEnd"/>
      <w:r w:rsidRPr="00D329CC">
        <w:rPr>
          <w:sz w:val="22"/>
          <w:szCs w:val="22"/>
        </w:rPr>
        <w:t>, ‘Sanitation – a human rights imperative’ (2008: p1)</w:t>
      </w:r>
    </w:p>
  </w:footnote>
  <w:footnote w:id="194">
    <w:p w:rsidR="007A77E1" w:rsidRPr="002A56F8" w:rsidRDefault="007A77E1" w:rsidP="00D329CC">
      <w:pPr>
        <w:pStyle w:val="Funotentext"/>
        <w:rPr>
          <w:sz w:val="22"/>
          <w:szCs w:val="22"/>
        </w:rPr>
      </w:pPr>
      <w:r w:rsidRPr="002A56F8">
        <w:rPr>
          <w:rStyle w:val="Funotenzeichen"/>
          <w:sz w:val="22"/>
          <w:szCs w:val="22"/>
        </w:rPr>
        <w:footnoteRef/>
      </w:r>
      <w:r w:rsidRPr="002A56F8">
        <w:rPr>
          <w:sz w:val="22"/>
          <w:szCs w:val="22"/>
        </w:rPr>
        <w:t xml:space="preserve"> UN Water, 2008: p.14</w:t>
      </w:r>
    </w:p>
  </w:footnote>
  <w:footnote w:id="195">
    <w:p w:rsidR="007A77E1" w:rsidRPr="002A56F8" w:rsidRDefault="007A77E1">
      <w:pPr>
        <w:pStyle w:val="Funotentext"/>
        <w:rPr>
          <w:sz w:val="22"/>
          <w:szCs w:val="22"/>
        </w:rPr>
      </w:pPr>
      <w:r w:rsidRPr="002A56F8">
        <w:rPr>
          <w:rStyle w:val="Funotenzeichen"/>
          <w:sz w:val="22"/>
          <w:szCs w:val="22"/>
        </w:rPr>
        <w:footnoteRef/>
      </w:r>
      <w:r w:rsidRPr="002A56F8">
        <w:rPr>
          <w:sz w:val="22"/>
          <w:szCs w:val="22"/>
        </w:rPr>
        <w:t xml:space="preserve"> Anderson, Interview, July 2011</w:t>
      </w:r>
    </w:p>
  </w:footnote>
  <w:footnote w:id="196">
    <w:p w:rsidR="007A77E1" w:rsidRPr="002A56F8" w:rsidRDefault="007A77E1">
      <w:pPr>
        <w:pStyle w:val="Funotentext"/>
        <w:rPr>
          <w:sz w:val="22"/>
          <w:szCs w:val="22"/>
        </w:rPr>
      </w:pPr>
      <w:r w:rsidRPr="002A56F8">
        <w:rPr>
          <w:rStyle w:val="Funotenzeichen"/>
          <w:sz w:val="22"/>
          <w:szCs w:val="22"/>
        </w:rPr>
        <w:footnoteRef/>
      </w:r>
      <w:r w:rsidRPr="002A56F8">
        <w:rPr>
          <w:sz w:val="22"/>
          <w:szCs w:val="22"/>
        </w:rPr>
        <w:t xml:space="preserve"> Nelson and Dobson, 2008: p.117</w:t>
      </w:r>
    </w:p>
  </w:footnote>
  <w:footnote w:id="197">
    <w:p w:rsidR="007A77E1" w:rsidRPr="002A56F8" w:rsidRDefault="007A77E1">
      <w:pPr>
        <w:pStyle w:val="Funotentext"/>
        <w:rPr>
          <w:sz w:val="22"/>
          <w:szCs w:val="22"/>
        </w:rPr>
      </w:pPr>
      <w:r w:rsidRPr="002A56F8">
        <w:rPr>
          <w:rStyle w:val="Funotenzeichen"/>
          <w:sz w:val="22"/>
          <w:szCs w:val="22"/>
        </w:rPr>
        <w:footnoteRef/>
      </w:r>
      <w:r w:rsidRPr="002A56F8">
        <w:rPr>
          <w:sz w:val="22"/>
          <w:szCs w:val="22"/>
        </w:rPr>
        <w:t xml:space="preserve"> Nelson and Dobson, 2008: p.118</w:t>
      </w:r>
    </w:p>
  </w:footnote>
  <w:footnote w:id="198">
    <w:p w:rsidR="007A77E1" w:rsidRPr="00C86EBB" w:rsidRDefault="007A77E1">
      <w:pPr>
        <w:pStyle w:val="Funotentext"/>
        <w:rPr>
          <w:sz w:val="22"/>
          <w:szCs w:val="22"/>
        </w:rPr>
      </w:pPr>
      <w:r w:rsidRPr="00C86EBB">
        <w:rPr>
          <w:rStyle w:val="Funotenzeichen"/>
          <w:sz w:val="22"/>
          <w:szCs w:val="22"/>
        </w:rPr>
        <w:footnoteRef/>
      </w:r>
      <w:r w:rsidRPr="00C86EBB">
        <w:rPr>
          <w:sz w:val="22"/>
          <w:szCs w:val="22"/>
        </w:rPr>
        <w:t xml:space="preserve"> UN-INWEH report from 2010 intrinsically links sanitation, through human rights, to every one of the eight MDGs (UNU-INWEH, 2010, p.11)</w:t>
      </w:r>
    </w:p>
  </w:footnote>
  <w:footnote w:id="199">
    <w:p w:rsidR="007A77E1" w:rsidRPr="00C86EBB" w:rsidRDefault="007A77E1" w:rsidP="00CA12FE">
      <w:pPr>
        <w:pStyle w:val="Funotentext"/>
        <w:rPr>
          <w:sz w:val="22"/>
          <w:szCs w:val="22"/>
        </w:rPr>
      </w:pPr>
      <w:r w:rsidRPr="00C86EBB">
        <w:rPr>
          <w:rStyle w:val="Funotenzeichen"/>
          <w:sz w:val="22"/>
          <w:szCs w:val="22"/>
        </w:rPr>
        <w:footnoteRef/>
      </w:r>
      <w:r w:rsidRPr="00C86EBB">
        <w:rPr>
          <w:sz w:val="22"/>
          <w:szCs w:val="22"/>
        </w:rPr>
        <w:t xml:space="preserve"> </w:t>
      </w:r>
      <w:proofErr w:type="spellStart"/>
      <w:r w:rsidRPr="00C86EBB">
        <w:rPr>
          <w:sz w:val="22"/>
          <w:szCs w:val="22"/>
        </w:rPr>
        <w:t>Finnemore</w:t>
      </w:r>
      <w:proofErr w:type="spellEnd"/>
      <w:r w:rsidRPr="00C86EBB">
        <w:rPr>
          <w:sz w:val="22"/>
          <w:szCs w:val="22"/>
        </w:rPr>
        <w:t xml:space="preserve"> and </w:t>
      </w:r>
      <w:proofErr w:type="spellStart"/>
      <w:r w:rsidRPr="00C86EBB">
        <w:rPr>
          <w:sz w:val="22"/>
          <w:szCs w:val="22"/>
        </w:rPr>
        <w:t>Sikkink</w:t>
      </w:r>
      <w:proofErr w:type="spellEnd"/>
      <w:r w:rsidRPr="00C86EBB">
        <w:rPr>
          <w:sz w:val="22"/>
          <w:szCs w:val="22"/>
        </w:rPr>
        <w:t xml:space="preserve"> , 1998, p.908</w:t>
      </w:r>
    </w:p>
  </w:footnote>
  <w:footnote w:id="200">
    <w:p w:rsidR="007A77E1" w:rsidRPr="00C86EBB" w:rsidRDefault="007A77E1" w:rsidP="00D329CC">
      <w:pPr>
        <w:pStyle w:val="Funotentext"/>
        <w:tabs>
          <w:tab w:val="left" w:pos="514"/>
        </w:tabs>
        <w:rPr>
          <w:sz w:val="22"/>
          <w:szCs w:val="22"/>
        </w:rPr>
      </w:pPr>
      <w:r w:rsidRPr="00C86EBB">
        <w:rPr>
          <w:rStyle w:val="Funotenzeichen"/>
          <w:sz w:val="22"/>
          <w:szCs w:val="22"/>
        </w:rPr>
        <w:footnoteRef/>
      </w:r>
      <w:r w:rsidRPr="00C86EBB">
        <w:rPr>
          <w:sz w:val="22"/>
          <w:szCs w:val="22"/>
        </w:rPr>
        <w:t xml:space="preserve"> </w:t>
      </w:r>
      <w:proofErr w:type="spellStart"/>
      <w:r w:rsidRPr="00C86EBB">
        <w:rPr>
          <w:sz w:val="22"/>
          <w:szCs w:val="22"/>
        </w:rPr>
        <w:t>WaterAid</w:t>
      </w:r>
      <w:proofErr w:type="spellEnd"/>
      <w:r w:rsidRPr="00C86EBB">
        <w:rPr>
          <w:sz w:val="22"/>
          <w:szCs w:val="22"/>
        </w:rPr>
        <w:t>, ‘Sanitation – a human rights imperative’ (2008: p3)</w:t>
      </w:r>
    </w:p>
  </w:footnote>
  <w:footnote w:id="201">
    <w:p w:rsidR="007A77E1" w:rsidRPr="00B37410" w:rsidRDefault="007A77E1" w:rsidP="00A65958">
      <w:pPr>
        <w:autoSpaceDE w:val="0"/>
        <w:autoSpaceDN w:val="0"/>
        <w:adjustRightInd w:val="0"/>
        <w:snapToGrid w:val="0"/>
        <w:rPr>
          <w:sz w:val="22"/>
          <w:szCs w:val="22"/>
          <w:lang w:val="fr-FR"/>
        </w:rPr>
      </w:pPr>
      <w:r w:rsidRPr="00C86EBB">
        <w:rPr>
          <w:rStyle w:val="Funotenzeichen"/>
          <w:sz w:val="22"/>
          <w:szCs w:val="22"/>
        </w:rPr>
        <w:footnoteRef/>
      </w:r>
      <w:r w:rsidRPr="00B37410">
        <w:rPr>
          <w:sz w:val="22"/>
          <w:szCs w:val="22"/>
          <w:lang w:val="fr-FR"/>
        </w:rPr>
        <w:t xml:space="preserve"> </w:t>
      </w:r>
      <w:r w:rsidRPr="00B37410">
        <w:rPr>
          <w:sz w:val="22"/>
          <w:szCs w:val="22"/>
          <w:lang w:val="fr-FR"/>
        </w:rPr>
        <w:t xml:space="preserve">UN MDG Report, 2010: p. 58. </w:t>
      </w:r>
    </w:p>
  </w:footnote>
  <w:footnote w:id="202">
    <w:p w:rsidR="007A77E1" w:rsidRPr="00B37410" w:rsidRDefault="007A77E1" w:rsidP="00A65958">
      <w:pPr>
        <w:pStyle w:val="Funotentext"/>
        <w:rPr>
          <w:sz w:val="22"/>
          <w:szCs w:val="22"/>
          <w:lang w:val="fr-FR"/>
        </w:rPr>
      </w:pPr>
      <w:r w:rsidRPr="00C86EBB">
        <w:rPr>
          <w:rStyle w:val="Funotenzeichen"/>
          <w:sz w:val="22"/>
          <w:szCs w:val="22"/>
        </w:rPr>
        <w:footnoteRef/>
      </w:r>
      <w:r w:rsidRPr="00B37410">
        <w:rPr>
          <w:sz w:val="22"/>
          <w:szCs w:val="22"/>
          <w:lang w:val="fr-FR"/>
        </w:rPr>
        <w:t xml:space="preserve"> UN MDG Report, 2010: p. 60.</w:t>
      </w:r>
    </w:p>
  </w:footnote>
  <w:footnote w:id="203">
    <w:p w:rsidR="007A77E1" w:rsidRPr="00C86EBB" w:rsidRDefault="007A77E1" w:rsidP="00C4384F">
      <w:pPr>
        <w:pStyle w:val="Funotentext"/>
        <w:rPr>
          <w:sz w:val="22"/>
          <w:szCs w:val="22"/>
        </w:rPr>
      </w:pPr>
      <w:r w:rsidRPr="00C86EBB">
        <w:rPr>
          <w:rStyle w:val="Funotenzeichen"/>
          <w:sz w:val="22"/>
          <w:szCs w:val="22"/>
        </w:rPr>
        <w:footnoteRef/>
      </w:r>
      <w:r w:rsidRPr="00C86EBB">
        <w:rPr>
          <w:sz w:val="22"/>
          <w:szCs w:val="22"/>
        </w:rPr>
        <w:t xml:space="preserve"> EWP, 2008</w:t>
      </w:r>
      <w:r w:rsidRPr="00C86EBB">
        <w:rPr>
          <w:sz w:val="22"/>
          <w:szCs w:val="22"/>
        </w:rPr>
        <w:tab/>
      </w:r>
    </w:p>
  </w:footnote>
  <w:footnote w:id="204">
    <w:p w:rsidR="007A77E1" w:rsidRPr="00C86EBB" w:rsidRDefault="007A77E1" w:rsidP="00AD6D81">
      <w:pPr>
        <w:pStyle w:val="Funotentext"/>
        <w:rPr>
          <w:sz w:val="22"/>
          <w:szCs w:val="22"/>
        </w:rPr>
      </w:pPr>
      <w:r w:rsidRPr="00C86EBB">
        <w:rPr>
          <w:rStyle w:val="Funotenzeichen"/>
          <w:sz w:val="22"/>
          <w:szCs w:val="22"/>
        </w:rPr>
        <w:footnoteRef/>
      </w:r>
      <w:r w:rsidRPr="00C86EBB">
        <w:rPr>
          <w:sz w:val="22"/>
          <w:szCs w:val="22"/>
        </w:rPr>
        <w:t xml:space="preserve"> Cited in </w:t>
      </w:r>
      <w:proofErr w:type="spellStart"/>
      <w:r w:rsidRPr="00C86EBB">
        <w:rPr>
          <w:sz w:val="22"/>
          <w:szCs w:val="22"/>
        </w:rPr>
        <w:t>WaterAid</w:t>
      </w:r>
      <w:proofErr w:type="spellEnd"/>
      <w:r w:rsidRPr="00C86EBB">
        <w:rPr>
          <w:sz w:val="22"/>
          <w:szCs w:val="22"/>
        </w:rPr>
        <w:t>, (2010: p.7)</w:t>
      </w:r>
    </w:p>
  </w:footnote>
  <w:footnote w:id="205">
    <w:p w:rsidR="007A77E1" w:rsidRPr="00C86EBB" w:rsidRDefault="007A77E1" w:rsidP="00993F64">
      <w:pPr>
        <w:pStyle w:val="Funotentext"/>
        <w:rPr>
          <w:sz w:val="22"/>
          <w:szCs w:val="22"/>
        </w:rPr>
      </w:pPr>
      <w:r w:rsidRPr="00C86EBB">
        <w:rPr>
          <w:rStyle w:val="Funotenzeichen"/>
          <w:sz w:val="22"/>
          <w:szCs w:val="22"/>
        </w:rPr>
        <w:footnoteRef/>
      </w:r>
      <w:r w:rsidRPr="00C86EBB">
        <w:rPr>
          <w:sz w:val="22"/>
          <w:szCs w:val="22"/>
        </w:rPr>
        <w:t xml:space="preserve"> UN </w:t>
      </w:r>
      <w:r w:rsidRPr="00C86EBB">
        <w:rPr>
          <w:sz w:val="22"/>
          <w:szCs w:val="22"/>
          <w:lang w:eastAsia="en-GB"/>
        </w:rPr>
        <w:t xml:space="preserve">HRC Res. 65/153 </w:t>
      </w:r>
    </w:p>
  </w:footnote>
  <w:footnote w:id="206">
    <w:p w:rsidR="007A77E1" w:rsidRPr="00C86EBB" w:rsidRDefault="007A77E1" w:rsidP="00993F64">
      <w:pPr>
        <w:pStyle w:val="Funotentext"/>
        <w:rPr>
          <w:sz w:val="22"/>
          <w:szCs w:val="22"/>
        </w:rPr>
      </w:pPr>
      <w:r w:rsidRPr="00C86EBB">
        <w:rPr>
          <w:rStyle w:val="Funotenzeichen"/>
          <w:sz w:val="22"/>
          <w:szCs w:val="22"/>
        </w:rPr>
        <w:footnoteRef/>
      </w:r>
      <w:r w:rsidRPr="00C86EBB">
        <w:rPr>
          <w:sz w:val="22"/>
          <w:szCs w:val="22"/>
        </w:rPr>
        <w:t xml:space="preserve"> Marlin, 2011</w:t>
      </w:r>
    </w:p>
  </w:footnote>
  <w:footnote w:id="207">
    <w:p w:rsidR="007A77E1" w:rsidRPr="00C86EBB" w:rsidRDefault="007A77E1">
      <w:pPr>
        <w:pStyle w:val="Funotentext"/>
        <w:rPr>
          <w:sz w:val="22"/>
          <w:szCs w:val="22"/>
        </w:rPr>
      </w:pPr>
      <w:r w:rsidRPr="00C86EBB">
        <w:rPr>
          <w:rStyle w:val="Funotenzeichen"/>
          <w:sz w:val="22"/>
          <w:szCs w:val="22"/>
        </w:rPr>
        <w:footnoteRef/>
      </w:r>
      <w:r w:rsidRPr="00C86EBB">
        <w:rPr>
          <w:sz w:val="22"/>
          <w:szCs w:val="22"/>
        </w:rPr>
        <w:t xml:space="preserve"> Gates Foundation, 2011</w:t>
      </w:r>
    </w:p>
  </w:footnote>
  <w:footnote w:id="208">
    <w:p w:rsidR="007A77E1" w:rsidRPr="00C86EBB" w:rsidRDefault="007A77E1">
      <w:pPr>
        <w:pStyle w:val="Funotentext"/>
        <w:rPr>
          <w:sz w:val="22"/>
          <w:szCs w:val="22"/>
        </w:rPr>
      </w:pPr>
      <w:r w:rsidRPr="00C86EBB">
        <w:rPr>
          <w:rStyle w:val="Funotenzeichen"/>
          <w:sz w:val="22"/>
          <w:szCs w:val="22"/>
        </w:rPr>
        <w:footnoteRef/>
      </w:r>
      <w:r w:rsidRPr="00C86EBB">
        <w:rPr>
          <w:sz w:val="22"/>
          <w:szCs w:val="22"/>
        </w:rPr>
        <w:t xml:space="preserve"> Gates Foundation, 2011</w:t>
      </w:r>
    </w:p>
  </w:footnote>
  <w:footnote w:id="209">
    <w:p w:rsidR="007A77E1" w:rsidRPr="00C86EBB" w:rsidRDefault="007A77E1">
      <w:pPr>
        <w:pStyle w:val="Funotentext"/>
        <w:rPr>
          <w:sz w:val="22"/>
          <w:szCs w:val="22"/>
        </w:rPr>
      </w:pPr>
      <w:r w:rsidRPr="00C86EBB">
        <w:rPr>
          <w:rStyle w:val="Funotenzeichen"/>
          <w:sz w:val="22"/>
          <w:szCs w:val="22"/>
        </w:rPr>
        <w:footnoteRef/>
      </w:r>
      <w:r w:rsidRPr="00C86EBB">
        <w:rPr>
          <w:sz w:val="22"/>
          <w:szCs w:val="22"/>
        </w:rPr>
        <w:t xml:space="preserve"> Fawcett &amp; Black, 2008, Chapter 3</w:t>
      </w:r>
    </w:p>
  </w:footnote>
  <w:footnote w:id="210">
    <w:p w:rsidR="007A77E1" w:rsidRPr="00C86EBB" w:rsidRDefault="007A77E1">
      <w:pPr>
        <w:pStyle w:val="Funotentext"/>
        <w:rPr>
          <w:sz w:val="22"/>
          <w:szCs w:val="22"/>
        </w:rPr>
      </w:pPr>
      <w:r w:rsidRPr="00C86EBB">
        <w:rPr>
          <w:rStyle w:val="Funotenzeichen"/>
          <w:sz w:val="22"/>
          <w:szCs w:val="22"/>
        </w:rPr>
        <w:footnoteRef/>
      </w:r>
      <w:r w:rsidRPr="00C86EBB">
        <w:rPr>
          <w:sz w:val="22"/>
          <w:szCs w:val="22"/>
        </w:rPr>
        <w:t xml:space="preserve"> Fawcett, Interview, July 2011</w:t>
      </w:r>
    </w:p>
  </w:footnote>
  <w:footnote w:id="211">
    <w:p w:rsidR="007A77E1" w:rsidRPr="00B37410" w:rsidRDefault="007A77E1">
      <w:pPr>
        <w:pStyle w:val="Funotentext"/>
        <w:rPr>
          <w:sz w:val="22"/>
          <w:szCs w:val="22"/>
          <w:lang w:val="fr-FR"/>
        </w:rPr>
      </w:pPr>
      <w:r w:rsidRPr="00C86EBB">
        <w:rPr>
          <w:rStyle w:val="Funotenzeichen"/>
          <w:sz w:val="22"/>
          <w:szCs w:val="22"/>
        </w:rPr>
        <w:footnoteRef/>
      </w:r>
      <w:r w:rsidRPr="00B37410">
        <w:rPr>
          <w:sz w:val="22"/>
          <w:szCs w:val="22"/>
          <w:lang w:val="fr-FR"/>
        </w:rPr>
        <w:t xml:space="preserve"> </w:t>
      </w:r>
      <w:r w:rsidRPr="00B37410">
        <w:rPr>
          <w:sz w:val="22"/>
          <w:szCs w:val="22"/>
          <w:lang w:val="fr-FR"/>
        </w:rPr>
        <w:t>Gates Foundation, 2011</w:t>
      </w:r>
    </w:p>
  </w:footnote>
  <w:footnote w:id="212">
    <w:p w:rsidR="007A77E1" w:rsidRPr="00B37410" w:rsidRDefault="007A77E1">
      <w:pPr>
        <w:pStyle w:val="Funotentext"/>
        <w:rPr>
          <w:lang w:val="fr-FR"/>
        </w:rPr>
      </w:pPr>
      <w:r>
        <w:rPr>
          <w:rStyle w:val="Funotenzeichen"/>
        </w:rPr>
        <w:footnoteRef/>
      </w:r>
      <w:r w:rsidRPr="00B37410">
        <w:rPr>
          <w:lang w:val="fr-FR"/>
        </w:rPr>
        <w:t xml:space="preserve"> UN-INWEH, 2010: p.34</w:t>
      </w:r>
    </w:p>
  </w:footnote>
  <w:footnote w:id="213">
    <w:p w:rsidR="007A77E1" w:rsidRPr="00B37410" w:rsidRDefault="007A77E1">
      <w:pPr>
        <w:pStyle w:val="Funotentext"/>
        <w:rPr>
          <w:lang w:val="fr-FR"/>
        </w:rPr>
      </w:pPr>
      <w:r>
        <w:rPr>
          <w:rStyle w:val="Funotenzeichen"/>
        </w:rPr>
        <w:footnoteRef/>
      </w:r>
      <w:r w:rsidRPr="00B37410">
        <w:rPr>
          <w:lang w:val="fr-FR"/>
        </w:rPr>
        <w:t xml:space="preserve"> Albuquerque, 2011: p.11</w:t>
      </w:r>
    </w:p>
  </w:footnote>
  <w:footnote w:id="214">
    <w:p w:rsidR="007A77E1" w:rsidRPr="007C129F" w:rsidRDefault="007A77E1">
      <w:pPr>
        <w:pStyle w:val="Funotentext"/>
        <w:rPr>
          <w:sz w:val="22"/>
          <w:szCs w:val="22"/>
        </w:rPr>
      </w:pPr>
      <w:r w:rsidRPr="007C129F">
        <w:rPr>
          <w:rStyle w:val="Funotenzeichen"/>
          <w:sz w:val="22"/>
          <w:szCs w:val="22"/>
        </w:rPr>
        <w:footnoteRef/>
      </w:r>
      <w:r w:rsidRPr="007C129F">
        <w:rPr>
          <w:sz w:val="22"/>
          <w:szCs w:val="22"/>
        </w:rPr>
        <w:t xml:space="preserve"> </w:t>
      </w:r>
      <w:proofErr w:type="spellStart"/>
      <w:r w:rsidRPr="007C129F">
        <w:rPr>
          <w:sz w:val="22"/>
          <w:szCs w:val="22"/>
        </w:rPr>
        <w:t>Northover</w:t>
      </w:r>
      <w:proofErr w:type="spellEnd"/>
      <w:r w:rsidRPr="007C129F">
        <w:rPr>
          <w:sz w:val="22"/>
          <w:szCs w:val="22"/>
        </w:rPr>
        <w:t>, Interview, July 2011</w:t>
      </w:r>
    </w:p>
  </w:footnote>
  <w:footnote w:id="215">
    <w:p w:rsidR="007A77E1" w:rsidRPr="007C129F" w:rsidRDefault="007A77E1" w:rsidP="0070074D">
      <w:pPr>
        <w:pStyle w:val="Funotentext"/>
        <w:rPr>
          <w:sz w:val="22"/>
          <w:szCs w:val="22"/>
        </w:rPr>
      </w:pPr>
      <w:r w:rsidRPr="007C129F">
        <w:rPr>
          <w:rStyle w:val="Funotenzeichen"/>
          <w:sz w:val="22"/>
          <w:szCs w:val="22"/>
        </w:rPr>
        <w:footnoteRef/>
      </w:r>
      <w:r w:rsidRPr="007C129F">
        <w:rPr>
          <w:sz w:val="22"/>
          <w:szCs w:val="22"/>
        </w:rPr>
        <w:t xml:space="preserve"> </w:t>
      </w:r>
      <w:proofErr w:type="spellStart"/>
      <w:r w:rsidRPr="007C129F">
        <w:rPr>
          <w:sz w:val="22"/>
          <w:szCs w:val="22"/>
        </w:rPr>
        <w:t>Northover</w:t>
      </w:r>
      <w:proofErr w:type="spellEnd"/>
      <w:r w:rsidRPr="007C129F">
        <w:rPr>
          <w:sz w:val="22"/>
          <w:szCs w:val="22"/>
        </w:rPr>
        <w:t>, Interview, 2011</w:t>
      </w:r>
    </w:p>
  </w:footnote>
  <w:footnote w:id="216">
    <w:p w:rsidR="007A77E1" w:rsidRPr="007C129F" w:rsidRDefault="007A77E1" w:rsidP="0070074D">
      <w:pPr>
        <w:pStyle w:val="Funotentext"/>
        <w:rPr>
          <w:sz w:val="22"/>
          <w:szCs w:val="22"/>
        </w:rPr>
      </w:pPr>
      <w:r w:rsidRPr="007C129F">
        <w:rPr>
          <w:rStyle w:val="Funotenzeichen"/>
          <w:sz w:val="22"/>
          <w:szCs w:val="22"/>
        </w:rPr>
        <w:footnoteRef/>
      </w:r>
      <w:r w:rsidRPr="007C129F">
        <w:rPr>
          <w:sz w:val="22"/>
          <w:szCs w:val="22"/>
        </w:rPr>
        <w:t xml:space="preserve"> Ife, 2010: p.17</w:t>
      </w:r>
    </w:p>
  </w:footnote>
  <w:footnote w:id="217">
    <w:p w:rsidR="007A77E1" w:rsidRPr="007C129F" w:rsidRDefault="007A77E1" w:rsidP="0070074D">
      <w:pPr>
        <w:pStyle w:val="Funotentext"/>
        <w:rPr>
          <w:sz w:val="22"/>
          <w:szCs w:val="22"/>
        </w:rPr>
      </w:pPr>
      <w:r w:rsidRPr="007C129F">
        <w:rPr>
          <w:rStyle w:val="Funotenzeichen"/>
          <w:sz w:val="22"/>
          <w:szCs w:val="22"/>
        </w:rPr>
        <w:footnoteRef/>
      </w:r>
      <w:r w:rsidRPr="007C129F">
        <w:rPr>
          <w:sz w:val="22"/>
          <w:szCs w:val="22"/>
        </w:rPr>
        <w:t xml:space="preserve"> </w:t>
      </w:r>
      <w:proofErr w:type="spellStart"/>
      <w:r w:rsidRPr="007C129F">
        <w:rPr>
          <w:sz w:val="22"/>
          <w:szCs w:val="22"/>
        </w:rPr>
        <w:t>Darton</w:t>
      </w:r>
      <w:proofErr w:type="spellEnd"/>
      <w:r w:rsidRPr="007C129F">
        <w:rPr>
          <w:sz w:val="22"/>
          <w:szCs w:val="22"/>
        </w:rPr>
        <w:t xml:space="preserve"> &amp; Kirk (exec. 2011)</w:t>
      </w:r>
    </w:p>
  </w:footnote>
  <w:footnote w:id="218">
    <w:p w:rsidR="007A77E1" w:rsidRPr="007C129F" w:rsidRDefault="007A77E1" w:rsidP="0070074D">
      <w:pPr>
        <w:pStyle w:val="Funotentext"/>
        <w:rPr>
          <w:sz w:val="22"/>
          <w:szCs w:val="22"/>
        </w:rPr>
      </w:pPr>
      <w:r w:rsidRPr="007C129F">
        <w:rPr>
          <w:rStyle w:val="Funotenzeichen"/>
          <w:sz w:val="22"/>
          <w:szCs w:val="22"/>
        </w:rPr>
        <w:footnoteRef/>
      </w:r>
      <w:r w:rsidRPr="007C129F">
        <w:rPr>
          <w:sz w:val="22"/>
          <w:szCs w:val="22"/>
        </w:rPr>
        <w:t xml:space="preserve"> </w:t>
      </w:r>
      <w:proofErr w:type="spellStart"/>
      <w:r w:rsidRPr="007C129F">
        <w:rPr>
          <w:sz w:val="22"/>
          <w:szCs w:val="22"/>
        </w:rPr>
        <w:t>Darnton</w:t>
      </w:r>
      <w:proofErr w:type="spellEnd"/>
      <w:r w:rsidRPr="007C129F">
        <w:rPr>
          <w:sz w:val="22"/>
          <w:szCs w:val="22"/>
        </w:rPr>
        <w:t xml:space="preserve"> &amp; Kirk, 2011: p.89</w:t>
      </w:r>
    </w:p>
  </w:footnote>
  <w:footnote w:id="219">
    <w:p w:rsidR="007A77E1" w:rsidRPr="007C129F" w:rsidRDefault="007A77E1" w:rsidP="0070074D">
      <w:pPr>
        <w:pStyle w:val="Funotentext"/>
        <w:rPr>
          <w:sz w:val="22"/>
          <w:szCs w:val="22"/>
        </w:rPr>
      </w:pPr>
      <w:r w:rsidRPr="007C129F">
        <w:rPr>
          <w:rStyle w:val="Funotenzeichen"/>
          <w:sz w:val="22"/>
          <w:szCs w:val="22"/>
        </w:rPr>
        <w:footnoteRef/>
      </w:r>
      <w:r w:rsidRPr="007C129F">
        <w:rPr>
          <w:sz w:val="22"/>
          <w:szCs w:val="22"/>
        </w:rPr>
        <w:t xml:space="preserve"> Terms suggested as “range finders”, </w:t>
      </w:r>
      <w:proofErr w:type="spellStart"/>
      <w:r w:rsidRPr="007C129F">
        <w:rPr>
          <w:sz w:val="22"/>
          <w:szCs w:val="22"/>
        </w:rPr>
        <w:t>Darnton</w:t>
      </w:r>
      <w:proofErr w:type="spellEnd"/>
      <w:r w:rsidRPr="007C129F">
        <w:rPr>
          <w:sz w:val="22"/>
          <w:szCs w:val="22"/>
        </w:rPr>
        <w:t xml:space="preserve"> &amp; Kirk, 2011: p.93</w:t>
      </w:r>
    </w:p>
  </w:footnote>
  <w:footnote w:id="220">
    <w:p w:rsidR="007A77E1" w:rsidRPr="00B37410" w:rsidRDefault="007A77E1" w:rsidP="001E2892">
      <w:pPr>
        <w:pStyle w:val="Funotentext"/>
        <w:rPr>
          <w:sz w:val="22"/>
          <w:szCs w:val="22"/>
          <w:lang w:val="fr-FR"/>
        </w:rPr>
      </w:pPr>
      <w:r w:rsidRPr="007C129F">
        <w:rPr>
          <w:rStyle w:val="Funotenzeichen"/>
          <w:sz w:val="22"/>
          <w:szCs w:val="22"/>
        </w:rPr>
        <w:footnoteRef/>
      </w:r>
      <w:r w:rsidRPr="00B37410">
        <w:rPr>
          <w:sz w:val="22"/>
          <w:szCs w:val="22"/>
          <w:lang w:val="fr-FR"/>
        </w:rPr>
        <w:t xml:space="preserve"> </w:t>
      </w:r>
      <w:r w:rsidRPr="00B37410">
        <w:rPr>
          <w:sz w:val="22"/>
          <w:szCs w:val="22"/>
          <w:lang w:val="fr-FR"/>
        </w:rPr>
        <w:t>OHCHR et al, 2008: p.18</w:t>
      </w:r>
    </w:p>
  </w:footnote>
  <w:footnote w:id="221">
    <w:p w:rsidR="007A77E1" w:rsidRPr="00B37410" w:rsidRDefault="007A77E1" w:rsidP="0024299A">
      <w:pPr>
        <w:pStyle w:val="Funotentext"/>
        <w:rPr>
          <w:sz w:val="22"/>
          <w:szCs w:val="22"/>
          <w:lang w:val="fr-FR"/>
        </w:rPr>
      </w:pPr>
      <w:r w:rsidRPr="007C129F">
        <w:rPr>
          <w:rStyle w:val="Funotenzeichen"/>
          <w:sz w:val="22"/>
          <w:szCs w:val="22"/>
        </w:rPr>
        <w:footnoteRef/>
      </w:r>
      <w:r w:rsidRPr="00B37410">
        <w:rPr>
          <w:sz w:val="22"/>
          <w:szCs w:val="22"/>
          <w:lang w:val="fr-FR"/>
        </w:rPr>
        <w:t xml:space="preserve"> Nelson &amp; Dobson, 2008: p.103</w:t>
      </w:r>
    </w:p>
  </w:footnote>
  <w:footnote w:id="222">
    <w:p w:rsidR="007A77E1" w:rsidRPr="00B37410" w:rsidRDefault="007A77E1" w:rsidP="002361C5">
      <w:pPr>
        <w:pStyle w:val="Funotentext"/>
        <w:rPr>
          <w:sz w:val="22"/>
          <w:szCs w:val="22"/>
          <w:lang w:val="fr-FR"/>
        </w:rPr>
      </w:pPr>
      <w:r w:rsidRPr="007C129F">
        <w:rPr>
          <w:rStyle w:val="Funotenzeichen"/>
          <w:sz w:val="22"/>
          <w:szCs w:val="22"/>
        </w:rPr>
        <w:footnoteRef/>
      </w:r>
      <w:r w:rsidRPr="00B37410">
        <w:rPr>
          <w:sz w:val="22"/>
          <w:szCs w:val="22"/>
          <w:lang w:val="fr-FR"/>
        </w:rPr>
        <w:t xml:space="preserve"> OHCHR et al, 2008: p.18</w:t>
      </w:r>
    </w:p>
  </w:footnote>
  <w:footnote w:id="223">
    <w:p w:rsidR="007A77E1" w:rsidRPr="00B37410" w:rsidRDefault="007A77E1">
      <w:pPr>
        <w:pStyle w:val="Funotentext"/>
        <w:rPr>
          <w:sz w:val="22"/>
          <w:szCs w:val="22"/>
          <w:lang w:val="fr-FR"/>
        </w:rPr>
      </w:pPr>
      <w:r w:rsidRPr="009E294F">
        <w:rPr>
          <w:rStyle w:val="Funotenzeichen"/>
          <w:sz w:val="22"/>
          <w:szCs w:val="22"/>
        </w:rPr>
        <w:footnoteRef/>
      </w:r>
      <w:r w:rsidRPr="00B37410">
        <w:rPr>
          <w:sz w:val="22"/>
          <w:szCs w:val="22"/>
          <w:lang w:val="fr-FR"/>
        </w:rPr>
        <w:t xml:space="preserve"> UNICEF, 2009</w:t>
      </w:r>
    </w:p>
  </w:footnote>
  <w:footnote w:id="224">
    <w:p w:rsidR="007A77E1" w:rsidRPr="00B37410" w:rsidRDefault="007A77E1">
      <w:pPr>
        <w:pStyle w:val="Funotentext"/>
        <w:rPr>
          <w:sz w:val="22"/>
          <w:szCs w:val="22"/>
          <w:lang w:val="fr-FR"/>
        </w:rPr>
      </w:pPr>
      <w:r w:rsidRPr="002B35CF">
        <w:rPr>
          <w:rStyle w:val="Funotenzeichen"/>
          <w:sz w:val="22"/>
          <w:szCs w:val="22"/>
        </w:rPr>
        <w:footnoteRef/>
      </w:r>
      <w:r w:rsidRPr="00B37410">
        <w:rPr>
          <w:sz w:val="22"/>
          <w:szCs w:val="22"/>
          <w:lang w:val="fr-FR"/>
        </w:rPr>
        <w:t xml:space="preserve"> UN-INWEH, 2008: p.13</w:t>
      </w:r>
    </w:p>
  </w:footnote>
  <w:footnote w:id="225">
    <w:p w:rsidR="007A77E1" w:rsidRPr="00B37410" w:rsidRDefault="007A77E1">
      <w:pPr>
        <w:pStyle w:val="Funotentext"/>
        <w:rPr>
          <w:lang w:val="fr-FR"/>
        </w:rPr>
      </w:pPr>
      <w:r w:rsidRPr="002B35CF">
        <w:rPr>
          <w:rStyle w:val="Funotenzeichen"/>
          <w:sz w:val="22"/>
          <w:szCs w:val="22"/>
        </w:rPr>
        <w:footnoteRef/>
      </w:r>
      <w:r w:rsidRPr="00B37410">
        <w:rPr>
          <w:sz w:val="22"/>
          <w:szCs w:val="22"/>
          <w:lang w:val="fr-FR"/>
        </w:rPr>
        <w:t xml:space="preserve"> Luchesi, Interview, July 2011</w:t>
      </w:r>
    </w:p>
  </w:footnote>
  <w:footnote w:id="226">
    <w:p w:rsidR="007A77E1" w:rsidRPr="00B37410" w:rsidRDefault="007A77E1" w:rsidP="000C44CE">
      <w:pPr>
        <w:pStyle w:val="Funotentext"/>
        <w:rPr>
          <w:sz w:val="22"/>
          <w:szCs w:val="22"/>
          <w:lang w:val="fr-FR"/>
        </w:rPr>
      </w:pPr>
      <w:r w:rsidRPr="006A1A51">
        <w:rPr>
          <w:rStyle w:val="Funotenzeichen"/>
          <w:sz w:val="22"/>
          <w:szCs w:val="22"/>
        </w:rPr>
        <w:footnoteRef/>
      </w:r>
      <w:r w:rsidRPr="00B37410">
        <w:rPr>
          <w:sz w:val="22"/>
          <w:szCs w:val="22"/>
          <w:lang w:val="fr-FR"/>
        </w:rPr>
        <w:t xml:space="preserve"> UN CRC, 1989, </w:t>
      </w:r>
      <w:r w:rsidRPr="00B37410">
        <w:rPr>
          <w:sz w:val="22"/>
          <w:szCs w:val="22"/>
          <w:lang w:val="fr-FR" w:eastAsia="en-GB"/>
        </w:rPr>
        <w:t>Article 24(e)</w:t>
      </w:r>
    </w:p>
  </w:footnote>
  <w:footnote w:id="227">
    <w:p w:rsidR="007A77E1" w:rsidRDefault="007A77E1">
      <w:pPr>
        <w:pStyle w:val="Funotentext"/>
      </w:pPr>
      <w:r w:rsidRPr="004C7669">
        <w:rPr>
          <w:rStyle w:val="Funotenzeichen"/>
          <w:sz w:val="22"/>
          <w:szCs w:val="22"/>
        </w:rPr>
        <w:footnoteRef/>
      </w:r>
      <w:r w:rsidRPr="004C7669">
        <w:rPr>
          <w:sz w:val="22"/>
          <w:szCs w:val="22"/>
        </w:rPr>
        <w:t xml:space="preserve"> Fawcett and Black, 2008: p.79</w:t>
      </w:r>
    </w:p>
  </w:footnote>
  <w:footnote w:id="228">
    <w:p w:rsidR="007A77E1" w:rsidRDefault="007A77E1">
      <w:pPr>
        <w:pStyle w:val="Funotentext"/>
      </w:pPr>
      <w:r>
        <w:rPr>
          <w:rStyle w:val="Funotenzeichen"/>
        </w:rPr>
        <w:footnoteRef/>
      </w:r>
      <w:r>
        <w:t xml:space="preserve">  </w:t>
      </w:r>
      <w:r w:rsidRPr="00CD71D9">
        <w:rPr>
          <w:sz w:val="22"/>
          <w:szCs w:val="22"/>
        </w:rPr>
        <w:t>Romero-</w:t>
      </w:r>
      <w:proofErr w:type="spellStart"/>
      <w:r w:rsidRPr="00CD71D9">
        <w:rPr>
          <w:sz w:val="22"/>
          <w:szCs w:val="22"/>
        </w:rPr>
        <w:t>Ardoy</w:t>
      </w:r>
      <w:proofErr w:type="spellEnd"/>
      <w:r w:rsidRPr="00CD71D9">
        <w:rPr>
          <w:sz w:val="22"/>
          <w:szCs w:val="22"/>
        </w:rPr>
        <w:t>, Interview, August 2011</w:t>
      </w:r>
    </w:p>
  </w:footnote>
  <w:footnote w:id="229">
    <w:p w:rsidR="007A77E1" w:rsidRPr="00817F10" w:rsidRDefault="007A77E1" w:rsidP="00B126DB">
      <w:pPr>
        <w:pStyle w:val="Funotentext"/>
        <w:rPr>
          <w:sz w:val="22"/>
          <w:szCs w:val="22"/>
        </w:rPr>
      </w:pPr>
      <w:r w:rsidRPr="00817F10">
        <w:rPr>
          <w:rStyle w:val="Funotenzeichen"/>
          <w:sz w:val="22"/>
          <w:szCs w:val="22"/>
        </w:rPr>
        <w:footnoteRef/>
      </w:r>
      <w:r w:rsidRPr="00817F10">
        <w:rPr>
          <w:sz w:val="22"/>
          <w:szCs w:val="22"/>
        </w:rPr>
        <w:t xml:space="preserve"> Chapman in Edwards &amp; </w:t>
      </w:r>
      <w:proofErr w:type="spellStart"/>
      <w:r w:rsidRPr="00817F10">
        <w:rPr>
          <w:sz w:val="22"/>
          <w:szCs w:val="22"/>
        </w:rPr>
        <w:t>Gaventa</w:t>
      </w:r>
      <w:proofErr w:type="spellEnd"/>
      <w:r w:rsidRPr="00817F10">
        <w:rPr>
          <w:sz w:val="22"/>
          <w:szCs w:val="22"/>
        </w:rPr>
        <w:t>, 2001: p.263 (fig. 19.1)</w:t>
      </w:r>
    </w:p>
  </w:footnote>
  <w:footnote w:id="230">
    <w:p w:rsidR="007A77E1" w:rsidRPr="00817F10" w:rsidRDefault="007A77E1">
      <w:pPr>
        <w:pStyle w:val="Funotentext"/>
        <w:rPr>
          <w:sz w:val="22"/>
          <w:szCs w:val="22"/>
        </w:rPr>
      </w:pPr>
      <w:r w:rsidRPr="00817F10">
        <w:rPr>
          <w:rStyle w:val="Funotenzeichen"/>
          <w:sz w:val="22"/>
          <w:szCs w:val="22"/>
        </w:rPr>
        <w:footnoteRef/>
      </w:r>
      <w:r w:rsidRPr="00817F10">
        <w:rPr>
          <w:sz w:val="22"/>
          <w:szCs w:val="22"/>
        </w:rPr>
        <w:t xml:space="preserve"> </w:t>
      </w:r>
      <w:proofErr w:type="spellStart"/>
      <w:r w:rsidRPr="00817F10">
        <w:rPr>
          <w:sz w:val="22"/>
          <w:szCs w:val="22"/>
        </w:rPr>
        <w:t>Kaupp</w:t>
      </w:r>
      <w:proofErr w:type="spellEnd"/>
      <w:r w:rsidRPr="00817F10">
        <w:rPr>
          <w:sz w:val="22"/>
          <w:szCs w:val="22"/>
        </w:rPr>
        <w:t xml:space="preserve">, Interview, </w:t>
      </w:r>
      <w:r>
        <w:rPr>
          <w:sz w:val="22"/>
          <w:szCs w:val="22"/>
        </w:rPr>
        <w:t>August</w:t>
      </w:r>
      <w:r w:rsidRPr="00817F10">
        <w:rPr>
          <w:sz w:val="22"/>
          <w:szCs w:val="22"/>
        </w:rPr>
        <w:t xml:space="preserve"> 2011</w:t>
      </w:r>
    </w:p>
  </w:footnote>
  <w:footnote w:id="231">
    <w:p w:rsidR="007A77E1" w:rsidRPr="00817F10" w:rsidRDefault="007A77E1">
      <w:pPr>
        <w:pStyle w:val="Funotentext"/>
        <w:rPr>
          <w:sz w:val="22"/>
          <w:szCs w:val="22"/>
        </w:rPr>
      </w:pPr>
      <w:r w:rsidRPr="00817F10">
        <w:rPr>
          <w:rStyle w:val="Funotenzeichen"/>
          <w:sz w:val="22"/>
          <w:szCs w:val="22"/>
        </w:rPr>
        <w:footnoteRef/>
      </w:r>
      <w:r w:rsidRPr="00817F10">
        <w:rPr>
          <w:sz w:val="22"/>
          <w:szCs w:val="22"/>
        </w:rPr>
        <w:t xml:space="preserve"> World Water Day press release, 2011</w:t>
      </w:r>
    </w:p>
  </w:footnote>
  <w:footnote w:id="232">
    <w:p w:rsidR="007A77E1" w:rsidRPr="00817F10" w:rsidRDefault="007A77E1">
      <w:pPr>
        <w:pStyle w:val="Funotentext"/>
        <w:rPr>
          <w:sz w:val="22"/>
          <w:szCs w:val="22"/>
        </w:rPr>
      </w:pPr>
      <w:r w:rsidRPr="00817F10">
        <w:rPr>
          <w:rStyle w:val="Funotenzeichen"/>
          <w:sz w:val="22"/>
          <w:szCs w:val="22"/>
        </w:rPr>
        <w:footnoteRef/>
      </w:r>
      <w:r w:rsidRPr="00817F10">
        <w:rPr>
          <w:sz w:val="22"/>
          <w:szCs w:val="22"/>
        </w:rPr>
        <w:t xml:space="preserve"> World Water Day press release, 2011</w:t>
      </w:r>
    </w:p>
  </w:footnote>
  <w:footnote w:id="233">
    <w:p w:rsidR="007A77E1" w:rsidRPr="00817F10" w:rsidRDefault="007A77E1">
      <w:pPr>
        <w:pStyle w:val="Funotentext"/>
        <w:rPr>
          <w:sz w:val="22"/>
          <w:szCs w:val="22"/>
        </w:rPr>
      </w:pPr>
      <w:r w:rsidRPr="00817F10">
        <w:rPr>
          <w:rStyle w:val="Funotenzeichen"/>
          <w:sz w:val="22"/>
          <w:szCs w:val="22"/>
        </w:rPr>
        <w:footnoteRef/>
      </w:r>
      <w:r w:rsidRPr="00817F10">
        <w:rPr>
          <w:sz w:val="22"/>
          <w:szCs w:val="22"/>
        </w:rPr>
        <w:t xml:space="preserve"> </w:t>
      </w:r>
      <w:proofErr w:type="spellStart"/>
      <w:r w:rsidRPr="00817F10">
        <w:rPr>
          <w:sz w:val="22"/>
          <w:szCs w:val="22"/>
        </w:rPr>
        <w:t>WaterAid</w:t>
      </w:r>
      <w:proofErr w:type="spellEnd"/>
      <w:r w:rsidRPr="00817F10">
        <w:rPr>
          <w:sz w:val="22"/>
          <w:szCs w:val="22"/>
        </w:rPr>
        <w:t>, 2008</w:t>
      </w:r>
    </w:p>
  </w:footnote>
  <w:footnote w:id="234">
    <w:p w:rsidR="007A77E1" w:rsidRPr="00817F10" w:rsidRDefault="007A77E1" w:rsidP="00C82B18">
      <w:pPr>
        <w:pStyle w:val="Funotentext"/>
        <w:rPr>
          <w:sz w:val="22"/>
          <w:szCs w:val="22"/>
        </w:rPr>
      </w:pPr>
      <w:r w:rsidRPr="00817F10">
        <w:rPr>
          <w:rStyle w:val="Funotenzeichen"/>
          <w:sz w:val="22"/>
          <w:szCs w:val="22"/>
        </w:rPr>
        <w:footnoteRef/>
      </w:r>
      <w:r w:rsidRPr="00817F10">
        <w:rPr>
          <w:sz w:val="22"/>
          <w:szCs w:val="22"/>
        </w:rPr>
        <w:t xml:space="preserve"> World Water Day 2011 press pack</w:t>
      </w:r>
    </w:p>
  </w:footnote>
  <w:footnote w:id="235">
    <w:p w:rsidR="007A77E1" w:rsidRPr="00817F10" w:rsidRDefault="007A77E1" w:rsidP="00C82B18">
      <w:pPr>
        <w:pStyle w:val="Funotentext"/>
        <w:rPr>
          <w:sz w:val="22"/>
          <w:szCs w:val="22"/>
        </w:rPr>
      </w:pPr>
      <w:r w:rsidRPr="00817F10">
        <w:rPr>
          <w:rStyle w:val="Funotenzeichen"/>
          <w:sz w:val="22"/>
          <w:szCs w:val="22"/>
        </w:rPr>
        <w:footnoteRef/>
      </w:r>
      <w:r w:rsidRPr="00817F10">
        <w:rPr>
          <w:sz w:val="22"/>
          <w:szCs w:val="22"/>
        </w:rPr>
        <w:t xml:space="preserve"> Fawcett and Black, 2008: p.</w:t>
      </w:r>
      <w:r>
        <w:rPr>
          <w:sz w:val="22"/>
          <w:szCs w:val="22"/>
        </w:rPr>
        <w:t>37</w:t>
      </w:r>
    </w:p>
  </w:footnote>
  <w:footnote w:id="236">
    <w:p w:rsidR="007A77E1" w:rsidRPr="00817F10" w:rsidRDefault="007A77E1" w:rsidP="00877A2A">
      <w:pPr>
        <w:pStyle w:val="Funotentext"/>
        <w:rPr>
          <w:sz w:val="22"/>
          <w:szCs w:val="22"/>
        </w:rPr>
      </w:pPr>
      <w:r w:rsidRPr="00817F10">
        <w:rPr>
          <w:rStyle w:val="Funotenzeichen"/>
          <w:sz w:val="22"/>
          <w:szCs w:val="22"/>
        </w:rPr>
        <w:footnoteRef/>
      </w:r>
      <w:r w:rsidRPr="00817F10">
        <w:rPr>
          <w:sz w:val="22"/>
          <w:szCs w:val="22"/>
        </w:rPr>
        <w:t xml:space="preserve"> Albuquerque, Interview, July 2011</w:t>
      </w:r>
    </w:p>
  </w:footnote>
  <w:footnote w:id="237">
    <w:p w:rsidR="007A77E1" w:rsidRPr="00817F10" w:rsidRDefault="007A77E1" w:rsidP="0017614D">
      <w:pPr>
        <w:pStyle w:val="Funotentext"/>
        <w:rPr>
          <w:sz w:val="22"/>
          <w:szCs w:val="22"/>
        </w:rPr>
      </w:pPr>
      <w:r w:rsidRPr="00817F10">
        <w:rPr>
          <w:rStyle w:val="Funotenzeichen"/>
          <w:sz w:val="22"/>
          <w:szCs w:val="22"/>
        </w:rPr>
        <w:footnoteRef/>
      </w:r>
      <w:r w:rsidRPr="00817F10">
        <w:rPr>
          <w:sz w:val="22"/>
          <w:szCs w:val="22"/>
        </w:rPr>
        <w:t xml:space="preserve"> Fawcett, Interview, July 2011</w:t>
      </w:r>
    </w:p>
  </w:footnote>
  <w:footnote w:id="238">
    <w:p w:rsidR="007A77E1" w:rsidRPr="00817F10" w:rsidRDefault="007A77E1" w:rsidP="00E44C5F">
      <w:pPr>
        <w:pStyle w:val="Funotentext"/>
        <w:rPr>
          <w:sz w:val="22"/>
          <w:szCs w:val="22"/>
        </w:rPr>
      </w:pPr>
      <w:r w:rsidRPr="00817F10">
        <w:rPr>
          <w:rStyle w:val="Funotenzeichen"/>
          <w:sz w:val="22"/>
          <w:szCs w:val="22"/>
        </w:rPr>
        <w:footnoteRef/>
      </w:r>
      <w:r w:rsidRPr="00817F10">
        <w:rPr>
          <w:sz w:val="22"/>
          <w:szCs w:val="22"/>
        </w:rPr>
        <w:t xml:space="preserve"> </w:t>
      </w:r>
      <w:proofErr w:type="spellStart"/>
      <w:r w:rsidRPr="00817F10">
        <w:rPr>
          <w:sz w:val="22"/>
          <w:szCs w:val="22"/>
        </w:rPr>
        <w:t>Kaupp</w:t>
      </w:r>
      <w:proofErr w:type="spellEnd"/>
      <w:r w:rsidRPr="00817F10">
        <w:rPr>
          <w:sz w:val="22"/>
          <w:szCs w:val="22"/>
        </w:rPr>
        <w:t xml:space="preserve">, Interview, </w:t>
      </w:r>
      <w:r>
        <w:rPr>
          <w:sz w:val="22"/>
          <w:szCs w:val="22"/>
        </w:rPr>
        <w:t>August</w:t>
      </w:r>
      <w:r w:rsidRPr="00817F10">
        <w:rPr>
          <w:sz w:val="22"/>
          <w:szCs w:val="22"/>
        </w:rPr>
        <w:t xml:space="preserve"> 2011</w:t>
      </w:r>
    </w:p>
  </w:footnote>
  <w:footnote w:id="239">
    <w:p w:rsidR="007A77E1" w:rsidRPr="00817F10" w:rsidRDefault="007A77E1" w:rsidP="00D60A42">
      <w:pPr>
        <w:pStyle w:val="Funotentext"/>
        <w:rPr>
          <w:sz w:val="22"/>
          <w:szCs w:val="22"/>
        </w:rPr>
      </w:pPr>
      <w:r w:rsidRPr="00817F10">
        <w:rPr>
          <w:rStyle w:val="Funotenzeichen"/>
          <w:sz w:val="22"/>
          <w:szCs w:val="22"/>
        </w:rPr>
        <w:footnoteRef/>
      </w:r>
      <w:r w:rsidRPr="00817F10">
        <w:rPr>
          <w:sz w:val="22"/>
          <w:szCs w:val="22"/>
        </w:rPr>
        <w:t xml:space="preserve"> Albuquerque, 2010</w:t>
      </w:r>
    </w:p>
  </w:footnote>
  <w:footnote w:id="240">
    <w:p w:rsidR="007A77E1" w:rsidRPr="0073248C" w:rsidRDefault="007A77E1" w:rsidP="00D60A42">
      <w:pPr>
        <w:pStyle w:val="Funotentext"/>
        <w:rPr>
          <w:sz w:val="22"/>
          <w:szCs w:val="22"/>
        </w:rPr>
      </w:pPr>
      <w:r w:rsidRPr="0073248C">
        <w:rPr>
          <w:rStyle w:val="Funotenzeichen"/>
          <w:sz w:val="22"/>
          <w:szCs w:val="22"/>
        </w:rPr>
        <w:footnoteRef/>
      </w:r>
      <w:r w:rsidRPr="0073248C">
        <w:rPr>
          <w:sz w:val="22"/>
          <w:szCs w:val="22"/>
        </w:rPr>
        <w:t xml:space="preserve"> </w:t>
      </w:r>
      <w:proofErr w:type="spellStart"/>
      <w:r w:rsidRPr="0073248C">
        <w:rPr>
          <w:sz w:val="22"/>
          <w:szCs w:val="22"/>
        </w:rPr>
        <w:t>Kaupp</w:t>
      </w:r>
      <w:proofErr w:type="spellEnd"/>
      <w:r w:rsidRPr="0073248C">
        <w:rPr>
          <w:sz w:val="22"/>
          <w:szCs w:val="22"/>
        </w:rPr>
        <w:t>, Interview, August 2011</w:t>
      </w:r>
    </w:p>
  </w:footnote>
  <w:footnote w:id="241">
    <w:p w:rsidR="007A77E1" w:rsidRPr="00BB3469" w:rsidRDefault="007A77E1" w:rsidP="00D60A42">
      <w:pPr>
        <w:pStyle w:val="Funotentext"/>
        <w:rPr>
          <w:sz w:val="22"/>
          <w:szCs w:val="22"/>
        </w:rPr>
      </w:pPr>
      <w:r w:rsidRPr="00BB3469">
        <w:rPr>
          <w:rStyle w:val="Funotenzeichen"/>
          <w:sz w:val="22"/>
          <w:szCs w:val="22"/>
        </w:rPr>
        <w:footnoteRef/>
      </w:r>
      <w:r w:rsidRPr="00BB3469">
        <w:rPr>
          <w:sz w:val="22"/>
          <w:szCs w:val="22"/>
        </w:rPr>
        <w:t xml:space="preserve"> Fawcett, Interview, July 2011</w:t>
      </w:r>
    </w:p>
  </w:footnote>
  <w:footnote w:id="242">
    <w:p w:rsidR="007A77E1" w:rsidRPr="00B37410" w:rsidRDefault="007A77E1" w:rsidP="00D60A42">
      <w:pPr>
        <w:pStyle w:val="Funotentext"/>
        <w:rPr>
          <w:sz w:val="22"/>
          <w:szCs w:val="22"/>
          <w:lang w:val="fr-FR"/>
        </w:rPr>
      </w:pPr>
      <w:r w:rsidRPr="0073248C">
        <w:rPr>
          <w:rStyle w:val="Funotenzeichen"/>
          <w:sz w:val="22"/>
          <w:szCs w:val="22"/>
        </w:rPr>
        <w:footnoteRef/>
      </w:r>
      <w:r w:rsidRPr="00B37410">
        <w:rPr>
          <w:sz w:val="22"/>
          <w:szCs w:val="22"/>
          <w:lang w:val="fr-FR"/>
        </w:rPr>
        <w:t xml:space="preserve"> </w:t>
      </w:r>
      <w:r w:rsidRPr="00B37410">
        <w:rPr>
          <w:sz w:val="22"/>
          <w:szCs w:val="22"/>
          <w:lang w:val="fr-FR"/>
        </w:rPr>
        <w:t>De Albuquerque, 2010</w:t>
      </w:r>
    </w:p>
  </w:footnote>
  <w:footnote w:id="243">
    <w:p w:rsidR="007A77E1" w:rsidRPr="00B37410" w:rsidRDefault="007A77E1" w:rsidP="00C23744">
      <w:pPr>
        <w:pStyle w:val="Funotentext"/>
        <w:rPr>
          <w:sz w:val="22"/>
          <w:szCs w:val="22"/>
          <w:lang w:val="fr-FR"/>
        </w:rPr>
      </w:pPr>
      <w:r w:rsidRPr="0017614D">
        <w:rPr>
          <w:rStyle w:val="Funotenzeichen"/>
          <w:sz w:val="22"/>
          <w:szCs w:val="22"/>
        </w:rPr>
        <w:footnoteRef/>
      </w:r>
      <w:r w:rsidRPr="00B37410">
        <w:rPr>
          <w:sz w:val="22"/>
          <w:szCs w:val="22"/>
          <w:lang w:val="fr-FR"/>
        </w:rPr>
        <w:t xml:space="preserve"> De Albuquerque, 2011: p.19</w:t>
      </w:r>
    </w:p>
  </w:footnote>
  <w:footnote w:id="244">
    <w:p w:rsidR="007A77E1" w:rsidRPr="00B37410" w:rsidRDefault="007A77E1" w:rsidP="00BB3469">
      <w:pPr>
        <w:pStyle w:val="Funotentext"/>
        <w:rPr>
          <w:sz w:val="22"/>
          <w:szCs w:val="22"/>
          <w:lang w:val="fr-FR"/>
        </w:rPr>
      </w:pPr>
      <w:r w:rsidRPr="0017614D">
        <w:rPr>
          <w:rStyle w:val="Funotenzeichen"/>
          <w:sz w:val="22"/>
          <w:szCs w:val="22"/>
        </w:rPr>
        <w:footnoteRef/>
      </w:r>
      <w:r w:rsidRPr="00B37410">
        <w:rPr>
          <w:sz w:val="22"/>
          <w:szCs w:val="22"/>
          <w:lang w:val="fr-FR"/>
        </w:rPr>
        <w:t xml:space="preserve"> De Albuquerque, 2011: p.20</w:t>
      </w:r>
    </w:p>
  </w:footnote>
  <w:footnote w:id="245">
    <w:p w:rsidR="007A77E1" w:rsidRPr="00B37410" w:rsidRDefault="007A77E1">
      <w:pPr>
        <w:pStyle w:val="Funotentext"/>
        <w:rPr>
          <w:sz w:val="22"/>
          <w:szCs w:val="22"/>
          <w:lang w:val="fr-FR"/>
        </w:rPr>
      </w:pPr>
      <w:r w:rsidRPr="00BA4A15">
        <w:rPr>
          <w:rStyle w:val="Funotenzeichen"/>
          <w:sz w:val="22"/>
          <w:szCs w:val="22"/>
        </w:rPr>
        <w:footnoteRef/>
      </w:r>
      <w:r w:rsidRPr="00B37410">
        <w:rPr>
          <w:sz w:val="22"/>
          <w:szCs w:val="22"/>
          <w:lang w:val="fr-FR"/>
        </w:rPr>
        <w:t xml:space="preserve"> Albuquerque, 2011: p.17</w:t>
      </w:r>
    </w:p>
  </w:footnote>
  <w:footnote w:id="246">
    <w:p w:rsidR="007A77E1" w:rsidRPr="00B37410" w:rsidRDefault="007A77E1" w:rsidP="000B76ED">
      <w:pPr>
        <w:pStyle w:val="Funotentext"/>
        <w:rPr>
          <w:sz w:val="22"/>
          <w:szCs w:val="22"/>
          <w:lang w:val="de-DE"/>
        </w:rPr>
      </w:pPr>
      <w:r w:rsidRPr="00890D8B">
        <w:rPr>
          <w:rStyle w:val="Funotenzeichen"/>
          <w:sz w:val="22"/>
          <w:szCs w:val="22"/>
        </w:rPr>
        <w:footnoteRef/>
      </w:r>
      <w:r w:rsidRPr="00B37410">
        <w:rPr>
          <w:sz w:val="22"/>
          <w:szCs w:val="22"/>
          <w:lang w:val="de-DE"/>
        </w:rPr>
        <w:t xml:space="preserve"> Moeller, 1999: p.12</w:t>
      </w:r>
    </w:p>
  </w:footnote>
  <w:footnote w:id="247">
    <w:p w:rsidR="007A77E1" w:rsidRPr="00B37410" w:rsidRDefault="007A77E1" w:rsidP="000B76ED">
      <w:pPr>
        <w:pStyle w:val="Funotentext"/>
        <w:rPr>
          <w:sz w:val="22"/>
          <w:szCs w:val="22"/>
          <w:lang w:val="de-DE"/>
        </w:rPr>
      </w:pPr>
      <w:r w:rsidRPr="00890D8B">
        <w:rPr>
          <w:rStyle w:val="Funotenzeichen"/>
          <w:sz w:val="22"/>
          <w:szCs w:val="22"/>
        </w:rPr>
        <w:footnoteRef/>
      </w:r>
      <w:r w:rsidRPr="00B37410">
        <w:rPr>
          <w:sz w:val="22"/>
          <w:szCs w:val="22"/>
          <w:lang w:val="de-DE"/>
        </w:rPr>
        <w:t xml:space="preserve"> Moeller, 1999: p.12</w:t>
      </w:r>
    </w:p>
  </w:footnote>
  <w:footnote w:id="248">
    <w:p w:rsidR="007A77E1" w:rsidRPr="00B37410" w:rsidRDefault="007A77E1">
      <w:pPr>
        <w:pStyle w:val="Funotentext"/>
        <w:rPr>
          <w:lang w:val="de-DE"/>
        </w:rPr>
      </w:pPr>
      <w:r>
        <w:rPr>
          <w:rStyle w:val="Funotenzeichen"/>
        </w:rPr>
        <w:footnoteRef/>
      </w:r>
      <w:r w:rsidRPr="00B37410">
        <w:rPr>
          <w:lang w:val="de-DE"/>
        </w:rPr>
        <w:t xml:space="preserve"> </w:t>
      </w:r>
      <w:r w:rsidRPr="00B37410">
        <w:rPr>
          <w:sz w:val="22"/>
          <w:szCs w:val="22"/>
          <w:lang w:val="de-DE"/>
        </w:rPr>
        <w:t>Moeller, 1999: p.12</w:t>
      </w:r>
    </w:p>
  </w:footnote>
  <w:footnote w:id="249">
    <w:p w:rsidR="007A77E1" w:rsidRPr="00B37410" w:rsidRDefault="007A77E1" w:rsidP="001E118D">
      <w:pPr>
        <w:pStyle w:val="Funotentext"/>
        <w:rPr>
          <w:sz w:val="22"/>
          <w:szCs w:val="22"/>
          <w:lang w:val="de-DE"/>
        </w:rPr>
      </w:pPr>
      <w:r w:rsidRPr="004033ED">
        <w:rPr>
          <w:rStyle w:val="Funotenzeichen"/>
          <w:sz w:val="22"/>
          <w:szCs w:val="22"/>
        </w:rPr>
        <w:footnoteRef/>
      </w:r>
      <w:r w:rsidRPr="00B37410">
        <w:rPr>
          <w:sz w:val="22"/>
          <w:szCs w:val="22"/>
          <w:lang w:val="de-DE"/>
        </w:rPr>
        <w:t xml:space="preserve"> Keck &amp; Sikkink, 1998: p.19</w:t>
      </w:r>
    </w:p>
  </w:footnote>
  <w:footnote w:id="250">
    <w:p w:rsidR="007A77E1" w:rsidRPr="00B37410" w:rsidRDefault="007A77E1" w:rsidP="000B76ED">
      <w:pPr>
        <w:pStyle w:val="Funotentext"/>
        <w:rPr>
          <w:sz w:val="22"/>
          <w:szCs w:val="22"/>
          <w:lang w:val="de-DE"/>
        </w:rPr>
      </w:pPr>
      <w:r w:rsidRPr="009B71A9">
        <w:rPr>
          <w:rStyle w:val="Funotenzeichen"/>
          <w:sz w:val="22"/>
          <w:szCs w:val="22"/>
        </w:rPr>
        <w:footnoteRef/>
      </w:r>
      <w:r w:rsidRPr="00B37410">
        <w:rPr>
          <w:sz w:val="22"/>
          <w:szCs w:val="22"/>
          <w:lang w:val="de-DE"/>
        </w:rPr>
        <w:t xml:space="preserve"> Darnton &amp; Kirk, 2011: p.23</w:t>
      </w:r>
    </w:p>
  </w:footnote>
  <w:footnote w:id="251">
    <w:p w:rsidR="007A77E1" w:rsidRPr="00B37410" w:rsidRDefault="007A77E1" w:rsidP="000B76ED">
      <w:pPr>
        <w:pStyle w:val="Funotentext"/>
        <w:rPr>
          <w:sz w:val="22"/>
          <w:szCs w:val="22"/>
          <w:lang w:val="de-DE"/>
        </w:rPr>
      </w:pPr>
      <w:r w:rsidRPr="009B71A9">
        <w:rPr>
          <w:rStyle w:val="Funotenzeichen"/>
          <w:sz w:val="22"/>
          <w:szCs w:val="22"/>
        </w:rPr>
        <w:footnoteRef/>
      </w:r>
      <w:r w:rsidRPr="00B37410">
        <w:rPr>
          <w:sz w:val="22"/>
          <w:szCs w:val="22"/>
          <w:lang w:val="de-DE"/>
        </w:rPr>
        <w:t xml:space="preserve"> Darnton &amp; Kirk, 2011: p.61</w:t>
      </w:r>
    </w:p>
  </w:footnote>
  <w:footnote w:id="252">
    <w:p w:rsidR="007A77E1" w:rsidRPr="00890D8B" w:rsidRDefault="007A77E1" w:rsidP="000B76ED">
      <w:pPr>
        <w:pStyle w:val="Funotentext"/>
        <w:rPr>
          <w:sz w:val="22"/>
          <w:szCs w:val="22"/>
        </w:rPr>
      </w:pPr>
      <w:r w:rsidRPr="00890D8B">
        <w:rPr>
          <w:rStyle w:val="Funotenzeichen"/>
          <w:sz w:val="22"/>
          <w:szCs w:val="22"/>
        </w:rPr>
        <w:footnoteRef/>
      </w:r>
      <w:r w:rsidRPr="00890D8B">
        <w:rPr>
          <w:sz w:val="22"/>
          <w:szCs w:val="22"/>
        </w:rPr>
        <w:t xml:space="preserve"> </w:t>
      </w:r>
      <w:proofErr w:type="spellStart"/>
      <w:r w:rsidRPr="00890D8B">
        <w:rPr>
          <w:sz w:val="22"/>
          <w:szCs w:val="22"/>
        </w:rPr>
        <w:t>Darton</w:t>
      </w:r>
      <w:proofErr w:type="spellEnd"/>
      <w:r w:rsidRPr="00890D8B">
        <w:rPr>
          <w:sz w:val="22"/>
          <w:szCs w:val="22"/>
        </w:rPr>
        <w:t xml:space="preserve"> and Kirk, 2011: p.13)</w:t>
      </w:r>
    </w:p>
  </w:footnote>
  <w:footnote w:id="253">
    <w:p w:rsidR="007A77E1" w:rsidRPr="00890D8B" w:rsidRDefault="007A77E1" w:rsidP="000B76ED">
      <w:pPr>
        <w:pStyle w:val="Funotentext"/>
        <w:rPr>
          <w:sz w:val="22"/>
          <w:szCs w:val="22"/>
        </w:rPr>
      </w:pPr>
      <w:r w:rsidRPr="00890D8B">
        <w:rPr>
          <w:rStyle w:val="Funotenzeichen"/>
          <w:sz w:val="22"/>
          <w:szCs w:val="22"/>
        </w:rPr>
        <w:footnoteRef/>
      </w:r>
      <w:r w:rsidRPr="00890D8B">
        <w:rPr>
          <w:sz w:val="22"/>
          <w:szCs w:val="22"/>
        </w:rPr>
        <w:t xml:space="preserve"> A recent </w:t>
      </w:r>
      <w:proofErr w:type="spellStart"/>
      <w:r w:rsidRPr="00890D8B">
        <w:rPr>
          <w:sz w:val="22"/>
          <w:szCs w:val="22"/>
        </w:rPr>
        <w:t>DfID</w:t>
      </w:r>
      <w:proofErr w:type="spellEnd"/>
      <w:r w:rsidRPr="00890D8B">
        <w:rPr>
          <w:sz w:val="22"/>
          <w:szCs w:val="22"/>
        </w:rPr>
        <w:t xml:space="preserve"> reports shows the proportion of the UK public reported to be “very concerned” about levels of poverty in  “poor counties” dropped from 32% in June 2005 to 24% in February 2011</w:t>
      </w:r>
      <w:r w:rsidRPr="00890D8B">
        <w:rPr>
          <w:rStyle w:val="Funotenzeichen"/>
          <w:sz w:val="22"/>
          <w:szCs w:val="22"/>
        </w:rPr>
        <w:footnoteRef/>
      </w:r>
      <w:r w:rsidRPr="00890D8B">
        <w:rPr>
          <w:sz w:val="22"/>
          <w:szCs w:val="22"/>
        </w:rPr>
        <w:t>.</w:t>
      </w:r>
    </w:p>
  </w:footnote>
  <w:footnote w:id="254">
    <w:p w:rsidR="007A77E1" w:rsidRPr="00184AA4" w:rsidRDefault="007A77E1">
      <w:pPr>
        <w:pStyle w:val="Funotentext"/>
        <w:rPr>
          <w:sz w:val="22"/>
          <w:szCs w:val="22"/>
        </w:rPr>
      </w:pPr>
      <w:r w:rsidRPr="00184AA4">
        <w:rPr>
          <w:rStyle w:val="Funotenzeichen"/>
          <w:sz w:val="22"/>
          <w:szCs w:val="22"/>
        </w:rPr>
        <w:footnoteRef/>
      </w:r>
      <w:r w:rsidRPr="00184AA4">
        <w:rPr>
          <w:sz w:val="22"/>
          <w:szCs w:val="22"/>
        </w:rPr>
        <w:t xml:space="preserve"> UN-INWEH, 2008: p.6</w:t>
      </w:r>
    </w:p>
  </w:footnote>
  <w:footnote w:id="255">
    <w:p w:rsidR="007A77E1" w:rsidRPr="00184AA4" w:rsidRDefault="007A77E1" w:rsidP="00667130">
      <w:pPr>
        <w:pStyle w:val="Funotentext"/>
        <w:rPr>
          <w:sz w:val="22"/>
          <w:szCs w:val="22"/>
        </w:rPr>
      </w:pPr>
      <w:r w:rsidRPr="00184AA4">
        <w:rPr>
          <w:rStyle w:val="Funotenzeichen"/>
          <w:sz w:val="22"/>
          <w:szCs w:val="22"/>
        </w:rPr>
        <w:footnoteRef/>
      </w:r>
      <w:r w:rsidRPr="00184AA4">
        <w:rPr>
          <w:sz w:val="22"/>
          <w:szCs w:val="22"/>
        </w:rPr>
        <w:t xml:space="preserve"> Keck and </w:t>
      </w:r>
      <w:proofErr w:type="spellStart"/>
      <w:r w:rsidRPr="00184AA4">
        <w:rPr>
          <w:sz w:val="22"/>
          <w:szCs w:val="22"/>
        </w:rPr>
        <w:t>Sikkink</w:t>
      </w:r>
      <w:proofErr w:type="spellEnd"/>
      <w:r w:rsidRPr="00184AA4">
        <w:rPr>
          <w:sz w:val="22"/>
          <w:szCs w:val="22"/>
        </w:rPr>
        <w:t>, 1998: p.23</w:t>
      </w:r>
    </w:p>
  </w:footnote>
  <w:footnote w:id="256">
    <w:p w:rsidR="007A77E1" w:rsidRDefault="007A77E1">
      <w:pPr>
        <w:pStyle w:val="Funotentext"/>
      </w:pPr>
      <w:r>
        <w:rPr>
          <w:rStyle w:val="Funotenzeichen"/>
        </w:rPr>
        <w:footnoteRef/>
      </w:r>
      <w:r>
        <w:t xml:space="preserve"> </w:t>
      </w:r>
      <w:r w:rsidRPr="004F2A07">
        <w:rPr>
          <w:sz w:val="22"/>
          <w:szCs w:val="22"/>
        </w:rPr>
        <w:t>Anderson, Interview July 2011</w:t>
      </w:r>
    </w:p>
  </w:footnote>
  <w:footnote w:id="257">
    <w:p w:rsidR="007A77E1" w:rsidRPr="00184AA4" w:rsidRDefault="007A77E1">
      <w:pPr>
        <w:pStyle w:val="Funotentext"/>
        <w:rPr>
          <w:sz w:val="22"/>
          <w:szCs w:val="22"/>
        </w:rPr>
      </w:pPr>
      <w:r w:rsidRPr="00184AA4">
        <w:rPr>
          <w:rStyle w:val="Funotenzeichen"/>
          <w:sz w:val="22"/>
          <w:szCs w:val="22"/>
        </w:rPr>
        <w:footnoteRef/>
      </w:r>
      <w:r w:rsidRPr="00184AA4">
        <w:rPr>
          <w:sz w:val="22"/>
          <w:szCs w:val="22"/>
        </w:rPr>
        <w:t xml:space="preserve"> George, 2008: p.12</w:t>
      </w:r>
    </w:p>
  </w:footnote>
  <w:footnote w:id="258">
    <w:p w:rsidR="007A77E1" w:rsidRPr="00184AA4" w:rsidRDefault="007A77E1">
      <w:pPr>
        <w:pStyle w:val="Funotentext"/>
        <w:rPr>
          <w:sz w:val="22"/>
          <w:szCs w:val="22"/>
        </w:rPr>
      </w:pPr>
      <w:r w:rsidRPr="00184AA4">
        <w:rPr>
          <w:rStyle w:val="Funotenzeichen"/>
          <w:sz w:val="22"/>
          <w:szCs w:val="22"/>
        </w:rPr>
        <w:footnoteRef/>
      </w:r>
      <w:r w:rsidRPr="00184AA4">
        <w:rPr>
          <w:sz w:val="22"/>
          <w:szCs w:val="22"/>
        </w:rPr>
        <w:t xml:space="preserve"> </w:t>
      </w:r>
      <w:proofErr w:type="spellStart"/>
      <w:r w:rsidRPr="00184AA4">
        <w:rPr>
          <w:sz w:val="22"/>
          <w:szCs w:val="22"/>
        </w:rPr>
        <w:t>Lakoff</w:t>
      </w:r>
      <w:proofErr w:type="spellEnd"/>
      <w:r w:rsidRPr="00184AA4">
        <w:rPr>
          <w:sz w:val="22"/>
          <w:szCs w:val="22"/>
        </w:rPr>
        <w:t>, 2004: p. xv</w:t>
      </w:r>
    </w:p>
  </w:footnote>
  <w:footnote w:id="259">
    <w:p w:rsidR="007A77E1" w:rsidRPr="00184AA4" w:rsidRDefault="007A77E1" w:rsidP="002A42F1">
      <w:pPr>
        <w:pStyle w:val="Funotentext"/>
        <w:rPr>
          <w:sz w:val="22"/>
          <w:szCs w:val="22"/>
        </w:rPr>
      </w:pPr>
      <w:r w:rsidRPr="00184AA4">
        <w:rPr>
          <w:rStyle w:val="Funotenzeichen"/>
          <w:sz w:val="22"/>
          <w:szCs w:val="22"/>
        </w:rPr>
        <w:footnoteRef/>
      </w:r>
      <w:r w:rsidRPr="00184AA4">
        <w:rPr>
          <w:sz w:val="22"/>
          <w:szCs w:val="22"/>
        </w:rPr>
        <w:t xml:space="preserve"> </w:t>
      </w:r>
      <w:proofErr w:type="spellStart"/>
      <w:r w:rsidRPr="00184AA4">
        <w:rPr>
          <w:sz w:val="22"/>
          <w:szCs w:val="22"/>
        </w:rPr>
        <w:t>Grabel</w:t>
      </w:r>
      <w:proofErr w:type="spellEnd"/>
      <w:r w:rsidRPr="00184AA4">
        <w:rPr>
          <w:sz w:val="22"/>
          <w:szCs w:val="22"/>
        </w:rPr>
        <w:t xml:space="preserve"> &amp; </w:t>
      </w:r>
      <w:r>
        <w:rPr>
          <w:sz w:val="22"/>
          <w:szCs w:val="22"/>
        </w:rPr>
        <w:t>R</w:t>
      </w:r>
      <w:r w:rsidRPr="00184AA4">
        <w:rPr>
          <w:sz w:val="22"/>
          <w:szCs w:val="22"/>
        </w:rPr>
        <w:t>eel, 2011,</w:t>
      </w:r>
    </w:p>
  </w:footnote>
  <w:footnote w:id="260">
    <w:p w:rsidR="007A77E1" w:rsidRDefault="007A77E1">
      <w:pPr>
        <w:pStyle w:val="Funotentext"/>
      </w:pPr>
      <w:r>
        <w:rPr>
          <w:rStyle w:val="Funotenzeichen"/>
        </w:rPr>
        <w:footnoteRef/>
      </w:r>
      <w:r>
        <w:t xml:space="preserve"> </w:t>
      </w:r>
      <w:proofErr w:type="spellStart"/>
      <w:r w:rsidRPr="00184AA4">
        <w:rPr>
          <w:sz w:val="22"/>
          <w:szCs w:val="22"/>
        </w:rPr>
        <w:t>Grabel</w:t>
      </w:r>
      <w:proofErr w:type="spellEnd"/>
      <w:r w:rsidRPr="00184AA4">
        <w:rPr>
          <w:sz w:val="22"/>
          <w:szCs w:val="22"/>
        </w:rPr>
        <w:t xml:space="preserve"> &amp; </w:t>
      </w:r>
      <w:r>
        <w:rPr>
          <w:sz w:val="22"/>
          <w:szCs w:val="22"/>
        </w:rPr>
        <w:t>R</w:t>
      </w:r>
      <w:r w:rsidRPr="00184AA4">
        <w:rPr>
          <w:sz w:val="22"/>
          <w:szCs w:val="22"/>
        </w:rPr>
        <w:t>eel, 2011</w:t>
      </w:r>
    </w:p>
  </w:footnote>
  <w:footnote w:id="261">
    <w:p w:rsidR="007A77E1" w:rsidRPr="00184AA4" w:rsidRDefault="007A77E1" w:rsidP="00184AA4">
      <w:pPr>
        <w:pStyle w:val="Funotentext"/>
        <w:rPr>
          <w:sz w:val="22"/>
          <w:szCs w:val="22"/>
        </w:rPr>
      </w:pPr>
      <w:r w:rsidRPr="00184AA4">
        <w:rPr>
          <w:rStyle w:val="Funotenzeichen"/>
          <w:sz w:val="22"/>
          <w:szCs w:val="22"/>
        </w:rPr>
        <w:footnoteRef/>
      </w:r>
      <w:r w:rsidRPr="00184AA4">
        <w:rPr>
          <w:sz w:val="22"/>
          <w:szCs w:val="22"/>
        </w:rPr>
        <w:t xml:space="preserve"> George, 2008: p.213</w:t>
      </w:r>
    </w:p>
  </w:footnote>
  <w:footnote w:id="262">
    <w:p w:rsidR="007A77E1" w:rsidRPr="00184AA4" w:rsidRDefault="007A77E1" w:rsidP="00184AA4">
      <w:pPr>
        <w:pStyle w:val="Funotentext"/>
        <w:rPr>
          <w:sz w:val="22"/>
          <w:szCs w:val="22"/>
        </w:rPr>
      </w:pPr>
      <w:r w:rsidRPr="00184AA4">
        <w:rPr>
          <w:rStyle w:val="Funotenzeichen"/>
          <w:sz w:val="22"/>
          <w:szCs w:val="22"/>
        </w:rPr>
        <w:footnoteRef/>
      </w:r>
      <w:r w:rsidRPr="00184AA4">
        <w:rPr>
          <w:sz w:val="22"/>
          <w:szCs w:val="22"/>
        </w:rPr>
        <w:t xml:space="preserve"> </w:t>
      </w:r>
      <w:proofErr w:type="spellStart"/>
      <w:r w:rsidRPr="00184AA4">
        <w:rPr>
          <w:sz w:val="22"/>
          <w:szCs w:val="22"/>
        </w:rPr>
        <w:t>Kar</w:t>
      </w:r>
      <w:proofErr w:type="spellEnd"/>
      <w:r w:rsidRPr="00184AA4">
        <w:rPr>
          <w:sz w:val="22"/>
          <w:szCs w:val="22"/>
        </w:rPr>
        <w:t>, cited in George, 2008: p.215</w:t>
      </w:r>
    </w:p>
  </w:footnote>
  <w:footnote w:id="263">
    <w:p w:rsidR="007A77E1" w:rsidRPr="003C7BAD" w:rsidRDefault="007A77E1" w:rsidP="003C7BAD">
      <w:pPr>
        <w:pStyle w:val="Funotentext"/>
        <w:rPr>
          <w:sz w:val="22"/>
          <w:szCs w:val="22"/>
        </w:rPr>
      </w:pPr>
      <w:r>
        <w:rPr>
          <w:rStyle w:val="Funotenzeichen"/>
        </w:rPr>
        <w:footnoteRef/>
      </w:r>
      <w:r>
        <w:t xml:space="preserve"> </w:t>
      </w:r>
      <w:r w:rsidRPr="009146A1">
        <w:rPr>
          <w:sz w:val="22"/>
          <w:szCs w:val="22"/>
        </w:rPr>
        <w:t>George, 2008: p.12</w:t>
      </w:r>
    </w:p>
  </w:footnote>
  <w:footnote w:id="264">
    <w:p w:rsidR="007A77E1" w:rsidRPr="003C7BAD" w:rsidRDefault="007A77E1" w:rsidP="003C7BAD">
      <w:pPr>
        <w:pStyle w:val="Funotentext"/>
        <w:rPr>
          <w:sz w:val="22"/>
          <w:szCs w:val="22"/>
        </w:rPr>
      </w:pPr>
      <w:r w:rsidRPr="003C7BAD">
        <w:rPr>
          <w:rStyle w:val="Funotenzeichen"/>
          <w:sz w:val="22"/>
          <w:szCs w:val="22"/>
        </w:rPr>
        <w:footnoteRef/>
      </w:r>
      <w:r w:rsidRPr="003C7BAD">
        <w:rPr>
          <w:sz w:val="22"/>
          <w:szCs w:val="22"/>
        </w:rPr>
        <w:t xml:space="preserve"> Fawcett, Interview, July 2011</w:t>
      </w:r>
    </w:p>
  </w:footnote>
  <w:footnote w:id="265">
    <w:p w:rsidR="007A77E1" w:rsidRPr="00AF61B8" w:rsidRDefault="007A77E1" w:rsidP="003C7BAD">
      <w:pPr>
        <w:pStyle w:val="Funotentext"/>
        <w:rPr>
          <w:sz w:val="22"/>
          <w:szCs w:val="22"/>
        </w:rPr>
      </w:pPr>
      <w:r w:rsidRPr="00AF61B8">
        <w:rPr>
          <w:rStyle w:val="Funotenzeichen"/>
          <w:sz w:val="22"/>
          <w:szCs w:val="22"/>
        </w:rPr>
        <w:footnoteRef/>
      </w:r>
      <w:r w:rsidRPr="00AF61B8">
        <w:rPr>
          <w:sz w:val="22"/>
          <w:szCs w:val="22"/>
        </w:rPr>
        <w:t xml:space="preserve"> </w:t>
      </w:r>
      <w:proofErr w:type="spellStart"/>
      <w:r w:rsidRPr="00AF61B8">
        <w:rPr>
          <w:sz w:val="22"/>
          <w:szCs w:val="22"/>
        </w:rPr>
        <w:t>Gladwell</w:t>
      </w:r>
      <w:proofErr w:type="spellEnd"/>
      <w:r w:rsidRPr="00AF61B8">
        <w:rPr>
          <w:sz w:val="22"/>
          <w:szCs w:val="22"/>
        </w:rPr>
        <w:t>, 200</w:t>
      </w:r>
      <w:r>
        <w:rPr>
          <w:sz w:val="22"/>
          <w:szCs w:val="22"/>
        </w:rPr>
        <w:t>1</w:t>
      </w:r>
      <w:r w:rsidRPr="00AF61B8">
        <w:rPr>
          <w:sz w:val="22"/>
          <w:szCs w:val="22"/>
        </w:rPr>
        <w:t>: p.91</w:t>
      </w:r>
    </w:p>
  </w:footnote>
  <w:footnote w:id="266">
    <w:p w:rsidR="007A77E1" w:rsidRPr="00AF61B8" w:rsidRDefault="007A77E1" w:rsidP="003C7BAD">
      <w:pPr>
        <w:pStyle w:val="Funotentext"/>
        <w:rPr>
          <w:sz w:val="22"/>
          <w:szCs w:val="22"/>
        </w:rPr>
      </w:pPr>
      <w:r w:rsidRPr="00AF61B8">
        <w:rPr>
          <w:rStyle w:val="Funotenzeichen"/>
          <w:sz w:val="22"/>
          <w:szCs w:val="22"/>
        </w:rPr>
        <w:footnoteRef/>
      </w:r>
      <w:r w:rsidRPr="00AF61B8">
        <w:rPr>
          <w:sz w:val="22"/>
          <w:szCs w:val="22"/>
        </w:rPr>
        <w:t xml:space="preserve"> </w:t>
      </w:r>
      <w:proofErr w:type="spellStart"/>
      <w:r w:rsidRPr="00AF61B8">
        <w:rPr>
          <w:sz w:val="22"/>
          <w:szCs w:val="22"/>
        </w:rPr>
        <w:t>Gladwell</w:t>
      </w:r>
      <w:proofErr w:type="spellEnd"/>
      <w:r w:rsidRPr="00AF61B8">
        <w:rPr>
          <w:sz w:val="22"/>
          <w:szCs w:val="22"/>
        </w:rPr>
        <w:t>, 200</w:t>
      </w:r>
      <w:r>
        <w:rPr>
          <w:sz w:val="22"/>
          <w:szCs w:val="22"/>
        </w:rPr>
        <w:t>1</w:t>
      </w:r>
      <w:r w:rsidRPr="00AF61B8">
        <w:rPr>
          <w:sz w:val="22"/>
          <w:szCs w:val="22"/>
        </w:rPr>
        <w:t>: p.38</w:t>
      </w:r>
    </w:p>
  </w:footnote>
  <w:footnote w:id="267">
    <w:p w:rsidR="007A77E1" w:rsidRPr="00AF61B8" w:rsidRDefault="007A77E1" w:rsidP="003C7BAD">
      <w:pPr>
        <w:pStyle w:val="Funotentext"/>
        <w:rPr>
          <w:sz w:val="22"/>
          <w:szCs w:val="22"/>
        </w:rPr>
      </w:pPr>
      <w:r w:rsidRPr="00AF61B8">
        <w:rPr>
          <w:rStyle w:val="Funotenzeichen"/>
          <w:sz w:val="22"/>
          <w:szCs w:val="22"/>
        </w:rPr>
        <w:footnoteRef/>
      </w:r>
      <w:r w:rsidRPr="00AF61B8">
        <w:rPr>
          <w:sz w:val="22"/>
          <w:szCs w:val="22"/>
        </w:rPr>
        <w:t xml:space="preserve"> </w:t>
      </w:r>
      <w:proofErr w:type="spellStart"/>
      <w:r w:rsidRPr="00AF61B8">
        <w:rPr>
          <w:sz w:val="22"/>
          <w:szCs w:val="22"/>
        </w:rPr>
        <w:t>Gladwell</w:t>
      </w:r>
      <w:proofErr w:type="spellEnd"/>
      <w:r w:rsidRPr="00AF61B8">
        <w:rPr>
          <w:sz w:val="22"/>
          <w:szCs w:val="22"/>
        </w:rPr>
        <w:t>, 200</w:t>
      </w:r>
      <w:r>
        <w:rPr>
          <w:sz w:val="22"/>
          <w:szCs w:val="22"/>
        </w:rPr>
        <w:t>1</w:t>
      </w:r>
      <w:r w:rsidRPr="00AF61B8">
        <w:rPr>
          <w:sz w:val="22"/>
          <w:szCs w:val="22"/>
        </w:rPr>
        <w:t>: p.51</w:t>
      </w:r>
    </w:p>
  </w:footnote>
  <w:footnote w:id="268">
    <w:p w:rsidR="007A77E1" w:rsidRPr="00F075C6" w:rsidRDefault="007A77E1" w:rsidP="003C7BAD">
      <w:pPr>
        <w:pStyle w:val="Funotentext"/>
        <w:rPr>
          <w:sz w:val="22"/>
          <w:szCs w:val="22"/>
        </w:rPr>
      </w:pPr>
      <w:r w:rsidRPr="00F075C6">
        <w:rPr>
          <w:rStyle w:val="Funotenzeichen"/>
          <w:sz w:val="22"/>
          <w:szCs w:val="22"/>
        </w:rPr>
        <w:footnoteRef/>
      </w:r>
      <w:r w:rsidRPr="00F075C6">
        <w:rPr>
          <w:sz w:val="22"/>
          <w:szCs w:val="22"/>
        </w:rPr>
        <w:t xml:space="preserve"> Bob, 2009: p.3</w:t>
      </w:r>
    </w:p>
  </w:footnote>
  <w:footnote w:id="269">
    <w:p w:rsidR="007A77E1" w:rsidRPr="00F075C6" w:rsidRDefault="007A77E1" w:rsidP="00221709">
      <w:pPr>
        <w:pStyle w:val="Funotentext"/>
        <w:rPr>
          <w:sz w:val="22"/>
          <w:szCs w:val="22"/>
        </w:rPr>
      </w:pPr>
      <w:r w:rsidRPr="00F075C6">
        <w:rPr>
          <w:rStyle w:val="Funotenzeichen"/>
          <w:sz w:val="22"/>
          <w:szCs w:val="22"/>
        </w:rPr>
        <w:footnoteRef/>
      </w:r>
      <w:r w:rsidRPr="00F075C6">
        <w:rPr>
          <w:sz w:val="22"/>
          <w:szCs w:val="22"/>
        </w:rPr>
        <w:t xml:space="preserve"> Chapman in Edwards &amp; </w:t>
      </w:r>
      <w:proofErr w:type="spellStart"/>
      <w:r w:rsidRPr="00F075C6">
        <w:rPr>
          <w:sz w:val="22"/>
          <w:szCs w:val="22"/>
        </w:rPr>
        <w:t>Gaventa</w:t>
      </w:r>
      <w:proofErr w:type="spellEnd"/>
      <w:r w:rsidRPr="00F075C6">
        <w:rPr>
          <w:sz w:val="22"/>
          <w:szCs w:val="22"/>
        </w:rPr>
        <w:t>, 2001: p.267 (fig. 19.4)</w:t>
      </w:r>
    </w:p>
  </w:footnote>
  <w:footnote w:id="270">
    <w:p w:rsidR="007A77E1" w:rsidRPr="00F075C6" w:rsidRDefault="007A77E1" w:rsidP="003C7BAD">
      <w:pPr>
        <w:pStyle w:val="Funotentext"/>
        <w:rPr>
          <w:sz w:val="22"/>
          <w:szCs w:val="22"/>
        </w:rPr>
      </w:pPr>
      <w:r w:rsidRPr="00F075C6">
        <w:rPr>
          <w:rStyle w:val="Funotenzeichen"/>
          <w:sz w:val="22"/>
          <w:szCs w:val="22"/>
        </w:rPr>
        <w:footnoteRef/>
      </w:r>
      <w:r w:rsidRPr="00F075C6">
        <w:rPr>
          <w:sz w:val="22"/>
          <w:szCs w:val="22"/>
        </w:rPr>
        <w:t xml:space="preserve"> George, Interview, August 2011</w:t>
      </w:r>
    </w:p>
  </w:footnote>
  <w:footnote w:id="271">
    <w:p w:rsidR="007A77E1" w:rsidRPr="00F075C6" w:rsidRDefault="007A77E1">
      <w:pPr>
        <w:pStyle w:val="Funotentext"/>
        <w:rPr>
          <w:sz w:val="22"/>
          <w:szCs w:val="22"/>
        </w:rPr>
      </w:pPr>
      <w:r w:rsidRPr="00F075C6">
        <w:rPr>
          <w:rStyle w:val="Funotenzeichen"/>
          <w:sz w:val="22"/>
          <w:szCs w:val="22"/>
        </w:rPr>
        <w:footnoteRef/>
      </w:r>
      <w:r w:rsidRPr="00F075C6">
        <w:rPr>
          <w:sz w:val="22"/>
          <w:szCs w:val="22"/>
        </w:rPr>
        <w:t xml:space="preserve"> Jack </w:t>
      </w:r>
      <w:proofErr w:type="spellStart"/>
      <w:r w:rsidRPr="00F075C6">
        <w:rPr>
          <w:sz w:val="22"/>
          <w:szCs w:val="22"/>
        </w:rPr>
        <w:t>Sim</w:t>
      </w:r>
      <w:proofErr w:type="spellEnd"/>
      <w:r w:rsidRPr="00F075C6">
        <w:rPr>
          <w:sz w:val="22"/>
          <w:szCs w:val="22"/>
        </w:rPr>
        <w:t xml:space="preserve"> cited in George, 2008: p.74</w:t>
      </w:r>
    </w:p>
  </w:footnote>
  <w:footnote w:id="272">
    <w:p w:rsidR="007A77E1" w:rsidRPr="00F075C6" w:rsidRDefault="007A77E1" w:rsidP="003C7BAD">
      <w:pPr>
        <w:pStyle w:val="Funotentext"/>
        <w:rPr>
          <w:sz w:val="22"/>
          <w:szCs w:val="22"/>
        </w:rPr>
      </w:pPr>
      <w:r w:rsidRPr="00F075C6">
        <w:rPr>
          <w:rStyle w:val="Funotenzeichen"/>
          <w:sz w:val="22"/>
          <w:szCs w:val="22"/>
        </w:rPr>
        <w:footnoteRef/>
      </w:r>
      <w:r w:rsidRPr="00F075C6">
        <w:rPr>
          <w:sz w:val="22"/>
          <w:szCs w:val="22"/>
        </w:rPr>
        <w:t xml:space="preserve"> George, Interview, August 2011</w:t>
      </w:r>
    </w:p>
  </w:footnote>
  <w:footnote w:id="273">
    <w:p w:rsidR="007A77E1" w:rsidRPr="00F075C6" w:rsidRDefault="007A77E1" w:rsidP="003C7BAD">
      <w:pPr>
        <w:pStyle w:val="Funotentext"/>
        <w:rPr>
          <w:sz w:val="22"/>
          <w:szCs w:val="22"/>
        </w:rPr>
      </w:pPr>
      <w:r w:rsidRPr="00F075C6">
        <w:rPr>
          <w:rStyle w:val="Funotenzeichen"/>
          <w:sz w:val="22"/>
          <w:szCs w:val="22"/>
        </w:rPr>
        <w:footnoteRef/>
      </w:r>
      <w:r w:rsidRPr="00F075C6">
        <w:rPr>
          <w:sz w:val="22"/>
          <w:szCs w:val="22"/>
        </w:rPr>
        <w:t xml:space="preserve"> </w:t>
      </w:r>
      <w:proofErr w:type="spellStart"/>
      <w:r w:rsidRPr="00F075C6">
        <w:rPr>
          <w:sz w:val="22"/>
          <w:szCs w:val="22"/>
        </w:rPr>
        <w:t>Eagly</w:t>
      </w:r>
      <w:proofErr w:type="spellEnd"/>
      <w:r w:rsidRPr="00F075C6">
        <w:rPr>
          <w:sz w:val="22"/>
          <w:szCs w:val="22"/>
        </w:rPr>
        <w:t xml:space="preserve"> &amp; </w:t>
      </w:r>
      <w:proofErr w:type="spellStart"/>
      <w:r w:rsidRPr="00F075C6">
        <w:rPr>
          <w:sz w:val="22"/>
          <w:szCs w:val="22"/>
        </w:rPr>
        <w:t>Chaiken</w:t>
      </w:r>
      <w:proofErr w:type="spellEnd"/>
      <w:r w:rsidRPr="00F075C6">
        <w:rPr>
          <w:sz w:val="22"/>
          <w:szCs w:val="22"/>
        </w:rPr>
        <w:t xml:space="preserve"> (1993) cited in </w:t>
      </w:r>
      <w:proofErr w:type="spellStart"/>
      <w:r w:rsidRPr="00F075C6">
        <w:rPr>
          <w:sz w:val="22"/>
          <w:szCs w:val="22"/>
        </w:rPr>
        <w:t>Risse</w:t>
      </w:r>
      <w:proofErr w:type="spellEnd"/>
      <w:r w:rsidRPr="00F075C6">
        <w:rPr>
          <w:sz w:val="22"/>
          <w:szCs w:val="22"/>
        </w:rPr>
        <w:t xml:space="preserve">, </w:t>
      </w:r>
      <w:proofErr w:type="spellStart"/>
      <w:r w:rsidRPr="00F075C6">
        <w:rPr>
          <w:sz w:val="22"/>
          <w:szCs w:val="22"/>
        </w:rPr>
        <w:t>Ropp</w:t>
      </w:r>
      <w:proofErr w:type="spellEnd"/>
      <w:r w:rsidRPr="00F075C6">
        <w:rPr>
          <w:sz w:val="22"/>
          <w:szCs w:val="22"/>
        </w:rPr>
        <w:t xml:space="preserve"> &amp; </w:t>
      </w:r>
      <w:proofErr w:type="spellStart"/>
      <w:r w:rsidRPr="00F075C6">
        <w:rPr>
          <w:sz w:val="22"/>
          <w:szCs w:val="22"/>
        </w:rPr>
        <w:t>Sikkink</w:t>
      </w:r>
      <w:proofErr w:type="spellEnd"/>
      <w:r w:rsidRPr="00F075C6">
        <w:rPr>
          <w:sz w:val="22"/>
          <w:szCs w:val="22"/>
        </w:rPr>
        <w:t>, 1999: p.14</w:t>
      </w:r>
    </w:p>
  </w:footnote>
  <w:footnote w:id="274">
    <w:p w:rsidR="007A77E1" w:rsidRPr="00F075C6" w:rsidRDefault="007A77E1" w:rsidP="002D28B1">
      <w:pPr>
        <w:pStyle w:val="Funotentext"/>
        <w:rPr>
          <w:sz w:val="22"/>
          <w:szCs w:val="22"/>
        </w:rPr>
      </w:pPr>
      <w:r w:rsidRPr="00F075C6">
        <w:rPr>
          <w:rStyle w:val="Funotenzeichen"/>
          <w:sz w:val="22"/>
          <w:szCs w:val="22"/>
        </w:rPr>
        <w:footnoteRef/>
      </w:r>
      <w:r w:rsidRPr="00F075C6">
        <w:rPr>
          <w:sz w:val="22"/>
          <w:szCs w:val="22"/>
        </w:rPr>
        <w:t xml:space="preserve"> </w:t>
      </w:r>
      <w:proofErr w:type="spellStart"/>
      <w:r w:rsidRPr="00F075C6">
        <w:rPr>
          <w:sz w:val="22"/>
          <w:szCs w:val="22"/>
        </w:rPr>
        <w:t>Norgrove</w:t>
      </w:r>
      <w:proofErr w:type="spellEnd"/>
      <w:r w:rsidRPr="00F075C6">
        <w:rPr>
          <w:sz w:val="22"/>
          <w:szCs w:val="22"/>
        </w:rPr>
        <w:t>, Interview, July 2011</w:t>
      </w:r>
    </w:p>
  </w:footnote>
  <w:footnote w:id="275">
    <w:p w:rsidR="007A77E1" w:rsidRPr="00F075C6" w:rsidRDefault="007A77E1" w:rsidP="002D28B1">
      <w:pPr>
        <w:pStyle w:val="Funotentext"/>
        <w:rPr>
          <w:sz w:val="22"/>
          <w:szCs w:val="22"/>
        </w:rPr>
      </w:pPr>
      <w:r w:rsidRPr="00F075C6">
        <w:rPr>
          <w:rStyle w:val="Funotenzeichen"/>
          <w:sz w:val="22"/>
          <w:szCs w:val="22"/>
        </w:rPr>
        <w:footnoteRef/>
      </w:r>
      <w:r w:rsidRPr="00F075C6">
        <w:rPr>
          <w:sz w:val="22"/>
          <w:szCs w:val="22"/>
        </w:rPr>
        <w:t xml:space="preserve"> </w:t>
      </w:r>
      <w:proofErr w:type="spellStart"/>
      <w:r w:rsidRPr="00F075C6">
        <w:rPr>
          <w:sz w:val="22"/>
          <w:szCs w:val="22"/>
        </w:rPr>
        <w:t>WaterAid</w:t>
      </w:r>
      <w:proofErr w:type="spellEnd"/>
      <w:r w:rsidRPr="00F075C6">
        <w:rPr>
          <w:sz w:val="22"/>
          <w:szCs w:val="22"/>
        </w:rPr>
        <w:t xml:space="preserve"> (2011)</w:t>
      </w:r>
    </w:p>
  </w:footnote>
  <w:footnote w:id="276">
    <w:p w:rsidR="007A77E1" w:rsidRPr="00F075C6" w:rsidRDefault="007A77E1" w:rsidP="002D28B1">
      <w:pPr>
        <w:pStyle w:val="Funotentext"/>
        <w:rPr>
          <w:sz w:val="22"/>
          <w:szCs w:val="22"/>
        </w:rPr>
      </w:pPr>
      <w:r w:rsidRPr="00F075C6">
        <w:rPr>
          <w:rStyle w:val="Funotenzeichen"/>
          <w:sz w:val="22"/>
          <w:szCs w:val="22"/>
        </w:rPr>
        <w:footnoteRef/>
      </w:r>
      <w:r w:rsidRPr="00F075C6">
        <w:rPr>
          <w:sz w:val="22"/>
          <w:szCs w:val="22"/>
        </w:rPr>
        <w:t xml:space="preserve"> George, 2008: p.74</w:t>
      </w:r>
    </w:p>
  </w:footnote>
  <w:footnote w:id="277">
    <w:p w:rsidR="007A77E1" w:rsidRPr="00F075C6" w:rsidRDefault="007A77E1" w:rsidP="009C2053">
      <w:pPr>
        <w:pStyle w:val="Funotentext"/>
        <w:rPr>
          <w:sz w:val="22"/>
          <w:szCs w:val="22"/>
        </w:rPr>
      </w:pPr>
      <w:r w:rsidRPr="00F075C6">
        <w:rPr>
          <w:rStyle w:val="Funotenzeichen"/>
          <w:sz w:val="22"/>
          <w:szCs w:val="22"/>
        </w:rPr>
        <w:footnoteRef/>
      </w:r>
      <w:r w:rsidRPr="00F075C6">
        <w:rPr>
          <w:sz w:val="22"/>
          <w:szCs w:val="22"/>
        </w:rPr>
        <w:t xml:space="preserve"> Nelson &amp; Dobson, 2008: p.78</w:t>
      </w:r>
    </w:p>
  </w:footnote>
  <w:footnote w:id="278">
    <w:p w:rsidR="007A77E1" w:rsidRPr="00F075C6" w:rsidRDefault="007A77E1" w:rsidP="009C2053">
      <w:pPr>
        <w:pStyle w:val="Funotentext"/>
        <w:rPr>
          <w:sz w:val="22"/>
          <w:szCs w:val="22"/>
        </w:rPr>
      </w:pPr>
      <w:r w:rsidRPr="00F075C6">
        <w:rPr>
          <w:rStyle w:val="Funotenzeichen"/>
          <w:sz w:val="22"/>
          <w:szCs w:val="22"/>
        </w:rPr>
        <w:footnoteRef/>
      </w:r>
      <w:r w:rsidRPr="00F075C6">
        <w:rPr>
          <w:sz w:val="22"/>
          <w:szCs w:val="22"/>
        </w:rPr>
        <w:t xml:space="preserve"> Fawcett, Interview, March 2011</w:t>
      </w:r>
    </w:p>
  </w:footnote>
  <w:footnote w:id="279">
    <w:p w:rsidR="007A77E1" w:rsidRPr="00C55C9F" w:rsidRDefault="007A77E1" w:rsidP="00202540">
      <w:pPr>
        <w:pStyle w:val="Funotentext"/>
        <w:rPr>
          <w:sz w:val="22"/>
          <w:szCs w:val="22"/>
        </w:rPr>
      </w:pPr>
      <w:r w:rsidRPr="00C55C9F">
        <w:rPr>
          <w:rStyle w:val="Funotenzeichen"/>
          <w:sz w:val="22"/>
          <w:szCs w:val="22"/>
        </w:rPr>
        <w:footnoteRef/>
      </w:r>
      <w:r w:rsidRPr="00C55C9F">
        <w:rPr>
          <w:sz w:val="22"/>
          <w:szCs w:val="22"/>
        </w:rPr>
        <w:t xml:space="preserve"> Roth, (2004) in Nelson &amp; Dobson, 2005: p.78</w:t>
      </w:r>
    </w:p>
  </w:footnote>
  <w:footnote w:id="280">
    <w:p w:rsidR="007A77E1" w:rsidRPr="00F075C6" w:rsidRDefault="007A77E1" w:rsidP="009C2053">
      <w:pPr>
        <w:pStyle w:val="Funotentext"/>
        <w:rPr>
          <w:sz w:val="22"/>
          <w:szCs w:val="22"/>
        </w:rPr>
      </w:pPr>
      <w:r w:rsidRPr="00F075C6">
        <w:rPr>
          <w:rStyle w:val="Funotenzeichen"/>
          <w:sz w:val="22"/>
          <w:szCs w:val="22"/>
        </w:rPr>
        <w:footnoteRef/>
      </w:r>
      <w:r w:rsidRPr="00F075C6">
        <w:rPr>
          <w:sz w:val="22"/>
          <w:szCs w:val="22"/>
        </w:rPr>
        <w:t xml:space="preserve"> </w:t>
      </w:r>
      <w:proofErr w:type="spellStart"/>
      <w:r w:rsidRPr="00F075C6">
        <w:rPr>
          <w:sz w:val="22"/>
          <w:szCs w:val="22"/>
        </w:rPr>
        <w:t>Norgrove</w:t>
      </w:r>
      <w:proofErr w:type="spellEnd"/>
      <w:r w:rsidRPr="00F075C6">
        <w:rPr>
          <w:sz w:val="22"/>
          <w:szCs w:val="22"/>
        </w:rPr>
        <w:t>, Interview, July 2011</w:t>
      </w:r>
    </w:p>
  </w:footnote>
  <w:footnote w:id="281">
    <w:p w:rsidR="007A77E1" w:rsidRPr="00F075C6" w:rsidRDefault="007A77E1" w:rsidP="009C2053">
      <w:pPr>
        <w:pStyle w:val="Funotentext"/>
        <w:rPr>
          <w:sz w:val="22"/>
          <w:szCs w:val="22"/>
        </w:rPr>
      </w:pPr>
      <w:r w:rsidRPr="00F075C6">
        <w:rPr>
          <w:rStyle w:val="Funotenzeichen"/>
          <w:sz w:val="22"/>
          <w:szCs w:val="22"/>
        </w:rPr>
        <w:footnoteRef/>
      </w:r>
      <w:r w:rsidRPr="00F075C6">
        <w:rPr>
          <w:sz w:val="22"/>
          <w:szCs w:val="22"/>
        </w:rPr>
        <w:t xml:space="preserve"> Chapman in Edwards &amp; </w:t>
      </w:r>
      <w:proofErr w:type="spellStart"/>
      <w:r w:rsidRPr="00F075C6">
        <w:rPr>
          <w:sz w:val="22"/>
          <w:szCs w:val="22"/>
        </w:rPr>
        <w:t>Gaventa</w:t>
      </w:r>
      <w:proofErr w:type="spellEnd"/>
      <w:r w:rsidRPr="00F075C6">
        <w:rPr>
          <w:sz w:val="22"/>
          <w:szCs w:val="22"/>
        </w:rPr>
        <w:t>, 2001: p.267 (fig. 19.4)</w:t>
      </w:r>
    </w:p>
  </w:footnote>
  <w:footnote w:id="282">
    <w:p w:rsidR="007A77E1" w:rsidRPr="0012703A" w:rsidRDefault="007A77E1" w:rsidP="009C2053">
      <w:pPr>
        <w:pStyle w:val="Funotentext"/>
        <w:rPr>
          <w:sz w:val="24"/>
          <w:szCs w:val="24"/>
        </w:rPr>
      </w:pPr>
      <w:r w:rsidRPr="00F075C6">
        <w:rPr>
          <w:rStyle w:val="Funotenzeichen"/>
          <w:sz w:val="22"/>
          <w:szCs w:val="22"/>
        </w:rPr>
        <w:footnoteRef/>
      </w:r>
      <w:r w:rsidRPr="00F075C6">
        <w:rPr>
          <w:sz w:val="22"/>
          <w:szCs w:val="22"/>
        </w:rPr>
        <w:t xml:space="preserve"> </w:t>
      </w:r>
      <w:proofErr w:type="spellStart"/>
      <w:r w:rsidRPr="00F075C6">
        <w:rPr>
          <w:sz w:val="22"/>
          <w:szCs w:val="22"/>
        </w:rPr>
        <w:t>Norgrove</w:t>
      </w:r>
      <w:proofErr w:type="spellEnd"/>
      <w:r w:rsidRPr="00F075C6">
        <w:rPr>
          <w:sz w:val="22"/>
          <w:szCs w:val="22"/>
        </w:rPr>
        <w:t>, Interview 2011</w:t>
      </w:r>
    </w:p>
  </w:footnote>
  <w:footnote w:id="283">
    <w:p w:rsidR="007A77E1" w:rsidRPr="00C55C9F" w:rsidRDefault="007A77E1" w:rsidP="00202540">
      <w:pPr>
        <w:pStyle w:val="Funotentext"/>
        <w:rPr>
          <w:sz w:val="22"/>
          <w:szCs w:val="22"/>
        </w:rPr>
      </w:pPr>
      <w:r w:rsidRPr="00C55C9F">
        <w:rPr>
          <w:rStyle w:val="Funotenzeichen"/>
          <w:sz w:val="22"/>
          <w:szCs w:val="22"/>
        </w:rPr>
        <w:footnoteRef/>
      </w:r>
      <w:r w:rsidRPr="00C55C9F">
        <w:rPr>
          <w:sz w:val="22"/>
          <w:szCs w:val="22"/>
        </w:rPr>
        <w:t xml:space="preserve"> Keck, </w:t>
      </w:r>
      <w:proofErr w:type="spellStart"/>
      <w:r w:rsidRPr="00C55C9F">
        <w:rPr>
          <w:sz w:val="22"/>
          <w:szCs w:val="22"/>
        </w:rPr>
        <w:t>Sikkink</w:t>
      </w:r>
      <w:proofErr w:type="spellEnd"/>
      <w:r w:rsidRPr="00C55C9F">
        <w:rPr>
          <w:sz w:val="22"/>
          <w:szCs w:val="22"/>
        </w:rPr>
        <w:t xml:space="preserve"> &amp; </w:t>
      </w:r>
      <w:proofErr w:type="spellStart"/>
      <w:r w:rsidRPr="00C55C9F">
        <w:rPr>
          <w:sz w:val="22"/>
          <w:szCs w:val="22"/>
        </w:rPr>
        <w:t>Risse</w:t>
      </w:r>
      <w:proofErr w:type="spellEnd"/>
      <w:r w:rsidRPr="00C55C9F">
        <w:rPr>
          <w:sz w:val="22"/>
          <w:szCs w:val="22"/>
        </w:rPr>
        <w:t xml:space="preserve"> (1999)</w:t>
      </w:r>
    </w:p>
  </w:footnote>
  <w:footnote w:id="284">
    <w:p w:rsidR="007A77E1" w:rsidRPr="00C55C9F" w:rsidRDefault="007A77E1" w:rsidP="00202540">
      <w:pPr>
        <w:pStyle w:val="Funotentext"/>
        <w:rPr>
          <w:sz w:val="22"/>
          <w:szCs w:val="22"/>
        </w:rPr>
      </w:pPr>
      <w:r w:rsidRPr="00C55C9F">
        <w:rPr>
          <w:rStyle w:val="Funotenzeichen"/>
          <w:sz w:val="22"/>
          <w:szCs w:val="22"/>
        </w:rPr>
        <w:footnoteRef/>
      </w:r>
      <w:r w:rsidRPr="00C55C9F">
        <w:rPr>
          <w:sz w:val="22"/>
          <w:szCs w:val="22"/>
        </w:rPr>
        <w:t xml:space="preserve"> Keck &amp; </w:t>
      </w:r>
      <w:proofErr w:type="spellStart"/>
      <w:r w:rsidRPr="00C55C9F">
        <w:rPr>
          <w:sz w:val="22"/>
          <w:szCs w:val="22"/>
        </w:rPr>
        <w:t>Sikkink</w:t>
      </w:r>
      <w:proofErr w:type="spellEnd"/>
      <w:r w:rsidRPr="00C55C9F">
        <w:rPr>
          <w:sz w:val="22"/>
          <w:szCs w:val="22"/>
        </w:rPr>
        <w:t xml:space="preserve"> (1998)</w:t>
      </w:r>
    </w:p>
  </w:footnote>
  <w:footnote w:id="285">
    <w:p w:rsidR="007A77E1" w:rsidRPr="00AF61B8" w:rsidRDefault="007A77E1">
      <w:pPr>
        <w:pStyle w:val="Funotentext"/>
        <w:rPr>
          <w:sz w:val="22"/>
          <w:szCs w:val="22"/>
        </w:rPr>
      </w:pPr>
      <w:r w:rsidRPr="00AF61B8">
        <w:rPr>
          <w:rStyle w:val="Funotenzeichen"/>
          <w:sz w:val="22"/>
          <w:szCs w:val="22"/>
        </w:rPr>
        <w:footnoteRef/>
      </w:r>
      <w:r w:rsidRPr="00AF61B8">
        <w:rPr>
          <w:sz w:val="22"/>
          <w:szCs w:val="22"/>
        </w:rPr>
        <w:t xml:space="preserve"> George, 2008: p.203</w:t>
      </w:r>
    </w:p>
  </w:footnote>
  <w:footnote w:id="286">
    <w:p w:rsidR="007A77E1" w:rsidRPr="00AF61B8" w:rsidRDefault="007A77E1">
      <w:pPr>
        <w:pStyle w:val="Funotentext"/>
        <w:rPr>
          <w:sz w:val="22"/>
          <w:szCs w:val="22"/>
        </w:rPr>
      </w:pPr>
      <w:r w:rsidRPr="00AF61B8">
        <w:rPr>
          <w:rStyle w:val="Funotenzeichen"/>
          <w:sz w:val="22"/>
          <w:szCs w:val="22"/>
        </w:rPr>
        <w:footnoteRef/>
      </w:r>
      <w:r w:rsidRPr="00AF61B8">
        <w:rPr>
          <w:sz w:val="22"/>
          <w:szCs w:val="22"/>
        </w:rPr>
        <w:t xml:space="preserve"> Fawcett and Black, 2008: p.78</w:t>
      </w:r>
    </w:p>
  </w:footnote>
  <w:footnote w:id="287">
    <w:p w:rsidR="007A77E1" w:rsidRPr="00AF61B8" w:rsidRDefault="007A77E1">
      <w:pPr>
        <w:pStyle w:val="Funotentext"/>
        <w:rPr>
          <w:sz w:val="22"/>
          <w:szCs w:val="22"/>
        </w:rPr>
      </w:pPr>
      <w:r w:rsidRPr="00AF61B8">
        <w:rPr>
          <w:rStyle w:val="Funotenzeichen"/>
          <w:sz w:val="22"/>
          <w:szCs w:val="22"/>
        </w:rPr>
        <w:footnoteRef/>
      </w:r>
      <w:r w:rsidRPr="00AF61B8">
        <w:rPr>
          <w:sz w:val="22"/>
          <w:szCs w:val="22"/>
        </w:rPr>
        <w:t xml:space="preserve"> Fawcett and Black, 2008: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B4C8E6E"/>
    <w:lvl w:ilvl="0">
      <w:start w:val="1"/>
      <w:numFmt w:val="none"/>
      <w:pStyle w:val="berschrift1"/>
      <w:suff w:val="nothing"/>
      <w:lvlText w:val=""/>
      <w:lvlJc w:val="left"/>
      <w:pPr>
        <w:tabs>
          <w:tab w:val="num" w:pos="2880"/>
        </w:tabs>
        <w:ind w:left="3312" w:hanging="432"/>
      </w:pPr>
    </w:lvl>
    <w:lvl w:ilvl="1">
      <w:start w:val="1"/>
      <w:numFmt w:val="none"/>
      <w:suff w:val="nothing"/>
      <w:lvlText w:val=""/>
      <w:lvlJc w:val="left"/>
      <w:pPr>
        <w:tabs>
          <w:tab w:val="num" w:pos="2880"/>
        </w:tabs>
        <w:ind w:left="3456" w:hanging="576"/>
      </w:pPr>
    </w:lvl>
    <w:lvl w:ilvl="2">
      <w:start w:val="1"/>
      <w:numFmt w:val="none"/>
      <w:pStyle w:val="berschrift3"/>
      <w:suff w:val="nothing"/>
      <w:lvlText w:val=""/>
      <w:lvlJc w:val="left"/>
      <w:pPr>
        <w:tabs>
          <w:tab w:val="num" w:pos="2880"/>
        </w:tabs>
        <w:ind w:left="3600" w:hanging="720"/>
      </w:pPr>
    </w:lvl>
    <w:lvl w:ilvl="3">
      <w:start w:val="1"/>
      <w:numFmt w:val="none"/>
      <w:suff w:val="nothing"/>
      <w:lvlText w:val=""/>
      <w:lvlJc w:val="left"/>
      <w:pPr>
        <w:tabs>
          <w:tab w:val="num" w:pos="2880"/>
        </w:tabs>
        <w:ind w:left="3744" w:hanging="864"/>
      </w:pPr>
    </w:lvl>
    <w:lvl w:ilvl="4">
      <w:start w:val="1"/>
      <w:numFmt w:val="none"/>
      <w:suff w:val="nothing"/>
      <w:lvlText w:val=""/>
      <w:lvlJc w:val="left"/>
      <w:pPr>
        <w:tabs>
          <w:tab w:val="num" w:pos="2880"/>
        </w:tabs>
        <w:ind w:left="3888" w:hanging="1008"/>
      </w:pPr>
    </w:lvl>
    <w:lvl w:ilvl="5">
      <w:start w:val="1"/>
      <w:numFmt w:val="none"/>
      <w:suff w:val="nothing"/>
      <w:lvlText w:val=""/>
      <w:lvlJc w:val="left"/>
      <w:pPr>
        <w:tabs>
          <w:tab w:val="num" w:pos="2880"/>
        </w:tabs>
        <w:ind w:left="4032" w:hanging="1152"/>
      </w:pPr>
    </w:lvl>
    <w:lvl w:ilvl="6">
      <w:start w:val="1"/>
      <w:numFmt w:val="none"/>
      <w:suff w:val="nothing"/>
      <w:lvlText w:val=""/>
      <w:lvlJc w:val="left"/>
      <w:pPr>
        <w:tabs>
          <w:tab w:val="num" w:pos="2880"/>
        </w:tabs>
        <w:ind w:left="4176" w:hanging="1296"/>
      </w:pPr>
    </w:lvl>
    <w:lvl w:ilvl="7">
      <w:start w:val="1"/>
      <w:numFmt w:val="none"/>
      <w:suff w:val="nothing"/>
      <w:lvlText w:val=""/>
      <w:lvlJc w:val="left"/>
      <w:pPr>
        <w:tabs>
          <w:tab w:val="num" w:pos="2880"/>
        </w:tabs>
        <w:ind w:left="4320" w:hanging="1440"/>
      </w:pPr>
    </w:lvl>
    <w:lvl w:ilvl="8">
      <w:start w:val="1"/>
      <w:numFmt w:val="none"/>
      <w:suff w:val="nothing"/>
      <w:lvlText w:val=""/>
      <w:lvlJc w:val="left"/>
      <w:pPr>
        <w:tabs>
          <w:tab w:val="num" w:pos="2880"/>
        </w:tabs>
        <w:ind w:left="4464" w:hanging="1584"/>
      </w:pPr>
    </w:lvl>
  </w:abstractNum>
  <w:abstractNum w:abstractNumId="1">
    <w:nsid w:val="00114D44"/>
    <w:multiLevelType w:val="hybridMultilevel"/>
    <w:tmpl w:val="9320C5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271CAD"/>
    <w:multiLevelType w:val="hybridMultilevel"/>
    <w:tmpl w:val="9C26E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5D3E29"/>
    <w:multiLevelType w:val="hybridMultilevel"/>
    <w:tmpl w:val="F7484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A22E78"/>
    <w:multiLevelType w:val="hybridMultilevel"/>
    <w:tmpl w:val="60A2860C"/>
    <w:lvl w:ilvl="0" w:tplc="9DF43248">
      <w:start w:val="4"/>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502FD8"/>
    <w:multiLevelType w:val="hybridMultilevel"/>
    <w:tmpl w:val="92F07D62"/>
    <w:lvl w:ilvl="0" w:tplc="59EABE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3D1319"/>
    <w:multiLevelType w:val="hybridMultilevel"/>
    <w:tmpl w:val="F992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4E088B"/>
    <w:multiLevelType w:val="hybridMultilevel"/>
    <w:tmpl w:val="C7FA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115219"/>
    <w:multiLevelType w:val="multilevel"/>
    <w:tmpl w:val="BE8697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2"/>
  </w:num>
  <w:num w:numId="5">
    <w:abstractNumId w:val="3"/>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5C"/>
    <w:rsid w:val="000009F2"/>
    <w:rsid w:val="000031C0"/>
    <w:rsid w:val="00004F3E"/>
    <w:rsid w:val="000060EC"/>
    <w:rsid w:val="00006500"/>
    <w:rsid w:val="00010BEB"/>
    <w:rsid w:val="00014EDC"/>
    <w:rsid w:val="00016362"/>
    <w:rsid w:val="0001793F"/>
    <w:rsid w:val="000219ED"/>
    <w:rsid w:val="00022BF1"/>
    <w:rsid w:val="00023896"/>
    <w:rsid w:val="00023CB0"/>
    <w:rsid w:val="0002445E"/>
    <w:rsid w:val="00025D7C"/>
    <w:rsid w:val="00026A14"/>
    <w:rsid w:val="000328D6"/>
    <w:rsid w:val="00034926"/>
    <w:rsid w:val="0003732D"/>
    <w:rsid w:val="00037A31"/>
    <w:rsid w:val="00040153"/>
    <w:rsid w:val="0004101E"/>
    <w:rsid w:val="000436FA"/>
    <w:rsid w:val="0004395F"/>
    <w:rsid w:val="000450B5"/>
    <w:rsid w:val="00046265"/>
    <w:rsid w:val="000541C5"/>
    <w:rsid w:val="00056CC0"/>
    <w:rsid w:val="0006013B"/>
    <w:rsid w:val="000636B7"/>
    <w:rsid w:val="00065510"/>
    <w:rsid w:val="000657DC"/>
    <w:rsid w:val="00066884"/>
    <w:rsid w:val="00070B0B"/>
    <w:rsid w:val="00071292"/>
    <w:rsid w:val="000737DA"/>
    <w:rsid w:val="00073FE3"/>
    <w:rsid w:val="00074473"/>
    <w:rsid w:val="000756EB"/>
    <w:rsid w:val="00077B8D"/>
    <w:rsid w:val="000802E1"/>
    <w:rsid w:val="00080425"/>
    <w:rsid w:val="000834C1"/>
    <w:rsid w:val="00085140"/>
    <w:rsid w:val="00087123"/>
    <w:rsid w:val="000872B4"/>
    <w:rsid w:val="00091E01"/>
    <w:rsid w:val="000A0894"/>
    <w:rsid w:val="000A1C01"/>
    <w:rsid w:val="000A431C"/>
    <w:rsid w:val="000A54FF"/>
    <w:rsid w:val="000A5958"/>
    <w:rsid w:val="000B1CA2"/>
    <w:rsid w:val="000B3EB0"/>
    <w:rsid w:val="000B3F12"/>
    <w:rsid w:val="000B51EB"/>
    <w:rsid w:val="000B53AD"/>
    <w:rsid w:val="000B666C"/>
    <w:rsid w:val="000B6FC9"/>
    <w:rsid w:val="000B76ED"/>
    <w:rsid w:val="000C0207"/>
    <w:rsid w:val="000C113F"/>
    <w:rsid w:val="000C3341"/>
    <w:rsid w:val="000C34D7"/>
    <w:rsid w:val="000C44CE"/>
    <w:rsid w:val="000C58A1"/>
    <w:rsid w:val="000C648E"/>
    <w:rsid w:val="000C6553"/>
    <w:rsid w:val="000D0F6C"/>
    <w:rsid w:val="000D40CE"/>
    <w:rsid w:val="000D43C7"/>
    <w:rsid w:val="000D5320"/>
    <w:rsid w:val="000D57EC"/>
    <w:rsid w:val="000D6353"/>
    <w:rsid w:val="000E2C64"/>
    <w:rsid w:val="000E395C"/>
    <w:rsid w:val="000E40F4"/>
    <w:rsid w:val="000E4EDA"/>
    <w:rsid w:val="000F0025"/>
    <w:rsid w:val="000F22CE"/>
    <w:rsid w:val="000F4EDD"/>
    <w:rsid w:val="000F7ED5"/>
    <w:rsid w:val="00100D72"/>
    <w:rsid w:val="001011F5"/>
    <w:rsid w:val="00102945"/>
    <w:rsid w:val="00102E57"/>
    <w:rsid w:val="00103149"/>
    <w:rsid w:val="001039A2"/>
    <w:rsid w:val="001046F4"/>
    <w:rsid w:val="0010476D"/>
    <w:rsid w:val="00104F0C"/>
    <w:rsid w:val="00104FAA"/>
    <w:rsid w:val="00104FBB"/>
    <w:rsid w:val="001058D1"/>
    <w:rsid w:val="00105B39"/>
    <w:rsid w:val="0010673E"/>
    <w:rsid w:val="00110FA7"/>
    <w:rsid w:val="00111C12"/>
    <w:rsid w:val="00113404"/>
    <w:rsid w:val="001135E8"/>
    <w:rsid w:val="00114F6B"/>
    <w:rsid w:val="00115E61"/>
    <w:rsid w:val="00124DCE"/>
    <w:rsid w:val="00125271"/>
    <w:rsid w:val="001258D3"/>
    <w:rsid w:val="001265E7"/>
    <w:rsid w:val="0012703A"/>
    <w:rsid w:val="001356F8"/>
    <w:rsid w:val="0013771E"/>
    <w:rsid w:val="00137A77"/>
    <w:rsid w:val="0014340E"/>
    <w:rsid w:val="00147346"/>
    <w:rsid w:val="0015212A"/>
    <w:rsid w:val="00153505"/>
    <w:rsid w:val="0015525D"/>
    <w:rsid w:val="00155477"/>
    <w:rsid w:val="001562D2"/>
    <w:rsid w:val="0015764B"/>
    <w:rsid w:val="00157B16"/>
    <w:rsid w:val="0016055B"/>
    <w:rsid w:val="001615EE"/>
    <w:rsid w:val="001618BF"/>
    <w:rsid w:val="001621DE"/>
    <w:rsid w:val="001647CB"/>
    <w:rsid w:val="001660EE"/>
    <w:rsid w:val="001667B2"/>
    <w:rsid w:val="001706A2"/>
    <w:rsid w:val="00170EBD"/>
    <w:rsid w:val="00171620"/>
    <w:rsid w:val="00172366"/>
    <w:rsid w:val="001725B3"/>
    <w:rsid w:val="0017614D"/>
    <w:rsid w:val="00176426"/>
    <w:rsid w:val="00177A66"/>
    <w:rsid w:val="00184AA4"/>
    <w:rsid w:val="00187234"/>
    <w:rsid w:val="00187608"/>
    <w:rsid w:val="00187691"/>
    <w:rsid w:val="0019483F"/>
    <w:rsid w:val="0019532F"/>
    <w:rsid w:val="00196F6A"/>
    <w:rsid w:val="001A1A81"/>
    <w:rsid w:val="001A232A"/>
    <w:rsid w:val="001A3EBE"/>
    <w:rsid w:val="001A7C07"/>
    <w:rsid w:val="001B0392"/>
    <w:rsid w:val="001B2CD1"/>
    <w:rsid w:val="001B2D4B"/>
    <w:rsid w:val="001B5A2A"/>
    <w:rsid w:val="001B7C3E"/>
    <w:rsid w:val="001C13A9"/>
    <w:rsid w:val="001C6229"/>
    <w:rsid w:val="001C6AC9"/>
    <w:rsid w:val="001C7959"/>
    <w:rsid w:val="001D1350"/>
    <w:rsid w:val="001D153D"/>
    <w:rsid w:val="001D19D0"/>
    <w:rsid w:val="001D4B4B"/>
    <w:rsid w:val="001D5BB0"/>
    <w:rsid w:val="001D753E"/>
    <w:rsid w:val="001E118D"/>
    <w:rsid w:val="001E2892"/>
    <w:rsid w:val="001E547F"/>
    <w:rsid w:val="001E6120"/>
    <w:rsid w:val="001E6A3D"/>
    <w:rsid w:val="001E70D8"/>
    <w:rsid w:val="001E7199"/>
    <w:rsid w:val="001F3F76"/>
    <w:rsid w:val="001F5250"/>
    <w:rsid w:val="001F683B"/>
    <w:rsid w:val="001F6EBF"/>
    <w:rsid w:val="001F7324"/>
    <w:rsid w:val="002004EB"/>
    <w:rsid w:val="002017C4"/>
    <w:rsid w:val="00202540"/>
    <w:rsid w:val="00202C62"/>
    <w:rsid w:val="00204BD0"/>
    <w:rsid w:val="00205F89"/>
    <w:rsid w:val="00205FEF"/>
    <w:rsid w:val="00210B07"/>
    <w:rsid w:val="00213FD4"/>
    <w:rsid w:val="002147C9"/>
    <w:rsid w:val="0021628A"/>
    <w:rsid w:val="00216A99"/>
    <w:rsid w:val="00217FF1"/>
    <w:rsid w:val="00220420"/>
    <w:rsid w:val="00221120"/>
    <w:rsid w:val="00221709"/>
    <w:rsid w:val="002220B2"/>
    <w:rsid w:val="002227C8"/>
    <w:rsid w:val="002228C5"/>
    <w:rsid w:val="00223379"/>
    <w:rsid w:val="00227BFF"/>
    <w:rsid w:val="002310D1"/>
    <w:rsid w:val="002314FB"/>
    <w:rsid w:val="002318B3"/>
    <w:rsid w:val="002342FA"/>
    <w:rsid w:val="00234EB3"/>
    <w:rsid w:val="002361C5"/>
    <w:rsid w:val="00236F91"/>
    <w:rsid w:val="0024299A"/>
    <w:rsid w:val="0024335D"/>
    <w:rsid w:val="00243604"/>
    <w:rsid w:val="00243A8F"/>
    <w:rsid w:val="002444D9"/>
    <w:rsid w:val="0024452A"/>
    <w:rsid w:val="00244E65"/>
    <w:rsid w:val="0024625E"/>
    <w:rsid w:val="00246B67"/>
    <w:rsid w:val="00250F8A"/>
    <w:rsid w:val="00251B06"/>
    <w:rsid w:val="002525E1"/>
    <w:rsid w:val="0025477D"/>
    <w:rsid w:val="00257429"/>
    <w:rsid w:val="00257784"/>
    <w:rsid w:val="00257B0C"/>
    <w:rsid w:val="00261D61"/>
    <w:rsid w:val="00264FC9"/>
    <w:rsid w:val="00266BB5"/>
    <w:rsid w:val="0027049B"/>
    <w:rsid w:val="00271158"/>
    <w:rsid w:val="00271E1A"/>
    <w:rsid w:val="00273481"/>
    <w:rsid w:val="0027482B"/>
    <w:rsid w:val="0027539C"/>
    <w:rsid w:val="0027618B"/>
    <w:rsid w:val="002764BC"/>
    <w:rsid w:val="00276566"/>
    <w:rsid w:val="00277886"/>
    <w:rsid w:val="00280A1D"/>
    <w:rsid w:val="0029138A"/>
    <w:rsid w:val="00291F04"/>
    <w:rsid w:val="00292CA3"/>
    <w:rsid w:val="00293205"/>
    <w:rsid w:val="00294297"/>
    <w:rsid w:val="00295182"/>
    <w:rsid w:val="00296590"/>
    <w:rsid w:val="00296B6C"/>
    <w:rsid w:val="002A0634"/>
    <w:rsid w:val="002A30AB"/>
    <w:rsid w:val="002A42F1"/>
    <w:rsid w:val="002A4E9A"/>
    <w:rsid w:val="002A50C7"/>
    <w:rsid w:val="002A56F8"/>
    <w:rsid w:val="002A63B7"/>
    <w:rsid w:val="002A6BDC"/>
    <w:rsid w:val="002A716A"/>
    <w:rsid w:val="002A790F"/>
    <w:rsid w:val="002B35CF"/>
    <w:rsid w:val="002B3BB2"/>
    <w:rsid w:val="002C093F"/>
    <w:rsid w:val="002C248E"/>
    <w:rsid w:val="002C431B"/>
    <w:rsid w:val="002C4CE8"/>
    <w:rsid w:val="002C660B"/>
    <w:rsid w:val="002C67B3"/>
    <w:rsid w:val="002C69F6"/>
    <w:rsid w:val="002C774C"/>
    <w:rsid w:val="002C7D31"/>
    <w:rsid w:val="002D270F"/>
    <w:rsid w:val="002D28B1"/>
    <w:rsid w:val="002D7610"/>
    <w:rsid w:val="002E159A"/>
    <w:rsid w:val="002E2105"/>
    <w:rsid w:val="002E24B3"/>
    <w:rsid w:val="002E3503"/>
    <w:rsid w:val="002E3A06"/>
    <w:rsid w:val="002E732F"/>
    <w:rsid w:val="002F304B"/>
    <w:rsid w:val="002F3C6D"/>
    <w:rsid w:val="002F4496"/>
    <w:rsid w:val="002F4AD1"/>
    <w:rsid w:val="002F4BA5"/>
    <w:rsid w:val="002F5B87"/>
    <w:rsid w:val="002F6835"/>
    <w:rsid w:val="003032E0"/>
    <w:rsid w:val="003043DD"/>
    <w:rsid w:val="00304627"/>
    <w:rsid w:val="00304B29"/>
    <w:rsid w:val="0030694A"/>
    <w:rsid w:val="00306A32"/>
    <w:rsid w:val="00310C92"/>
    <w:rsid w:val="003131E6"/>
    <w:rsid w:val="00316666"/>
    <w:rsid w:val="00316850"/>
    <w:rsid w:val="0031764B"/>
    <w:rsid w:val="00317D4D"/>
    <w:rsid w:val="0032227C"/>
    <w:rsid w:val="00324388"/>
    <w:rsid w:val="0032647F"/>
    <w:rsid w:val="003264C0"/>
    <w:rsid w:val="00331A13"/>
    <w:rsid w:val="00331D7A"/>
    <w:rsid w:val="003320CC"/>
    <w:rsid w:val="00333545"/>
    <w:rsid w:val="00333A4B"/>
    <w:rsid w:val="00334D9F"/>
    <w:rsid w:val="003400B6"/>
    <w:rsid w:val="003408C2"/>
    <w:rsid w:val="0034328E"/>
    <w:rsid w:val="00343348"/>
    <w:rsid w:val="00344778"/>
    <w:rsid w:val="00347DFD"/>
    <w:rsid w:val="003503CD"/>
    <w:rsid w:val="003507F8"/>
    <w:rsid w:val="00352F22"/>
    <w:rsid w:val="00360A3C"/>
    <w:rsid w:val="003639EC"/>
    <w:rsid w:val="003667FA"/>
    <w:rsid w:val="00366D2E"/>
    <w:rsid w:val="0037091F"/>
    <w:rsid w:val="00373677"/>
    <w:rsid w:val="00373DFC"/>
    <w:rsid w:val="00374203"/>
    <w:rsid w:val="00374C23"/>
    <w:rsid w:val="00374E30"/>
    <w:rsid w:val="003759A9"/>
    <w:rsid w:val="003828AF"/>
    <w:rsid w:val="0038493E"/>
    <w:rsid w:val="003851BC"/>
    <w:rsid w:val="003904AB"/>
    <w:rsid w:val="003948BA"/>
    <w:rsid w:val="00397177"/>
    <w:rsid w:val="003A3F56"/>
    <w:rsid w:val="003A54C2"/>
    <w:rsid w:val="003A758C"/>
    <w:rsid w:val="003A7A3C"/>
    <w:rsid w:val="003B58B9"/>
    <w:rsid w:val="003B681C"/>
    <w:rsid w:val="003C2ADD"/>
    <w:rsid w:val="003C43C2"/>
    <w:rsid w:val="003C4D3E"/>
    <w:rsid w:val="003C7BAD"/>
    <w:rsid w:val="003C7D6F"/>
    <w:rsid w:val="003D16EC"/>
    <w:rsid w:val="003D2B7B"/>
    <w:rsid w:val="003D3E98"/>
    <w:rsid w:val="003D4519"/>
    <w:rsid w:val="003D46F9"/>
    <w:rsid w:val="003E1847"/>
    <w:rsid w:val="003E3EEE"/>
    <w:rsid w:val="003E42FE"/>
    <w:rsid w:val="003E4F3E"/>
    <w:rsid w:val="003F05F2"/>
    <w:rsid w:val="003F102A"/>
    <w:rsid w:val="003F10E3"/>
    <w:rsid w:val="003F23C7"/>
    <w:rsid w:val="003F2B06"/>
    <w:rsid w:val="003F351B"/>
    <w:rsid w:val="003F36AC"/>
    <w:rsid w:val="003F6512"/>
    <w:rsid w:val="00402BDA"/>
    <w:rsid w:val="004033ED"/>
    <w:rsid w:val="00403437"/>
    <w:rsid w:val="00405B8A"/>
    <w:rsid w:val="0040636C"/>
    <w:rsid w:val="00407D56"/>
    <w:rsid w:val="004107B4"/>
    <w:rsid w:val="00411EE5"/>
    <w:rsid w:val="00415441"/>
    <w:rsid w:val="004177AA"/>
    <w:rsid w:val="004202A9"/>
    <w:rsid w:val="0042502D"/>
    <w:rsid w:val="00425967"/>
    <w:rsid w:val="00431E71"/>
    <w:rsid w:val="00446826"/>
    <w:rsid w:val="00446B6B"/>
    <w:rsid w:val="004473D8"/>
    <w:rsid w:val="00450CBD"/>
    <w:rsid w:val="00451A50"/>
    <w:rsid w:val="0045689F"/>
    <w:rsid w:val="004573E9"/>
    <w:rsid w:val="00457E7C"/>
    <w:rsid w:val="004600C9"/>
    <w:rsid w:val="00460C20"/>
    <w:rsid w:val="00465692"/>
    <w:rsid w:val="00466985"/>
    <w:rsid w:val="00467AB3"/>
    <w:rsid w:val="00467D7F"/>
    <w:rsid w:val="004725B3"/>
    <w:rsid w:val="004751A7"/>
    <w:rsid w:val="004752C2"/>
    <w:rsid w:val="00475BF0"/>
    <w:rsid w:val="00480AAA"/>
    <w:rsid w:val="004812A3"/>
    <w:rsid w:val="00484C0B"/>
    <w:rsid w:val="004851C7"/>
    <w:rsid w:val="00485387"/>
    <w:rsid w:val="004930A8"/>
    <w:rsid w:val="00494DF3"/>
    <w:rsid w:val="00494E29"/>
    <w:rsid w:val="00496FBF"/>
    <w:rsid w:val="004A0A03"/>
    <w:rsid w:val="004A2AC0"/>
    <w:rsid w:val="004A479E"/>
    <w:rsid w:val="004A5A76"/>
    <w:rsid w:val="004B2290"/>
    <w:rsid w:val="004B2FCC"/>
    <w:rsid w:val="004B321F"/>
    <w:rsid w:val="004B3405"/>
    <w:rsid w:val="004B3B7C"/>
    <w:rsid w:val="004B5C75"/>
    <w:rsid w:val="004C0DC1"/>
    <w:rsid w:val="004C105A"/>
    <w:rsid w:val="004C115C"/>
    <w:rsid w:val="004C1369"/>
    <w:rsid w:val="004C13CA"/>
    <w:rsid w:val="004C21A7"/>
    <w:rsid w:val="004C391E"/>
    <w:rsid w:val="004C47A3"/>
    <w:rsid w:val="004C7669"/>
    <w:rsid w:val="004D10FB"/>
    <w:rsid w:val="004D1D2C"/>
    <w:rsid w:val="004D215D"/>
    <w:rsid w:val="004D2161"/>
    <w:rsid w:val="004D2631"/>
    <w:rsid w:val="004D67E0"/>
    <w:rsid w:val="004E21E5"/>
    <w:rsid w:val="004F2A07"/>
    <w:rsid w:val="004F43AF"/>
    <w:rsid w:val="00500A0C"/>
    <w:rsid w:val="00500D3C"/>
    <w:rsid w:val="005042F9"/>
    <w:rsid w:val="005044DC"/>
    <w:rsid w:val="00504D35"/>
    <w:rsid w:val="00505375"/>
    <w:rsid w:val="00506BAF"/>
    <w:rsid w:val="00510C4E"/>
    <w:rsid w:val="005110F3"/>
    <w:rsid w:val="005111CF"/>
    <w:rsid w:val="00511230"/>
    <w:rsid w:val="00512CDB"/>
    <w:rsid w:val="00513C77"/>
    <w:rsid w:val="005144ED"/>
    <w:rsid w:val="005145B8"/>
    <w:rsid w:val="00515469"/>
    <w:rsid w:val="00515B11"/>
    <w:rsid w:val="00515BD8"/>
    <w:rsid w:val="00516182"/>
    <w:rsid w:val="00516F04"/>
    <w:rsid w:val="0051710A"/>
    <w:rsid w:val="005217A5"/>
    <w:rsid w:val="005246EB"/>
    <w:rsid w:val="00530A72"/>
    <w:rsid w:val="00532313"/>
    <w:rsid w:val="00533205"/>
    <w:rsid w:val="005338C7"/>
    <w:rsid w:val="00537DFF"/>
    <w:rsid w:val="0054062D"/>
    <w:rsid w:val="00540B66"/>
    <w:rsid w:val="00541CB3"/>
    <w:rsid w:val="00541DD4"/>
    <w:rsid w:val="005426D8"/>
    <w:rsid w:val="00542E98"/>
    <w:rsid w:val="005431E5"/>
    <w:rsid w:val="00545668"/>
    <w:rsid w:val="00545B26"/>
    <w:rsid w:val="00550109"/>
    <w:rsid w:val="005504CC"/>
    <w:rsid w:val="0055238A"/>
    <w:rsid w:val="005527ED"/>
    <w:rsid w:val="00554C61"/>
    <w:rsid w:val="00555A79"/>
    <w:rsid w:val="00560040"/>
    <w:rsid w:val="005611D9"/>
    <w:rsid w:val="005634A9"/>
    <w:rsid w:val="005654E8"/>
    <w:rsid w:val="00566376"/>
    <w:rsid w:val="005670FC"/>
    <w:rsid w:val="00573001"/>
    <w:rsid w:val="00573EBC"/>
    <w:rsid w:val="0058091A"/>
    <w:rsid w:val="00582706"/>
    <w:rsid w:val="00583EEF"/>
    <w:rsid w:val="00586330"/>
    <w:rsid w:val="005934A3"/>
    <w:rsid w:val="005947A1"/>
    <w:rsid w:val="0059657E"/>
    <w:rsid w:val="005A0E84"/>
    <w:rsid w:val="005A2AFA"/>
    <w:rsid w:val="005A4921"/>
    <w:rsid w:val="005A6926"/>
    <w:rsid w:val="005A704C"/>
    <w:rsid w:val="005B07B4"/>
    <w:rsid w:val="005B1DB6"/>
    <w:rsid w:val="005B1E22"/>
    <w:rsid w:val="005B2D10"/>
    <w:rsid w:val="005B3FA8"/>
    <w:rsid w:val="005C51A4"/>
    <w:rsid w:val="005C7089"/>
    <w:rsid w:val="005D0FB9"/>
    <w:rsid w:val="005D26BC"/>
    <w:rsid w:val="005D326C"/>
    <w:rsid w:val="005D42A3"/>
    <w:rsid w:val="005E141B"/>
    <w:rsid w:val="005E1E20"/>
    <w:rsid w:val="005E2B97"/>
    <w:rsid w:val="005E32D3"/>
    <w:rsid w:val="005E4FB8"/>
    <w:rsid w:val="005E761D"/>
    <w:rsid w:val="005F2385"/>
    <w:rsid w:val="005F2F3A"/>
    <w:rsid w:val="005F626D"/>
    <w:rsid w:val="006037E5"/>
    <w:rsid w:val="00604055"/>
    <w:rsid w:val="00606E9F"/>
    <w:rsid w:val="00607533"/>
    <w:rsid w:val="00607935"/>
    <w:rsid w:val="00607E3C"/>
    <w:rsid w:val="006105FE"/>
    <w:rsid w:val="006125B5"/>
    <w:rsid w:val="006138D4"/>
    <w:rsid w:val="006142C3"/>
    <w:rsid w:val="00614302"/>
    <w:rsid w:val="00614AC2"/>
    <w:rsid w:val="00614F16"/>
    <w:rsid w:val="006163EC"/>
    <w:rsid w:val="0062170F"/>
    <w:rsid w:val="00626268"/>
    <w:rsid w:val="00627B16"/>
    <w:rsid w:val="006410F0"/>
    <w:rsid w:val="00645DED"/>
    <w:rsid w:val="006461C1"/>
    <w:rsid w:val="006461CC"/>
    <w:rsid w:val="006463F6"/>
    <w:rsid w:val="006471A7"/>
    <w:rsid w:val="00647705"/>
    <w:rsid w:val="0064790A"/>
    <w:rsid w:val="00651155"/>
    <w:rsid w:val="006511E0"/>
    <w:rsid w:val="00651508"/>
    <w:rsid w:val="006517A4"/>
    <w:rsid w:val="00653079"/>
    <w:rsid w:val="00653898"/>
    <w:rsid w:val="0065581B"/>
    <w:rsid w:val="00660D80"/>
    <w:rsid w:val="00666D13"/>
    <w:rsid w:val="00667130"/>
    <w:rsid w:val="0066786A"/>
    <w:rsid w:val="006710FB"/>
    <w:rsid w:val="0067146C"/>
    <w:rsid w:val="00671D10"/>
    <w:rsid w:val="00675059"/>
    <w:rsid w:val="0067511C"/>
    <w:rsid w:val="00680331"/>
    <w:rsid w:val="006821C0"/>
    <w:rsid w:val="00684618"/>
    <w:rsid w:val="006846BA"/>
    <w:rsid w:val="00685676"/>
    <w:rsid w:val="00685FD3"/>
    <w:rsid w:val="0069142F"/>
    <w:rsid w:val="006945A7"/>
    <w:rsid w:val="00694BDA"/>
    <w:rsid w:val="00696456"/>
    <w:rsid w:val="006A0BAB"/>
    <w:rsid w:val="006A1332"/>
    <w:rsid w:val="006A1A51"/>
    <w:rsid w:val="006A602F"/>
    <w:rsid w:val="006A6FB4"/>
    <w:rsid w:val="006A737C"/>
    <w:rsid w:val="006A7DEC"/>
    <w:rsid w:val="006B1F9B"/>
    <w:rsid w:val="006B2317"/>
    <w:rsid w:val="006B48DB"/>
    <w:rsid w:val="006B595F"/>
    <w:rsid w:val="006B5DA2"/>
    <w:rsid w:val="006B7D03"/>
    <w:rsid w:val="006C2D75"/>
    <w:rsid w:val="006C30ED"/>
    <w:rsid w:val="006C4792"/>
    <w:rsid w:val="006C4FD4"/>
    <w:rsid w:val="006C5A2F"/>
    <w:rsid w:val="006C6A21"/>
    <w:rsid w:val="006C7D64"/>
    <w:rsid w:val="006D185D"/>
    <w:rsid w:val="006D1912"/>
    <w:rsid w:val="006D378C"/>
    <w:rsid w:val="006D412B"/>
    <w:rsid w:val="006D4560"/>
    <w:rsid w:val="006D6085"/>
    <w:rsid w:val="006E2EE6"/>
    <w:rsid w:val="006E6AB1"/>
    <w:rsid w:val="006F076F"/>
    <w:rsid w:val="006F1D7E"/>
    <w:rsid w:val="006F2D5E"/>
    <w:rsid w:val="006F367D"/>
    <w:rsid w:val="006F3CA2"/>
    <w:rsid w:val="006F3F3D"/>
    <w:rsid w:val="006F4DA2"/>
    <w:rsid w:val="006F709F"/>
    <w:rsid w:val="0070074D"/>
    <w:rsid w:val="00702BA9"/>
    <w:rsid w:val="007041E7"/>
    <w:rsid w:val="00705071"/>
    <w:rsid w:val="00706CD2"/>
    <w:rsid w:val="007123C6"/>
    <w:rsid w:val="00714BD7"/>
    <w:rsid w:val="007158A4"/>
    <w:rsid w:val="00715B8B"/>
    <w:rsid w:val="0071702F"/>
    <w:rsid w:val="007176FC"/>
    <w:rsid w:val="0072152E"/>
    <w:rsid w:val="00722B78"/>
    <w:rsid w:val="00723259"/>
    <w:rsid w:val="007243AE"/>
    <w:rsid w:val="00731980"/>
    <w:rsid w:val="0073248C"/>
    <w:rsid w:val="0073253F"/>
    <w:rsid w:val="00736BA1"/>
    <w:rsid w:val="00736DF9"/>
    <w:rsid w:val="007373FF"/>
    <w:rsid w:val="00741824"/>
    <w:rsid w:val="00741AC0"/>
    <w:rsid w:val="007424F7"/>
    <w:rsid w:val="007425F6"/>
    <w:rsid w:val="00742786"/>
    <w:rsid w:val="00743F94"/>
    <w:rsid w:val="00746F66"/>
    <w:rsid w:val="00751CE8"/>
    <w:rsid w:val="00753238"/>
    <w:rsid w:val="00753814"/>
    <w:rsid w:val="00755497"/>
    <w:rsid w:val="00756B76"/>
    <w:rsid w:val="00756DA0"/>
    <w:rsid w:val="00756E6F"/>
    <w:rsid w:val="0076070D"/>
    <w:rsid w:val="00762D52"/>
    <w:rsid w:val="00766507"/>
    <w:rsid w:val="00771A47"/>
    <w:rsid w:val="00773532"/>
    <w:rsid w:val="007743B6"/>
    <w:rsid w:val="007753B1"/>
    <w:rsid w:val="0077655B"/>
    <w:rsid w:val="007769A7"/>
    <w:rsid w:val="00781247"/>
    <w:rsid w:val="00782D39"/>
    <w:rsid w:val="0078679C"/>
    <w:rsid w:val="00791435"/>
    <w:rsid w:val="007922B2"/>
    <w:rsid w:val="00792E26"/>
    <w:rsid w:val="00792F91"/>
    <w:rsid w:val="007937D7"/>
    <w:rsid w:val="00794930"/>
    <w:rsid w:val="007A0F55"/>
    <w:rsid w:val="007A5758"/>
    <w:rsid w:val="007A69C6"/>
    <w:rsid w:val="007A77A3"/>
    <w:rsid w:val="007A77E1"/>
    <w:rsid w:val="007B0653"/>
    <w:rsid w:val="007B0C48"/>
    <w:rsid w:val="007B4F11"/>
    <w:rsid w:val="007C08FC"/>
    <w:rsid w:val="007C126C"/>
    <w:rsid w:val="007C129F"/>
    <w:rsid w:val="007C26A9"/>
    <w:rsid w:val="007C4825"/>
    <w:rsid w:val="007C6C07"/>
    <w:rsid w:val="007C730D"/>
    <w:rsid w:val="007C7FB1"/>
    <w:rsid w:val="007D0C8E"/>
    <w:rsid w:val="007D545F"/>
    <w:rsid w:val="007D5962"/>
    <w:rsid w:val="007E0165"/>
    <w:rsid w:val="007E2ECF"/>
    <w:rsid w:val="007E496A"/>
    <w:rsid w:val="007E6364"/>
    <w:rsid w:val="007E6C34"/>
    <w:rsid w:val="007E78E2"/>
    <w:rsid w:val="007F07D8"/>
    <w:rsid w:val="007F0FF7"/>
    <w:rsid w:val="007F123D"/>
    <w:rsid w:val="007F150E"/>
    <w:rsid w:val="007F1B73"/>
    <w:rsid w:val="007F2BDA"/>
    <w:rsid w:val="007F32CE"/>
    <w:rsid w:val="007F54BF"/>
    <w:rsid w:val="007F5FB1"/>
    <w:rsid w:val="007F6622"/>
    <w:rsid w:val="0080042C"/>
    <w:rsid w:val="00802B05"/>
    <w:rsid w:val="008035EA"/>
    <w:rsid w:val="00804A8A"/>
    <w:rsid w:val="008053B2"/>
    <w:rsid w:val="00805AEE"/>
    <w:rsid w:val="00812FD4"/>
    <w:rsid w:val="008141C3"/>
    <w:rsid w:val="008152BA"/>
    <w:rsid w:val="00817416"/>
    <w:rsid w:val="00817F10"/>
    <w:rsid w:val="00824B34"/>
    <w:rsid w:val="00824D2B"/>
    <w:rsid w:val="008251BD"/>
    <w:rsid w:val="00826659"/>
    <w:rsid w:val="00832536"/>
    <w:rsid w:val="00832813"/>
    <w:rsid w:val="00835889"/>
    <w:rsid w:val="00835DB1"/>
    <w:rsid w:val="008369EF"/>
    <w:rsid w:val="00837265"/>
    <w:rsid w:val="008374FD"/>
    <w:rsid w:val="008402E5"/>
    <w:rsid w:val="008412C6"/>
    <w:rsid w:val="0084447B"/>
    <w:rsid w:val="00844495"/>
    <w:rsid w:val="0084504A"/>
    <w:rsid w:val="008511E9"/>
    <w:rsid w:val="00851269"/>
    <w:rsid w:val="00853640"/>
    <w:rsid w:val="008540F6"/>
    <w:rsid w:val="008551FC"/>
    <w:rsid w:val="00855394"/>
    <w:rsid w:val="00856312"/>
    <w:rsid w:val="00861A82"/>
    <w:rsid w:val="00862E0B"/>
    <w:rsid w:val="00863091"/>
    <w:rsid w:val="00864882"/>
    <w:rsid w:val="00865FDC"/>
    <w:rsid w:val="00866CE7"/>
    <w:rsid w:val="008727B3"/>
    <w:rsid w:val="00872841"/>
    <w:rsid w:val="00873B6D"/>
    <w:rsid w:val="00874A99"/>
    <w:rsid w:val="008758EB"/>
    <w:rsid w:val="00875B04"/>
    <w:rsid w:val="00876BFD"/>
    <w:rsid w:val="00877A2A"/>
    <w:rsid w:val="00881343"/>
    <w:rsid w:val="00881D24"/>
    <w:rsid w:val="00882002"/>
    <w:rsid w:val="00882FF5"/>
    <w:rsid w:val="0088549E"/>
    <w:rsid w:val="00885791"/>
    <w:rsid w:val="008858F5"/>
    <w:rsid w:val="00885BB1"/>
    <w:rsid w:val="00886C13"/>
    <w:rsid w:val="00890AAC"/>
    <w:rsid w:val="00890D8B"/>
    <w:rsid w:val="008952E0"/>
    <w:rsid w:val="00895E6C"/>
    <w:rsid w:val="0089677A"/>
    <w:rsid w:val="008A09FE"/>
    <w:rsid w:val="008A1450"/>
    <w:rsid w:val="008A3DAE"/>
    <w:rsid w:val="008A41FD"/>
    <w:rsid w:val="008A5AAE"/>
    <w:rsid w:val="008B0D7B"/>
    <w:rsid w:val="008B1A3C"/>
    <w:rsid w:val="008B1EE7"/>
    <w:rsid w:val="008B469A"/>
    <w:rsid w:val="008B7291"/>
    <w:rsid w:val="008B79DF"/>
    <w:rsid w:val="008C02EC"/>
    <w:rsid w:val="008C26E5"/>
    <w:rsid w:val="008C3538"/>
    <w:rsid w:val="008C5068"/>
    <w:rsid w:val="008C6064"/>
    <w:rsid w:val="008D0115"/>
    <w:rsid w:val="008D52E4"/>
    <w:rsid w:val="008D68EB"/>
    <w:rsid w:val="008D6BBF"/>
    <w:rsid w:val="008D6E1E"/>
    <w:rsid w:val="008D75AD"/>
    <w:rsid w:val="008E05DE"/>
    <w:rsid w:val="008E24C9"/>
    <w:rsid w:val="008E2EA8"/>
    <w:rsid w:val="008E67DD"/>
    <w:rsid w:val="008E7B8F"/>
    <w:rsid w:val="008F1383"/>
    <w:rsid w:val="008F285A"/>
    <w:rsid w:val="008F5D76"/>
    <w:rsid w:val="008F64A2"/>
    <w:rsid w:val="008F70BA"/>
    <w:rsid w:val="008F745E"/>
    <w:rsid w:val="008F7FC6"/>
    <w:rsid w:val="009005D1"/>
    <w:rsid w:val="009015AA"/>
    <w:rsid w:val="0090357F"/>
    <w:rsid w:val="00903987"/>
    <w:rsid w:val="00910780"/>
    <w:rsid w:val="00911662"/>
    <w:rsid w:val="0091174A"/>
    <w:rsid w:val="00911F7B"/>
    <w:rsid w:val="00912EB2"/>
    <w:rsid w:val="009146A1"/>
    <w:rsid w:val="00915C47"/>
    <w:rsid w:val="00920476"/>
    <w:rsid w:val="0092165F"/>
    <w:rsid w:val="00924763"/>
    <w:rsid w:val="00926956"/>
    <w:rsid w:val="00930A6E"/>
    <w:rsid w:val="00930B66"/>
    <w:rsid w:val="00932E33"/>
    <w:rsid w:val="00933C49"/>
    <w:rsid w:val="00934275"/>
    <w:rsid w:val="00934580"/>
    <w:rsid w:val="00934632"/>
    <w:rsid w:val="00935A6D"/>
    <w:rsid w:val="00942CF7"/>
    <w:rsid w:val="00943942"/>
    <w:rsid w:val="00943E17"/>
    <w:rsid w:val="00944593"/>
    <w:rsid w:val="009445A9"/>
    <w:rsid w:val="0094566F"/>
    <w:rsid w:val="00946F0C"/>
    <w:rsid w:val="009479D7"/>
    <w:rsid w:val="00950E94"/>
    <w:rsid w:val="00952006"/>
    <w:rsid w:val="00954D63"/>
    <w:rsid w:val="0095732B"/>
    <w:rsid w:val="00960780"/>
    <w:rsid w:val="00960D04"/>
    <w:rsid w:val="00973635"/>
    <w:rsid w:val="00974EAB"/>
    <w:rsid w:val="00975309"/>
    <w:rsid w:val="00975E5E"/>
    <w:rsid w:val="00976FC3"/>
    <w:rsid w:val="00977FA5"/>
    <w:rsid w:val="009805DA"/>
    <w:rsid w:val="009807F8"/>
    <w:rsid w:val="0098219C"/>
    <w:rsid w:val="009840E4"/>
    <w:rsid w:val="00985DE2"/>
    <w:rsid w:val="00986FD1"/>
    <w:rsid w:val="009909C2"/>
    <w:rsid w:val="00991287"/>
    <w:rsid w:val="0099235D"/>
    <w:rsid w:val="0099374C"/>
    <w:rsid w:val="00993CAC"/>
    <w:rsid w:val="00993F64"/>
    <w:rsid w:val="00995810"/>
    <w:rsid w:val="009961C1"/>
    <w:rsid w:val="009A377D"/>
    <w:rsid w:val="009A4579"/>
    <w:rsid w:val="009A6EF0"/>
    <w:rsid w:val="009B2C0B"/>
    <w:rsid w:val="009B4842"/>
    <w:rsid w:val="009B71A9"/>
    <w:rsid w:val="009C1787"/>
    <w:rsid w:val="009C2053"/>
    <w:rsid w:val="009C2EBF"/>
    <w:rsid w:val="009D264C"/>
    <w:rsid w:val="009D2CB2"/>
    <w:rsid w:val="009D6886"/>
    <w:rsid w:val="009D7192"/>
    <w:rsid w:val="009E0611"/>
    <w:rsid w:val="009E294F"/>
    <w:rsid w:val="009E5F4C"/>
    <w:rsid w:val="009E6CDA"/>
    <w:rsid w:val="009F0E5E"/>
    <w:rsid w:val="009F1E9D"/>
    <w:rsid w:val="009F24A3"/>
    <w:rsid w:val="009F6E71"/>
    <w:rsid w:val="009F6F3F"/>
    <w:rsid w:val="009F7129"/>
    <w:rsid w:val="00A0133B"/>
    <w:rsid w:val="00A025BF"/>
    <w:rsid w:val="00A04F76"/>
    <w:rsid w:val="00A07379"/>
    <w:rsid w:val="00A0758B"/>
    <w:rsid w:val="00A07F1A"/>
    <w:rsid w:val="00A10A37"/>
    <w:rsid w:val="00A11E09"/>
    <w:rsid w:val="00A12240"/>
    <w:rsid w:val="00A1473E"/>
    <w:rsid w:val="00A14CC1"/>
    <w:rsid w:val="00A15188"/>
    <w:rsid w:val="00A165E7"/>
    <w:rsid w:val="00A16D59"/>
    <w:rsid w:val="00A16F76"/>
    <w:rsid w:val="00A205AB"/>
    <w:rsid w:val="00A22928"/>
    <w:rsid w:val="00A23960"/>
    <w:rsid w:val="00A24923"/>
    <w:rsid w:val="00A24D13"/>
    <w:rsid w:val="00A253BC"/>
    <w:rsid w:val="00A26263"/>
    <w:rsid w:val="00A26BDE"/>
    <w:rsid w:val="00A27B25"/>
    <w:rsid w:val="00A322C5"/>
    <w:rsid w:val="00A332FF"/>
    <w:rsid w:val="00A340CC"/>
    <w:rsid w:val="00A34124"/>
    <w:rsid w:val="00A353D1"/>
    <w:rsid w:val="00A36889"/>
    <w:rsid w:val="00A370E9"/>
    <w:rsid w:val="00A4078D"/>
    <w:rsid w:val="00A40911"/>
    <w:rsid w:val="00A40EC6"/>
    <w:rsid w:val="00A40FF5"/>
    <w:rsid w:val="00A43D2C"/>
    <w:rsid w:val="00A444E2"/>
    <w:rsid w:val="00A455A8"/>
    <w:rsid w:val="00A47229"/>
    <w:rsid w:val="00A474A6"/>
    <w:rsid w:val="00A47AE2"/>
    <w:rsid w:val="00A50077"/>
    <w:rsid w:val="00A50780"/>
    <w:rsid w:val="00A50A52"/>
    <w:rsid w:val="00A53212"/>
    <w:rsid w:val="00A55B62"/>
    <w:rsid w:val="00A56BDF"/>
    <w:rsid w:val="00A56D87"/>
    <w:rsid w:val="00A60D02"/>
    <w:rsid w:val="00A62B68"/>
    <w:rsid w:val="00A64323"/>
    <w:rsid w:val="00A64CC8"/>
    <w:rsid w:val="00A65958"/>
    <w:rsid w:val="00A65F7D"/>
    <w:rsid w:val="00A6741A"/>
    <w:rsid w:val="00A67699"/>
    <w:rsid w:val="00A70261"/>
    <w:rsid w:val="00A705C0"/>
    <w:rsid w:val="00A70D0A"/>
    <w:rsid w:val="00A7166B"/>
    <w:rsid w:val="00A7339B"/>
    <w:rsid w:val="00A73630"/>
    <w:rsid w:val="00A73A81"/>
    <w:rsid w:val="00A7449C"/>
    <w:rsid w:val="00A74E2C"/>
    <w:rsid w:val="00A7661B"/>
    <w:rsid w:val="00A76AE8"/>
    <w:rsid w:val="00A76EEB"/>
    <w:rsid w:val="00A81AFA"/>
    <w:rsid w:val="00A82A99"/>
    <w:rsid w:val="00A8463E"/>
    <w:rsid w:val="00A86615"/>
    <w:rsid w:val="00A91CCD"/>
    <w:rsid w:val="00A92781"/>
    <w:rsid w:val="00A93F1B"/>
    <w:rsid w:val="00A947A4"/>
    <w:rsid w:val="00A94F02"/>
    <w:rsid w:val="00A97CC0"/>
    <w:rsid w:val="00AA3F16"/>
    <w:rsid w:val="00AA550F"/>
    <w:rsid w:val="00AA5B4D"/>
    <w:rsid w:val="00AA67D0"/>
    <w:rsid w:val="00AA750D"/>
    <w:rsid w:val="00AB1CF5"/>
    <w:rsid w:val="00AB59EE"/>
    <w:rsid w:val="00AB7CB5"/>
    <w:rsid w:val="00AC06B8"/>
    <w:rsid w:val="00AC3FBE"/>
    <w:rsid w:val="00AC450C"/>
    <w:rsid w:val="00AC4CE8"/>
    <w:rsid w:val="00AC6842"/>
    <w:rsid w:val="00AD0178"/>
    <w:rsid w:val="00AD1D48"/>
    <w:rsid w:val="00AD348C"/>
    <w:rsid w:val="00AD558B"/>
    <w:rsid w:val="00AD5909"/>
    <w:rsid w:val="00AD5FA0"/>
    <w:rsid w:val="00AD6674"/>
    <w:rsid w:val="00AD6D81"/>
    <w:rsid w:val="00AD6EDF"/>
    <w:rsid w:val="00AE00D7"/>
    <w:rsid w:val="00AE3EDE"/>
    <w:rsid w:val="00AE4822"/>
    <w:rsid w:val="00AE4FD0"/>
    <w:rsid w:val="00AE7656"/>
    <w:rsid w:val="00AF21CA"/>
    <w:rsid w:val="00AF2391"/>
    <w:rsid w:val="00AF26CD"/>
    <w:rsid w:val="00AF4622"/>
    <w:rsid w:val="00AF61B8"/>
    <w:rsid w:val="00B00F84"/>
    <w:rsid w:val="00B01A00"/>
    <w:rsid w:val="00B03AA0"/>
    <w:rsid w:val="00B06C57"/>
    <w:rsid w:val="00B126DB"/>
    <w:rsid w:val="00B13F32"/>
    <w:rsid w:val="00B1448B"/>
    <w:rsid w:val="00B212A3"/>
    <w:rsid w:val="00B216B9"/>
    <w:rsid w:val="00B21BE0"/>
    <w:rsid w:val="00B22040"/>
    <w:rsid w:val="00B22F32"/>
    <w:rsid w:val="00B22F5B"/>
    <w:rsid w:val="00B233D6"/>
    <w:rsid w:val="00B23603"/>
    <w:rsid w:val="00B24698"/>
    <w:rsid w:val="00B255C9"/>
    <w:rsid w:val="00B25803"/>
    <w:rsid w:val="00B25CC9"/>
    <w:rsid w:val="00B315C4"/>
    <w:rsid w:val="00B31F9F"/>
    <w:rsid w:val="00B32C6B"/>
    <w:rsid w:val="00B34030"/>
    <w:rsid w:val="00B356A1"/>
    <w:rsid w:val="00B37410"/>
    <w:rsid w:val="00B4263F"/>
    <w:rsid w:val="00B45650"/>
    <w:rsid w:val="00B45DA0"/>
    <w:rsid w:val="00B50A3C"/>
    <w:rsid w:val="00B5100C"/>
    <w:rsid w:val="00B51202"/>
    <w:rsid w:val="00B514A5"/>
    <w:rsid w:val="00B51837"/>
    <w:rsid w:val="00B61BD5"/>
    <w:rsid w:val="00B63245"/>
    <w:rsid w:val="00B669B7"/>
    <w:rsid w:val="00B714E0"/>
    <w:rsid w:val="00B73832"/>
    <w:rsid w:val="00B73F49"/>
    <w:rsid w:val="00B75233"/>
    <w:rsid w:val="00B84D63"/>
    <w:rsid w:val="00B85650"/>
    <w:rsid w:val="00B900D9"/>
    <w:rsid w:val="00B93E31"/>
    <w:rsid w:val="00B954FF"/>
    <w:rsid w:val="00B95CBC"/>
    <w:rsid w:val="00B9698A"/>
    <w:rsid w:val="00B96AAD"/>
    <w:rsid w:val="00BA0FC5"/>
    <w:rsid w:val="00BA17B2"/>
    <w:rsid w:val="00BA3864"/>
    <w:rsid w:val="00BA4A15"/>
    <w:rsid w:val="00BB2F22"/>
    <w:rsid w:val="00BB3469"/>
    <w:rsid w:val="00BB5261"/>
    <w:rsid w:val="00BB72F6"/>
    <w:rsid w:val="00BB757D"/>
    <w:rsid w:val="00BC0571"/>
    <w:rsid w:val="00BC1268"/>
    <w:rsid w:val="00BC1E0C"/>
    <w:rsid w:val="00BC1F8F"/>
    <w:rsid w:val="00BC2222"/>
    <w:rsid w:val="00BC313D"/>
    <w:rsid w:val="00BC39DC"/>
    <w:rsid w:val="00BC5000"/>
    <w:rsid w:val="00BC5BF8"/>
    <w:rsid w:val="00BC7A51"/>
    <w:rsid w:val="00BD0917"/>
    <w:rsid w:val="00BD13BE"/>
    <w:rsid w:val="00BD2B10"/>
    <w:rsid w:val="00BD4194"/>
    <w:rsid w:val="00BD424A"/>
    <w:rsid w:val="00BD4409"/>
    <w:rsid w:val="00BD4418"/>
    <w:rsid w:val="00BD4C34"/>
    <w:rsid w:val="00BD545C"/>
    <w:rsid w:val="00BD5A40"/>
    <w:rsid w:val="00BD7031"/>
    <w:rsid w:val="00BE0972"/>
    <w:rsid w:val="00BE26EB"/>
    <w:rsid w:val="00BE2A4C"/>
    <w:rsid w:val="00BE2BA9"/>
    <w:rsid w:val="00BE3016"/>
    <w:rsid w:val="00BE3311"/>
    <w:rsid w:val="00BE4679"/>
    <w:rsid w:val="00BE5F7F"/>
    <w:rsid w:val="00BE7DD8"/>
    <w:rsid w:val="00BF07C1"/>
    <w:rsid w:val="00BF4DD2"/>
    <w:rsid w:val="00C07355"/>
    <w:rsid w:val="00C1186D"/>
    <w:rsid w:val="00C11917"/>
    <w:rsid w:val="00C11A36"/>
    <w:rsid w:val="00C11BFB"/>
    <w:rsid w:val="00C13017"/>
    <w:rsid w:val="00C13DEB"/>
    <w:rsid w:val="00C16858"/>
    <w:rsid w:val="00C17919"/>
    <w:rsid w:val="00C207E9"/>
    <w:rsid w:val="00C20D41"/>
    <w:rsid w:val="00C228AB"/>
    <w:rsid w:val="00C23438"/>
    <w:rsid w:val="00C23744"/>
    <w:rsid w:val="00C237FC"/>
    <w:rsid w:val="00C23EA1"/>
    <w:rsid w:val="00C2686F"/>
    <w:rsid w:val="00C300D4"/>
    <w:rsid w:val="00C335D7"/>
    <w:rsid w:val="00C34101"/>
    <w:rsid w:val="00C379E7"/>
    <w:rsid w:val="00C4384F"/>
    <w:rsid w:val="00C469D0"/>
    <w:rsid w:val="00C50C73"/>
    <w:rsid w:val="00C5341F"/>
    <w:rsid w:val="00C53D3F"/>
    <w:rsid w:val="00C5462F"/>
    <w:rsid w:val="00C55C9F"/>
    <w:rsid w:val="00C5675A"/>
    <w:rsid w:val="00C61783"/>
    <w:rsid w:val="00C65432"/>
    <w:rsid w:val="00C65ED8"/>
    <w:rsid w:val="00C664B5"/>
    <w:rsid w:val="00C66E2E"/>
    <w:rsid w:val="00C725B1"/>
    <w:rsid w:val="00C73DBC"/>
    <w:rsid w:val="00C80354"/>
    <w:rsid w:val="00C813A8"/>
    <w:rsid w:val="00C820B6"/>
    <w:rsid w:val="00C82B18"/>
    <w:rsid w:val="00C83B7E"/>
    <w:rsid w:val="00C83CDD"/>
    <w:rsid w:val="00C8507A"/>
    <w:rsid w:val="00C85509"/>
    <w:rsid w:val="00C8633F"/>
    <w:rsid w:val="00C868B7"/>
    <w:rsid w:val="00C86EBB"/>
    <w:rsid w:val="00C91823"/>
    <w:rsid w:val="00C92833"/>
    <w:rsid w:val="00C92AE2"/>
    <w:rsid w:val="00C92BDA"/>
    <w:rsid w:val="00CA0342"/>
    <w:rsid w:val="00CA12FE"/>
    <w:rsid w:val="00CA2155"/>
    <w:rsid w:val="00CA3C78"/>
    <w:rsid w:val="00CA3E5F"/>
    <w:rsid w:val="00CA4260"/>
    <w:rsid w:val="00CA5AD2"/>
    <w:rsid w:val="00CB13B2"/>
    <w:rsid w:val="00CB3A40"/>
    <w:rsid w:val="00CB5BD8"/>
    <w:rsid w:val="00CC132C"/>
    <w:rsid w:val="00CC39FD"/>
    <w:rsid w:val="00CC40DE"/>
    <w:rsid w:val="00CC4A89"/>
    <w:rsid w:val="00CC53DE"/>
    <w:rsid w:val="00CD16C2"/>
    <w:rsid w:val="00CD1B10"/>
    <w:rsid w:val="00CD2467"/>
    <w:rsid w:val="00CD2A8A"/>
    <w:rsid w:val="00CD4113"/>
    <w:rsid w:val="00CD57C1"/>
    <w:rsid w:val="00CD6552"/>
    <w:rsid w:val="00CD71D9"/>
    <w:rsid w:val="00CF0504"/>
    <w:rsid w:val="00CF0510"/>
    <w:rsid w:val="00CF0D9F"/>
    <w:rsid w:val="00CF0F99"/>
    <w:rsid w:val="00CF10EB"/>
    <w:rsid w:val="00CF1A96"/>
    <w:rsid w:val="00CF241D"/>
    <w:rsid w:val="00CF6AFE"/>
    <w:rsid w:val="00D010A0"/>
    <w:rsid w:val="00D01C73"/>
    <w:rsid w:val="00D02D0F"/>
    <w:rsid w:val="00D05602"/>
    <w:rsid w:val="00D063E0"/>
    <w:rsid w:val="00D079F6"/>
    <w:rsid w:val="00D1123F"/>
    <w:rsid w:val="00D1287B"/>
    <w:rsid w:val="00D12986"/>
    <w:rsid w:val="00D1320A"/>
    <w:rsid w:val="00D169FE"/>
    <w:rsid w:val="00D17780"/>
    <w:rsid w:val="00D2106E"/>
    <w:rsid w:val="00D211C7"/>
    <w:rsid w:val="00D21897"/>
    <w:rsid w:val="00D21F89"/>
    <w:rsid w:val="00D227D9"/>
    <w:rsid w:val="00D22816"/>
    <w:rsid w:val="00D22B90"/>
    <w:rsid w:val="00D26124"/>
    <w:rsid w:val="00D27F2E"/>
    <w:rsid w:val="00D327ED"/>
    <w:rsid w:val="00D329CC"/>
    <w:rsid w:val="00D34726"/>
    <w:rsid w:val="00D35754"/>
    <w:rsid w:val="00D436D2"/>
    <w:rsid w:val="00D462D4"/>
    <w:rsid w:val="00D4685E"/>
    <w:rsid w:val="00D5089C"/>
    <w:rsid w:val="00D50B5F"/>
    <w:rsid w:val="00D50BB7"/>
    <w:rsid w:val="00D5151F"/>
    <w:rsid w:val="00D51554"/>
    <w:rsid w:val="00D5388F"/>
    <w:rsid w:val="00D543D1"/>
    <w:rsid w:val="00D5496D"/>
    <w:rsid w:val="00D54F5D"/>
    <w:rsid w:val="00D56E7F"/>
    <w:rsid w:val="00D60A42"/>
    <w:rsid w:val="00D6117A"/>
    <w:rsid w:val="00D63AF5"/>
    <w:rsid w:val="00D63C26"/>
    <w:rsid w:val="00D64B5E"/>
    <w:rsid w:val="00D64BEC"/>
    <w:rsid w:val="00D65A3B"/>
    <w:rsid w:val="00D66976"/>
    <w:rsid w:val="00D70787"/>
    <w:rsid w:val="00D71DF0"/>
    <w:rsid w:val="00D74035"/>
    <w:rsid w:val="00D80543"/>
    <w:rsid w:val="00D818A5"/>
    <w:rsid w:val="00D848AA"/>
    <w:rsid w:val="00D8607D"/>
    <w:rsid w:val="00D86169"/>
    <w:rsid w:val="00D865DD"/>
    <w:rsid w:val="00D868C6"/>
    <w:rsid w:val="00D90583"/>
    <w:rsid w:val="00D90F4A"/>
    <w:rsid w:val="00D925B6"/>
    <w:rsid w:val="00D92603"/>
    <w:rsid w:val="00D92B46"/>
    <w:rsid w:val="00D92F3B"/>
    <w:rsid w:val="00D93CC9"/>
    <w:rsid w:val="00D948DF"/>
    <w:rsid w:val="00D94BA5"/>
    <w:rsid w:val="00D97A19"/>
    <w:rsid w:val="00D97E79"/>
    <w:rsid w:val="00DA017F"/>
    <w:rsid w:val="00DA03A2"/>
    <w:rsid w:val="00DA43FD"/>
    <w:rsid w:val="00DA6FDE"/>
    <w:rsid w:val="00DA7F09"/>
    <w:rsid w:val="00DB01CB"/>
    <w:rsid w:val="00DB1DC2"/>
    <w:rsid w:val="00DB4350"/>
    <w:rsid w:val="00DB5837"/>
    <w:rsid w:val="00DB7941"/>
    <w:rsid w:val="00DC2980"/>
    <w:rsid w:val="00DC433B"/>
    <w:rsid w:val="00DC5787"/>
    <w:rsid w:val="00DC582F"/>
    <w:rsid w:val="00DC6CDA"/>
    <w:rsid w:val="00DC751F"/>
    <w:rsid w:val="00DD23F9"/>
    <w:rsid w:val="00DD2458"/>
    <w:rsid w:val="00DD4FE9"/>
    <w:rsid w:val="00DD7931"/>
    <w:rsid w:val="00DE2172"/>
    <w:rsid w:val="00DE217A"/>
    <w:rsid w:val="00DE5C5B"/>
    <w:rsid w:val="00DE6AF6"/>
    <w:rsid w:val="00DE6C74"/>
    <w:rsid w:val="00DE7939"/>
    <w:rsid w:val="00DF05E1"/>
    <w:rsid w:val="00DF1570"/>
    <w:rsid w:val="00DF34CD"/>
    <w:rsid w:val="00DF3543"/>
    <w:rsid w:val="00DF3F1C"/>
    <w:rsid w:val="00DF515E"/>
    <w:rsid w:val="00E01C71"/>
    <w:rsid w:val="00E01D30"/>
    <w:rsid w:val="00E0349A"/>
    <w:rsid w:val="00E07092"/>
    <w:rsid w:val="00E074D2"/>
    <w:rsid w:val="00E107E0"/>
    <w:rsid w:val="00E12CA2"/>
    <w:rsid w:val="00E12CDC"/>
    <w:rsid w:val="00E15B05"/>
    <w:rsid w:val="00E23A82"/>
    <w:rsid w:val="00E242E8"/>
    <w:rsid w:val="00E24659"/>
    <w:rsid w:val="00E26E1C"/>
    <w:rsid w:val="00E27300"/>
    <w:rsid w:val="00E2774A"/>
    <w:rsid w:val="00E27BC1"/>
    <w:rsid w:val="00E30545"/>
    <w:rsid w:val="00E35AB3"/>
    <w:rsid w:val="00E364C9"/>
    <w:rsid w:val="00E44C5F"/>
    <w:rsid w:val="00E47C14"/>
    <w:rsid w:val="00E51A6D"/>
    <w:rsid w:val="00E5226F"/>
    <w:rsid w:val="00E61210"/>
    <w:rsid w:val="00E61B6B"/>
    <w:rsid w:val="00E620BE"/>
    <w:rsid w:val="00E6549A"/>
    <w:rsid w:val="00E65A69"/>
    <w:rsid w:val="00E66900"/>
    <w:rsid w:val="00E66956"/>
    <w:rsid w:val="00E679CB"/>
    <w:rsid w:val="00E732D3"/>
    <w:rsid w:val="00E741BF"/>
    <w:rsid w:val="00E742B4"/>
    <w:rsid w:val="00E74ABE"/>
    <w:rsid w:val="00E74C17"/>
    <w:rsid w:val="00E74D90"/>
    <w:rsid w:val="00E7607B"/>
    <w:rsid w:val="00E8023A"/>
    <w:rsid w:val="00E8257C"/>
    <w:rsid w:val="00E826E2"/>
    <w:rsid w:val="00E83BBE"/>
    <w:rsid w:val="00E855C5"/>
    <w:rsid w:val="00E861F6"/>
    <w:rsid w:val="00E8747C"/>
    <w:rsid w:val="00E926E8"/>
    <w:rsid w:val="00E92A9E"/>
    <w:rsid w:val="00E92C49"/>
    <w:rsid w:val="00E931F2"/>
    <w:rsid w:val="00E941B6"/>
    <w:rsid w:val="00E94319"/>
    <w:rsid w:val="00E955AF"/>
    <w:rsid w:val="00E965FE"/>
    <w:rsid w:val="00E96983"/>
    <w:rsid w:val="00EA471C"/>
    <w:rsid w:val="00EA6335"/>
    <w:rsid w:val="00EB080F"/>
    <w:rsid w:val="00EB3896"/>
    <w:rsid w:val="00EB4A27"/>
    <w:rsid w:val="00EB4B78"/>
    <w:rsid w:val="00EB7E6C"/>
    <w:rsid w:val="00EC1AA5"/>
    <w:rsid w:val="00EC2488"/>
    <w:rsid w:val="00EC3CCD"/>
    <w:rsid w:val="00EC3FEA"/>
    <w:rsid w:val="00EC4269"/>
    <w:rsid w:val="00EC4538"/>
    <w:rsid w:val="00EC574B"/>
    <w:rsid w:val="00ED0946"/>
    <w:rsid w:val="00ED2B1B"/>
    <w:rsid w:val="00ED3646"/>
    <w:rsid w:val="00ED3C90"/>
    <w:rsid w:val="00ED46BC"/>
    <w:rsid w:val="00ED69C4"/>
    <w:rsid w:val="00EE0A8A"/>
    <w:rsid w:val="00EE27C1"/>
    <w:rsid w:val="00EE6675"/>
    <w:rsid w:val="00EE6E11"/>
    <w:rsid w:val="00EE7900"/>
    <w:rsid w:val="00EF08FC"/>
    <w:rsid w:val="00EF386E"/>
    <w:rsid w:val="00EF42B7"/>
    <w:rsid w:val="00EF43D8"/>
    <w:rsid w:val="00EF5C8E"/>
    <w:rsid w:val="00EF6CF4"/>
    <w:rsid w:val="00EF73DA"/>
    <w:rsid w:val="00EF744A"/>
    <w:rsid w:val="00EF7B48"/>
    <w:rsid w:val="00F00917"/>
    <w:rsid w:val="00F01281"/>
    <w:rsid w:val="00F014DF"/>
    <w:rsid w:val="00F02383"/>
    <w:rsid w:val="00F02807"/>
    <w:rsid w:val="00F0339D"/>
    <w:rsid w:val="00F03B28"/>
    <w:rsid w:val="00F0442D"/>
    <w:rsid w:val="00F05CAF"/>
    <w:rsid w:val="00F06D99"/>
    <w:rsid w:val="00F075C6"/>
    <w:rsid w:val="00F07E10"/>
    <w:rsid w:val="00F1071C"/>
    <w:rsid w:val="00F11DEE"/>
    <w:rsid w:val="00F128DC"/>
    <w:rsid w:val="00F14A8A"/>
    <w:rsid w:val="00F25136"/>
    <w:rsid w:val="00F25577"/>
    <w:rsid w:val="00F26C66"/>
    <w:rsid w:val="00F313A4"/>
    <w:rsid w:val="00F32372"/>
    <w:rsid w:val="00F327D6"/>
    <w:rsid w:val="00F42465"/>
    <w:rsid w:val="00F425B0"/>
    <w:rsid w:val="00F44B07"/>
    <w:rsid w:val="00F457F9"/>
    <w:rsid w:val="00F46AF1"/>
    <w:rsid w:val="00F47556"/>
    <w:rsid w:val="00F47586"/>
    <w:rsid w:val="00F504D5"/>
    <w:rsid w:val="00F53AA9"/>
    <w:rsid w:val="00F5630A"/>
    <w:rsid w:val="00F56C7C"/>
    <w:rsid w:val="00F56FF1"/>
    <w:rsid w:val="00F57AD3"/>
    <w:rsid w:val="00F62548"/>
    <w:rsid w:val="00F62A53"/>
    <w:rsid w:val="00F647C0"/>
    <w:rsid w:val="00F65730"/>
    <w:rsid w:val="00F7002B"/>
    <w:rsid w:val="00F73480"/>
    <w:rsid w:val="00F74C43"/>
    <w:rsid w:val="00F758BC"/>
    <w:rsid w:val="00F75B7B"/>
    <w:rsid w:val="00F76677"/>
    <w:rsid w:val="00F76A49"/>
    <w:rsid w:val="00F76ED7"/>
    <w:rsid w:val="00F77611"/>
    <w:rsid w:val="00F77734"/>
    <w:rsid w:val="00F777A2"/>
    <w:rsid w:val="00F81B3A"/>
    <w:rsid w:val="00F84B88"/>
    <w:rsid w:val="00F85D85"/>
    <w:rsid w:val="00F86336"/>
    <w:rsid w:val="00F86F61"/>
    <w:rsid w:val="00F878C0"/>
    <w:rsid w:val="00F87AAC"/>
    <w:rsid w:val="00F9153A"/>
    <w:rsid w:val="00F92D0D"/>
    <w:rsid w:val="00F93082"/>
    <w:rsid w:val="00F94FC9"/>
    <w:rsid w:val="00F97488"/>
    <w:rsid w:val="00F9765C"/>
    <w:rsid w:val="00F97A76"/>
    <w:rsid w:val="00FA0BF5"/>
    <w:rsid w:val="00FA236C"/>
    <w:rsid w:val="00FA3F0C"/>
    <w:rsid w:val="00FA562A"/>
    <w:rsid w:val="00FA752E"/>
    <w:rsid w:val="00FB0183"/>
    <w:rsid w:val="00FB03CC"/>
    <w:rsid w:val="00FB1F59"/>
    <w:rsid w:val="00FB2D14"/>
    <w:rsid w:val="00FB404A"/>
    <w:rsid w:val="00FD14F6"/>
    <w:rsid w:val="00FD3827"/>
    <w:rsid w:val="00FD39A5"/>
    <w:rsid w:val="00FD4BCE"/>
    <w:rsid w:val="00FD5138"/>
    <w:rsid w:val="00FD65EC"/>
    <w:rsid w:val="00FD6E48"/>
    <w:rsid w:val="00FD76C3"/>
    <w:rsid w:val="00FD77B0"/>
    <w:rsid w:val="00FE02BA"/>
    <w:rsid w:val="00FE284C"/>
    <w:rsid w:val="00FF009A"/>
    <w:rsid w:val="00FF1A55"/>
    <w:rsid w:val="00FF371A"/>
    <w:rsid w:val="00FF56E1"/>
    <w:rsid w:val="00FF696D"/>
    <w:rsid w:val="00FF6C59"/>
    <w:rsid w:val="00FF7A5F"/>
    <w:rsid w:val="00FF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15C"/>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qFormat/>
    <w:rsid w:val="00F7002B"/>
    <w:pPr>
      <w:keepNext/>
      <w:numPr>
        <w:numId w:val="9"/>
      </w:numPr>
      <w:suppressAutoHyphens/>
      <w:spacing w:before="240" w:after="60"/>
      <w:outlineLvl w:val="0"/>
    </w:pPr>
    <w:rPr>
      <w:rFonts w:ascii="Calibri" w:hAnsi="Calibri"/>
      <w:b/>
      <w:bCs/>
      <w:color w:val="000000"/>
      <w:kern w:val="1"/>
      <w:sz w:val="32"/>
      <w:szCs w:val="32"/>
      <w:lang w:val="en-US" w:eastAsia="ar-SA"/>
    </w:rPr>
  </w:style>
  <w:style w:type="paragraph" w:styleId="berschrift2">
    <w:name w:val="heading 2"/>
    <w:basedOn w:val="Standard"/>
    <w:next w:val="Standard"/>
    <w:link w:val="berschrift2Zchn"/>
    <w:uiPriority w:val="9"/>
    <w:semiHidden/>
    <w:unhideWhenUsed/>
    <w:qFormat/>
    <w:rsid w:val="00CF6AF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Textkrper"/>
    <w:link w:val="berschrift3Zchn"/>
    <w:autoRedefine/>
    <w:qFormat/>
    <w:rsid w:val="00F7002B"/>
    <w:pPr>
      <w:numPr>
        <w:ilvl w:val="2"/>
        <w:numId w:val="9"/>
      </w:numPr>
      <w:suppressAutoHyphens/>
      <w:outlineLvl w:val="2"/>
    </w:pPr>
    <w:rPr>
      <w:rFonts w:ascii="Arial" w:hAnsi="Arial"/>
      <w:b/>
      <w:sz w:val="22"/>
      <w:szCs w:val="20"/>
      <w:lang w:eastAsia="ar-SA"/>
    </w:rPr>
  </w:style>
  <w:style w:type="paragraph" w:styleId="berschrift4">
    <w:name w:val="heading 4"/>
    <w:basedOn w:val="Standard"/>
    <w:next w:val="Standard"/>
    <w:link w:val="berschrift4Zchn"/>
    <w:uiPriority w:val="9"/>
    <w:unhideWhenUsed/>
    <w:qFormat/>
    <w:rsid w:val="007215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115C"/>
    <w:pPr>
      <w:ind w:left="720"/>
      <w:contextualSpacing/>
    </w:pPr>
  </w:style>
  <w:style w:type="character" w:styleId="Kommentarzeichen">
    <w:name w:val="annotation reference"/>
    <w:basedOn w:val="Absatz-Standardschriftart"/>
    <w:uiPriority w:val="99"/>
    <w:semiHidden/>
    <w:unhideWhenUsed/>
    <w:rsid w:val="004C115C"/>
    <w:rPr>
      <w:sz w:val="16"/>
      <w:szCs w:val="16"/>
    </w:rPr>
  </w:style>
  <w:style w:type="paragraph" w:styleId="Kommentartext">
    <w:name w:val="annotation text"/>
    <w:basedOn w:val="Standard"/>
    <w:link w:val="KommentartextZchn"/>
    <w:uiPriority w:val="99"/>
    <w:semiHidden/>
    <w:unhideWhenUsed/>
    <w:rsid w:val="004C115C"/>
    <w:rPr>
      <w:sz w:val="20"/>
      <w:szCs w:val="20"/>
    </w:rPr>
  </w:style>
  <w:style w:type="character" w:customStyle="1" w:styleId="KommentartextZchn">
    <w:name w:val="Kommentartext Zchn"/>
    <w:basedOn w:val="Absatz-Standardschriftart"/>
    <w:link w:val="Kommentartext"/>
    <w:uiPriority w:val="99"/>
    <w:semiHidden/>
    <w:rsid w:val="004C115C"/>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4C11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15C"/>
    <w:rPr>
      <w:rFonts w:ascii="Tahoma" w:eastAsia="Times New Roman" w:hAnsi="Tahoma" w:cs="Tahoma"/>
      <w:sz w:val="16"/>
      <w:szCs w:val="16"/>
    </w:rPr>
  </w:style>
  <w:style w:type="paragraph" w:styleId="Funotentext">
    <w:name w:val="footnote text"/>
    <w:basedOn w:val="Standard"/>
    <w:link w:val="FunotentextZchn"/>
    <w:uiPriority w:val="99"/>
    <w:semiHidden/>
    <w:unhideWhenUsed/>
    <w:rsid w:val="00805AEE"/>
    <w:rPr>
      <w:sz w:val="20"/>
      <w:szCs w:val="20"/>
    </w:rPr>
  </w:style>
  <w:style w:type="character" w:customStyle="1" w:styleId="FunotentextZchn">
    <w:name w:val="Fußnotentext Zchn"/>
    <w:basedOn w:val="Absatz-Standardschriftart"/>
    <w:link w:val="Funotentext"/>
    <w:uiPriority w:val="99"/>
    <w:semiHidden/>
    <w:rsid w:val="00805AEE"/>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805AEE"/>
    <w:rPr>
      <w:vertAlign w:val="superscript"/>
    </w:rPr>
  </w:style>
  <w:style w:type="paragraph" w:styleId="Endnotentext">
    <w:name w:val="endnote text"/>
    <w:basedOn w:val="Standard"/>
    <w:link w:val="EndnotentextZchn"/>
    <w:uiPriority w:val="99"/>
    <w:semiHidden/>
    <w:unhideWhenUsed/>
    <w:rsid w:val="003759A9"/>
    <w:rPr>
      <w:sz w:val="20"/>
      <w:szCs w:val="20"/>
    </w:rPr>
  </w:style>
  <w:style w:type="character" w:customStyle="1" w:styleId="EndnotentextZchn">
    <w:name w:val="Endnotentext Zchn"/>
    <w:basedOn w:val="Absatz-Standardschriftart"/>
    <w:link w:val="Endnotentext"/>
    <w:uiPriority w:val="99"/>
    <w:semiHidden/>
    <w:rsid w:val="003759A9"/>
    <w:rPr>
      <w:rFonts w:ascii="Times New Roman" w:eastAsia="Times New Roman" w:hAnsi="Times New Roman" w:cs="Times New Roman"/>
      <w:sz w:val="20"/>
      <w:szCs w:val="20"/>
    </w:rPr>
  </w:style>
  <w:style w:type="character" w:styleId="Endnotenzeichen">
    <w:name w:val="endnote reference"/>
    <w:basedOn w:val="Absatz-Standardschriftart"/>
    <w:uiPriority w:val="99"/>
    <w:semiHidden/>
    <w:unhideWhenUsed/>
    <w:rsid w:val="003759A9"/>
    <w:rPr>
      <w:vertAlign w:val="superscript"/>
    </w:rPr>
  </w:style>
  <w:style w:type="character" w:styleId="Hyperlink">
    <w:name w:val="Hyperlink"/>
    <w:basedOn w:val="Absatz-Standardschriftart"/>
    <w:uiPriority w:val="99"/>
    <w:unhideWhenUsed/>
    <w:rsid w:val="00104F0C"/>
    <w:rPr>
      <w:color w:val="0000FF" w:themeColor="hyperlink"/>
      <w:u w:val="single"/>
    </w:rPr>
  </w:style>
  <w:style w:type="paragraph" w:styleId="StandardWeb">
    <w:name w:val="Normal (Web)"/>
    <w:basedOn w:val="Standard"/>
    <w:uiPriority w:val="99"/>
    <w:unhideWhenUsed/>
    <w:rsid w:val="00CC39FD"/>
    <w:pPr>
      <w:spacing w:before="100" w:beforeAutospacing="1" w:after="100" w:afterAutospacing="1"/>
    </w:pPr>
    <w:rPr>
      <w:lang w:eastAsia="en-GB"/>
    </w:rPr>
  </w:style>
  <w:style w:type="character" w:styleId="Hervorhebung">
    <w:name w:val="Emphasis"/>
    <w:basedOn w:val="Absatz-Standardschriftart"/>
    <w:uiPriority w:val="20"/>
    <w:qFormat/>
    <w:rsid w:val="00862E0B"/>
    <w:rPr>
      <w:i/>
      <w:iCs/>
    </w:rPr>
  </w:style>
  <w:style w:type="paragraph" w:customStyle="1" w:styleId="western">
    <w:name w:val="western"/>
    <w:basedOn w:val="Standard"/>
    <w:rsid w:val="00E61210"/>
    <w:rPr>
      <w:lang w:eastAsia="en-GB"/>
    </w:rPr>
  </w:style>
  <w:style w:type="character" w:customStyle="1" w:styleId="ecxgoogqs-tidbit1">
    <w:name w:val="ecxgoogqs-tidbit1"/>
    <w:basedOn w:val="Absatz-Standardschriftart"/>
    <w:rsid w:val="00266BB5"/>
  </w:style>
  <w:style w:type="character" w:customStyle="1" w:styleId="berschrift4Zchn">
    <w:name w:val="Überschrift 4 Zchn"/>
    <w:basedOn w:val="Absatz-Standardschriftart"/>
    <w:link w:val="berschrift4"/>
    <w:uiPriority w:val="9"/>
    <w:rsid w:val="0072152E"/>
    <w:rPr>
      <w:rFonts w:asciiTheme="majorHAnsi" w:eastAsiaTheme="majorEastAsia" w:hAnsiTheme="majorHAnsi" w:cstheme="majorBidi"/>
      <w:b/>
      <w:bCs/>
      <w:i/>
      <w:iCs/>
      <w:color w:val="4F81BD" w:themeColor="accent1"/>
    </w:rPr>
  </w:style>
  <w:style w:type="character" w:customStyle="1" w:styleId="st1">
    <w:name w:val="st1"/>
    <w:basedOn w:val="Absatz-Standardschriftart"/>
    <w:rsid w:val="00753814"/>
  </w:style>
  <w:style w:type="character" w:styleId="Fett">
    <w:name w:val="Strong"/>
    <w:basedOn w:val="Absatz-Standardschriftart"/>
    <w:uiPriority w:val="22"/>
    <w:qFormat/>
    <w:rsid w:val="00C66E2E"/>
    <w:rPr>
      <w:b/>
      <w:bCs/>
    </w:rPr>
  </w:style>
  <w:style w:type="character" w:customStyle="1" w:styleId="berschrift1Zchn">
    <w:name w:val="Überschrift 1 Zchn"/>
    <w:basedOn w:val="Absatz-Standardschriftart"/>
    <w:link w:val="berschrift1"/>
    <w:rsid w:val="00F7002B"/>
    <w:rPr>
      <w:rFonts w:ascii="Calibri" w:eastAsia="Times New Roman" w:hAnsi="Calibri" w:cs="Times New Roman"/>
      <w:b/>
      <w:bCs/>
      <w:color w:val="000000"/>
      <w:kern w:val="1"/>
      <w:sz w:val="32"/>
      <w:szCs w:val="32"/>
      <w:lang w:val="en-US" w:eastAsia="ar-SA"/>
    </w:rPr>
  </w:style>
  <w:style w:type="character" w:customStyle="1" w:styleId="berschrift3Zchn">
    <w:name w:val="Überschrift 3 Zchn"/>
    <w:basedOn w:val="Absatz-Standardschriftart"/>
    <w:link w:val="berschrift3"/>
    <w:rsid w:val="00F7002B"/>
    <w:rPr>
      <w:rFonts w:ascii="Arial" w:eastAsia="Times New Roman" w:hAnsi="Arial" w:cs="Times New Roman"/>
      <w:b/>
      <w:szCs w:val="20"/>
      <w:lang w:eastAsia="ar-SA"/>
    </w:rPr>
  </w:style>
  <w:style w:type="paragraph" w:styleId="Textkrper">
    <w:name w:val="Body Text"/>
    <w:basedOn w:val="Standard"/>
    <w:link w:val="TextkrperZchn"/>
    <w:uiPriority w:val="99"/>
    <w:semiHidden/>
    <w:unhideWhenUsed/>
    <w:rsid w:val="00F7002B"/>
    <w:pPr>
      <w:spacing w:after="120"/>
    </w:pPr>
  </w:style>
  <w:style w:type="character" w:customStyle="1" w:styleId="TextkrperZchn">
    <w:name w:val="Textkörper Zchn"/>
    <w:basedOn w:val="Absatz-Standardschriftart"/>
    <w:link w:val="Textkrper"/>
    <w:uiPriority w:val="99"/>
    <w:semiHidden/>
    <w:rsid w:val="00F7002B"/>
    <w:rPr>
      <w:rFonts w:ascii="Times New Roman" w:eastAsia="Times New Roman" w:hAnsi="Times New Roman" w:cs="Times New Roman"/>
      <w:sz w:val="24"/>
      <w:szCs w:val="24"/>
    </w:rPr>
  </w:style>
  <w:style w:type="paragraph" w:styleId="Kopfzeile">
    <w:name w:val="header"/>
    <w:basedOn w:val="Standard"/>
    <w:link w:val="KopfzeileZchn"/>
    <w:uiPriority w:val="99"/>
    <w:semiHidden/>
    <w:unhideWhenUsed/>
    <w:rsid w:val="00BE26EB"/>
    <w:pPr>
      <w:tabs>
        <w:tab w:val="center" w:pos="4513"/>
        <w:tab w:val="right" w:pos="9026"/>
      </w:tabs>
    </w:pPr>
  </w:style>
  <w:style w:type="character" w:customStyle="1" w:styleId="KopfzeileZchn">
    <w:name w:val="Kopfzeile Zchn"/>
    <w:basedOn w:val="Absatz-Standardschriftart"/>
    <w:link w:val="Kopfzeile"/>
    <w:uiPriority w:val="99"/>
    <w:semiHidden/>
    <w:rsid w:val="00BE26EB"/>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BE26EB"/>
    <w:pPr>
      <w:tabs>
        <w:tab w:val="center" w:pos="4513"/>
        <w:tab w:val="right" w:pos="9026"/>
      </w:tabs>
    </w:pPr>
  </w:style>
  <w:style w:type="character" w:customStyle="1" w:styleId="FuzeileZchn">
    <w:name w:val="Fußzeile Zchn"/>
    <w:basedOn w:val="Absatz-Standardschriftart"/>
    <w:link w:val="Fuzeile"/>
    <w:uiPriority w:val="99"/>
    <w:rsid w:val="00BE26EB"/>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4812A3"/>
    <w:rPr>
      <w:color w:val="800080" w:themeColor="followedHyperlink"/>
      <w:u w:val="single"/>
    </w:rPr>
  </w:style>
  <w:style w:type="character" w:customStyle="1" w:styleId="berschrift2Zchn">
    <w:name w:val="Überschrift 2 Zchn"/>
    <w:basedOn w:val="Absatz-Standardschriftart"/>
    <w:link w:val="berschrift2"/>
    <w:uiPriority w:val="9"/>
    <w:semiHidden/>
    <w:rsid w:val="00CF6AF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15C"/>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qFormat/>
    <w:rsid w:val="00F7002B"/>
    <w:pPr>
      <w:keepNext/>
      <w:numPr>
        <w:numId w:val="9"/>
      </w:numPr>
      <w:suppressAutoHyphens/>
      <w:spacing w:before="240" w:after="60"/>
      <w:outlineLvl w:val="0"/>
    </w:pPr>
    <w:rPr>
      <w:rFonts w:ascii="Calibri" w:hAnsi="Calibri"/>
      <w:b/>
      <w:bCs/>
      <w:color w:val="000000"/>
      <w:kern w:val="1"/>
      <w:sz w:val="32"/>
      <w:szCs w:val="32"/>
      <w:lang w:val="en-US" w:eastAsia="ar-SA"/>
    </w:rPr>
  </w:style>
  <w:style w:type="paragraph" w:styleId="berschrift2">
    <w:name w:val="heading 2"/>
    <w:basedOn w:val="Standard"/>
    <w:next w:val="Standard"/>
    <w:link w:val="berschrift2Zchn"/>
    <w:uiPriority w:val="9"/>
    <w:semiHidden/>
    <w:unhideWhenUsed/>
    <w:qFormat/>
    <w:rsid w:val="00CF6AF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Textkrper"/>
    <w:link w:val="berschrift3Zchn"/>
    <w:autoRedefine/>
    <w:qFormat/>
    <w:rsid w:val="00F7002B"/>
    <w:pPr>
      <w:numPr>
        <w:ilvl w:val="2"/>
        <w:numId w:val="9"/>
      </w:numPr>
      <w:suppressAutoHyphens/>
      <w:outlineLvl w:val="2"/>
    </w:pPr>
    <w:rPr>
      <w:rFonts w:ascii="Arial" w:hAnsi="Arial"/>
      <w:b/>
      <w:sz w:val="22"/>
      <w:szCs w:val="20"/>
      <w:lang w:eastAsia="ar-SA"/>
    </w:rPr>
  </w:style>
  <w:style w:type="paragraph" w:styleId="berschrift4">
    <w:name w:val="heading 4"/>
    <w:basedOn w:val="Standard"/>
    <w:next w:val="Standard"/>
    <w:link w:val="berschrift4Zchn"/>
    <w:uiPriority w:val="9"/>
    <w:unhideWhenUsed/>
    <w:qFormat/>
    <w:rsid w:val="007215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115C"/>
    <w:pPr>
      <w:ind w:left="720"/>
      <w:contextualSpacing/>
    </w:pPr>
  </w:style>
  <w:style w:type="character" w:styleId="Kommentarzeichen">
    <w:name w:val="annotation reference"/>
    <w:basedOn w:val="Absatz-Standardschriftart"/>
    <w:uiPriority w:val="99"/>
    <w:semiHidden/>
    <w:unhideWhenUsed/>
    <w:rsid w:val="004C115C"/>
    <w:rPr>
      <w:sz w:val="16"/>
      <w:szCs w:val="16"/>
    </w:rPr>
  </w:style>
  <w:style w:type="paragraph" w:styleId="Kommentartext">
    <w:name w:val="annotation text"/>
    <w:basedOn w:val="Standard"/>
    <w:link w:val="KommentartextZchn"/>
    <w:uiPriority w:val="99"/>
    <w:semiHidden/>
    <w:unhideWhenUsed/>
    <w:rsid w:val="004C115C"/>
    <w:rPr>
      <w:sz w:val="20"/>
      <w:szCs w:val="20"/>
    </w:rPr>
  </w:style>
  <w:style w:type="character" w:customStyle="1" w:styleId="KommentartextZchn">
    <w:name w:val="Kommentartext Zchn"/>
    <w:basedOn w:val="Absatz-Standardschriftart"/>
    <w:link w:val="Kommentartext"/>
    <w:uiPriority w:val="99"/>
    <w:semiHidden/>
    <w:rsid w:val="004C115C"/>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4C11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15C"/>
    <w:rPr>
      <w:rFonts w:ascii="Tahoma" w:eastAsia="Times New Roman" w:hAnsi="Tahoma" w:cs="Tahoma"/>
      <w:sz w:val="16"/>
      <w:szCs w:val="16"/>
    </w:rPr>
  </w:style>
  <w:style w:type="paragraph" w:styleId="Funotentext">
    <w:name w:val="footnote text"/>
    <w:basedOn w:val="Standard"/>
    <w:link w:val="FunotentextZchn"/>
    <w:uiPriority w:val="99"/>
    <w:semiHidden/>
    <w:unhideWhenUsed/>
    <w:rsid w:val="00805AEE"/>
    <w:rPr>
      <w:sz w:val="20"/>
      <w:szCs w:val="20"/>
    </w:rPr>
  </w:style>
  <w:style w:type="character" w:customStyle="1" w:styleId="FunotentextZchn">
    <w:name w:val="Fußnotentext Zchn"/>
    <w:basedOn w:val="Absatz-Standardschriftart"/>
    <w:link w:val="Funotentext"/>
    <w:uiPriority w:val="99"/>
    <w:semiHidden/>
    <w:rsid w:val="00805AEE"/>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805AEE"/>
    <w:rPr>
      <w:vertAlign w:val="superscript"/>
    </w:rPr>
  </w:style>
  <w:style w:type="paragraph" w:styleId="Endnotentext">
    <w:name w:val="endnote text"/>
    <w:basedOn w:val="Standard"/>
    <w:link w:val="EndnotentextZchn"/>
    <w:uiPriority w:val="99"/>
    <w:semiHidden/>
    <w:unhideWhenUsed/>
    <w:rsid w:val="003759A9"/>
    <w:rPr>
      <w:sz w:val="20"/>
      <w:szCs w:val="20"/>
    </w:rPr>
  </w:style>
  <w:style w:type="character" w:customStyle="1" w:styleId="EndnotentextZchn">
    <w:name w:val="Endnotentext Zchn"/>
    <w:basedOn w:val="Absatz-Standardschriftart"/>
    <w:link w:val="Endnotentext"/>
    <w:uiPriority w:val="99"/>
    <w:semiHidden/>
    <w:rsid w:val="003759A9"/>
    <w:rPr>
      <w:rFonts w:ascii="Times New Roman" w:eastAsia="Times New Roman" w:hAnsi="Times New Roman" w:cs="Times New Roman"/>
      <w:sz w:val="20"/>
      <w:szCs w:val="20"/>
    </w:rPr>
  </w:style>
  <w:style w:type="character" w:styleId="Endnotenzeichen">
    <w:name w:val="endnote reference"/>
    <w:basedOn w:val="Absatz-Standardschriftart"/>
    <w:uiPriority w:val="99"/>
    <w:semiHidden/>
    <w:unhideWhenUsed/>
    <w:rsid w:val="003759A9"/>
    <w:rPr>
      <w:vertAlign w:val="superscript"/>
    </w:rPr>
  </w:style>
  <w:style w:type="character" w:styleId="Hyperlink">
    <w:name w:val="Hyperlink"/>
    <w:basedOn w:val="Absatz-Standardschriftart"/>
    <w:uiPriority w:val="99"/>
    <w:unhideWhenUsed/>
    <w:rsid w:val="00104F0C"/>
    <w:rPr>
      <w:color w:val="0000FF" w:themeColor="hyperlink"/>
      <w:u w:val="single"/>
    </w:rPr>
  </w:style>
  <w:style w:type="paragraph" w:styleId="StandardWeb">
    <w:name w:val="Normal (Web)"/>
    <w:basedOn w:val="Standard"/>
    <w:uiPriority w:val="99"/>
    <w:unhideWhenUsed/>
    <w:rsid w:val="00CC39FD"/>
    <w:pPr>
      <w:spacing w:before="100" w:beforeAutospacing="1" w:after="100" w:afterAutospacing="1"/>
    </w:pPr>
    <w:rPr>
      <w:lang w:eastAsia="en-GB"/>
    </w:rPr>
  </w:style>
  <w:style w:type="character" w:styleId="Hervorhebung">
    <w:name w:val="Emphasis"/>
    <w:basedOn w:val="Absatz-Standardschriftart"/>
    <w:uiPriority w:val="20"/>
    <w:qFormat/>
    <w:rsid w:val="00862E0B"/>
    <w:rPr>
      <w:i/>
      <w:iCs/>
    </w:rPr>
  </w:style>
  <w:style w:type="paragraph" w:customStyle="1" w:styleId="western">
    <w:name w:val="western"/>
    <w:basedOn w:val="Standard"/>
    <w:rsid w:val="00E61210"/>
    <w:rPr>
      <w:lang w:eastAsia="en-GB"/>
    </w:rPr>
  </w:style>
  <w:style w:type="character" w:customStyle="1" w:styleId="ecxgoogqs-tidbit1">
    <w:name w:val="ecxgoogqs-tidbit1"/>
    <w:basedOn w:val="Absatz-Standardschriftart"/>
    <w:rsid w:val="00266BB5"/>
  </w:style>
  <w:style w:type="character" w:customStyle="1" w:styleId="berschrift4Zchn">
    <w:name w:val="Überschrift 4 Zchn"/>
    <w:basedOn w:val="Absatz-Standardschriftart"/>
    <w:link w:val="berschrift4"/>
    <w:uiPriority w:val="9"/>
    <w:rsid w:val="0072152E"/>
    <w:rPr>
      <w:rFonts w:asciiTheme="majorHAnsi" w:eastAsiaTheme="majorEastAsia" w:hAnsiTheme="majorHAnsi" w:cstheme="majorBidi"/>
      <w:b/>
      <w:bCs/>
      <w:i/>
      <w:iCs/>
      <w:color w:val="4F81BD" w:themeColor="accent1"/>
    </w:rPr>
  </w:style>
  <w:style w:type="character" w:customStyle="1" w:styleId="st1">
    <w:name w:val="st1"/>
    <w:basedOn w:val="Absatz-Standardschriftart"/>
    <w:rsid w:val="00753814"/>
  </w:style>
  <w:style w:type="character" w:styleId="Fett">
    <w:name w:val="Strong"/>
    <w:basedOn w:val="Absatz-Standardschriftart"/>
    <w:uiPriority w:val="22"/>
    <w:qFormat/>
    <w:rsid w:val="00C66E2E"/>
    <w:rPr>
      <w:b/>
      <w:bCs/>
    </w:rPr>
  </w:style>
  <w:style w:type="character" w:customStyle="1" w:styleId="berschrift1Zchn">
    <w:name w:val="Überschrift 1 Zchn"/>
    <w:basedOn w:val="Absatz-Standardschriftart"/>
    <w:link w:val="berschrift1"/>
    <w:rsid w:val="00F7002B"/>
    <w:rPr>
      <w:rFonts w:ascii="Calibri" w:eastAsia="Times New Roman" w:hAnsi="Calibri" w:cs="Times New Roman"/>
      <w:b/>
      <w:bCs/>
      <w:color w:val="000000"/>
      <w:kern w:val="1"/>
      <w:sz w:val="32"/>
      <w:szCs w:val="32"/>
      <w:lang w:val="en-US" w:eastAsia="ar-SA"/>
    </w:rPr>
  </w:style>
  <w:style w:type="character" w:customStyle="1" w:styleId="berschrift3Zchn">
    <w:name w:val="Überschrift 3 Zchn"/>
    <w:basedOn w:val="Absatz-Standardschriftart"/>
    <w:link w:val="berschrift3"/>
    <w:rsid w:val="00F7002B"/>
    <w:rPr>
      <w:rFonts w:ascii="Arial" w:eastAsia="Times New Roman" w:hAnsi="Arial" w:cs="Times New Roman"/>
      <w:b/>
      <w:szCs w:val="20"/>
      <w:lang w:eastAsia="ar-SA"/>
    </w:rPr>
  </w:style>
  <w:style w:type="paragraph" w:styleId="Textkrper">
    <w:name w:val="Body Text"/>
    <w:basedOn w:val="Standard"/>
    <w:link w:val="TextkrperZchn"/>
    <w:uiPriority w:val="99"/>
    <w:semiHidden/>
    <w:unhideWhenUsed/>
    <w:rsid w:val="00F7002B"/>
    <w:pPr>
      <w:spacing w:after="120"/>
    </w:pPr>
  </w:style>
  <w:style w:type="character" w:customStyle="1" w:styleId="TextkrperZchn">
    <w:name w:val="Textkörper Zchn"/>
    <w:basedOn w:val="Absatz-Standardschriftart"/>
    <w:link w:val="Textkrper"/>
    <w:uiPriority w:val="99"/>
    <w:semiHidden/>
    <w:rsid w:val="00F7002B"/>
    <w:rPr>
      <w:rFonts w:ascii="Times New Roman" w:eastAsia="Times New Roman" w:hAnsi="Times New Roman" w:cs="Times New Roman"/>
      <w:sz w:val="24"/>
      <w:szCs w:val="24"/>
    </w:rPr>
  </w:style>
  <w:style w:type="paragraph" w:styleId="Kopfzeile">
    <w:name w:val="header"/>
    <w:basedOn w:val="Standard"/>
    <w:link w:val="KopfzeileZchn"/>
    <w:uiPriority w:val="99"/>
    <w:semiHidden/>
    <w:unhideWhenUsed/>
    <w:rsid w:val="00BE26EB"/>
    <w:pPr>
      <w:tabs>
        <w:tab w:val="center" w:pos="4513"/>
        <w:tab w:val="right" w:pos="9026"/>
      </w:tabs>
    </w:pPr>
  </w:style>
  <w:style w:type="character" w:customStyle="1" w:styleId="KopfzeileZchn">
    <w:name w:val="Kopfzeile Zchn"/>
    <w:basedOn w:val="Absatz-Standardschriftart"/>
    <w:link w:val="Kopfzeile"/>
    <w:uiPriority w:val="99"/>
    <w:semiHidden/>
    <w:rsid w:val="00BE26EB"/>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BE26EB"/>
    <w:pPr>
      <w:tabs>
        <w:tab w:val="center" w:pos="4513"/>
        <w:tab w:val="right" w:pos="9026"/>
      </w:tabs>
    </w:pPr>
  </w:style>
  <w:style w:type="character" w:customStyle="1" w:styleId="FuzeileZchn">
    <w:name w:val="Fußzeile Zchn"/>
    <w:basedOn w:val="Absatz-Standardschriftart"/>
    <w:link w:val="Fuzeile"/>
    <w:uiPriority w:val="99"/>
    <w:rsid w:val="00BE26EB"/>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4812A3"/>
    <w:rPr>
      <w:color w:val="800080" w:themeColor="followedHyperlink"/>
      <w:u w:val="single"/>
    </w:rPr>
  </w:style>
  <w:style w:type="character" w:customStyle="1" w:styleId="berschrift2Zchn">
    <w:name w:val="Überschrift 2 Zchn"/>
    <w:basedOn w:val="Absatz-Standardschriftart"/>
    <w:link w:val="berschrift2"/>
    <w:uiPriority w:val="9"/>
    <w:semiHidden/>
    <w:rsid w:val="00CF6A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0672">
      <w:bodyDiv w:val="1"/>
      <w:marLeft w:val="0"/>
      <w:marRight w:val="0"/>
      <w:marTop w:val="0"/>
      <w:marBottom w:val="0"/>
      <w:divBdr>
        <w:top w:val="none" w:sz="0" w:space="0" w:color="auto"/>
        <w:left w:val="none" w:sz="0" w:space="0" w:color="auto"/>
        <w:bottom w:val="none" w:sz="0" w:space="0" w:color="auto"/>
        <w:right w:val="none" w:sz="0" w:space="0" w:color="auto"/>
      </w:divBdr>
      <w:divsChild>
        <w:div w:id="2065331079">
          <w:marLeft w:val="0"/>
          <w:marRight w:val="0"/>
          <w:marTop w:val="0"/>
          <w:marBottom w:val="0"/>
          <w:divBdr>
            <w:top w:val="none" w:sz="0" w:space="0" w:color="auto"/>
            <w:left w:val="single" w:sz="4" w:space="0" w:color="FFFFFF"/>
            <w:bottom w:val="single" w:sz="4" w:space="0" w:color="FFFFFF"/>
            <w:right w:val="single" w:sz="4" w:space="0" w:color="FFFFFF"/>
          </w:divBdr>
          <w:divsChild>
            <w:div w:id="209542150">
              <w:marLeft w:val="0"/>
              <w:marRight w:val="0"/>
              <w:marTop w:val="0"/>
              <w:marBottom w:val="0"/>
              <w:divBdr>
                <w:top w:val="none" w:sz="0" w:space="0" w:color="auto"/>
                <w:left w:val="none" w:sz="0" w:space="0" w:color="auto"/>
                <w:bottom w:val="none" w:sz="0" w:space="0" w:color="auto"/>
                <w:right w:val="none" w:sz="0" w:space="0" w:color="auto"/>
              </w:divBdr>
              <w:divsChild>
                <w:div w:id="456416703">
                  <w:marLeft w:val="-1636"/>
                  <w:marRight w:val="-1964"/>
                  <w:marTop w:val="0"/>
                  <w:marBottom w:val="0"/>
                  <w:divBdr>
                    <w:top w:val="none" w:sz="0" w:space="0" w:color="auto"/>
                    <w:left w:val="none" w:sz="0" w:space="0" w:color="auto"/>
                    <w:bottom w:val="none" w:sz="0" w:space="0" w:color="auto"/>
                    <w:right w:val="none" w:sz="0" w:space="0" w:color="auto"/>
                  </w:divBdr>
                  <w:divsChild>
                    <w:div w:id="1840071145">
                      <w:marLeft w:val="1636"/>
                      <w:marRight w:val="1964"/>
                      <w:marTop w:val="0"/>
                      <w:marBottom w:val="0"/>
                      <w:divBdr>
                        <w:top w:val="none" w:sz="0" w:space="0" w:color="auto"/>
                        <w:left w:val="none" w:sz="0" w:space="0" w:color="auto"/>
                        <w:bottom w:val="none" w:sz="0" w:space="0" w:color="auto"/>
                        <w:right w:val="none" w:sz="0" w:space="0" w:color="auto"/>
                      </w:divBdr>
                      <w:divsChild>
                        <w:div w:id="700321799">
                          <w:marLeft w:val="0"/>
                          <w:marRight w:val="0"/>
                          <w:marTop w:val="0"/>
                          <w:marBottom w:val="0"/>
                          <w:divBdr>
                            <w:top w:val="none" w:sz="0" w:space="0" w:color="auto"/>
                            <w:left w:val="none" w:sz="0" w:space="0" w:color="auto"/>
                            <w:bottom w:val="none" w:sz="0" w:space="0" w:color="auto"/>
                            <w:right w:val="none" w:sz="0" w:space="0" w:color="auto"/>
                          </w:divBdr>
                          <w:divsChild>
                            <w:div w:id="9761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62758">
      <w:bodyDiv w:val="1"/>
      <w:marLeft w:val="0"/>
      <w:marRight w:val="0"/>
      <w:marTop w:val="0"/>
      <w:marBottom w:val="0"/>
      <w:divBdr>
        <w:top w:val="none" w:sz="0" w:space="0" w:color="auto"/>
        <w:left w:val="none" w:sz="0" w:space="0" w:color="auto"/>
        <w:bottom w:val="none" w:sz="0" w:space="0" w:color="auto"/>
        <w:right w:val="none" w:sz="0" w:space="0" w:color="auto"/>
      </w:divBdr>
      <w:divsChild>
        <w:div w:id="1901551160">
          <w:marLeft w:val="0"/>
          <w:marRight w:val="0"/>
          <w:marTop w:val="0"/>
          <w:marBottom w:val="0"/>
          <w:divBdr>
            <w:top w:val="none" w:sz="0" w:space="0" w:color="auto"/>
            <w:left w:val="none" w:sz="0" w:space="0" w:color="auto"/>
            <w:bottom w:val="none" w:sz="0" w:space="0" w:color="auto"/>
            <w:right w:val="none" w:sz="0" w:space="0" w:color="auto"/>
          </w:divBdr>
          <w:divsChild>
            <w:div w:id="432942903">
              <w:marLeft w:val="0"/>
              <w:marRight w:val="0"/>
              <w:marTop w:val="0"/>
              <w:marBottom w:val="0"/>
              <w:divBdr>
                <w:top w:val="none" w:sz="0" w:space="0" w:color="auto"/>
                <w:left w:val="none" w:sz="0" w:space="0" w:color="auto"/>
                <w:bottom w:val="none" w:sz="0" w:space="0" w:color="auto"/>
                <w:right w:val="none" w:sz="0" w:space="0" w:color="auto"/>
              </w:divBdr>
              <w:divsChild>
                <w:div w:id="1856530443">
                  <w:marLeft w:val="0"/>
                  <w:marRight w:val="0"/>
                  <w:marTop w:val="0"/>
                  <w:marBottom w:val="0"/>
                  <w:divBdr>
                    <w:top w:val="dotted" w:sz="4" w:space="7" w:color="CCCCCC"/>
                    <w:left w:val="none" w:sz="0" w:space="0" w:color="auto"/>
                    <w:bottom w:val="none" w:sz="0" w:space="0" w:color="auto"/>
                    <w:right w:val="none" w:sz="0" w:space="0" w:color="auto"/>
                  </w:divBdr>
                  <w:divsChild>
                    <w:div w:id="1948732037">
                      <w:marLeft w:val="0"/>
                      <w:marRight w:val="0"/>
                      <w:marTop w:val="0"/>
                      <w:marBottom w:val="0"/>
                      <w:divBdr>
                        <w:top w:val="none" w:sz="0" w:space="0" w:color="auto"/>
                        <w:left w:val="none" w:sz="0" w:space="0" w:color="auto"/>
                        <w:bottom w:val="none" w:sz="0" w:space="0" w:color="auto"/>
                        <w:right w:val="none" w:sz="0" w:space="0" w:color="auto"/>
                      </w:divBdr>
                      <w:divsChild>
                        <w:div w:id="993026835">
                          <w:marLeft w:val="0"/>
                          <w:marRight w:val="-100"/>
                          <w:marTop w:val="0"/>
                          <w:marBottom w:val="0"/>
                          <w:divBdr>
                            <w:top w:val="none" w:sz="0" w:space="0" w:color="auto"/>
                            <w:left w:val="none" w:sz="0" w:space="0" w:color="auto"/>
                            <w:bottom w:val="none" w:sz="0" w:space="0" w:color="auto"/>
                            <w:right w:val="none" w:sz="0" w:space="0" w:color="auto"/>
                          </w:divBdr>
                          <w:divsChild>
                            <w:div w:id="1102065689">
                              <w:marLeft w:val="0"/>
                              <w:marRight w:val="0"/>
                              <w:marTop w:val="0"/>
                              <w:marBottom w:val="0"/>
                              <w:divBdr>
                                <w:top w:val="none" w:sz="0" w:space="0" w:color="auto"/>
                                <w:left w:val="none" w:sz="0" w:space="0" w:color="auto"/>
                                <w:bottom w:val="none" w:sz="0" w:space="0" w:color="auto"/>
                                <w:right w:val="none" w:sz="0" w:space="0" w:color="auto"/>
                              </w:divBdr>
                              <w:divsChild>
                                <w:div w:id="1650786736">
                                  <w:marLeft w:val="0"/>
                                  <w:marRight w:val="0"/>
                                  <w:marTop w:val="0"/>
                                  <w:marBottom w:val="0"/>
                                  <w:divBdr>
                                    <w:top w:val="none" w:sz="0" w:space="0" w:color="auto"/>
                                    <w:left w:val="none" w:sz="0" w:space="0" w:color="auto"/>
                                    <w:bottom w:val="none" w:sz="0" w:space="0" w:color="auto"/>
                                    <w:right w:val="none" w:sz="0" w:space="0" w:color="auto"/>
                                  </w:divBdr>
                                  <w:divsChild>
                                    <w:div w:id="1131557757">
                                      <w:marLeft w:val="0"/>
                                      <w:marRight w:val="0"/>
                                      <w:marTop w:val="0"/>
                                      <w:marBottom w:val="0"/>
                                      <w:divBdr>
                                        <w:top w:val="none" w:sz="0" w:space="0" w:color="auto"/>
                                        <w:left w:val="none" w:sz="0" w:space="0" w:color="auto"/>
                                        <w:bottom w:val="none" w:sz="0" w:space="0" w:color="auto"/>
                                        <w:right w:val="none" w:sz="0" w:space="0" w:color="auto"/>
                                      </w:divBdr>
                                      <w:divsChild>
                                        <w:div w:id="1999110556">
                                          <w:marLeft w:val="0"/>
                                          <w:marRight w:val="0"/>
                                          <w:marTop w:val="0"/>
                                          <w:marBottom w:val="0"/>
                                          <w:divBdr>
                                            <w:top w:val="none" w:sz="0" w:space="0" w:color="auto"/>
                                            <w:left w:val="none" w:sz="0" w:space="0" w:color="auto"/>
                                            <w:bottom w:val="none" w:sz="0" w:space="0" w:color="auto"/>
                                            <w:right w:val="none" w:sz="0" w:space="0" w:color="auto"/>
                                          </w:divBdr>
                                          <w:divsChild>
                                            <w:div w:id="516622910">
                                              <w:marLeft w:val="0"/>
                                              <w:marRight w:val="0"/>
                                              <w:marTop w:val="0"/>
                                              <w:marBottom w:val="0"/>
                                              <w:divBdr>
                                                <w:top w:val="none" w:sz="0" w:space="0" w:color="auto"/>
                                                <w:left w:val="none" w:sz="0" w:space="0" w:color="auto"/>
                                                <w:bottom w:val="none" w:sz="0" w:space="0" w:color="auto"/>
                                                <w:right w:val="none" w:sz="0" w:space="0" w:color="auto"/>
                                              </w:divBdr>
                                              <w:divsChild>
                                                <w:div w:id="8903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100131">
      <w:bodyDiv w:val="1"/>
      <w:marLeft w:val="0"/>
      <w:marRight w:val="0"/>
      <w:marTop w:val="0"/>
      <w:marBottom w:val="0"/>
      <w:divBdr>
        <w:top w:val="none" w:sz="0" w:space="0" w:color="auto"/>
        <w:left w:val="none" w:sz="0" w:space="0" w:color="auto"/>
        <w:bottom w:val="none" w:sz="0" w:space="0" w:color="auto"/>
        <w:right w:val="none" w:sz="0" w:space="0" w:color="auto"/>
      </w:divBdr>
      <w:divsChild>
        <w:div w:id="619261150">
          <w:marLeft w:val="0"/>
          <w:marRight w:val="0"/>
          <w:marTop w:val="0"/>
          <w:marBottom w:val="0"/>
          <w:divBdr>
            <w:top w:val="none" w:sz="0" w:space="0" w:color="auto"/>
            <w:left w:val="none" w:sz="0" w:space="0" w:color="auto"/>
            <w:bottom w:val="none" w:sz="0" w:space="0" w:color="auto"/>
            <w:right w:val="none" w:sz="0" w:space="0" w:color="auto"/>
          </w:divBdr>
          <w:divsChild>
            <w:div w:id="401563555">
              <w:marLeft w:val="0"/>
              <w:marRight w:val="0"/>
              <w:marTop w:val="0"/>
              <w:marBottom w:val="0"/>
              <w:divBdr>
                <w:top w:val="none" w:sz="0" w:space="0" w:color="auto"/>
                <w:left w:val="none" w:sz="0" w:space="0" w:color="auto"/>
                <w:bottom w:val="none" w:sz="0" w:space="0" w:color="auto"/>
                <w:right w:val="none" w:sz="0" w:space="0" w:color="auto"/>
              </w:divBdr>
              <w:divsChild>
                <w:div w:id="2054424200">
                  <w:marLeft w:val="0"/>
                  <w:marRight w:val="0"/>
                  <w:marTop w:val="0"/>
                  <w:marBottom w:val="0"/>
                  <w:divBdr>
                    <w:top w:val="none" w:sz="0" w:space="0" w:color="auto"/>
                    <w:left w:val="none" w:sz="0" w:space="0" w:color="auto"/>
                    <w:bottom w:val="none" w:sz="0" w:space="0" w:color="auto"/>
                    <w:right w:val="none" w:sz="0" w:space="0" w:color="auto"/>
                  </w:divBdr>
                  <w:divsChild>
                    <w:div w:id="4498489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 w:id="1534146537">
      <w:bodyDiv w:val="1"/>
      <w:marLeft w:val="0"/>
      <w:marRight w:val="0"/>
      <w:marTop w:val="0"/>
      <w:marBottom w:val="0"/>
      <w:divBdr>
        <w:top w:val="none" w:sz="0" w:space="0" w:color="auto"/>
        <w:left w:val="none" w:sz="0" w:space="0" w:color="auto"/>
        <w:bottom w:val="none" w:sz="0" w:space="0" w:color="auto"/>
        <w:right w:val="none" w:sz="0" w:space="0" w:color="auto"/>
      </w:divBdr>
      <w:divsChild>
        <w:div w:id="379717064">
          <w:marLeft w:val="0"/>
          <w:marRight w:val="0"/>
          <w:marTop w:val="0"/>
          <w:marBottom w:val="0"/>
          <w:divBdr>
            <w:top w:val="none" w:sz="0" w:space="0" w:color="auto"/>
            <w:left w:val="none" w:sz="0" w:space="0" w:color="auto"/>
            <w:bottom w:val="none" w:sz="0" w:space="0" w:color="auto"/>
            <w:right w:val="none" w:sz="0" w:space="0" w:color="auto"/>
          </w:divBdr>
          <w:divsChild>
            <w:div w:id="794832069">
              <w:marLeft w:val="0"/>
              <w:marRight w:val="0"/>
              <w:marTop w:val="0"/>
              <w:marBottom w:val="0"/>
              <w:divBdr>
                <w:top w:val="none" w:sz="0" w:space="0" w:color="auto"/>
                <w:left w:val="none" w:sz="0" w:space="0" w:color="auto"/>
                <w:bottom w:val="none" w:sz="0" w:space="0" w:color="auto"/>
                <w:right w:val="none" w:sz="0" w:space="0" w:color="auto"/>
              </w:divBdr>
              <w:divsChild>
                <w:div w:id="1408068877">
                  <w:marLeft w:val="0"/>
                  <w:marRight w:val="0"/>
                  <w:marTop w:val="0"/>
                  <w:marBottom w:val="0"/>
                  <w:divBdr>
                    <w:top w:val="none" w:sz="0" w:space="0" w:color="auto"/>
                    <w:left w:val="none" w:sz="0" w:space="0" w:color="auto"/>
                    <w:bottom w:val="none" w:sz="0" w:space="0" w:color="auto"/>
                    <w:right w:val="none" w:sz="0" w:space="0" w:color="auto"/>
                  </w:divBdr>
                  <w:divsChild>
                    <w:div w:id="338703713">
                      <w:marLeft w:val="0"/>
                      <w:marRight w:val="0"/>
                      <w:marTop w:val="0"/>
                      <w:marBottom w:val="0"/>
                      <w:divBdr>
                        <w:top w:val="none" w:sz="0" w:space="0" w:color="auto"/>
                        <w:left w:val="none" w:sz="0" w:space="0" w:color="auto"/>
                        <w:bottom w:val="none" w:sz="0" w:space="0" w:color="auto"/>
                        <w:right w:val="none" w:sz="0" w:space="0" w:color="auto"/>
                      </w:divBdr>
                      <w:divsChild>
                        <w:div w:id="7648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NewsEvents/Pages/DisplayNews.aspx?NewsID=10808&amp;LangID=E" TargetMode="External"/><Relationship Id="rId18" Type="http://schemas.openxmlformats.org/officeDocument/2006/relationships/hyperlink" Target="http://www.endwaterpoverty.org/news__events/242.asp" TargetMode="External"/><Relationship Id="rId26" Type="http://schemas.openxmlformats.org/officeDocument/2006/relationships/hyperlink" Target="http://www.oecd.org/dataoecd/1/49/44475062.pdf" TargetMode="External"/><Relationship Id="rId39" Type="http://schemas.openxmlformats.org/officeDocument/2006/relationships/customXml" Target="../customXml/item3.xml"/><Relationship Id="rId21" Type="http://schemas.openxmlformats.org/officeDocument/2006/relationships/hyperlink" Target="http://www.searchfortheobvious.com/sanitation" TargetMode="External"/><Relationship Id="rId34" Type="http://schemas.openxmlformats.org/officeDocument/2006/relationships/hyperlink" Target="http://www.who.int/water_sanitation_health/mdg1/en/index.html" TargetMode="External"/><Relationship Id="rId7" Type="http://schemas.openxmlformats.org/officeDocument/2006/relationships/footnotes" Target="footnotes.xml"/><Relationship Id="rId12" Type="http://schemas.openxmlformats.org/officeDocument/2006/relationships/hyperlink" Target="http://www.miamiadschool.com" TargetMode="External"/><Relationship Id="rId17" Type="http://schemas.openxmlformats.org/officeDocument/2006/relationships/hyperlink" Target="http://www.endwaterpoverty.org/the_issue/" TargetMode="External"/><Relationship Id="rId25" Type="http://schemas.openxmlformats.org/officeDocument/2006/relationships/hyperlink" Target="http://www.righttowater.info/right-water-and-sanitation-affirmed/" TargetMode="External"/><Relationship Id="rId33" Type="http://schemas.openxmlformats.org/officeDocument/2006/relationships/hyperlink" Target="http://www.wateraid.org/uk/"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mnesty.org/en/demand-dignity" TargetMode="External"/><Relationship Id="rId20" Type="http://schemas.openxmlformats.org/officeDocument/2006/relationships/hyperlink" Target="http://www.gatesfoundation.org/watersanitationhygiene/Pages/reinventing-the-toilet.aspx" TargetMode="External"/><Relationship Id="rId29" Type="http://schemas.openxmlformats.org/officeDocument/2006/relationships/hyperlink" Target="http://www.searchfortheobvious.com/sanit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trocaire.org/resources/tdr-article/millennium-development-goals-critical-discussion" TargetMode="External"/><Relationship Id="rId32" Type="http://schemas.openxmlformats.org/officeDocument/2006/relationships/hyperlink" Target="http://www.unicef.org/wash/files/26351FINALLayoutEn1small.pdf"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amnesty.org/en/library/asset/IOR40/018/2010/en/34b48900-9ee4-4659-8a63-9e887112e5f7/ior400182010en.html" TargetMode="External"/><Relationship Id="rId23" Type="http://schemas.openxmlformats.org/officeDocument/2006/relationships/hyperlink" Target="http://sanitationupdates.wordpress.com/2010/09/06/clts-pioneer-dr-kamal-kar-interviewed-at-the-stockholm-water-week/" TargetMode="External"/><Relationship Id="rId28" Type="http://schemas.openxmlformats.org/officeDocument/2006/relationships/hyperlink" Target="http://www.sanitationandwaterforall.org/" TargetMode="External"/><Relationship Id="rId36" Type="http://schemas.openxmlformats.org/officeDocument/2006/relationships/fontTable" Target="fontTable.xml"/><Relationship Id="rId10" Type="http://schemas.openxmlformats.org/officeDocument/2006/relationships/hyperlink" Target="http://bit.ly/fAycnA" TargetMode="External"/><Relationship Id="rId19" Type="http://schemas.openxmlformats.org/officeDocument/2006/relationships/hyperlink" Target="http://www.searchfortheobvious.com/sanitation" TargetMode="External"/><Relationship Id="rId31" Type="http://schemas.openxmlformats.org/officeDocument/2006/relationships/hyperlink" Target="http://www.un.org/millenniumgoa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hchr.org/EN/NewsEvents/Pages/DisplayNews.aspx?NewsID=11223&amp;LangID=E" TargetMode="External"/><Relationship Id="rId22" Type="http://schemas.openxmlformats.org/officeDocument/2006/relationships/hyperlink" Target="http://www.who.int/water_sanitation_health/monitoring/jmp2008.pdf" TargetMode="External"/><Relationship Id="rId27" Type="http://schemas.openxmlformats.org/officeDocument/2006/relationships/hyperlink" Target="http://www.orusovo.com/namcon/" TargetMode="External"/><Relationship Id="rId30" Type="http://schemas.openxmlformats.org/officeDocument/2006/relationships/hyperlink" Target="http://www.searchfortheobvious.com/sanitatio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33341-225A-4A26-99D7-58E8A147AD98}"/>
</file>

<file path=customXml/itemProps2.xml><?xml version="1.0" encoding="utf-8"?>
<ds:datastoreItem xmlns:ds="http://schemas.openxmlformats.org/officeDocument/2006/customXml" ds:itemID="{0B5289BE-1FE4-4DE7-99AF-2E4CC4F0921F}"/>
</file>

<file path=customXml/itemProps3.xml><?xml version="1.0" encoding="utf-8"?>
<ds:datastoreItem xmlns:ds="http://schemas.openxmlformats.org/officeDocument/2006/customXml" ds:itemID="{B77565AD-4119-4773-9ACF-F80AFCDC1854}"/>
</file>

<file path=customXml/itemProps4.xml><?xml version="1.0" encoding="utf-8"?>
<ds:datastoreItem xmlns:ds="http://schemas.openxmlformats.org/officeDocument/2006/customXml" ds:itemID="{1B25976D-2016-4C51-A2F3-A1CAD8B376B7}"/>
</file>

<file path=docProps/app.xml><?xml version="1.0" encoding="utf-8"?>
<Properties xmlns="http://schemas.openxmlformats.org/officeDocument/2006/extended-properties" xmlns:vt="http://schemas.openxmlformats.org/officeDocument/2006/docPropsVTypes">
  <Template>Normal</Template>
  <TotalTime>0</TotalTime>
  <Pages>42</Pages>
  <Words>14592</Words>
  <Characters>91930</Characters>
  <Application>Microsoft Office Word</Application>
  <DocSecurity>4</DocSecurity>
  <Lines>766</Lines>
  <Paragraphs>212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Erridge</dc:creator>
  <cp:lastModifiedBy>Phan, Ha-Le</cp:lastModifiedBy>
  <cp:revision>2</cp:revision>
  <cp:lastPrinted>2012-02-23T14:45:00Z</cp:lastPrinted>
  <dcterms:created xsi:type="dcterms:W3CDTF">2012-02-23T14:46:00Z</dcterms:created>
  <dcterms:modified xsi:type="dcterms:W3CDTF">2012-02-23T14:46:00Z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690000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