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B6C7F" w14:textId="4CE5CBE2" w:rsidR="000B059E" w:rsidRPr="009A0A35" w:rsidRDefault="009A0A35" w:rsidP="009A0A35">
      <w:pPr>
        <w:pStyle w:val="Heading2"/>
        <w:shd w:val="clear" w:color="auto" w:fill="FFFFFF"/>
        <w:ind w:right="2839"/>
        <w:jc w:val="center"/>
        <w:rPr>
          <w:rFonts w:ascii="Calibri Light" w:hAnsi="Calibri Light"/>
          <w:b/>
          <w:bCs/>
          <w:color w:val="auto"/>
          <w:sz w:val="28"/>
          <w:szCs w:val="28"/>
          <w:lang w:val="fr-FR"/>
        </w:rPr>
      </w:pPr>
      <w:r>
        <w:rPr>
          <w:rFonts w:ascii="Calibri Light" w:hAnsi="Calibri Light"/>
          <w:b/>
          <w:bCs/>
          <w:noProof/>
          <w:color w:val="auto"/>
          <w:sz w:val="28"/>
          <w:szCs w:val="28"/>
          <w:lang w:val="en-GB"/>
        </w:rPr>
        <mc:AlternateContent>
          <mc:Choice Requires="wps">
            <w:drawing>
              <wp:anchor distT="0" distB="0" distL="114300" distR="114300" simplePos="0" relativeHeight="251659264" behindDoc="0" locked="0" layoutInCell="1" allowOverlap="1" wp14:anchorId="349CA3FD" wp14:editId="24CEC9EF">
                <wp:simplePos x="0" y="0"/>
                <wp:positionH relativeFrom="column">
                  <wp:posOffset>2224405</wp:posOffset>
                </wp:positionH>
                <wp:positionV relativeFrom="paragraph">
                  <wp:posOffset>-909320</wp:posOffset>
                </wp:positionV>
                <wp:extent cx="4344035" cy="17170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4344035" cy="17170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CF0D025" w14:textId="77777777" w:rsidR="00DB34CB" w:rsidRPr="00925A9D" w:rsidRDefault="00DB34CB" w:rsidP="00DB34CB">
                            <w:pPr>
                              <w:pStyle w:val="Header"/>
                              <w:jc w:val="center"/>
                              <w:rPr>
                                <w:sz w:val="14"/>
                                <w:szCs w:val="14"/>
                                <w:lang w:val="en-GB"/>
                              </w:rPr>
                            </w:pPr>
                            <w:r>
                              <w:rPr>
                                <w:noProof/>
                                <w:sz w:val="14"/>
                                <w:szCs w:val="14"/>
                                <w:lang w:val="en-GB"/>
                              </w:rPr>
                              <w:drawing>
                                <wp:inline distT="0" distB="0" distL="0" distR="0" wp14:anchorId="04B290AE" wp14:editId="51650E38">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6D6E0C5B" w14:textId="77777777" w:rsidR="00DB34CB" w:rsidRPr="002745FF" w:rsidRDefault="00DB34CB" w:rsidP="00DB34CB">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31DCF512" w14:textId="77777777" w:rsidR="00DB34CB" w:rsidRPr="002745FF" w:rsidRDefault="00DB34CB" w:rsidP="00DB34CB">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4F858AAD" w14:textId="77777777" w:rsidR="009A0A35" w:rsidRPr="009A0A35" w:rsidRDefault="009A0A35" w:rsidP="009A0A35">
                            <w:pPr>
                              <w:ind w:left="-1843"/>
                              <w:rPr>
                                <w:lang w:val="fr-CH"/>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CA3FD" id="_x0000_t202" coordsize="21600,21600" o:spt="202" path="m,l,21600r21600,l21600,xe">
                <v:stroke joinstyle="miter"/>
                <v:path gradientshapeok="t" o:connecttype="rect"/>
              </v:shapetype>
              <v:shape id="Text Box 2" o:spid="_x0000_s1026" type="#_x0000_t202" style="position:absolute;left:0;text-align:left;margin-left:175.15pt;margin-top:-71.6pt;width:342.05pt;height:1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" filled="f" stroked="f" strokeweight=".5pt">
                <v:textbox inset="0,0,0,0">
                  <w:txbxContent>
                    <w:p w14:paraId="6CF0D025" w14:textId="77777777" w:rsidR="00DB34CB" w:rsidRPr="00925A9D" w:rsidRDefault="00DB34CB" w:rsidP="00DB34CB">
                      <w:pPr>
                        <w:pStyle w:val="Header"/>
                        <w:jc w:val="center"/>
                        <w:rPr>
                          <w:sz w:val="14"/>
                          <w:szCs w:val="14"/>
                          <w:lang w:val="en-GB"/>
                        </w:rPr>
                      </w:pPr>
                      <w:r>
                        <w:rPr>
                          <w:noProof/>
                          <w:sz w:val="14"/>
                          <w:szCs w:val="14"/>
                          <w:lang w:val="en-GB"/>
                        </w:rPr>
                        <w:drawing>
                          <wp:inline distT="0" distB="0" distL="0" distR="0" wp14:anchorId="04B290AE" wp14:editId="51650E38">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6D6E0C5B" w14:textId="77777777" w:rsidR="00DB34CB" w:rsidRPr="002745FF" w:rsidRDefault="00DB34CB" w:rsidP="00DB34CB">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31DCF512" w14:textId="77777777" w:rsidR="00DB34CB" w:rsidRPr="002745FF" w:rsidRDefault="00DB34CB" w:rsidP="00DB34CB">
                      <w:pPr>
                        <w:pStyle w:val="Header"/>
                        <w:tabs>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4F858AAD" w14:textId="77777777" w:rsidR="009A0A35" w:rsidRPr="009A0A35" w:rsidRDefault="009A0A35" w:rsidP="009A0A35">
                      <w:pPr>
                        <w:ind w:left="-1843"/>
                        <w:rPr>
                          <w:lang w:val="fr-CH"/>
                        </w:rPr>
                      </w:pPr>
                    </w:p>
                  </w:txbxContent>
                </v:textbox>
                <w10:wrap type="square"/>
              </v:shape>
            </w:pict>
          </mc:Fallback>
        </mc:AlternateContent>
      </w:r>
      <w:r>
        <w:rPr>
          <w:rFonts w:ascii="Calibri Light" w:hAnsi="Calibri Light"/>
          <w:b/>
          <w:bCs/>
          <w:noProof/>
          <w:color w:val="auto"/>
          <w:sz w:val="28"/>
          <w:szCs w:val="28"/>
          <w:lang w:val="en-GB"/>
        </w:rPr>
        <w:drawing>
          <wp:anchor distT="0" distB="0" distL="114300" distR="114300" simplePos="0" relativeHeight="251658240" behindDoc="0" locked="0" layoutInCell="1" allowOverlap="1" wp14:anchorId="7E4CFDBB" wp14:editId="26CB8BFF">
            <wp:simplePos x="0" y="0"/>
            <wp:positionH relativeFrom="margin">
              <wp:posOffset>-173990</wp:posOffset>
            </wp:positionH>
            <wp:positionV relativeFrom="paragraph">
              <wp:posOffset>-449580</wp:posOffset>
            </wp:positionV>
            <wp:extent cx="1384300" cy="1036955"/>
            <wp:effectExtent l="0" t="0" r="12700" b="4445"/>
            <wp:wrapThrough wrapText="bothSides">
              <wp:wrapPolygon edited="0">
                <wp:start x="0" y="0"/>
                <wp:lineTo x="0" y="21164"/>
                <wp:lineTo x="21402" y="21164"/>
                <wp:lineTo x="21402" y="0"/>
                <wp:lineTo x="0" y="0"/>
              </wp:wrapPolygon>
            </wp:wrapThrough>
            <wp:docPr id="1" name="Imagen 1" descr="MESECVI-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ECVI-High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E1D86" w14:textId="0A9759AD" w:rsidR="000B059E" w:rsidRPr="009A0A35" w:rsidRDefault="000B059E" w:rsidP="00AB14BA">
      <w:pPr>
        <w:pStyle w:val="Heading2"/>
        <w:shd w:val="clear" w:color="auto" w:fill="FFFFFF"/>
        <w:jc w:val="center"/>
        <w:rPr>
          <w:rFonts w:ascii="Calibri Light" w:hAnsi="Calibri Light"/>
          <w:b/>
          <w:bCs/>
          <w:color w:val="auto"/>
          <w:sz w:val="28"/>
          <w:szCs w:val="28"/>
          <w:lang w:val="fr-FR"/>
        </w:rPr>
      </w:pPr>
    </w:p>
    <w:p w14:paraId="159F9245" w14:textId="77777777" w:rsidR="000B059E" w:rsidRDefault="000B059E" w:rsidP="00AB14BA">
      <w:pPr>
        <w:pStyle w:val="Heading2"/>
        <w:shd w:val="clear" w:color="auto" w:fill="FFFFFF"/>
        <w:jc w:val="center"/>
        <w:rPr>
          <w:rFonts w:ascii="Calibri Light" w:hAnsi="Calibri Light"/>
          <w:b/>
          <w:bCs/>
          <w:color w:val="auto"/>
          <w:sz w:val="28"/>
          <w:szCs w:val="28"/>
          <w:lang w:val="fr-FR"/>
        </w:rPr>
      </w:pPr>
    </w:p>
    <w:p w14:paraId="09FEAF5A" w14:textId="580C9279" w:rsidR="009A0A35" w:rsidRPr="009A0A35" w:rsidRDefault="009A0A35" w:rsidP="009A0A35">
      <w:pPr>
        <w:rPr>
          <w:lang w:val="fr-FR"/>
        </w:rPr>
      </w:pPr>
    </w:p>
    <w:p w14:paraId="6ABA74EA" w14:textId="77777777" w:rsidR="004F5DA9" w:rsidRDefault="004F5DA9" w:rsidP="00AB14BA">
      <w:pPr>
        <w:pStyle w:val="Heading2"/>
        <w:shd w:val="clear" w:color="auto" w:fill="FFFFFF"/>
        <w:jc w:val="center"/>
        <w:rPr>
          <w:rFonts w:ascii="Calibri Light" w:hAnsi="Calibri Light"/>
          <w:b/>
          <w:bCs/>
          <w:color w:val="auto"/>
          <w:sz w:val="28"/>
          <w:szCs w:val="28"/>
        </w:rPr>
      </w:pPr>
    </w:p>
    <w:p w14:paraId="0E24154B" w14:textId="77777777" w:rsidR="004F5DA9" w:rsidRDefault="004F5DA9" w:rsidP="00AB14BA">
      <w:pPr>
        <w:pStyle w:val="Heading2"/>
        <w:shd w:val="clear" w:color="auto" w:fill="FFFFFF"/>
        <w:jc w:val="center"/>
        <w:rPr>
          <w:rFonts w:ascii="Calibri Light" w:hAnsi="Calibri Light"/>
          <w:b/>
          <w:bCs/>
          <w:color w:val="auto"/>
          <w:sz w:val="28"/>
          <w:szCs w:val="28"/>
        </w:rPr>
      </w:pPr>
    </w:p>
    <w:p w14:paraId="1951A162" w14:textId="77777777" w:rsidR="004F5DA9" w:rsidRDefault="004F5DA9" w:rsidP="00AB14BA">
      <w:pPr>
        <w:pStyle w:val="Heading2"/>
        <w:shd w:val="clear" w:color="auto" w:fill="FFFFFF"/>
        <w:jc w:val="center"/>
        <w:rPr>
          <w:rFonts w:ascii="Calibri Light" w:hAnsi="Calibri Light"/>
          <w:b/>
          <w:bCs/>
          <w:color w:val="auto"/>
          <w:sz w:val="28"/>
          <w:szCs w:val="28"/>
        </w:rPr>
      </w:pPr>
    </w:p>
    <w:p w14:paraId="25BB2CD2" w14:textId="7C67B0DF" w:rsidR="00D65866" w:rsidRDefault="00001A30" w:rsidP="00AB14BA">
      <w:pPr>
        <w:pStyle w:val="Heading2"/>
        <w:shd w:val="clear" w:color="auto" w:fill="FFFFFF"/>
        <w:jc w:val="center"/>
        <w:rPr>
          <w:rFonts w:ascii="Calibri Light" w:hAnsi="Calibri Light"/>
          <w:b/>
          <w:bCs/>
          <w:color w:val="auto"/>
          <w:sz w:val="28"/>
          <w:szCs w:val="28"/>
        </w:rPr>
      </w:pPr>
      <w:r w:rsidRPr="00A954E1">
        <w:rPr>
          <w:rFonts w:ascii="Calibri Light" w:hAnsi="Calibri Light"/>
          <w:b/>
          <w:bCs/>
          <w:color w:val="auto"/>
          <w:sz w:val="28"/>
          <w:szCs w:val="28"/>
        </w:rPr>
        <w:t>Joint call by Committe</w:t>
      </w:r>
      <w:r w:rsidR="00D65866" w:rsidRPr="00A954E1">
        <w:rPr>
          <w:rFonts w:ascii="Calibri Light" w:hAnsi="Calibri Light"/>
          <w:b/>
          <w:bCs/>
          <w:color w:val="auto"/>
          <w:sz w:val="28"/>
          <w:szCs w:val="28"/>
        </w:rPr>
        <w:t xml:space="preserve">e of Experts of the MESECVI, the </w:t>
      </w:r>
      <w:r w:rsidRPr="00A954E1">
        <w:rPr>
          <w:rFonts w:ascii="Calibri Light" w:hAnsi="Calibri Light"/>
          <w:b/>
          <w:bCs/>
          <w:color w:val="auto"/>
          <w:sz w:val="28"/>
          <w:szCs w:val="28"/>
        </w:rPr>
        <w:t>UN Special Rapporteur on Violence against Women</w:t>
      </w:r>
      <w:r w:rsidR="005504BF" w:rsidRPr="00A954E1">
        <w:rPr>
          <w:rFonts w:ascii="Calibri Light" w:eastAsia="Helvetica" w:hAnsi="Calibri Light" w:cs="Helvetica"/>
          <w:b/>
          <w:bCs/>
          <w:color w:val="auto"/>
          <w:sz w:val="28"/>
          <w:szCs w:val="28"/>
          <w:vertAlign w:val="superscript"/>
        </w:rPr>
        <w:t xml:space="preserve"> </w:t>
      </w:r>
      <w:r w:rsidR="00D65866" w:rsidRPr="00A954E1">
        <w:rPr>
          <w:rFonts w:ascii="Calibri Light" w:hAnsi="Calibri Light"/>
          <w:b/>
          <w:bCs/>
          <w:color w:val="auto"/>
          <w:sz w:val="28"/>
          <w:szCs w:val="28"/>
        </w:rPr>
        <w:t xml:space="preserve">and the </w:t>
      </w:r>
      <w:r w:rsidR="00D65866" w:rsidRPr="00A954E1">
        <w:rPr>
          <w:rFonts w:ascii="Calibri Light" w:eastAsia="Times New Roman" w:hAnsi="Calibri Light" w:cs="Times New Roman"/>
          <w:b/>
          <w:bCs/>
          <w:color w:val="auto"/>
          <w:sz w:val="28"/>
          <w:szCs w:val="28"/>
          <w:bdr w:val="none" w:sz="0" w:space="0" w:color="auto"/>
          <w:lang w:val="en-GB"/>
        </w:rPr>
        <w:t>Working Group on the issue of discrimination against women in law and in practice</w:t>
      </w:r>
      <w:r w:rsidR="005504BF" w:rsidRPr="00A954E1">
        <w:rPr>
          <w:rFonts w:ascii="Calibri Light" w:eastAsia="Helvetica" w:hAnsi="Calibri Light" w:cs="Helvetica"/>
          <w:b/>
          <w:bCs/>
          <w:color w:val="auto"/>
          <w:sz w:val="28"/>
          <w:szCs w:val="28"/>
          <w:vertAlign w:val="superscript"/>
        </w:rPr>
        <w:endnoteReference w:id="2"/>
      </w:r>
      <w:r w:rsidR="005504BF" w:rsidRPr="00A954E1">
        <w:rPr>
          <w:rFonts w:ascii="Calibri Light" w:hAnsi="Calibri Light"/>
          <w:b/>
          <w:bCs/>
          <w:color w:val="auto"/>
          <w:sz w:val="28"/>
          <w:szCs w:val="28"/>
        </w:rPr>
        <w:t xml:space="preserve"> </w:t>
      </w:r>
      <w:r w:rsidR="00D65866" w:rsidRPr="00A954E1">
        <w:rPr>
          <w:rFonts w:ascii="Calibri Light" w:eastAsia="Times New Roman" w:hAnsi="Calibri Light" w:cs="Times New Roman"/>
          <w:b/>
          <w:bCs/>
          <w:color w:val="auto"/>
          <w:sz w:val="28"/>
          <w:szCs w:val="28"/>
          <w:bdr w:val="none" w:sz="0" w:space="0" w:color="auto"/>
          <w:lang w:val="en-GB"/>
        </w:rPr>
        <w:t xml:space="preserve"> </w:t>
      </w:r>
      <w:r w:rsidRPr="00A954E1">
        <w:rPr>
          <w:rFonts w:ascii="Calibri Light" w:hAnsi="Calibri Light"/>
          <w:b/>
          <w:bCs/>
          <w:color w:val="auto"/>
          <w:sz w:val="28"/>
          <w:szCs w:val="28"/>
        </w:rPr>
        <w:t>expressing concern over sentence that denies freedom to Teodora Vázquez</w:t>
      </w:r>
    </w:p>
    <w:p w14:paraId="18B34045" w14:textId="04068B39" w:rsidR="00AB14BA" w:rsidRPr="00AB14BA" w:rsidRDefault="00AB14BA" w:rsidP="00AB14BA"/>
    <w:p w14:paraId="2FB55196" w14:textId="4CF8FF47" w:rsidR="00ED71E4" w:rsidRDefault="003E2178" w:rsidP="00B723E4">
      <w:pPr>
        <w:ind w:firstLine="720"/>
        <w:jc w:val="both"/>
      </w:pPr>
      <w:r w:rsidRPr="00F15922">
        <w:t xml:space="preserve">Washington </w:t>
      </w:r>
      <w:r w:rsidR="004605F8" w:rsidRPr="00F15922">
        <w:t>(</w:t>
      </w:r>
      <w:r w:rsidR="004F5DA9">
        <w:t>12</w:t>
      </w:r>
      <w:bookmarkStart w:id="0" w:name="_GoBack"/>
      <w:bookmarkEnd w:id="0"/>
      <w:r w:rsidR="00F15922" w:rsidRPr="00F15922">
        <w:t xml:space="preserve"> January 2018</w:t>
      </w:r>
      <w:r w:rsidRPr="00F15922">
        <w:t xml:space="preserve">) </w:t>
      </w:r>
      <w:r w:rsidR="004605F8" w:rsidRPr="00F15922">
        <w:t xml:space="preserve">- </w:t>
      </w:r>
      <w:r w:rsidR="00001A30" w:rsidRPr="00F15922">
        <w:t>The</w:t>
      </w:r>
      <w:r w:rsidR="00001A30">
        <w:t xml:space="preserve"> Committee of Experts of the Follow-up Mechanism of the Convention on the Prevention, Punishment and Eradication of Violence against Women, Convention of Belém do Pará (MESECVI), of the Organization of American States (OAS), the UN Special Rapporteur on violence against women, its causes and consequences, Ms. Dubravka Šimonović, </w:t>
      </w:r>
      <w:r w:rsidR="00B723E4">
        <w:t xml:space="preserve">and the </w:t>
      </w:r>
      <w:r w:rsidR="009D12AF">
        <w:t xml:space="preserve">UN </w:t>
      </w:r>
      <w:r w:rsidR="00B723E4">
        <w:t xml:space="preserve">Working Group on the issue of discrimination against women in law and practice </w:t>
      </w:r>
      <w:r w:rsidR="00001A30">
        <w:t xml:space="preserve">express their concern over the resolution of the Second Sentencing Court of San Salvador, </w:t>
      </w:r>
      <w:r w:rsidR="0083099E">
        <w:t xml:space="preserve">which </w:t>
      </w:r>
      <w:r w:rsidR="00001A30">
        <w:t xml:space="preserve">on </w:t>
      </w:r>
      <w:r w:rsidR="000C2DD3">
        <w:t xml:space="preserve">13 </w:t>
      </w:r>
      <w:r w:rsidR="00001A30">
        <w:t xml:space="preserve">December </w:t>
      </w:r>
      <w:r w:rsidR="000C2DD3">
        <w:t>2017</w:t>
      </w:r>
      <w:r w:rsidR="00001A30">
        <w:t xml:space="preserve">, resolved to deny </w:t>
      </w:r>
      <w:r w:rsidR="0083099E" w:rsidRPr="00513297">
        <w:t>freedom</w:t>
      </w:r>
      <w:r w:rsidR="0083099E">
        <w:t xml:space="preserve"> to Ms. </w:t>
      </w:r>
      <w:r w:rsidR="00001A30">
        <w:t>Teodora Vázquez</w:t>
      </w:r>
      <w:r w:rsidR="008B3D2A">
        <w:t xml:space="preserve">, who </w:t>
      </w:r>
      <w:r w:rsidR="000C2DD3">
        <w:t>had been</w:t>
      </w:r>
      <w:r w:rsidR="00001A30">
        <w:t xml:space="preserve"> </w:t>
      </w:r>
      <w:r w:rsidR="008B3D2A">
        <w:t>imprisoned after suffering an obstetric emergency</w:t>
      </w:r>
      <w:r w:rsidR="00001A30" w:rsidRPr="00513297">
        <w:t xml:space="preserve"> </w:t>
      </w:r>
      <w:r w:rsidR="008B3D2A" w:rsidRPr="00513297">
        <w:t>.</w:t>
      </w:r>
      <w:r w:rsidR="00001A30">
        <w:t xml:space="preserve"> </w:t>
      </w:r>
    </w:p>
    <w:p w14:paraId="5A07BC03" w14:textId="77777777" w:rsidR="00ED71E4" w:rsidRDefault="00001A30">
      <w:pPr>
        <w:ind w:firstLine="720"/>
        <w:jc w:val="both"/>
      </w:pPr>
      <w:r>
        <w:t xml:space="preserve">The case of Teodora deserves our </w:t>
      </w:r>
      <w:r w:rsidR="000C2DD3">
        <w:t>serious</w:t>
      </w:r>
      <w:r>
        <w:t xml:space="preserve"> consideration, given </w:t>
      </w:r>
      <w:r w:rsidRPr="009D54E9">
        <w:t>that in 2008 she</w:t>
      </w:r>
      <w:r>
        <w:t xml:space="preserve"> was sentenced to 30 years</w:t>
      </w:r>
      <w:r w:rsidR="0083099E">
        <w:t xml:space="preserve"> imprisonment</w:t>
      </w:r>
      <w:r>
        <w:t xml:space="preserve"> for a gynecological complication, under the accusation of aggravated homicide. According to information that the experts have</w:t>
      </w:r>
      <w:r w:rsidR="00816D5F">
        <w:t xml:space="preserve"> received</w:t>
      </w:r>
      <w:r>
        <w:t xml:space="preserve">, Teodora, nine months pregnant, had requested emergency </w:t>
      </w:r>
      <w:r w:rsidR="00303126">
        <w:t>medical</w:t>
      </w:r>
      <w:r w:rsidR="003A0F22">
        <w:t xml:space="preserve"> </w:t>
      </w:r>
      <w:r>
        <w:t xml:space="preserve">assistance; while waiting for assistance, she gave birth to the baby and suffered a faint. The police suspected that she </w:t>
      </w:r>
      <w:r w:rsidR="00816D5F">
        <w:t xml:space="preserve">had </w:t>
      </w:r>
      <w:r>
        <w:t>tried to end the pregnancy and arrested</w:t>
      </w:r>
      <w:r w:rsidR="00816D5F">
        <w:t xml:space="preserve"> her</w:t>
      </w:r>
      <w:r>
        <w:t xml:space="preserve">. Civil </w:t>
      </w:r>
      <w:r w:rsidR="000C2DD3">
        <w:t>s</w:t>
      </w:r>
      <w:r>
        <w:t xml:space="preserve">ociety </w:t>
      </w:r>
      <w:r w:rsidR="000C2DD3">
        <w:t>o</w:t>
      </w:r>
      <w:r>
        <w:t>rganizations have reported violations of due process, including the lack of an adequate legal</w:t>
      </w:r>
      <w:r w:rsidR="00137C57">
        <w:t xml:space="preserve"> representation.</w:t>
      </w:r>
      <w:r>
        <w:t xml:space="preserve"> </w:t>
      </w:r>
    </w:p>
    <w:p w14:paraId="75C494BB" w14:textId="77777777" w:rsidR="00ED71E4" w:rsidRDefault="00001A30">
      <w:pPr>
        <w:ind w:firstLine="720"/>
        <w:jc w:val="both"/>
      </w:pPr>
      <w:r>
        <w:t xml:space="preserve">The facts show the clear legal limitations existing in the State of El Salvador for the treatment of women with obstetric complications in their pregnancy, which could aggravate to a greater extent the terrible circumstances of which Teodora has been a victim. In this same context, the </w:t>
      </w:r>
      <w:r w:rsidR="0083099E">
        <w:t>e</w:t>
      </w:r>
      <w:r>
        <w:t xml:space="preserve">xperts deeply regret the cases of </w:t>
      </w:r>
      <w:r w:rsidR="00C8233A">
        <w:t xml:space="preserve">so many </w:t>
      </w:r>
      <w:r>
        <w:t xml:space="preserve">Salvadoran women </w:t>
      </w:r>
      <w:r w:rsidR="00366A1B">
        <w:t xml:space="preserve">wrongfully </w:t>
      </w:r>
      <w:r>
        <w:t>prosecuted</w:t>
      </w:r>
      <w:r w:rsidR="004F6F6C">
        <w:t xml:space="preserve"> </w:t>
      </w:r>
      <w:r>
        <w:t>and sentenced to disproportionate sentences</w:t>
      </w:r>
      <w:r w:rsidR="004F6F6C">
        <w:t xml:space="preserve"> </w:t>
      </w:r>
      <w:r>
        <w:t>for obstetric complications.</w:t>
      </w:r>
      <w:r w:rsidR="00366A1B">
        <w:t xml:space="preserve"> Teodora’s case </w:t>
      </w:r>
      <w:r w:rsidR="00366A1B" w:rsidRPr="00366A1B">
        <w:t>is not only about the unjust consequences of El Salvador's criminal abortion ban not to mention its misapplication, but</w:t>
      </w:r>
      <w:r w:rsidR="00366A1B">
        <w:t xml:space="preserve"> it</w:t>
      </w:r>
      <w:r w:rsidR="00366A1B" w:rsidRPr="00366A1B">
        <w:t xml:space="preserve"> also</w:t>
      </w:r>
      <w:r w:rsidR="00366A1B">
        <w:t xml:space="preserve"> reflects the</w:t>
      </w:r>
      <w:r w:rsidR="00366A1B" w:rsidRPr="00366A1B">
        <w:t xml:space="preserve"> lack of access to emergency obstetric care and criminal prosecution for obstetric emergencies.</w:t>
      </w:r>
    </w:p>
    <w:p w14:paraId="118ABB61" w14:textId="77777777" w:rsidR="00ED71E4" w:rsidRDefault="00001A30">
      <w:pPr>
        <w:ind w:firstLine="720"/>
        <w:jc w:val="both"/>
      </w:pPr>
      <w:r>
        <w:t xml:space="preserve">The Committee of Experts of the MESECVI, in its Declaration on violence against women, girls and adolescents and their sexual and reproductive rights in 2014, stated that it considers it necessary </w:t>
      </w:r>
      <w:r>
        <w:rPr>
          <w:b/>
          <w:bCs/>
          <w:i/>
          <w:iCs/>
        </w:rPr>
        <w:t xml:space="preserve">"to eliminate from the legal systems the laws that perpetuate the practice of violence against women, girls and adolescents, as well as ensuring that mistreatment and humiliation behaviors are not reproduced in institutional settings, and that health personnel do not revictimize or deny access to </w:t>
      </w:r>
      <w:r>
        <w:rPr>
          <w:b/>
          <w:bCs/>
          <w:i/>
          <w:iCs/>
        </w:rPr>
        <w:lastRenderedPageBreak/>
        <w:t>health services to women who require them”,</w:t>
      </w:r>
      <w:r>
        <w:t xml:space="preserve">  they also stated that </w:t>
      </w:r>
      <w:r>
        <w:rPr>
          <w:b/>
          <w:bCs/>
          <w:i/>
          <w:iCs/>
        </w:rPr>
        <w:t>"access to health services in general, and pregnancy termination services in particular, must be confidential and (...) can not in any case result in a violation of women's human rights.”</w:t>
      </w:r>
    </w:p>
    <w:p w14:paraId="12432C04" w14:textId="04E98323" w:rsidR="00ED71E4" w:rsidRPr="00605E92" w:rsidRDefault="00001A30" w:rsidP="00605E92">
      <w:pPr>
        <w:ind w:firstLine="720"/>
        <w:jc w:val="both"/>
        <w:rPr>
          <w:color w:val="000000" w:themeColor="text1"/>
        </w:rPr>
      </w:pPr>
      <w:r>
        <w:t xml:space="preserve">Similarly, Dubravka Šimonović, </w:t>
      </w:r>
      <w:r w:rsidR="00B461FF">
        <w:t xml:space="preserve">UN </w:t>
      </w:r>
      <w:r>
        <w:t>Special Rapporteur on violence against women</w:t>
      </w:r>
      <w:r w:rsidR="002F057B">
        <w:t xml:space="preserve">, its causes and consequences, </w:t>
      </w:r>
      <w:r w:rsidR="0031757B">
        <w:t xml:space="preserve">previously </w:t>
      </w:r>
      <w:r>
        <w:t xml:space="preserve">expressed that </w:t>
      </w:r>
      <w:r>
        <w:rPr>
          <w:i/>
          <w:iCs/>
        </w:rPr>
        <w:t xml:space="preserve">"the criminalization of termination of pregnancy restricts </w:t>
      </w:r>
      <w:r w:rsidRPr="00605E92">
        <w:rPr>
          <w:i/>
          <w:iCs/>
        </w:rPr>
        <w:t xml:space="preserve">women's access to sexual and reproductive health information and services, and because of the threat of criminal punishment, women and girls are afraid to seek medical attention when they experience </w:t>
      </w:r>
      <w:r w:rsidRPr="00605E92">
        <w:rPr>
          <w:i/>
          <w:iCs/>
          <w:color w:val="000000" w:themeColor="text1"/>
        </w:rPr>
        <w:t>complications related to pregnancy.”</w:t>
      </w:r>
      <w:r w:rsidR="002F057B">
        <w:rPr>
          <w:color w:val="000000" w:themeColor="text1"/>
        </w:rPr>
        <w:t xml:space="preserve"> She </w:t>
      </w:r>
      <w:r w:rsidRPr="00605E92">
        <w:rPr>
          <w:color w:val="000000" w:themeColor="text1"/>
        </w:rPr>
        <w:t>also reiterate</w:t>
      </w:r>
      <w:r w:rsidR="0031757B" w:rsidRPr="00605E92">
        <w:rPr>
          <w:color w:val="000000" w:themeColor="text1"/>
        </w:rPr>
        <w:t>s</w:t>
      </w:r>
      <w:r w:rsidRPr="00605E92">
        <w:rPr>
          <w:color w:val="000000" w:themeColor="text1"/>
        </w:rPr>
        <w:t xml:space="preserve"> </w:t>
      </w:r>
      <w:r w:rsidR="0031757B" w:rsidRPr="00605E92">
        <w:rPr>
          <w:color w:val="000000" w:themeColor="text1"/>
        </w:rPr>
        <w:t xml:space="preserve">her </w:t>
      </w:r>
      <w:r w:rsidRPr="00605E92">
        <w:rPr>
          <w:color w:val="000000" w:themeColor="text1"/>
        </w:rPr>
        <w:t xml:space="preserve">call to review the sentences against all women currently serving prison sentences on charges related to abortion with a view to </w:t>
      </w:r>
      <w:r w:rsidR="0031757B" w:rsidRPr="00605E92">
        <w:rPr>
          <w:color w:val="000000" w:themeColor="text1"/>
        </w:rPr>
        <w:t xml:space="preserve">their </w:t>
      </w:r>
      <w:r w:rsidRPr="00605E92">
        <w:rPr>
          <w:color w:val="000000" w:themeColor="text1"/>
        </w:rPr>
        <w:t>release.</w:t>
      </w:r>
    </w:p>
    <w:p w14:paraId="35FC5CA3" w14:textId="77777777" w:rsidR="00933E74" w:rsidRPr="00605E92" w:rsidRDefault="00933E74" w:rsidP="00605E92">
      <w:pPr>
        <w:pStyle w:val="p1"/>
        <w:ind w:firstLine="709"/>
        <w:jc w:val="both"/>
        <w:rPr>
          <w:rFonts w:ascii="Calibri" w:hAnsi="Calibri"/>
          <w:color w:val="000000" w:themeColor="text1"/>
          <w:sz w:val="22"/>
          <w:szCs w:val="22"/>
        </w:rPr>
      </w:pPr>
      <w:r w:rsidRPr="00605E92">
        <w:rPr>
          <w:rFonts w:ascii="Calibri" w:hAnsi="Calibri"/>
          <w:color w:val="000000" w:themeColor="text1"/>
          <w:sz w:val="22"/>
          <w:szCs w:val="22"/>
        </w:rPr>
        <w:t>The Working Group on discrimination against women would like to reiterate that much of the discrimination in access to health services and preventable ill health, including maternal mortality and morbidity, can be attributed to the instrumentalization of women’s bodies for political, cultural, religious and economic purposes. The exposure of pregnant women to obstetric emergencies due to discrimination</w:t>
      </w:r>
      <w:r w:rsidRPr="00605E92">
        <w:rPr>
          <w:rStyle w:val="apple-converted-space"/>
          <w:rFonts w:ascii="Calibri" w:hAnsi="Calibri"/>
          <w:color w:val="000000" w:themeColor="text1"/>
          <w:sz w:val="22"/>
          <w:szCs w:val="22"/>
        </w:rPr>
        <w:t> </w:t>
      </w:r>
      <w:r w:rsidRPr="00605E92">
        <w:rPr>
          <w:rFonts w:ascii="Calibri" w:hAnsi="Calibri"/>
          <w:color w:val="000000" w:themeColor="text1"/>
          <w:sz w:val="22"/>
          <w:szCs w:val="22"/>
        </w:rPr>
        <w:t xml:space="preserve">in access to health services disproportionately impacts poor women and puts their lives and pregnancies at risk. Also, lack of access to justice and due process, which has contributed to the prosecution of women, especially poor women, whose pregnancies do not result in a live birth is a major concern to </w:t>
      </w:r>
      <w:r w:rsidR="0031757B" w:rsidRPr="00605E92">
        <w:rPr>
          <w:rFonts w:ascii="Calibri" w:hAnsi="Calibri"/>
          <w:color w:val="000000" w:themeColor="text1"/>
          <w:sz w:val="22"/>
          <w:szCs w:val="22"/>
        </w:rPr>
        <w:t xml:space="preserve">the </w:t>
      </w:r>
      <w:r w:rsidRPr="00605E92">
        <w:rPr>
          <w:rFonts w:ascii="Calibri" w:hAnsi="Calibri"/>
          <w:color w:val="000000" w:themeColor="text1"/>
          <w:sz w:val="22"/>
          <w:szCs w:val="22"/>
        </w:rPr>
        <w:t>Working Group.</w:t>
      </w:r>
    </w:p>
    <w:p w14:paraId="2D7AA21F" w14:textId="77777777" w:rsidR="00933E74" w:rsidRPr="00605E92" w:rsidRDefault="00933E74" w:rsidP="00605E92">
      <w:pPr>
        <w:pStyle w:val="p1"/>
        <w:ind w:firstLine="709"/>
        <w:jc w:val="both"/>
        <w:rPr>
          <w:rFonts w:ascii="Calibri" w:hAnsi="Calibri"/>
          <w:color w:val="000000" w:themeColor="text1"/>
          <w:sz w:val="22"/>
          <w:szCs w:val="22"/>
        </w:rPr>
      </w:pPr>
    </w:p>
    <w:p w14:paraId="54AA4EFC" w14:textId="77777777" w:rsidR="00ED71E4" w:rsidRPr="00605E92" w:rsidRDefault="00001A30" w:rsidP="00543869">
      <w:pPr>
        <w:spacing w:after="0" w:line="240" w:lineRule="auto"/>
        <w:ind w:firstLine="709"/>
        <w:jc w:val="both"/>
        <w:rPr>
          <w:rFonts w:eastAsia="Times New Roman" w:cs="Times New Roman"/>
          <w:color w:val="auto"/>
          <w:bdr w:val="none" w:sz="0" w:space="0" w:color="auto"/>
          <w:lang w:eastAsia="en-US"/>
        </w:rPr>
      </w:pPr>
      <w:r w:rsidRPr="00605E92">
        <w:rPr>
          <w:color w:val="000000" w:themeColor="text1"/>
        </w:rPr>
        <w:t>Additionally, the United Nations High Commissioner for Human Rights, Zeid Ra'ad Al Hussein, in a</w:t>
      </w:r>
      <w:r w:rsidR="004A79F5" w:rsidRPr="00605E92">
        <w:rPr>
          <w:color w:val="000000" w:themeColor="text1"/>
        </w:rPr>
        <w:t xml:space="preserve"> recent visit to El Salvador, </w:t>
      </w:r>
      <w:r w:rsidR="00AD4DA9" w:rsidRPr="00605E92">
        <w:rPr>
          <w:rFonts w:eastAsia="Times New Roman" w:cs="Times New Roman"/>
          <w:bdr w:val="none" w:sz="0" w:space="0" w:color="auto"/>
          <w:shd w:val="clear" w:color="auto" w:fill="FFFFFF"/>
          <w:lang w:eastAsia="en-US"/>
        </w:rPr>
        <w:t>call</w:t>
      </w:r>
      <w:r w:rsidR="006C67D7" w:rsidRPr="00605E92">
        <w:rPr>
          <w:rFonts w:eastAsia="Times New Roman" w:cs="Times New Roman"/>
          <w:bdr w:val="none" w:sz="0" w:space="0" w:color="auto"/>
          <w:shd w:val="clear" w:color="auto" w:fill="FFFFFF"/>
          <w:lang w:eastAsia="en-US"/>
        </w:rPr>
        <w:t>ed</w:t>
      </w:r>
      <w:r w:rsidR="00AD4DA9" w:rsidRPr="00605E92">
        <w:rPr>
          <w:rFonts w:eastAsia="Times New Roman" w:cs="Times New Roman"/>
          <w:bdr w:val="none" w:sz="0" w:space="0" w:color="auto"/>
          <w:shd w:val="clear" w:color="auto" w:fill="FFFFFF"/>
          <w:lang w:eastAsia="en-US"/>
        </w:rPr>
        <w:t xml:space="preserve"> upon </w:t>
      </w:r>
      <w:r w:rsidR="0021163F" w:rsidRPr="00605E92">
        <w:rPr>
          <w:rFonts w:eastAsia="Times New Roman" w:cs="Times New Roman"/>
          <w:bdr w:val="none" w:sz="0" w:space="0" w:color="auto"/>
          <w:shd w:val="clear" w:color="auto" w:fill="FFFFFF"/>
          <w:lang w:eastAsia="en-US"/>
        </w:rPr>
        <w:t xml:space="preserve">the Government </w:t>
      </w:r>
      <w:r w:rsidR="00AD4DA9" w:rsidRPr="00605E92">
        <w:rPr>
          <w:rFonts w:eastAsia="Times New Roman" w:cs="Times New Roman"/>
          <w:bdr w:val="none" w:sz="0" w:space="0" w:color="auto"/>
          <w:shd w:val="clear" w:color="auto" w:fill="FFFFFF"/>
          <w:lang w:eastAsia="en-US"/>
        </w:rPr>
        <w:t>to launch a moratorium on the application of article 133 of the Penal Code, and review all cases where women have been detained for abortion-related offences, with the aim of ensuring compliance with due process and fair trial standards</w:t>
      </w:r>
      <w:r w:rsidR="004A79F5" w:rsidRPr="00605E92">
        <w:rPr>
          <w:rFonts w:eastAsia="Times New Roman" w:cs="Times New Roman"/>
          <w:color w:val="auto"/>
          <w:bdr w:val="none" w:sz="0" w:space="0" w:color="auto"/>
          <w:lang w:eastAsia="en-US"/>
        </w:rPr>
        <w:t xml:space="preserve">. </w:t>
      </w:r>
      <w:r w:rsidR="00605E92" w:rsidRPr="00605E92">
        <w:rPr>
          <w:rFonts w:eastAsia="Times New Roman"/>
          <w:shd w:val="clear" w:color="auto" w:fill="FFFFFF"/>
        </w:rPr>
        <w:t>The High Commissioner also recalled that El Salvador should comply with its international human rights obligations and lift the absolute prohibition on abortion</w:t>
      </w:r>
      <w:r w:rsidR="00605E92">
        <w:rPr>
          <w:rFonts w:eastAsia="Times New Roman" w:cs="Times New Roman"/>
          <w:color w:val="auto"/>
          <w:bdr w:val="none" w:sz="0" w:space="0" w:color="auto"/>
          <w:lang w:eastAsia="en-US"/>
        </w:rPr>
        <w:t xml:space="preserve">. </w:t>
      </w:r>
      <w:r w:rsidRPr="00605E92">
        <w:t xml:space="preserve">The absolute prohibition of the </w:t>
      </w:r>
      <w:r w:rsidR="00816D5F" w:rsidRPr="00605E92">
        <w:t>termination</w:t>
      </w:r>
      <w:r w:rsidRPr="00605E92">
        <w:t xml:space="preserve"> of pregnancy in El Salvador, even when it is necessary to save the life of the woman, results in the </w:t>
      </w:r>
      <w:r w:rsidR="00816D5F" w:rsidRPr="00605E92">
        <w:t xml:space="preserve">prosecution, </w:t>
      </w:r>
      <w:r w:rsidRPr="00605E92">
        <w:t xml:space="preserve">imprisonment of women who have suffered </w:t>
      </w:r>
      <w:r w:rsidR="0037738A" w:rsidRPr="00605E92">
        <w:t xml:space="preserve">miscarriages </w:t>
      </w:r>
      <w:r w:rsidRPr="00605E92">
        <w:t>and complications related to pregnancy, which is why all these cases are criminally investigated.</w:t>
      </w:r>
    </w:p>
    <w:p w14:paraId="24A4FD94" w14:textId="77777777" w:rsidR="004A79F5" w:rsidRPr="00AD4DA9" w:rsidRDefault="004A79F5" w:rsidP="00605E92">
      <w:pPr>
        <w:spacing w:after="0" w:line="240" w:lineRule="auto"/>
        <w:jc w:val="both"/>
        <w:rPr>
          <w:rFonts w:eastAsia="Times New Roman" w:cs="Times New Roman"/>
          <w:color w:val="auto"/>
          <w:bdr w:val="none" w:sz="0" w:space="0" w:color="auto"/>
          <w:lang w:eastAsia="en-US"/>
        </w:rPr>
      </w:pPr>
    </w:p>
    <w:p w14:paraId="68A0DD0C" w14:textId="77777777" w:rsidR="00ED71E4" w:rsidRDefault="00001A30" w:rsidP="00605E92">
      <w:pPr>
        <w:ind w:firstLine="720"/>
        <w:jc w:val="both"/>
      </w:pPr>
      <w:r w:rsidRPr="00AD4DA9">
        <w:t xml:space="preserve">The experts urge the Salvadoran authorities to take all necessary measures to revise their legislation and </w:t>
      </w:r>
      <w:r w:rsidR="0015539F" w:rsidRPr="00AD4DA9">
        <w:t xml:space="preserve">put </w:t>
      </w:r>
      <w:r w:rsidRPr="00AD4DA9">
        <w:t xml:space="preserve">it </w:t>
      </w:r>
      <w:r w:rsidR="0015539F" w:rsidRPr="00AD4DA9">
        <w:t xml:space="preserve">in line with its </w:t>
      </w:r>
      <w:r w:rsidRPr="00AD4DA9">
        <w:t xml:space="preserve">international obligations and commitments, especially those emanating from the Convention of Belém do Pará and the UN CEDAW </w:t>
      </w:r>
      <w:r w:rsidR="008248FC" w:rsidRPr="00AD4DA9">
        <w:t>C</w:t>
      </w:r>
      <w:r w:rsidRPr="00AD4DA9">
        <w:t>onvention</w:t>
      </w:r>
      <w:r w:rsidR="0070293C" w:rsidRPr="00AD4DA9">
        <w:t>,</w:t>
      </w:r>
      <w:r w:rsidRPr="00AD4DA9">
        <w:t xml:space="preserve"> both international </w:t>
      </w:r>
      <w:r w:rsidR="0037738A" w:rsidRPr="00AD4DA9">
        <w:t>instruments signed</w:t>
      </w:r>
      <w:r w:rsidRPr="00AD4DA9">
        <w:t xml:space="preserve"> and ratified by the State of</w:t>
      </w:r>
      <w:r w:rsidRPr="004A79F5">
        <w:t xml:space="preserve"> El Salvador. </w:t>
      </w:r>
      <w:r w:rsidR="00B723E4" w:rsidRPr="004A79F5">
        <w:t>In particular, t</w:t>
      </w:r>
      <w:r w:rsidRPr="004A79F5">
        <w:t xml:space="preserve">he experts call </w:t>
      </w:r>
      <w:r w:rsidR="00B723E4" w:rsidRPr="004A79F5">
        <w:t>up</w:t>
      </w:r>
      <w:r w:rsidR="0070293C" w:rsidRPr="004A79F5">
        <w:t>o</w:t>
      </w:r>
      <w:r w:rsidR="00B723E4" w:rsidRPr="004A79F5">
        <w:t xml:space="preserve">n the Government of </w:t>
      </w:r>
      <w:r w:rsidRPr="004A79F5">
        <w:t xml:space="preserve">El Salvador to decriminalize </w:t>
      </w:r>
      <w:r w:rsidR="00B723E4" w:rsidRPr="004A79F5">
        <w:t xml:space="preserve">abortion </w:t>
      </w:r>
      <w:r w:rsidRPr="004A79F5">
        <w:t xml:space="preserve">and to release </w:t>
      </w:r>
      <w:r w:rsidR="0070293C" w:rsidRPr="004A79F5">
        <w:t xml:space="preserve">any woman </w:t>
      </w:r>
      <w:r w:rsidR="008248FC" w:rsidRPr="004A79F5">
        <w:t>charge</w:t>
      </w:r>
      <w:r w:rsidR="00303126" w:rsidRPr="004A79F5">
        <w:t>d or</w:t>
      </w:r>
      <w:r w:rsidR="008248FC" w:rsidRPr="004A79F5">
        <w:t xml:space="preserve"> </w:t>
      </w:r>
      <w:r w:rsidR="0030585D" w:rsidRPr="004A79F5">
        <w:t>sentenced for</w:t>
      </w:r>
      <w:r w:rsidR="00303126" w:rsidRPr="004A79F5">
        <w:t xml:space="preserve"> </w:t>
      </w:r>
      <w:r w:rsidR="008248FC" w:rsidRPr="004A79F5">
        <w:t xml:space="preserve">abortion </w:t>
      </w:r>
      <w:r w:rsidR="00303126" w:rsidRPr="004A79F5">
        <w:t xml:space="preserve">or </w:t>
      </w:r>
      <w:r w:rsidR="008248FC" w:rsidRPr="004A79F5">
        <w:t>related charges</w:t>
      </w:r>
      <w:r w:rsidRPr="004A79F5">
        <w:t>,</w:t>
      </w:r>
      <w:r w:rsidR="008248FC" w:rsidRPr="004A79F5">
        <w:t xml:space="preserve"> and to provide them with reparation in</w:t>
      </w:r>
      <w:r w:rsidRPr="004A79F5">
        <w:t xml:space="preserve"> compliance with international obligations to protect the human rights of women and girls in El Salvador. The experts also make themselves available for any technical support</w:t>
      </w:r>
      <w:r>
        <w:t xml:space="preserve"> the State may require.</w:t>
      </w:r>
    </w:p>
    <w:sectPr w:rsidR="00ED71E4" w:rsidSect="00C8233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4773" w14:textId="77777777" w:rsidR="00352EEE" w:rsidRDefault="00352EEE">
      <w:r>
        <w:separator/>
      </w:r>
    </w:p>
  </w:endnote>
  <w:endnote w:type="continuationSeparator" w:id="0">
    <w:p w14:paraId="19A5B076" w14:textId="77777777" w:rsidR="00352EEE" w:rsidRDefault="00352EEE">
      <w:r>
        <w:continuationSeparator/>
      </w:r>
    </w:p>
  </w:endnote>
  <w:endnote w:type="continuationNotice" w:id="1">
    <w:p w14:paraId="3CD97599" w14:textId="77777777" w:rsidR="00352EEE" w:rsidRDefault="00352EEE"/>
  </w:endnote>
  <w:endnote w:id="2">
    <w:p w14:paraId="21D34E28" w14:textId="2F5779EB" w:rsidR="005504BF" w:rsidRDefault="005504BF" w:rsidP="005504BF">
      <w:pPr>
        <w:jc w:val="both"/>
        <w:rPr>
          <w:i/>
          <w:iCs/>
        </w:rPr>
      </w:pPr>
      <w:r>
        <w:rPr>
          <w:rFonts w:ascii="Helvetica" w:eastAsia="Helvetica" w:hAnsi="Helvetica" w:cs="Helvetica"/>
          <w:b/>
          <w:bCs/>
          <w:sz w:val="33"/>
          <w:szCs w:val="33"/>
          <w:vertAlign w:val="superscript"/>
        </w:rPr>
        <w:endnoteRef/>
      </w:r>
      <w:r>
        <w:t xml:space="preserve"> </w:t>
      </w:r>
      <w:r>
        <w:rPr>
          <w:i/>
          <w:iCs/>
        </w:rPr>
        <w:t xml:space="preserve">The </w:t>
      </w:r>
      <w:hyperlink r:id="rId1" w:history="1">
        <w:r w:rsidRPr="00D65866">
          <w:rPr>
            <w:rStyle w:val="Hyperlink0"/>
          </w:rPr>
          <w:t>Committee of Experts of the Follow-up Mechanism to the Belém do Pará Convention</w:t>
        </w:r>
      </w:hyperlink>
      <w:r w:rsidR="00777137">
        <w:rPr>
          <w:iCs/>
        </w:rPr>
        <w:t xml:space="preserve"> (MESECVI),</w:t>
      </w:r>
      <w:r w:rsidRPr="00D65866">
        <w:rPr>
          <w:iCs/>
        </w:rPr>
        <w:t xml:space="preserve"> </w:t>
      </w:r>
      <w:r w:rsidRPr="00D65866">
        <w:rPr>
          <w:b/>
          <w:bCs/>
          <w:i/>
          <w:iCs/>
        </w:rPr>
        <w:t>Ms. Dubravka Šimonovic</w:t>
      </w:r>
      <w:r w:rsidRPr="00D65866">
        <w:rPr>
          <w:i/>
          <w:iCs/>
        </w:rPr>
        <w:t>,</w:t>
      </w:r>
      <w:r w:rsidRPr="00D65866">
        <w:rPr>
          <w:iCs/>
        </w:rPr>
        <w:t xml:space="preserve"> </w:t>
      </w:r>
      <w:hyperlink r:id="rId2" w:history="1">
        <w:r w:rsidRPr="00D65866">
          <w:rPr>
            <w:rStyle w:val="Hyperlink0"/>
          </w:rPr>
          <w:t>Special Rapporteur on violence against women, its causes and consequences</w:t>
        </w:r>
      </w:hyperlink>
      <w:r w:rsidRPr="00D65866">
        <w:rPr>
          <w:iCs/>
        </w:rPr>
        <w:t xml:space="preserve"> </w:t>
      </w:r>
      <w:r w:rsidRPr="00D65866">
        <w:rPr>
          <w:i/>
          <w:iCs/>
        </w:rPr>
        <w:t xml:space="preserve">and </w:t>
      </w:r>
      <w:r w:rsidRPr="00D65866">
        <w:rPr>
          <w:i/>
        </w:rPr>
        <w:t xml:space="preserve">the </w:t>
      </w:r>
      <w:hyperlink r:id="rId3" w:history="1">
        <w:r w:rsidRPr="00D65866">
          <w:rPr>
            <w:rStyle w:val="Hyperlink"/>
            <w:i/>
          </w:rPr>
          <w:t>Working Group on the issue of discrimination against women in law and practice</w:t>
        </w:r>
      </w:hyperlink>
      <w:r w:rsidR="00D43459">
        <w:rPr>
          <w:rStyle w:val="Hyperlink"/>
          <w: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44B02" w14:textId="77777777" w:rsidR="00352EEE" w:rsidRDefault="00352EEE">
      <w:pPr>
        <w:spacing w:after="0" w:line="240" w:lineRule="auto"/>
      </w:pPr>
      <w:r>
        <w:separator/>
      </w:r>
    </w:p>
  </w:footnote>
  <w:footnote w:type="continuationSeparator" w:id="0">
    <w:p w14:paraId="25FECB43" w14:textId="77777777" w:rsidR="00352EEE" w:rsidRDefault="00352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142F0"/>
    <w:multiLevelType w:val="hybridMultilevel"/>
    <w:tmpl w:val="3AAC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26E44"/>
    <w:multiLevelType w:val="hybridMultilevel"/>
    <w:tmpl w:val="0F64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E4"/>
    <w:rsid w:val="00001A30"/>
    <w:rsid w:val="000069AB"/>
    <w:rsid w:val="00021CCC"/>
    <w:rsid w:val="000A4343"/>
    <w:rsid w:val="000B059E"/>
    <w:rsid w:val="000B37AD"/>
    <w:rsid w:val="000C2DD3"/>
    <w:rsid w:val="000D6F19"/>
    <w:rsid w:val="000F6D33"/>
    <w:rsid w:val="00137C57"/>
    <w:rsid w:val="0015539F"/>
    <w:rsid w:val="00174CC2"/>
    <w:rsid w:val="001B03A8"/>
    <w:rsid w:val="001E0AAA"/>
    <w:rsid w:val="001F371C"/>
    <w:rsid w:val="001F7E6F"/>
    <w:rsid w:val="00205F12"/>
    <w:rsid w:val="0021163F"/>
    <w:rsid w:val="00235B2F"/>
    <w:rsid w:val="00241927"/>
    <w:rsid w:val="0029153F"/>
    <w:rsid w:val="002F057B"/>
    <w:rsid w:val="00303126"/>
    <w:rsid w:val="0030585D"/>
    <w:rsid w:val="0031757B"/>
    <w:rsid w:val="00335F46"/>
    <w:rsid w:val="00341FC6"/>
    <w:rsid w:val="00351E52"/>
    <w:rsid w:val="00352EEE"/>
    <w:rsid w:val="00366A1B"/>
    <w:rsid w:val="0037738A"/>
    <w:rsid w:val="00397B46"/>
    <w:rsid w:val="003A0F22"/>
    <w:rsid w:val="003D6437"/>
    <w:rsid w:val="003E2178"/>
    <w:rsid w:val="00417644"/>
    <w:rsid w:val="00454925"/>
    <w:rsid w:val="00455793"/>
    <w:rsid w:val="004605F8"/>
    <w:rsid w:val="004A79F5"/>
    <w:rsid w:val="004B4B44"/>
    <w:rsid w:val="004F5DA9"/>
    <w:rsid w:val="004F6F6C"/>
    <w:rsid w:val="005067D5"/>
    <w:rsid w:val="00513297"/>
    <w:rsid w:val="005170D0"/>
    <w:rsid w:val="00521E00"/>
    <w:rsid w:val="00543869"/>
    <w:rsid w:val="005504BF"/>
    <w:rsid w:val="005B34B6"/>
    <w:rsid w:val="005D29CA"/>
    <w:rsid w:val="005E676A"/>
    <w:rsid w:val="005E6F77"/>
    <w:rsid w:val="005F66CA"/>
    <w:rsid w:val="00605E92"/>
    <w:rsid w:val="006158E8"/>
    <w:rsid w:val="00642E20"/>
    <w:rsid w:val="006976B1"/>
    <w:rsid w:val="006C65E7"/>
    <w:rsid w:val="006C67D7"/>
    <w:rsid w:val="006D5A11"/>
    <w:rsid w:val="006D7230"/>
    <w:rsid w:val="0070293C"/>
    <w:rsid w:val="007504E2"/>
    <w:rsid w:val="00777137"/>
    <w:rsid w:val="00816D5F"/>
    <w:rsid w:val="008248FC"/>
    <w:rsid w:val="0083099E"/>
    <w:rsid w:val="00852674"/>
    <w:rsid w:val="008A5E6A"/>
    <w:rsid w:val="008B3D2A"/>
    <w:rsid w:val="008F5D7A"/>
    <w:rsid w:val="00933E74"/>
    <w:rsid w:val="009A0A35"/>
    <w:rsid w:val="009A51BF"/>
    <w:rsid w:val="009D12AF"/>
    <w:rsid w:val="009D3BC2"/>
    <w:rsid w:val="009D54E9"/>
    <w:rsid w:val="009E6D20"/>
    <w:rsid w:val="00A11430"/>
    <w:rsid w:val="00A1167E"/>
    <w:rsid w:val="00A36504"/>
    <w:rsid w:val="00A954E1"/>
    <w:rsid w:val="00AB14BA"/>
    <w:rsid w:val="00AC2C72"/>
    <w:rsid w:val="00AD4DA9"/>
    <w:rsid w:val="00AD7E72"/>
    <w:rsid w:val="00B461FF"/>
    <w:rsid w:val="00B7009A"/>
    <w:rsid w:val="00B723E4"/>
    <w:rsid w:val="00B95F6B"/>
    <w:rsid w:val="00BB025D"/>
    <w:rsid w:val="00BE6D55"/>
    <w:rsid w:val="00C0339B"/>
    <w:rsid w:val="00C1457D"/>
    <w:rsid w:val="00C8233A"/>
    <w:rsid w:val="00CD4C3D"/>
    <w:rsid w:val="00D26FDD"/>
    <w:rsid w:val="00D43459"/>
    <w:rsid w:val="00D65866"/>
    <w:rsid w:val="00D84110"/>
    <w:rsid w:val="00DA61B8"/>
    <w:rsid w:val="00DB34CB"/>
    <w:rsid w:val="00DF337D"/>
    <w:rsid w:val="00E2422B"/>
    <w:rsid w:val="00E32527"/>
    <w:rsid w:val="00E50DA7"/>
    <w:rsid w:val="00EA61B5"/>
    <w:rsid w:val="00ED71E4"/>
    <w:rsid w:val="00EE1E40"/>
    <w:rsid w:val="00F13F73"/>
    <w:rsid w:val="00F15922"/>
    <w:rsid w:val="00FD0B20"/>
    <w:rsid w:val="00FF21D8"/>
    <w:rsid w:val="04A45203"/>
    <w:rsid w:val="0DD073D4"/>
    <w:rsid w:val="12FA5EBE"/>
    <w:rsid w:val="35BC5531"/>
    <w:rsid w:val="6101E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FB9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2">
    <w:name w:val="heading 2"/>
    <w:basedOn w:val="Normal"/>
    <w:next w:val="Normal"/>
    <w:link w:val="Heading2Char"/>
    <w:uiPriority w:val="9"/>
    <w:unhideWhenUsed/>
    <w:qFormat/>
    <w:rsid w:val="00D658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i/>
      <w:iCs/>
      <w:color w:val="0000FF"/>
      <w:u w:val="single" w:color="0000FF"/>
    </w:rPr>
  </w:style>
  <w:style w:type="character" w:styleId="CommentReference">
    <w:name w:val="annotation reference"/>
    <w:basedOn w:val="DefaultParagraphFont"/>
    <w:uiPriority w:val="99"/>
    <w:semiHidden/>
    <w:unhideWhenUsed/>
    <w:rsid w:val="00B723E4"/>
    <w:rPr>
      <w:sz w:val="16"/>
      <w:szCs w:val="16"/>
    </w:rPr>
  </w:style>
  <w:style w:type="paragraph" w:styleId="CommentText">
    <w:name w:val="annotation text"/>
    <w:basedOn w:val="Normal"/>
    <w:link w:val="CommentTextChar"/>
    <w:uiPriority w:val="99"/>
    <w:semiHidden/>
    <w:unhideWhenUsed/>
    <w:rsid w:val="00B723E4"/>
    <w:pPr>
      <w:spacing w:line="240" w:lineRule="auto"/>
    </w:pPr>
    <w:rPr>
      <w:sz w:val="20"/>
      <w:szCs w:val="20"/>
    </w:rPr>
  </w:style>
  <w:style w:type="character" w:customStyle="1" w:styleId="CommentTextChar">
    <w:name w:val="Comment Text Char"/>
    <w:basedOn w:val="DefaultParagraphFont"/>
    <w:link w:val="CommentText"/>
    <w:uiPriority w:val="99"/>
    <w:semiHidden/>
    <w:rsid w:val="00B723E4"/>
    <w:rPr>
      <w:rFonts w:ascii="Calibri" w:eastAsia="Calibri" w:hAnsi="Calibri" w:cs="Calibri"/>
      <w:color w:val="000000"/>
      <w:u w:color="000000"/>
      <w:lang w:val="en-US"/>
    </w:rPr>
  </w:style>
  <w:style w:type="paragraph" w:styleId="CommentSubject">
    <w:name w:val="annotation subject"/>
    <w:basedOn w:val="CommentText"/>
    <w:next w:val="CommentText"/>
    <w:link w:val="CommentSubjectChar"/>
    <w:uiPriority w:val="99"/>
    <w:semiHidden/>
    <w:unhideWhenUsed/>
    <w:rsid w:val="00B723E4"/>
    <w:rPr>
      <w:b/>
      <w:bCs/>
    </w:rPr>
  </w:style>
  <w:style w:type="character" w:customStyle="1" w:styleId="CommentSubjectChar">
    <w:name w:val="Comment Subject Char"/>
    <w:basedOn w:val="CommentTextChar"/>
    <w:link w:val="CommentSubject"/>
    <w:uiPriority w:val="99"/>
    <w:semiHidden/>
    <w:rsid w:val="00B723E4"/>
    <w:rPr>
      <w:rFonts w:ascii="Calibri" w:eastAsia="Calibri" w:hAnsi="Calibri" w:cs="Calibri"/>
      <w:b/>
      <w:bCs/>
      <w:color w:val="000000"/>
      <w:u w:color="000000"/>
      <w:lang w:val="en-US"/>
    </w:rPr>
  </w:style>
  <w:style w:type="paragraph" w:styleId="BalloonText">
    <w:name w:val="Balloon Text"/>
    <w:basedOn w:val="Normal"/>
    <w:link w:val="BalloonTextChar"/>
    <w:uiPriority w:val="99"/>
    <w:semiHidden/>
    <w:unhideWhenUsed/>
    <w:rsid w:val="00B72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E4"/>
    <w:rPr>
      <w:rFonts w:ascii="Segoe UI" w:eastAsia="Calibri" w:hAnsi="Segoe UI" w:cs="Segoe UI"/>
      <w:color w:val="000000"/>
      <w:sz w:val="18"/>
      <w:szCs w:val="18"/>
      <w:u w:color="000000"/>
      <w:lang w:val="en-US"/>
    </w:rPr>
  </w:style>
  <w:style w:type="paragraph" w:styleId="NormalWeb">
    <w:name w:val="Normal (Web)"/>
    <w:basedOn w:val="Normal"/>
    <w:uiPriority w:val="99"/>
    <w:unhideWhenUsed/>
    <w:rsid w:val="00D658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s-CL" w:eastAsia="es-CL"/>
    </w:rPr>
  </w:style>
  <w:style w:type="character" w:styleId="FollowedHyperlink">
    <w:name w:val="FollowedHyperlink"/>
    <w:basedOn w:val="DefaultParagraphFont"/>
    <w:uiPriority w:val="99"/>
    <w:semiHidden/>
    <w:unhideWhenUsed/>
    <w:rsid w:val="00D65866"/>
    <w:rPr>
      <w:color w:val="FF00FF" w:themeColor="followedHyperlink"/>
      <w:u w:val="single"/>
    </w:rPr>
  </w:style>
  <w:style w:type="character" w:customStyle="1" w:styleId="Heading2Char">
    <w:name w:val="Heading 2 Char"/>
    <w:basedOn w:val="DefaultParagraphFont"/>
    <w:link w:val="Heading2"/>
    <w:uiPriority w:val="9"/>
    <w:rsid w:val="00D65866"/>
    <w:rPr>
      <w:rFonts w:asciiTheme="majorHAnsi" w:eastAsiaTheme="majorEastAsia" w:hAnsiTheme="majorHAnsi" w:cstheme="majorBidi"/>
      <w:color w:val="365F91" w:themeColor="accent1" w:themeShade="BF"/>
      <w:sz w:val="26"/>
      <w:szCs w:val="26"/>
      <w:u w:color="000000"/>
      <w:lang w:val="en-US"/>
    </w:rPr>
  </w:style>
  <w:style w:type="paragraph" w:styleId="Revision">
    <w:name w:val="Revision"/>
    <w:hidden/>
    <w:uiPriority w:val="99"/>
    <w:semiHidden/>
    <w:rsid w:val="00CD4C3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customStyle="1" w:styleId="p1">
    <w:name w:val="p1"/>
    <w:basedOn w:val="Normal"/>
    <w:rsid w:val="00933E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Helvetica" w:eastAsia="Arial Unicode MS" w:hAnsi="Helvetica" w:cs="Times New Roman"/>
      <w:color w:val="454545"/>
      <w:sz w:val="18"/>
      <w:szCs w:val="18"/>
      <w:bdr w:val="none" w:sz="0" w:space="0" w:color="auto"/>
      <w:lang w:eastAsia="en-US"/>
    </w:rPr>
  </w:style>
  <w:style w:type="character" w:customStyle="1" w:styleId="apple-converted-space">
    <w:name w:val="apple-converted-space"/>
    <w:basedOn w:val="DefaultParagraphFont"/>
    <w:rsid w:val="00933E74"/>
  </w:style>
  <w:style w:type="paragraph" w:styleId="Header">
    <w:name w:val="header"/>
    <w:basedOn w:val="Normal"/>
    <w:link w:val="HeaderChar"/>
    <w:uiPriority w:val="99"/>
    <w:unhideWhenUsed/>
    <w:rsid w:val="001B0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3A8"/>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1B0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A8"/>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2111">
      <w:bodyDiv w:val="1"/>
      <w:marLeft w:val="0"/>
      <w:marRight w:val="0"/>
      <w:marTop w:val="0"/>
      <w:marBottom w:val="0"/>
      <w:divBdr>
        <w:top w:val="none" w:sz="0" w:space="0" w:color="auto"/>
        <w:left w:val="none" w:sz="0" w:space="0" w:color="auto"/>
        <w:bottom w:val="none" w:sz="0" w:space="0" w:color="auto"/>
        <w:right w:val="none" w:sz="0" w:space="0" w:color="auto"/>
      </w:divBdr>
    </w:div>
    <w:div w:id="588276262">
      <w:bodyDiv w:val="1"/>
      <w:marLeft w:val="0"/>
      <w:marRight w:val="0"/>
      <w:marTop w:val="0"/>
      <w:marBottom w:val="0"/>
      <w:divBdr>
        <w:top w:val="none" w:sz="0" w:space="0" w:color="auto"/>
        <w:left w:val="none" w:sz="0" w:space="0" w:color="auto"/>
        <w:bottom w:val="none" w:sz="0" w:space="0" w:color="auto"/>
        <w:right w:val="none" w:sz="0" w:space="0" w:color="auto"/>
      </w:divBdr>
    </w:div>
    <w:div w:id="1139297172">
      <w:bodyDiv w:val="1"/>
      <w:marLeft w:val="0"/>
      <w:marRight w:val="0"/>
      <w:marTop w:val="0"/>
      <w:marBottom w:val="0"/>
      <w:divBdr>
        <w:top w:val="none" w:sz="0" w:space="0" w:color="auto"/>
        <w:left w:val="none" w:sz="0" w:space="0" w:color="auto"/>
        <w:bottom w:val="none" w:sz="0" w:space="0" w:color="auto"/>
        <w:right w:val="none" w:sz="0" w:space="0" w:color="auto"/>
      </w:divBdr>
    </w:div>
    <w:div w:id="1282111044">
      <w:bodyDiv w:val="1"/>
      <w:marLeft w:val="0"/>
      <w:marRight w:val="0"/>
      <w:marTop w:val="0"/>
      <w:marBottom w:val="0"/>
      <w:divBdr>
        <w:top w:val="none" w:sz="0" w:space="0" w:color="auto"/>
        <w:left w:val="none" w:sz="0" w:space="0" w:color="auto"/>
        <w:bottom w:val="none" w:sz="0" w:space="0" w:color="auto"/>
        <w:right w:val="none" w:sz="0" w:space="0" w:color="auto"/>
      </w:divBdr>
    </w:div>
    <w:div w:id="1307129330">
      <w:bodyDiv w:val="1"/>
      <w:marLeft w:val="0"/>
      <w:marRight w:val="0"/>
      <w:marTop w:val="0"/>
      <w:marBottom w:val="0"/>
      <w:divBdr>
        <w:top w:val="none" w:sz="0" w:space="0" w:color="auto"/>
        <w:left w:val="none" w:sz="0" w:space="0" w:color="auto"/>
        <w:bottom w:val="none" w:sz="0" w:space="0" w:color="auto"/>
        <w:right w:val="none" w:sz="0" w:space="0" w:color="auto"/>
      </w:divBdr>
    </w:div>
    <w:div w:id="1488084841">
      <w:bodyDiv w:val="1"/>
      <w:marLeft w:val="0"/>
      <w:marRight w:val="0"/>
      <w:marTop w:val="0"/>
      <w:marBottom w:val="0"/>
      <w:divBdr>
        <w:top w:val="none" w:sz="0" w:space="0" w:color="auto"/>
        <w:left w:val="none" w:sz="0" w:space="0" w:color="auto"/>
        <w:bottom w:val="none" w:sz="0" w:space="0" w:color="auto"/>
        <w:right w:val="none" w:sz="0" w:space="0" w:color="auto"/>
      </w:divBdr>
    </w:div>
    <w:div w:id="1924097355">
      <w:bodyDiv w:val="1"/>
      <w:marLeft w:val="0"/>
      <w:marRight w:val="0"/>
      <w:marTop w:val="0"/>
      <w:marBottom w:val="0"/>
      <w:divBdr>
        <w:top w:val="none" w:sz="0" w:space="0" w:color="auto"/>
        <w:left w:val="none" w:sz="0" w:space="0" w:color="auto"/>
        <w:bottom w:val="none" w:sz="0" w:space="0" w:color="auto"/>
        <w:right w:val="none" w:sz="0" w:space="0" w:color="auto"/>
      </w:divBdr>
    </w:div>
    <w:div w:id="1986232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ohchr.org/EN/Issues/Women/WGWomen/Pages/WGWomenIndex.aspx" TargetMode="External"/><Relationship Id="rId2" Type="http://schemas.openxmlformats.org/officeDocument/2006/relationships/hyperlink" Target="https://www.ohchr.org/EN/Issues/Women/SRWomen/Pages/SRWomenIndex.aspx" TargetMode="External"/><Relationship Id="rId1" Type="http://schemas.openxmlformats.org/officeDocument/2006/relationships/hyperlink" Target="http://www.oas.org/en/mesecvi/about.as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BF78AB-D1E0-4C3C-8BF4-E449DD10095B}"/>
</file>

<file path=customXml/itemProps2.xml><?xml version="1.0" encoding="utf-8"?>
<ds:datastoreItem xmlns:ds="http://schemas.openxmlformats.org/officeDocument/2006/customXml" ds:itemID="{E26D9044-B9E9-4BE7-9CA0-897415D0746D}"/>
</file>

<file path=customXml/itemProps3.xml><?xml version="1.0" encoding="utf-8"?>
<ds:datastoreItem xmlns:ds="http://schemas.openxmlformats.org/officeDocument/2006/customXml" ds:itemID="{526D3A79-D9A4-4C83-92A5-2DD62FAB65D8}"/>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Call Committee MESECVI_SR Women_WG Women_EN</dc:title>
  <dc:creator>CAVALLO Sara</dc:creator>
  <cp:lastModifiedBy>Sara Cavallo</cp:lastModifiedBy>
  <cp:revision>3</cp:revision>
  <cp:lastPrinted>2017-12-20T20:01:00Z</cp:lastPrinted>
  <dcterms:created xsi:type="dcterms:W3CDTF">2018-01-12T13:32:00Z</dcterms:created>
  <dcterms:modified xsi:type="dcterms:W3CDTF">2018-01-12T13:32:00Z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