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D5" w:rsidRPr="007E5CC4" w:rsidRDefault="003154D5" w:rsidP="00280859">
      <w:pPr>
        <w:shd w:val="clear" w:color="auto" w:fill="FFFFFF"/>
        <w:jc w:val="center"/>
        <w:rPr>
          <w:rFonts w:ascii="Times New Roman" w:hAnsi="Times New Roman" w:cs="Times New Roman"/>
          <w:b/>
          <w:bCs/>
          <w:sz w:val="24"/>
          <w:szCs w:val="24"/>
        </w:rPr>
      </w:pPr>
      <w:r w:rsidRPr="007E5CC4">
        <w:rPr>
          <w:rFonts w:ascii="Times New Roman" w:hAnsi="Times New Roman" w:cs="Times New Roman"/>
          <w:b/>
          <w:bCs/>
          <w:sz w:val="24"/>
          <w:szCs w:val="24"/>
        </w:rPr>
        <w:t>Women's Autonomy, Equality and Reproductive Health</w:t>
      </w:r>
      <w:r w:rsidR="00280859" w:rsidRPr="007E5CC4">
        <w:rPr>
          <w:rFonts w:ascii="Times New Roman" w:hAnsi="Times New Roman" w:cs="Times New Roman"/>
          <w:b/>
          <w:bCs/>
          <w:sz w:val="24"/>
          <w:szCs w:val="24"/>
        </w:rPr>
        <w:t xml:space="preserve"> in International Human Rights: </w:t>
      </w:r>
      <w:r w:rsidRPr="007E5CC4">
        <w:rPr>
          <w:rFonts w:ascii="Times New Roman" w:hAnsi="Times New Roman" w:cs="Times New Roman"/>
          <w:b/>
          <w:bCs/>
          <w:sz w:val="24"/>
          <w:szCs w:val="24"/>
        </w:rPr>
        <w:t xml:space="preserve">Between Recognition, </w:t>
      </w:r>
      <w:r w:rsidR="00280859" w:rsidRPr="007E5CC4">
        <w:rPr>
          <w:rFonts w:ascii="Times New Roman" w:hAnsi="Times New Roman" w:cs="Times New Roman"/>
          <w:b/>
          <w:bCs/>
          <w:sz w:val="24"/>
          <w:szCs w:val="24"/>
        </w:rPr>
        <w:t>Backlash and Regressive Trends</w:t>
      </w:r>
    </w:p>
    <w:p w:rsidR="00280859" w:rsidRPr="007E5CC4" w:rsidRDefault="00280859" w:rsidP="00280859">
      <w:pPr>
        <w:spacing w:after="0" w:line="240" w:lineRule="auto"/>
        <w:jc w:val="center"/>
        <w:rPr>
          <w:rFonts w:ascii="Times New Roman" w:eastAsiaTheme="minorEastAsia" w:hAnsi="Times New Roman" w:cs="Times New Roman"/>
          <w:i/>
          <w:color w:val="000000" w:themeColor="text1"/>
          <w:sz w:val="24"/>
          <w:szCs w:val="24"/>
          <w:lang w:eastAsia="zh-CN" w:bidi="ar-SA"/>
        </w:rPr>
      </w:pPr>
      <w:r w:rsidRPr="007E5CC4">
        <w:rPr>
          <w:rFonts w:ascii="Times New Roman" w:eastAsiaTheme="minorEastAsia" w:hAnsi="Times New Roman" w:cs="Times New Roman"/>
          <w:i/>
          <w:color w:val="000000" w:themeColor="text1"/>
          <w:sz w:val="24"/>
          <w:szCs w:val="24"/>
          <w:lang w:eastAsia="zh-CN" w:bidi="ar-SA"/>
        </w:rPr>
        <w:t>Working Group on the issue of discrimination against women in law and in practice</w:t>
      </w:r>
      <w:r w:rsidRPr="007E5CC4">
        <w:rPr>
          <w:rFonts w:ascii="Times New Roman" w:eastAsiaTheme="minorEastAsia" w:hAnsi="Times New Roman" w:cs="Times New Roman"/>
          <w:i/>
          <w:color w:val="000000" w:themeColor="text1"/>
          <w:sz w:val="24"/>
          <w:szCs w:val="24"/>
          <w:vertAlign w:val="superscript"/>
          <w:lang w:eastAsia="zh-CN" w:bidi="ar-SA"/>
        </w:rPr>
        <w:footnoteReference w:id="1"/>
      </w:r>
    </w:p>
    <w:p w:rsidR="00280859" w:rsidRPr="007E5CC4" w:rsidRDefault="00280859" w:rsidP="00280859">
      <w:pPr>
        <w:spacing w:after="0" w:line="240" w:lineRule="auto"/>
        <w:jc w:val="both"/>
        <w:rPr>
          <w:rFonts w:ascii="Times New Roman" w:eastAsiaTheme="minorEastAsia" w:hAnsi="Times New Roman" w:cs="Times New Roman"/>
          <w:b/>
          <w:color w:val="000000" w:themeColor="text1"/>
          <w:sz w:val="24"/>
          <w:szCs w:val="24"/>
          <w:lang w:eastAsia="zh-CN" w:bidi="ar-SA"/>
        </w:rPr>
      </w:pPr>
    </w:p>
    <w:p w:rsidR="00280859" w:rsidRPr="007E5CC4" w:rsidRDefault="00280859" w:rsidP="00DB3127">
      <w:pPr>
        <w:spacing w:line="240" w:lineRule="auto"/>
        <w:jc w:val="center"/>
        <w:rPr>
          <w:rFonts w:ascii="Times New Roman" w:eastAsiaTheme="minorEastAsia" w:hAnsi="Times New Roman" w:cs="Times New Roman"/>
          <w:color w:val="000000" w:themeColor="text1"/>
          <w:sz w:val="24"/>
          <w:szCs w:val="24"/>
          <w:lang w:eastAsia="zh-CN" w:bidi="ar-SA"/>
        </w:rPr>
      </w:pPr>
      <w:r w:rsidRPr="007E5CC4">
        <w:rPr>
          <w:rFonts w:ascii="Times New Roman" w:eastAsiaTheme="minorEastAsia" w:hAnsi="Times New Roman" w:cs="Times New Roman"/>
          <w:color w:val="000000" w:themeColor="text1"/>
          <w:sz w:val="24"/>
          <w:szCs w:val="24"/>
          <w:lang w:eastAsia="zh-CN" w:bidi="ar-SA"/>
        </w:rPr>
        <w:t>October 2017</w:t>
      </w:r>
    </w:p>
    <w:p w:rsidR="00097F38" w:rsidRPr="007E5CC4" w:rsidRDefault="00C40C91" w:rsidP="003232C9">
      <w:pPr>
        <w:spacing w:after="0" w:line="240" w:lineRule="auto"/>
        <w:jc w:val="both"/>
        <w:rPr>
          <w:rFonts w:ascii="Times New Roman" w:hAnsi="Times New Roman" w:cs="Times New Roman"/>
          <w:sz w:val="24"/>
          <w:szCs w:val="24"/>
        </w:rPr>
      </w:pPr>
      <w:r w:rsidRPr="007E5CC4">
        <w:rPr>
          <w:rFonts w:ascii="Times New Roman" w:hAnsi="Times New Roman" w:cs="Times New Roman"/>
          <w:sz w:val="24"/>
          <w:szCs w:val="24"/>
        </w:rPr>
        <w:t>The UN Working Group on the issue of discrimination against women in law and in practice has expressed its concern, throughout its</w:t>
      </w:r>
      <w:r w:rsidR="00097F38" w:rsidRPr="007E5CC4">
        <w:rPr>
          <w:rFonts w:ascii="Times New Roman" w:hAnsi="Times New Roman" w:cs="Times New Roman"/>
          <w:sz w:val="24"/>
          <w:szCs w:val="24"/>
        </w:rPr>
        <w:t xml:space="preserve"> first</w:t>
      </w:r>
      <w:r w:rsidRPr="007E5CC4">
        <w:rPr>
          <w:rFonts w:ascii="Times New Roman" w:hAnsi="Times New Roman" w:cs="Times New Roman"/>
          <w:sz w:val="24"/>
          <w:szCs w:val="24"/>
        </w:rPr>
        <w:t xml:space="preserve"> 6 year</w:t>
      </w:r>
      <w:r w:rsidR="00280859" w:rsidRPr="007E5CC4">
        <w:rPr>
          <w:rFonts w:ascii="Times New Roman" w:hAnsi="Times New Roman" w:cs="Times New Roman"/>
          <w:sz w:val="24"/>
          <w:szCs w:val="24"/>
        </w:rPr>
        <w:t>s of</w:t>
      </w:r>
      <w:r w:rsidRPr="007E5CC4">
        <w:rPr>
          <w:rFonts w:ascii="Times New Roman" w:hAnsi="Times New Roman" w:cs="Times New Roman"/>
          <w:sz w:val="24"/>
          <w:szCs w:val="24"/>
        </w:rPr>
        <w:t xml:space="preserve"> mandate, regarding the severe challenges to the universality of women’s rights, in the global community. The challenges have resulted from economic crisis and austerity measures on one hand and from </w:t>
      </w:r>
      <w:r w:rsidR="00280859" w:rsidRPr="007E5CC4">
        <w:rPr>
          <w:rFonts w:ascii="Times New Roman" w:hAnsi="Times New Roman" w:cs="Times New Roman"/>
          <w:sz w:val="24"/>
          <w:szCs w:val="24"/>
        </w:rPr>
        <w:t xml:space="preserve">cultural </w:t>
      </w:r>
      <w:r w:rsidRPr="007E5CC4">
        <w:rPr>
          <w:rFonts w:ascii="Times New Roman" w:hAnsi="Times New Roman" w:cs="Times New Roman"/>
          <w:sz w:val="24"/>
          <w:szCs w:val="24"/>
        </w:rPr>
        <w:t xml:space="preserve">and </w:t>
      </w:r>
      <w:r w:rsidR="00280859" w:rsidRPr="007E5CC4">
        <w:rPr>
          <w:rFonts w:ascii="Times New Roman" w:hAnsi="Times New Roman" w:cs="Times New Roman"/>
          <w:sz w:val="24"/>
          <w:szCs w:val="24"/>
        </w:rPr>
        <w:t>religious</w:t>
      </w:r>
      <w:r w:rsidRPr="007E5CC4">
        <w:rPr>
          <w:rFonts w:ascii="Times New Roman" w:hAnsi="Times New Roman" w:cs="Times New Roman"/>
          <w:sz w:val="24"/>
          <w:szCs w:val="24"/>
        </w:rPr>
        <w:t xml:space="preserve"> </w:t>
      </w:r>
      <w:r w:rsidR="00DB3127" w:rsidRPr="007E5CC4">
        <w:rPr>
          <w:rFonts w:ascii="Times New Roman" w:hAnsi="Times New Roman" w:cs="Times New Roman"/>
          <w:sz w:val="24"/>
          <w:szCs w:val="24"/>
        </w:rPr>
        <w:t>conservatism</w:t>
      </w:r>
      <w:r w:rsidR="007265D8" w:rsidRPr="007E5CC4">
        <w:rPr>
          <w:rFonts w:ascii="Times New Roman" w:hAnsi="Times New Roman" w:cs="Times New Roman"/>
          <w:sz w:val="24"/>
          <w:szCs w:val="24"/>
        </w:rPr>
        <w:t>,</w:t>
      </w:r>
      <w:r w:rsidRPr="007E5CC4">
        <w:rPr>
          <w:rFonts w:ascii="Times New Roman" w:hAnsi="Times New Roman" w:cs="Times New Roman"/>
          <w:sz w:val="24"/>
          <w:szCs w:val="24"/>
        </w:rPr>
        <w:t xml:space="preserve"> on the other</w:t>
      </w:r>
      <w:r w:rsidR="00280859" w:rsidRPr="007E5CC4">
        <w:rPr>
          <w:rFonts w:ascii="Times New Roman" w:hAnsi="Times New Roman" w:cs="Times New Roman"/>
          <w:sz w:val="24"/>
          <w:szCs w:val="24"/>
        </w:rPr>
        <w:t xml:space="preserve"> hand</w:t>
      </w:r>
      <w:r w:rsidR="00097F38" w:rsidRPr="007E5CC4">
        <w:rPr>
          <w:rFonts w:ascii="Times New Roman" w:hAnsi="Times New Roman" w:cs="Times New Roman"/>
          <w:sz w:val="24"/>
          <w:szCs w:val="24"/>
        </w:rPr>
        <w:t xml:space="preserve">. This retrenchment </w:t>
      </w:r>
      <w:r w:rsidR="007265D8" w:rsidRPr="007E5CC4">
        <w:rPr>
          <w:rFonts w:ascii="Times New Roman" w:hAnsi="Times New Roman" w:cs="Times New Roman"/>
          <w:sz w:val="24"/>
          <w:szCs w:val="24"/>
        </w:rPr>
        <w:t>has been</w:t>
      </w:r>
      <w:r w:rsidR="00090FFE" w:rsidRPr="007E5CC4">
        <w:rPr>
          <w:rFonts w:ascii="Times New Roman" w:hAnsi="Times New Roman" w:cs="Times New Roman"/>
          <w:sz w:val="24"/>
          <w:szCs w:val="24"/>
        </w:rPr>
        <w:t xml:space="preserve"> evident in the </w:t>
      </w:r>
      <w:r w:rsidR="006C2A66" w:rsidRPr="007E5CC4">
        <w:rPr>
          <w:rFonts w:ascii="Times New Roman" w:hAnsi="Times New Roman" w:cs="Times New Roman"/>
          <w:sz w:val="24"/>
          <w:szCs w:val="24"/>
        </w:rPr>
        <w:t>passage of HRC r</w:t>
      </w:r>
      <w:r w:rsidR="006B6BC1" w:rsidRPr="007E5CC4">
        <w:rPr>
          <w:rFonts w:ascii="Times New Roman" w:hAnsi="Times New Roman" w:cs="Times New Roman"/>
          <w:sz w:val="24"/>
          <w:szCs w:val="24"/>
        </w:rPr>
        <w:t xml:space="preserve">esolutions </w:t>
      </w:r>
      <w:r w:rsidR="00090FFE" w:rsidRPr="007E5CC4">
        <w:rPr>
          <w:rFonts w:ascii="Times New Roman" w:hAnsi="Times New Roman" w:cs="Times New Roman"/>
          <w:sz w:val="24"/>
          <w:szCs w:val="24"/>
        </w:rPr>
        <w:t>on traditional valu</w:t>
      </w:r>
      <w:r w:rsidR="006C2A66" w:rsidRPr="007E5CC4">
        <w:rPr>
          <w:rFonts w:ascii="Times New Roman" w:hAnsi="Times New Roman" w:cs="Times New Roman"/>
          <w:sz w:val="24"/>
          <w:szCs w:val="24"/>
        </w:rPr>
        <w:t>es and protection of the family,</w:t>
      </w:r>
      <w:r w:rsidR="00090FFE" w:rsidRPr="007E5CC4">
        <w:rPr>
          <w:rFonts w:ascii="Times New Roman" w:hAnsi="Times New Roman" w:cs="Times New Roman"/>
          <w:sz w:val="24"/>
          <w:szCs w:val="24"/>
        </w:rPr>
        <w:t xml:space="preserve"> </w:t>
      </w:r>
      <w:r w:rsidR="006B6BC1" w:rsidRPr="007E5CC4">
        <w:rPr>
          <w:rFonts w:ascii="Times New Roman" w:hAnsi="Times New Roman" w:cs="Times New Roman"/>
          <w:sz w:val="24"/>
          <w:szCs w:val="24"/>
        </w:rPr>
        <w:t>which</w:t>
      </w:r>
      <w:r w:rsidR="009E3068" w:rsidRPr="007E5CC4">
        <w:rPr>
          <w:rFonts w:ascii="Times New Roman" w:hAnsi="Times New Roman" w:cs="Times New Roman"/>
          <w:sz w:val="24"/>
          <w:szCs w:val="24"/>
        </w:rPr>
        <w:t xml:space="preserve"> </w:t>
      </w:r>
      <w:proofErr w:type="gramStart"/>
      <w:r w:rsidR="009E3068" w:rsidRPr="007E5CC4">
        <w:rPr>
          <w:rFonts w:ascii="Times New Roman" w:hAnsi="Times New Roman" w:cs="Times New Roman"/>
          <w:sz w:val="24"/>
          <w:szCs w:val="24"/>
        </w:rPr>
        <w:t>have</w:t>
      </w:r>
      <w:proofErr w:type="gramEnd"/>
      <w:r w:rsidR="009E3068" w:rsidRPr="007E5CC4">
        <w:rPr>
          <w:rFonts w:ascii="Times New Roman" w:hAnsi="Times New Roman" w:cs="Times New Roman"/>
          <w:sz w:val="24"/>
          <w:szCs w:val="24"/>
        </w:rPr>
        <w:t xml:space="preserve"> </w:t>
      </w:r>
      <w:r w:rsidR="007265D8" w:rsidRPr="007E5CC4">
        <w:rPr>
          <w:rFonts w:ascii="Times New Roman" w:hAnsi="Times New Roman" w:cs="Times New Roman"/>
          <w:sz w:val="24"/>
          <w:szCs w:val="24"/>
        </w:rPr>
        <w:t xml:space="preserve">excluded mention of </w:t>
      </w:r>
      <w:r w:rsidR="006B6BC1" w:rsidRPr="007E5CC4">
        <w:rPr>
          <w:rFonts w:ascii="Times New Roman" w:hAnsi="Times New Roman" w:cs="Times New Roman"/>
          <w:sz w:val="24"/>
          <w:szCs w:val="24"/>
        </w:rPr>
        <w:t>women’s right to equality in the family</w:t>
      </w:r>
      <w:r w:rsidR="007265D8" w:rsidRPr="007E5CC4">
        <w:rPr>
          <w:rFonts w:ascii="Times New Roman" w:hAnsi="Times New Roman" w:cs="Times New Roman"/>
          <w:sz w:val="24"/>
          <w:szCs w:val="24"/>
        </w:rPr>
        <w:t xml:space="preserve"> and thus threatened to undermine the guarantees of this right rooted in the Universal Declaration of Human Rights and the human rights treaties. </w:t>
      </w:r>
      <w:r w:rsidR="00097F38" w:rsidRPr="007E5CC4">
        <w:rPr>
          <w:rFonts w:ascii="Times New Roman" w:hAnsi="Times New Roman" w:cs="Times New Roman"/>
          <w:sz w:val="24"/>
          <w:szCs w:val="24"/>
        </w:rPr>
        <w:t>And</w:t>
      </w:r>
      <w:r w:rsidR="007265D8" w:rsidRPr="007E5CC4">
        <w:rPr>
          <w:rFonts w:ascii="Times New Roman" w:hAnsi="Times New Roman" w:cs="Times New Roman"/>
          <w:sz w:val="24"/>
          <w:szCs w:val="24"/>
        </w:rPr>
        <w:t xml:space="preserve"> this undermines the whole concept of women’s equal personhood as,</w:t>
      </w:r>
      <w:r w:rsidR="00097F38" w:rsidRPr="007E5CC4">
        <w:rPr>
          <w:rFonts w:ascii="Times New Roman" w:hAnsi="Times New Roman" w:cs="Times New Roman"/>
          <w:sz w:val="24"/>
          <w:szCs w:val="24"/>
        </w:rPr>
        <w:t xml:space="preserve"> when women are not viewed as equal to men within the family, their full personhood comes into question. Th</w:t>
      </w:r>
      <w:r w:rsidR="007265D8" w:rsidRPr="007E5CC4">
        <w:rPr>
          <w:rFonts w:ascii="Times New Roman" w:hAnsi="Times New Roman" w:cs="Times New Roman"/>
          <w:sz w:val="24"/>
          <w:szCs w:val="24"/>
        </w:rPr>
        <w:t>e existence of a backlash against women´s right to equality</w:t>
      </w:r>
      <w:r w:rsidR="00097F38" w:rsidRPr="007E5CC4">
        <w:rPr>
          <w:rFonts w:ascii="Times New Roman" w:hAnsi="Times New Roman" w:cs="Times New Roman"/>
          <w:sz w:val="24"/>
          <w:szCs w:val="24"/>
        </w:rPr>
        <w:t xml:space="preserve"> has </w:t>
      </w:r>
      <w:r w:rsidR="007265D8" w:rsidRPr="007E5CC4">
        <w:rPr>
          <w:rFonts w:ascii="Times New Roman" w:hAnsi="Times New Roman" w:cs="Times New Roman"/>
          <w:sz w:val="24"/>
          <w:szCs w:val="24"/>
        </w:rPr>
        <w:t xml:space="preserve">in fact </w:t>
      </w:r>
      <w:r w:rsidR="00097F38" w:rsidRPr="007E5CC4">
        <w:rPr>
          <w:rFonts w:ascii="Times New Roman" w:hAnsi="Times New Roman" w:cs="Times New Roman"/>
          <w:sz w:val="24"/>
          <w:szCs w:val="24"/>
        </w:rPr>
        <w:t xml:space="preserve">been acknowledged by the HRC 2017 Resolution on </w:t>
      </w:r>
      <w:r w:rsidR="00881A5A" w:rsidRPr="007E5CC4">
        <w:rPr>
          <w:rFonts w:ascii="Times New Roman" w:hAnsi="Times New Roman" w:cs="Times New Roman"/>
          <w:sz w:val="24"/>
          <w:szCs w:val="24"/>
        </w:rPr>
        <w:t>the elimination of discrimination against women</w:t>
      </w:r>
      <w:r w:rsidR="00097F38" w:rsidRPr="007E5CC4">
        <w:rPr>
          <w:rFonts w:ascii="Times New Roman" w:hAnsi="Times New Roman" w:cs="Times New Roman"/>
          <w:sz w:val="24"/>
          <w:szCs w:val="24"/>
        </w:rPr>
        <w:t>. It is in this context of</w:t>
      </w:r>
      <w:r w:rsidR="00881A5A" w:rsidRPr="007E5CC4">
        <w:rPr>
          <w:rFonts w:ascii="Times New Roman" w:hAnsi="Times New Roman" w:cs="Times New Roman"/>
          <w:sz w:val="24"/>
          <w:szCs w:val="24"/>
        </w:rPr>
        <w:t xml:space="preserve"> rising fundamentalisms and </w:t>
      </w:r>
      <w:r w:rsidR="00097F38" w:rsidRPr="007E5CC4">
        <w:rPr>
          <w:rFonts w:ascii="Times New Roman" w:hAnsi="Times New Roman" w:cs="Times New Roman"/>
          <w:sz w:val="24"/>
          <w:szCs w:val="24"/>
        </w:rPr>
        <w:t>backlash</w:t>
      </w:r>
      <w:r w:rsidR="00881A5A" w:rsidRPr="007E5CC4">
        <w:rPr>
          <w:rFonts w:ascii="Times New Roman" w:hAnsi="Times New Roman" w:cs="Times New Roman"/>
          <w:sz w:val="24"/>
          <w:szCs w:val="24"/>
        </w:rPr>
        <w:t>es</w:t>
      </w:r>
      <w:r w:rsidR="00892EB6" w:rsidRPr="007E5CC4">
        <w:rPr>
          <w:rFonts w:ascii="Times New Roman" w:hAnsi="Times New Roman" w:cs="Times New Roman"/>
          <w:sz w:val="24"/>
          <w:szCs w:val="24"/>
        </w:rPr>
        <w:t xml:space="preserve"> </w:t>
      </w:r>
      <w:r w:rsidR="00881A5A" w:rsidRPr="007E5CC4">
        <w:rPr>
          <w:rFonts w:ascii="Times New Roman" w:hAnsi="Times New Roman" w:cs="Times New Roman"/>
          <w:sz w:val="24"/>
          <w:szCs w:val="24"/>
        </w:rPr>
        <w:t>agai</w:t>
      </w:r>
      <w:r w:rsidR="00892EB6" w:rsidRPr="007E5CC4">
        <w:rPr>
          <w:rFonts w:ascii="Times New Roman" w:hAnsi="Times New Roman" w:cs="Times New Roman"/>
          <w:sz w:val="24"/>
          <w:szCs w:val="24"/>
        </w:rPr>
        <w:t xml:space="preserve">nst </w:t>
      </w:r>
      <w:r w:rsidR="00097F38" w:rsidRPr="007E5CC4">
        <w:rPr>
          <w:rFonts w:ascii="Times New Roman" w:hAnsi="Times New Roman" w:cs="Times New Roman"/>
          <w:sz w:val="24"/>
          <w:szCs w:val="24"/>
        </w:rPr>
        <w:t>women</w:t>
      </w:r>
      <w:r w:rsidR="00881A5A" w:rsidRPr="007E5CC4">
        <w:rPr>
          <w:rFonts w:ascii="Times New Roman" w:hAnsi="Times New Roman" w:cs="Times New Roman"/>
          <w:sz w:val="24"/>
          <w:szCs w:val="24"/>
        </w:rPr>
        <w:t>’s human rights</w:t>
      </w:r>
      <w:r w:rsidR="00097F38" w:rsidRPr="007E5CC4">
        <w:rPr>
          <w:rFonts w:ascii="Times New Roman" w:hAnsi="Times New Roman" w:cs="Times New Roman"/>
          <w:sz w:val="24"/>
          <w:szCs w:val="24"/>
        </w:rPr>
        <w:t xml:space="preserve"> that the current discourse on the termination of pregnancy is taking place at the international level. This is the reason why </w:t>
      </w:r>
      <w:r w:rsidR="00881A5A" w:rsidRPr="007E5CC4">
        <w:rPr>
          <w:rFonts w:ascii="Times New Roman" w:hAnsi="Times New Roman" w:cs="Times New Roman"/>
          <w:sz w:val="24"/>
          <w:szCs w:val="24"/>
        </w:rPr>
        <w:t xml:space="preserve">our expert group </w:t>
      </w:r>
      <w:r w:rsidR="00097F38" w:rsidRPr="007E5CC4">
        <w:rPr>
          <w:rFonts w:ascii="Times New Roman" w:hAnsi="Times New Roman" w:cs="Times New Roman"/>
          <w:sz w:val="24"/>
          <w:szCs w:val="24"/>
        </w:rPr>
        <w:t>feel</w:t>
      </w:r>
      <w:r w:rsidR="00881A5A" w:rsidRPr="007E5CC4">
        <w:rPr>
          <w:rFonts w:ascii="Times New Roman" w:hAnsi="Times New Roman" w:cs="Times New Roman"/>
          <w:sz w:val="24"/>
          <w:szCs w:val="24"/>
        </w:rPr>
        <w:t>s</w:t>
      </w:r>
      <w:r w:rsidR="00097F38" w:rsidRPr="007E5CC4">
        <w:rPr>
          <w:rFonts w:ascii="Times New Roman" w:hAnsi="Times New Roman" w:cs="Times New Roman"/>
          <w:sz w:val="24"/>
          <w:szCs w:val="24"/>
        </w:rPr>
        <w:t xml:space="preserve"> </w:t>
      </w:r>
      <w:r w:rsidR="00380792" w:rsidRPr="007E5CC4">
        <w:rPr>
          <w:rFonts w:ascii="Times New Roman" w:hAnsi="Times New Roman" w:cs="Times New Roman"/>
          <w:sz w:val="24"/>
          <w:szCs w:val="24"/>
        </w:rPr>
        <w:t xml:space="preserve">the necessity </w:t>
      </w:r>
      <w:r w:rsidR="00097F38" w:rsidRPr="007E5CC4">
        <w:rPr>
          <w:rFonts w:ascii="Times New Roman" w:hAnsi="Times New Roman" w:cs="Times New Roman"/>
          <w:sz w:val="24"/>
          <w:szCs w:val="24"/>
        </w:rPr>
        <w:t>to clarify our position with regards to termination of pregnancy.</w:t>
      </w:r>
    </w:p>
    <w:p w:rsidR="00D2190E" w:rsidRDefault="00D2190E" w:rsidP="007265D8">
      <w:pPr>
        <w:spacing w:after="0" w:line="240" w:lineRule="auto"/>
        <w:jc w:val="both"/>
        <w:rPr>
          <w:rFonts w:ascii="Times New Roman" w:hAnsi="Times New Roman" w:cs="Times New Roman"/>
        </w:rPr>
      </w:pPr>
    </w:p>
    <w:p w:rsidR="00D2190E" w:rsidRPr="00280859" w:rsidRDefault="00D2190E" w:rsidP="00D2190E">
      <w:pPr>
        <w:spacing w:after="0" w:line="240" w:lineRule="auto"/>
        <w:jc w:val="both"/>
        <w:rPr>
          <w:rFonts w:ascii="Times New Roman" w:hAnsi="Times New Roman" w:cs="Times New Roman"/>
          <w:b/>
          <w:i/>
          <w:sz w:val="24"/>
          <w:szCs w:val="24"/>
        </w:rPr>
      </w:pPr>
      <w:r w:rsidRPr="00280859">
        <w:rPr>
          <w:rFonts w:ascii="Times New Roman" w:hAnsi="Times New Roman" w:cs="Times New Roman"/>
          <w:b/>
          <w:i/>
          <w:sz w:val="24"/>
          <w:szCs w:val="24"/>
        </w:rPr>
        <w:t>The rights of women to equality, dignity, and respect for private life, without discrimination</w:t>
      </w:r>
    </w:p>
    <w:p w:rsidR="00D2190E" w:rsidRPr="00280859" w:rsidRDefault="00D2190E" w:rsidP="00D2190E">
      <w:pPr>
        <w:spacing w:after="0" w:line="240" w:lineRule="auto"/>
        <w:jc w:val="both"/>
        <w:rPr>
          <w:rFonts w:ascii="Times New Roman" w:hAnsi="Times New Roman" w:cs="Times New Roman"/>
          <w:sz w:val="24"/>
          <w:szCs w:val="24"/>
        </w:rPr>
      </w:pPr>
    </w:p>
    <w:p w:rsidR="00D2190E" w:rsidRPr="00280859" w:rsidRDefault="00D2190E" w:rsidP="00D2190E">
      <w:pPr>
        <w:spacing w:after="0" w:line="240" w:lineRule="auto"/>
        <w:jc w:val="both"/>
        <w:rPr>
          <w:rFonts w:ascii="Times New Roman" w:hAnsi="Times New Roman" w:cs="Times New Roman"/>
          <w:sz w:val="24"/>
          <w:szCs w:val="24"/>
        </w:rPr>
      </w:pPr>
      <w:r w:rsidRPr="00280859">
        <w:rPr>
          <w:rFonts w:ascii="Times New Roman" w:hAnsi="Times New Roman" w:cs="Times New Roman"/>
          <w:sz w:val="24"/>
          <w:szCs w:val="24"/>
        </w:rPr>
        <w:t xml:space="preserve">Women’s </w:t>
      </w:r>
      <w:r w:rsidRPr="00280859">
        <w:rPr>
          <w:rFonts w:ascii="Times New Roman" w:hAnsi="Times New Roman" w:cs="Times New Roman"/>
          <w:iCs/>
          <w:sz w:val="24"/>
          <w:szCs w:val="24"/>
        </w:rPr>
        <w:t xml:space="preserve">human rights </w:t>
      </w:r>
      <w:r w:rsidRPr="00280859">
        <w:rPr>
          <w:rFonts w:ascii="Times New Roman" w:hAnsi="Times New Roman" w:cs="Times New Roman"/>
          <w:sz w:val="24"/>
          <w:szCs w:val="24"/>
        </w:rPr>
        <w:t xml:space="preserve">include the rights to equality, to dignity, autonomy, information and bodily integrity and respect for private life and the highest attainable standard of health, including sexual and reproductive health, without discrimination; as well as the right to freedom from torture and cruel, inhuman and degrading treatment. </w:t>
      </w:r>
    </w:p>
    <w:p w:rsidR="00D2190E" w:rsidRPr="00280859" w:rsidRDefault="00D2190E" w:rsidP="00D2190E">
      <w:pPr>
        <w:spacing w:after="0" w:line="240" w:lineRule="auto"/>
        <w:jc w:val="both"/>
        <w:rPr>
          <w:rFonts w:ascii="Times New Roman" w:hAnsi="Times New Roman" w:cs="Times New Roman"/>
          <w:sz w:val="24"/>
          <w:szCs w:val="24"/>
        </w:rPr>
      </w:pPr>
    </w:p>
    <w:p w:rsidR="00D2190E" w:rsidRDefault="00D2190E" w:rsidP="00D2190E">
      <w:pPr>
        <w:spacing w:after="0" w:line="240" w:lineRule="auto"/>
        <w:jc w:val="both"/>
        <w:rPr>
          <w:rFonts w:ascii="Times New Roman" w:hAnsi="Times New Roman" w:cs="Times New Roman"/>
          <w:sz w:val="24"/>
          <w:szCs w:val="24"/>
        </w:rPr>
      </w:pPr>
      <w:r w:rsidRPr="00280859">
        <w:rPr>
          <w:rFonts w:ascii="Times New Roman" w:hAnsi="Times New Roman" w:cs="Times New Roman"/>
          <w:sz w:val="24"/>
          <w:szCs w:val="24"/>
        </w:rPr>
        <w:t>The right of a woman or girl to make autonomous decisions about her own body and reproductive functions is at the very core of her fundamental right to equality and privacy, concerning intimate matters of physical and psychological integrity</w:t>
      </w:r>
      <w:r w:rsidRPr="00280859">
        <w:rPr>
          <w:rStyle w:val="FootnoteReference"/>
          <w:rFonts w:ascii="Times New Roman" w:hAnsi="Times New Roman" w:cs="Times New Roman"/>
          <w:sz w:val="24"/>
          <w:szCs w:val="24"/>
        </w:rPr>
        <w:footnoteReference w:id="2"/>
      </w:r>
      <w:r w:rsidRPr="00280859">
        <w:rPr>
          <w:rFonts w:ascii="Times New Roman" w:hAnsi="Times New Roman" w:cs="Times New Roman"/>
          <w:sz w:val="24"/>
          <w:szCs w:val="24"/>
        </w:rPr>
        <w:t xml:space="preserve">.  </w:t>
      </w:r>
      <w:r w:rsidRPr="00291F6B">
        <w:rPr>
          <w:rFonts w:ascii="Times New Roman" w:hAnsi="Times New Roman" w:cs="Times New Roman"/>
          <w:sz w:val="24"/>
          <w:szCs w:val="24"/>
        </w:rPr>
        <w:t xml:space="preserve">Equality in reproductive health </w:t>
      </w:r>
      <w:r>
        <w:rPr>
          <w:rFonts w:ascii="Times New Roman" w:hAnsi="Times New Roman" w:cs="Times New Roman"/>
          <w:sz w:val="24"/>
          <w:szCs w:val="24"/>
        </w:rPr>
        <w:t>includes</w:t>
      </w:r>
      <w:r w:rsidRPr="00291F6B">
        <w:rPr>
          <w:rFonts w:ascii="Times New Roman" w:hAnsi="Times New Roman" w:cs="Times New Roman"/>
          <w:sz w:val="24"/>
          <w:szCs w:val="24"/>
        </w:rPr>
        <w:t xml:space="preserve"> access, without discrimination, to affordable, quality contraception</w:t>
      </w:r>
      <w:r>
        <w:rPr>
          <w:rFonts w:ascii="Times New Roman" w:hAnsi="Times New Roman" w:cs="Times New Roman"/>
          <w:sz w:val="24"/>
          <w:szCs w:val="24"/>
        </w:rPr>
        <w:t xml:space="preserve">, including emergency contraception. </w:t>
      </w:r>
      <w:r w:rsidRPr="00291F6B">
        <w:rPr>
          <w:rFonts w:ascii="Times New Roman" w:hAnsi="Times New Roman" w:cs="Times New Roman"/>
          <w:sz w:val="24"/>
          <w:szCs w:val="24"/>
        </w:rPr>
        <w:t xml:space="preserve">Countries where women have the right to termination of pregnancy and are provided with access to information and to all methods of </w:t>
      </w:r>
      <w:proofErr w:type="gramStart"/>
      <w:r w:rsidRPr="00291F6B">
        <w:rPr>
          <w:rFonts w:ascii="Times New Roman" w:hAnsi="Times New Roman" w:cs="Times New Roman"/>
          <w:sz w:val="24"/>
          <w:szCs w:val="24"/>
        </w:rPr>
        <w:t>contraception,</w:t>
      </w:r>
      <w:proofErr w:type="gramEnd"/>
      <w:r w:rsidRPr="00291F6B">
        <w:rPr>
          <w:rFonts w:ascii="Times New Roman" w:hAnsi="Times New Roman" w:cs="Times New Roman"/>
          <w:sz w:val="24"/>
          <w:szCs w:val="24"/>
        </w:rPr>
        <w:t xml:space="preserve"> have the lowest rate</w:t>
      </w:r>
      <w:r>
        <w:rPr>
          <w:rFonts w:ascii="Times New Roman" w:hAnsi="Times New Roman" w:cs="Times New Roman"/>
          <w:sz w:val="24"/>
          <w:szCs w:val="24"/>
        </w:rPr>
        <w:t>s of termination of pregnancy. Unfortunately, a</w:t>
      </w:r>
      <w:r w:rsidRPr="00291F6B">
        <w:rPr>
          <w:rFonts w:ascii="Times New Roman" w:hAnsi="Times New Roman" w:cs="Times New Roman"/>
          <w:sz w:val="24"/>
          <w:szCs w:val="24"/>
        </w:rPr>
        <w:t>ccording to WHO, an estimated 225 million women are deprived of access to essential modern contraception.</w:t>
      </w:r>
      <w:r>
        <w:rPr>
          <w:rFonts w:ascii="Times New Roman" w:hAnsi="Times New Roman" w:cs="Times New Roman"/>
          <w:sz w:val="24"/>
          <w:szCs w:val="24"/>
        </w:rPr>
        <w:t xml:space="preserve"> </w:t>
      </w:r>
    </w:p>
    <w:p w:rsidR="00D2190E" w:rsidRDefault="00D2190E" w:rsidP="00D2190E">
      <w:pPr>
        <w:spacing w:after="0" w:line="240" w:lineRule="auto"/>
        <w:jc w:val="both"/>
        <w:rPr>
          <w:rFonts w:ascii="Times New Roman" w:hAnsi="Times New Roman" w:cs="Times New Roman"/>
          <w:sz w:val="24"/>
          <w:szCs w:val="24"/>
        </w:rPr>
      </w:pPr>
    </w:p>
    <w:p w:rsidR="00D2190E" w:rsidRDefault="00D2190E" w:rsidP="00712432">
      <w:pPr>
        <w:spacing w:after="0" w:line="240" w:lineRule="auto"/>
        <w:jc w:val="both"/>
        <w:rPr>
          <w:rFonts w:ascii="Times New Roman" w:hAnsi="Times New Roman" w:cs="Times New Roman"/>
          <w:sz w:val="24"/>
          <w:szCs w:val="24"/>
        </w:rPr>
      </w:pPr>
      <w:r w:rsidRPr="00280859">
        <w:rPr>
          <w:rFonts w:ascii="Times New Roman" w:hAnsi="Times New Roman" w:cs="Times New Roman"/>
          <w:sz w:val="24"/>
          <w:szCs w:val="24"/>
        </w:rPr>
        <w:t xml:space="preserve">The decision as to whether to continue a pregnancy or terminate it, is fundamentally and primarily the woman’s decision, as it </w:t>
      </w:r>
      <w:r w:rsidRPr="00280859">
        <w:rPr>
          <w:rFonts w:ascii="Times New Roman" w:hAnsi="Times New Roman" w:cs="Times New Roman"/>
        </w:rPr>
        <w:t>ma</w:t>
      </w:r>
      <w:r w:rsidRPr="00280859">
        <w:rPr>
          <w:rFonts w:ascii="Times New Roman" w:hAnsi="Times New Roman" w:cs="Times New Roman"/>
          <w:sz w:val="24"/>
          <w:szCs w:val="24"/>
        </w:rPr>
        <w:t xml:space="preserve">y shape her whole future personal life as well as family life and has a crucial impact on women’s enjoyment of other   human rights. Accordingly, </w:t>
      </w:r>
      <w:r>
        <w:rPr>
          <w:rFonts w:ascii="Times New Roman" w:hAnsi="Times New Roman" w:cs="Times New Roman"/>
          <w:sz w:val="24"/>
          <w:szCs w:val="24"/>
        </w:rPr>
        <w:t xml:space="preserve">and following the good practice of many countries, </w:t>
      </w:r>
      <w:r w:rsidRPr="00280859">
        <w:rPr>
          <w:rFonts w:ascii="Times New Roman" w:hAnsi="Times New Roman" w:cs="Times New Roman"/>
          <w:sz w:val="24"/>
          <w:szCs w:val="24"/>
        </w:rPr>
        <w:t xml:space="preserve">the Working Group has called for allowing women to terminate a pregnancy on request during the first trimester.  It is imperative to </w:t>
      </w:r>
      <w:r w:rsidRPr="00280859">
        <w:rPr>
          <w:rFonts w:ascii="Times New Roman" w:hAnsi="Times New Roman" w:cs="Times New Roman"/>
          <w:sz w:val="24"/>
          <w:szCs w:val="24"/>
        </w:rPr>
        <w:lastRenderedPageBreak/>
        <w:t xml:space="preserve">understand that at this stage, despite the intense efforts made by </w:t>
      </w:r>
      <w:r>
        <w:rPr>
          <w:rFonts w:ascii="Times New Roman" w:hAnsi="Times New Roman" w:cs="Times New Roman"/>
          <w:sz w:val="24"/>
          <w:szCs w:val="24"/>
        </w:rPr>
        <w:t xml:space="preserve">religious lobbies </w:t>
      </w:r>
      <w:r w:rsidRPr="00280859">
        <w:rPr>
          <w:rFonts w:ascii="Times New Roman" w:hAnsi="Times New Roman" w:cs="Times New Roman"/>
          <w:sz w:val="24"/>
          <w:szCs w:val="24"/>
        </w:rPr>
        <w:t xml:space="preserve">to portray the zygote as a baby, it is still just a small collection of </w:t>
      </w:r>
      <w:proofErr w:type="spellStart"/>
      <w:r w:rsidRPr="00280859">
        <w:rPr>
          <w:rFonts w:ascii="Times New Roman" w:hAnsi="Times New Roman" w:cs="Times New Roman"/>
          <w:sz w:val="24"/>
          <w:szCs w:val="24"/>
        </w:rPr>
        <w:t>unindividualized</w:t>
      </w:r>
      <w:proofErr w:type="spellEnd"/>
      <w:r w:rsidRPr="00280859">
        <w:rPr>
          <w:rFonts w:ascii="Times New Roman" w:hAnsi="Times New Roman" w:cs="Times New Roman"/>
          <w:sz w:val="24"/>
          <w:szCs w:val="24"/>
        </w:rPr>
        <w:t xml:space="preserve"> cells, from which embryo as well the placenta will develop. </w:t>
      </w:r>
    </w:p>
    <w:p w:rsidR="00712432" w:rsidRPr="00280859" w:rsidRDefault="00712432" w:rsidP="00712432">
      <w:pPr>
        <w:spacing w:after="0" w:line="240" w:lineRule="auto"/>
        <w:jc w:val="both"/>
        <w:rPr>
          <w:rFonts w:ascii="Times New Roman" w:hAnsi="Times New Roman" w:cs="Times New Roman"/>
          <w:sz w:val="24"/>
          <w:szCs w:val="24"/>
        </w:rPr>
      </w:pPr>
    </w:p>
    <w:p w:rsidR="00D2190E" w:rsidRPr="00280859" w:rsidRDefault="00D2190E" w:rsidP="00D2190E">
      <w:pPr>
        <w:spacing w:after="0" w:line="240" w:lineRule="auto"/>
        <w:jc w:val="both"/>
        <w:rPr>
          <w:rFonts w:ascii="Times New Roman" w:hAnsi="Times New Roman" w:cs="Times New Roman"/>
          <w:iCs/>
          <w:sz w:val="24"/>
          <w:szCs w:val="24"/>
        </w:rPr>
      </w:pPr>
      <w:r w:rsidRPr="00280859">
        <w:rPr>
          <w:rFonts w:ascii="Times New Roman" w:hAnsi="Times New Roman" w:cs="Times New Roman"/>
          <w:sz w:val="24"/>
          <w:szCs w:val="24"/>
        </w:rPr>
        <w:t>Further, the right to equality in the highest available standard of healthcare</w:t>
      </w:r>
      <w:r w:rsidRPr="00280859">
        <w:rPr>
          <w:rStyle w:val="FootnoteReference"/>
          <w:rFonts w:ascii="Times New Roman" w:hAnsi="Times New Roman" w:cs="Times New Roman"/>
          <w:sz w:val="24"/>
          <w:szCs w:val="24"/>
        </w:rPr>
        <w:footnoteReference w:id="3"/>
      </w:r>
      <w:r w:rsidRPr="00280859">
        <w:rPr>
          <w:rFonts w:ascii="Times New Roman" w:hAnsi="Times New Roman" w:cs="Times New Roman"/>
          <w:sz w:val="24"/>
          <w:szCs w:val="24"/>
        </w:rPr>
        <w:t xml:space="preserve"> and the right to non-discrimination in </w:t>
      </w:r>
      <w:r w:rsidRPr="00280859">
        <w:rPr>
          <w:rFonts w:ascii="Times New Roman" w:hAnsi="Times New Roman" w:cs="Times New Roman"/>
          <w:color w:val="000000"/>
          <w:sz w:val="24"/>
          <w:szCs w:val="24"/>
          <w:shd w:val="clear" w:color="auto" w:fill="FFFFFF"/>
        </w:rPr>
        <w:t>access to health care services, including those related to sexual and reproductive health and family planning</w:t>
      </w:r>
      <w:r w:rsidRPr="00280859">
        <w:rPr>
          <w:rStyle w:val="FootnoteReference"/>
          <w:rFonts w:ascii="Times New Roman" w:hAnsi="Times New Roman" w:cs="Times New Roman"/>
          <w:color w:val="000000"/>
          <w:sz w:val="24"/>
          <w:szCs w:val="24"/>
          <w:shd w:val="clear" w:color="auto" w:fill="FFFFFF"/>
        </w:rPr>
        <w:footnoteReference w:id="4"/>
      </w:r>
      <w:r>
        <w:rPr>
          <w:rFonts w:ascii="Times New Roman" w:hAnsi="Times New Roman" w:cs="Times New Roman"/>
          <w:color w:val="000000"/>
          <w:sz w:val="24"/>
          <w:szCs w:val="24"/>
          <w:shd w:val="clear" w:color="auto" w:fill="FFFFFF"/>
        </w:rPr>
        <w:t xml:space="preserve">, </w:t>
      </w:r>
      <w:r w:rsidRPr="00280859">
        <w:rPr>
          <w:rFonts w:ascii="Times New Roman" w:hAnsi="Times New Roman" w:cs="Times New Roman"/>
          <w:sz w:val="24"/>
          <w:szCs w:val="24"/>
        </w:rPr>
        <w:t xml:space="preserve">require specific protection. </w:t>
      </w:r>
      <w:r>
        <w:rPr>
          <w:rFonts w:ascii="Times New Roman" w:hAnsi="Times New Roman" w:cs="Times New Roman"/>
          <w:sz w:val="24"/>
          <w:szCs w:val="24"/>
        </w:rPr>
        <w:t xml:space="preserve">Our expert group </w:t>
      </w:r>
      <w:r w:rsidRPr="00280859">
        <w:rPr>
          <w:rFonts w:ascii="Times New Roman" w:hAnsi="Times New Roman" w:cs="Times New Roman"/>
          <w:sz w:val="24"/>
          <w:szCs w:val="24"/>
        </w:rPr>
        <w:t>has called for recognition of the fact that equality in the supply of health services requires a differential approach to women and men, in accordance with their biological needs. Thus both</w:t>
      </w:r>
      <w:r>
        <w:rPr>
          <w:rFonts w:ascii="Times New Roman" w:hAnsi="Times New Roman" w:cs="Times New Roman"/>
          <w:sz w:val="24"/>
          <w:szCs w:val="24"/>
        </w:rPr>
        <w:t xml:space="preserve"> the CEDAW Committee and the WG</w:t>
      </w:r>
      <w:r w:rsidRPr="00280859">
        <w:rPr>
          <w:rFonts w:ascii="Times New Roman" w:hAnsi="Times New Roman" w:cs="Times New Roman"/>
          <w:sz w:val="24"/>
          <w:szCs w:val="24"/>
        </w:rPr>
        <w:t xml:space="preserve">DAW </w:t>
      </w:r>
      <w:r w:rsidR="00845E22">
        <w:rPr>
          <w:rFonts w:ascii="Times New Roman" w:hAnsi="Times New Roman" w:cs="Times New Roman"/>
          <w:sz w:val="24"/>
          <w:szCs w:val="24"/>
        </w:rPr>
        <w:t xml:space="preserve">determined that the </w:t>
      </w:r>
      <w:r w:rsidRPr="00280859">
        <w:rPr>
          <w:rFonts w:ascii="Times New Roman" w:hAnsi="Times New Roman" w:cs="Times New Roman"/>
          <w:sz w:val="24"/>
          <w:szCs w:val="24"/>
        </w:rPr>
        <w:t>right to</w:t>
      </w:r>
      <w:r>
        <w:rPr>
          <w:rFonts w:ascii="Times New Roman" w:hAnsi="Times New Roman" w:cs="Times New Roman"/>
          <w:sz w:val="24"/>
          <w:szCs w:val="24"/>
        </w:rPr>
        <w:t xml:space="preserve"> safe</w:t>
      </w:r>
      <w:r w:rsidRPr="00280859">
        <w:rPr>
          <w:rFonts w:ascii="Times New Roman" w:hAnsi="Times New Roman" w:cs="Times New Roman"/>
          <w:sz w:val="24"/>
          <w:szCs w:val="24"/>
        </w:rPr>
        <w:t xml:space="preserve"> termination of pregnancy is </w:t>
      </w:r>
      <w:proofErr w:type="gramStart"/>
      <w:r w:rsidRPr="00280859">
        <w:rPr>
          <w:rFonts w:ascii="Times New Roman" w:hAnsi="Times New Roman" w:cs="Times New Roman"/>
          <w:sz w:val="24"/>
          <w:szCs w:val="24"/>
        </w:rPr>
        <w:t>an</w:t>
      </w:r>
      <w:r w:rsidR="00845E22">
        <w:rPr>
          <w:rFonts w:ascii="Times New Roman" w:hAnsi="Times New Roman" w:cs="Times New Roman"/>
          <w:sz w:val="24"/>
          <w:szCs w:val="24"/>
        </w:rPr>
        <w:t xml:space="preserve"> </w:t>
      </w:r>
      <w:r w:rsidRPr="00280859">
        <w:rPr>
          <w:rFonts w:ascii="Times New Roman" w:hAnsi="Times New Roman" w:cs="Times New Roman"/>
          <w:sz w:val="24"/>
          <w:szCs w:val="24"/>
        </w:rPr>
        <w:t>equality</w:t>
      </w:r>
      <w:proofErr w:type="gramEnd"/>
      <w:r w:rsidRPr="00280859">
        <w:rPr>
          <w:rFonts w:ascii="Times New Roman" w:hAnsi="Times New Roman" w:cs="Times New Roman"/>
          <w:sz w:val="24"/>
          <w:szCs w:val="24"/>
        </w:rPr>
        <w:t xml:space="preserve"> right for women. The WHO has demonstrated that, i</w:t>
      </w:r>
      <w:r w:rsidRPr="00280859">
        <w:rPr>
          <w:rFonts w:ascii="Times New Roman" w:hAnsi="Times New Roman" w:cs="Times New Roman"/>
          <w:iCs/>
          <w:sz w:val="24"/>
          <w:szCs w:val="24"/>
        </w:rPr>
        <w:t xml:space="preserve">n countries where induced termination of pregnancy is restricted by law and/or otherwise unavailable, safe termination of pregnancy is a privilege of the rich, while women with limited resources have little choice but to resort to unsafe providers and practices. </w:t>
      </w:r>
      <w:r w:rsidRPr="00280859">
        <w:rPr>
          <w:rFonts w:ascii="Times New Roman" w:hAnsi="Times New Roman" w:cs="Times New Roman"/>
          <w:sz w:val="24"/>
          <w:szCs w:val="24"/>
        </w:rPr>
        <w:t>It has reported that there are approximately 22 million unsafe terminations of pregnancy annually, resulting in 47,000 deaths</w:t>
      </w:r>
      <w:r w:rsidR="006665B3">
        <w:rPr>
          <w:rFonts w:ascii="Times New Roman" w:hAnsi="Times New Roman" w:cs="Times New Roman"/>
          <w:sz w:val="24"/>
          <w:szCs w:val="24"/>
        </w:rPr>
        <w:t>.</w:t>
      </w:r>
      <w:r w:rsidRPr="00280859">
        <w:rPr>
          <w:rFonts w:ascii="Times New Roman" w:hAnsi="Times New Roman" w:cs="Times New Roman"/>
          <w:iCs/>
          <w:sz w:val="24"/>
          <w:szCs w:val="24"/>
        </w:rPr>
        <w:t xml:space="preserve"> This results in severe discrimination against economically disadvantaged women. </w:t>
      </w:r>
    </w:p>
    <w:p w:rsidR="00D2190E" w:rsidRPr="00280859" w:rsidRDefault="00D2190E" w:rsidP="007265D8">
      <w:pPr>
        <w:spacing w:after="0" w:line="240" w:lineRule="auto"/>
        <w:jc w:val="both"/>
        <w:rPr>
          <w:rFonts w:ascii="Times New Roman" w:hAnsi="Times New Roman" w:cs="Times New Roman"/>
        </w:rPr>
      </w:pPr>
    </w:p>
    <w:p w:rsidR="00C366B0" w:rsidRPr="00280859" w:rsidRDefault="00C366B0" w:rsidP="00280859">
      <w:pPr>
        <w:spacing w:after="0" w:line="240" w:lineRule="auto"/>
        <w:jc w:val="both"/>
        <w:rPr>
          <w:rFonts w:ascii="Times New Roman" w:hAnsi="Times New Roman" w:cs="Times New Roman"/>
        </w:rPr>
      </w:pPr>
    </w:p>
    <w:p w:rsidR="006E3301" w:rsidRPr="00781920" w:rsidRDefault="00CC7626" w:rsidP="00280859">
      <w:pPr>
        <w:spacing w:after="0" w:line="240" w:lineRule="auto"/>
        <w:jc w:val="both"/>
        <w:rPr>
          <w:rFonts w:ascii="Times New Roman" w:hAnsi="Times New Roman" w:cs="Times New Roman"/>
          <w:b/>
          <w:bCs/>
          <w:i/>
          <w:iCs/>
          <w:sz w:val="24"/>
          <w:szCs w:val="24"/>
        </w:rPr>
      </w:pPr>
      <w:r w:rsidRPr="00781920">
        <w:rPr>
          <w:rFonts w:ascii="Times New Roman" w:hAnsi="Times New Roman" w:cs="Times New Roman"/>
          <w:b/>
          <w:bCs/>
          <w:i/>
          <w:iCs/>
          <w:sz w:val="24"/>
          <w:szCs w:val="24"/>
        </w:rPr>
        <w:t>T</w:t>
      </w:r>
      <w:r w:rsidR="006E3301" w:rsidRPr="00781920">
        <w:rPr>
          <w:rFonts w:ascii="Times New Roman" w:hAnsi="Times New Roman" w:cs="Times New Roman"/>
          <w:b/>
          <w:bCs/>
          <w:i/>
          <w:iCs/>
          <w:sz w:val="24"/>
          <w:szCs w:val="24"/>
        </w:rPr>
        <w:t xml:space="preserve">he right to life and all other human rights </w:t>
      </w:r>
      <w:r w:rsidR="00D5311D" w:rsidRPr="00781920">
        <w:rPr>
          <w:rFonts w:ascii="Times New Roman" w:hAnsi="Times New Roman" w:cs="Times New Roman"/>
          <w:b/>
          <w:bCs/>
          <w:i/>
          <w:iCs/>
          <w:sz w:val="24"/>
          <w:szCs w:val="24"/>
        </w:rPr>
        <w:t xml:space="preserve">under the human rights treaties are accorded </w:t>
      </w:r>
      <w:r w:rsidRPr="00781920">
        <w:rPr>
          <w:rFonts w:ascii="Times New Roman" w:hAnsi="Times New Roman" w:cs="Times New Roman"/>
          <w:b/>
          <w:bCs/>
          <w:i/>
          <w:iCs/>
          <w:sz w:val="24"/>
          <w:szCs w:val="24"/>
        </w:rPr>
        <w:t>at birth</w:t>
      </w:r>
    </w:p>
    <w:p w:rsidR="006E3301" w:rsidRPr="00781920" w:rsidRDefault="006E3301" w:rsidP="00280859">
      <w:pPr>
        <w:spacing w:after="0" w:line="240" w:lineRule="auto"/>
        <w:jc w:val="both"/>
        <w:rPr>
          <w:rFonts w:ascii="Times New Roman" w:hAnsi="Times New Roman" w:cs="Times New Roman"/>
          <w:sz w:val="24"/>
          <w:szCs w:val="24"/>
        </w:rPr>
      </w:pPr>
    </w:p>
    <w:p w:rsidR="00D5311D" w:rsidRPr="00781920" w:rsidRDefault="00D5311D" w:rsidP="00D5311D">
      <w:pPr>
        <w:spacing w:after="0" w:line="240" w:lineRule="auto"/>
        <w:jc w:val="both"/>
        <w:rPr>
          <w:rFonts w:ascii="Times New Roman" w:hAnsi="Times New Roman" w:cs="Times New Roman"/>
          <w:iCs/>
          <w:sz w:val="24"/>
          <w:szCs w:val="24"/>
        </w:rPr>
      </w:pPr>
      <w:r w:rsidRPr="00781920">
        <w:rPr>
          <w:rFonts w:ascii="Times New Roman" w:hAnsi="Times New Roman" w:cs="Times New Roman"/>
          <w:sz w:val="24"/>
          <w:szCs w:val="24"/>
        </w:rPr>
        <w:t xml:space="preserve">In the current discourse, the necessity of putting women’s human rights at the center of the policy considerations </w:t>
      </w:r>
      <w:r w:rsidR="002B71A4" w:rsidRPr="00781920">
        <w:rPr>
          <w:rFonts w:ascii="Times New Roman" w:hAnsi="Times New Roman" w:cs="Times New Roman"/>
          <w:sz w:val="24"/>
          <w:szCs w:val="24"/>
        </w:rPr>
        <w:t xml:space="preserve">regarding termination of their pregnancy </w:t>
      </w:r>
      <w:r w:rsidRPr="00781920">
        <w:rPr>
          <w:rFonts w:ascii="Times New Roman" w:hAnsi="Times New Roman" w:cs="Times New Roman"/>
          <w:sz w:val="24"/>
          <w:szCs w:val="24"/>
        </w:rPr>
        <w:t>is obfuscated by the rhetoric and political power behind the argument that there is a symmetrical balance between the rights to life of two entities: the woman and the unborn.  But there is no such contestation in international human rights law. It was well settled in  the 1948 UDHR and upheld in the ICCPR that the human rights accorded under IHRL are accorded to those who have been born.</w:t>
      </w:r>
      <w:r w:rsidRPr="00781920">
        <w:rPr>
          <w:rStyle w:val="FootnoteReference"/>
          <w:rFonts w:ascii="Times New Roman" w:hAnsi="Times New Roman" w:cs="Times New Roman"/>
          <w:iCs/>
          <w:sz w:val="24"/>
          <w:szCs w:val="24"/>
        </w:rPr>
        <w:t xml:space="preserve"> </w:t>
      </w:r>
      <w:r w:rsidRPr="00781920">
        <w:rPr>
          <w:rStyle w:val="FootnoteReference"/>
          <w:rFonts w:ascii="Times New Roman" w:hAnsi="Times New Roman" w:cs="Times New Roman"/>
          <w:iCs/>
          <w:sz w:val="24"/>
          <w:szCs w:val="24"/>
        </w:rPr>
        <w:footnoteReference w:id="5"/>
      </w:r>
      <w:r w:rsidRPr="00781920">
        <w:rPr>
          <w:rFonts w:ascii="Times New Roman" w:hAnsi="Times New Roman" w:cs="Times New Roman"/>
          <w:sz w:val="24"/>
          <w:szCs w:val="24"/>
        </w:rPr>
        <w:t xml:space="preserve">  “All human beings </w:t>
      </w:r>
      <w:r w:rsidRPr="00781920">
        <w:rPr>
          <w:rFonts w:ascii="Times New Roman" w:hAnsi="Times New Roman" w:cs="Times New Roman"/>
          <w:bCs/>
          <w:sz w:val="24"/>
          <w:szCs w:val="24"/>
        </w:rPr>
        <w:t>are born free and equal in dignity and rights</w:t>
      </w:r>
      <w:r w:rsidRPr="00781920">
        <w:rPr>
          <w:rFonts w:ascii="Times New Roman" w:hAnsi="Times New Roman" w:cs="Times New Roman"/>
          <w:sz w:val="24"/>
          <w:szCs w:val="24"/>
        </w:rPr>
        <w:t>. They are endowed with reason and conscience and should act towards one another in a spirit of brotherhood.”</w:t>
      </w:r>
      <w:r w:rsidRPr="00781920">
        <w:rPr>
          <w:rStyle w:val="FootnoteReference"/>
          <w:rFonts w:ascii="Times New Roman" w:hAnsi="Times New Roman" w:cs="Times New Roman"/>
          <w:iCs/>
          <w:sz w:val="24"/>
          <w:szCs w:val="24"/>
        </w:rPr>
        <w:t xml:space="preserve"> </w:t>
      </w:r>
    </w:p>
    <w:p w:rsidR="00D5311D" w:rsidRPr="00781920" w:rsidRDefault="00D5311D" w:rsidP="00D5311D">
      <w:pPr>
        <w:spacing w:after="0" w:line="240" w:lineRule="auto"/>
        <w:jc w:val="both"/>
        <w:rPr>
          <w:rFonts w:ascii="Times New Roman" w:hAnsi="Times New Roman" w:cs="Times New Roman"/>
          <w:iCs/>
          <w:sz w:val="24"/>
          <w:szCs w:val="24"/>
        </w:rPr>
      </w:pPr>
    </w:p>
    <w:p w:rsidR="00D5311D" w:rsidRPr="00781920" w:rsidRDefault="00D5311D" w:rsidP="002B71A4">
      <w:pPr>
        <w:spacing w:after="0" w:line="240" w:lineRule="auto"/>
        <w:jc w:val="both"/>
        <w:rPr>
          <w:rFonts w:ascii="Times New Roman" w:hAnsi="Times New Roman" w:cs="Times New Roman"/>
          <w:iCs/>
          <w:sz w:val="24"/>
          <w:szCs w:val="24"/>
        </w:rPr>
      </w:pPr>
      <w:r w:rsidRPr="00781920">
        <w:rPr>
          <w:rFonts w:ascii="Times New Roman" w:hAnsi="Times New Roman" w:cs="Times New Roman"/>
          <w:iCs/>
          <w:sz w:val="24"/>
          <w:szCs w:val="24"/>
        </w:rPr>
        <w:t>The entire field of law relating to termination of pregnancy is an area of regression for women’s control over their reproductive lives and their bodies. Prior to the beginning of the 19th century,</w:t>
      </w:r>
      <w:r w:rsidRPr="00781920">
        <w:rPr>
          <w:rFonts w:ascii="Times New Roman" w:hAnsi="Times New Roman" w:cs="Times New Roman"/>
          <w:color w:val="333333"/>
          <w:sz w:val="24"/>
          <w:szCs w:val="24"/>
          <w:shd w:val="clear" w:color="auto" w:fill="FFFFFF"/>
        </w:rPr>
        <w:t xml:space="preserve"> </w:t>
      </w:r>
      <w:r w:rsidRPr="00781920">
        <w:rPr>
          <w:rFonts w:ascii="Times New Roman" w:hAnsi="Times New Roman" w:cs="Times New Roman"/>
          <w:iCs/>
          <w:sz w:val="24"/>
          <w:szCs w:val="24"/>
        </w:rPr>
        <w:t xml:space="preserve">there were no abortion laws in existence. In 1869 Pope Pius IX declared that </w:t>
      </w:r>
      <w:proofErr w:type="spellStart"/>
      <w:r w:rsidRPr="00781920">
        <w:rPr>
          <w:rFonts w:ascii="Times New Roman" w:hAnsi="Times New Roman" w:cs="Times New Roman"/>
          <w:iCs/>
          <w:sz w:val="24"/>
          <w:szCs w:val="24"/>
        </w:rPr>
        <w:t>ensoulement</w:t>
      </w:r>
      <w:proofErr w:type="spellEnd"/>
      <w:r w:rsidRPr="00781920">
        <w:rPr>
          <w:rFonts w:ascii="Times New Roman" w:hAnsi="Times New Roman" w:cs="Times New Roman"/>
          <w:iCs/>
          <w:sz w:val="24"/>
          <w:szCs w:val="24"/>
        </w:rPr>
        <w:t xml:space="preserve"> occurs at conception. </w:t>
      </w:r>
      <w:r w:rsidR="002B71A4" w:rsidRPr="00781920">
        <w:rPr>
          <w:rFonts w:ascii="Times New Roman" w:hAnsi="Times New Roman" w:cs="Times New Roman"/>
          <w:iCs/>
          <w:sz w:val="24"/>
          <w:szCs w:val="24"/>
        </w:rPr>
        <w:t xml:space="preserve">Furthermore, </w:t>
      </w:r>
      <w:r w:rsidRPr="00781920">
        <w:rPr>
          <w:rFonts w:ascii="Times New Roman" w:hAnsi="Times New Roman" w:cs="Times New Roman"/>
          <w:iCs/>
          <w:sz w:val="24"/>
          <w:szCs w:val="24"/>
        </w:rPr>
        <w:t>the approach of the Church</w:t>
      </w:r>
      <w:r w:rsidR="002B71A4" w:rsidRPr="00781920">
        <w:rPr>
          <w:rFonts w:ascii="Times New Roman" w:hAnsi="Times New Roman" w:cs="Times New Roman"/>
          <w:iCs/>
          <w:sz w:val="24"/>
          <w:szCs w:val="24"/>
        </w:rPr>
        <w:t xml:space="preserve">, </w:t>
      </w:r>
      <w:r w:rsidRPr="00781920">
        <w:rPr>
          <w:rFonts w:ascii="Times New Roman" w:hAnsi="Times New Roman" w:cs="Times New Roman"/>
          <w:iCs/>
          <w:sz w:val="24"/>
          <w:szCs w:val="24"/>
        </w:rPr>
        <w:t>ha</w:t>
      </w:r>
      <w:r w:rsidR="009C6433" w:rsidRPr="00781920">
        <w:rPr>
          <w:rFonts w:ascii="Times New Roman" w:hAnsi="Times New Roman" w:cs="Times New Roman"/>
          <w:iCs/>
          <w:sz w:val="24"/>
          <w:szCs w:val="24"/>
        </w:rPr>
        <w:t>s</w:t>
      </w:r>
      <w:r w:rsidRPr="00781920">
        <w:rPr>
          <w:rFonts w:ascii="Times New Roman" w:hAnsi="Times New Roman" w:cs="Times New Roman"/>
          <w:iCs/>
          <w:sz w:val="24"/>
          <w:szCs w:val="24"/>
        </w:rPr>
        <w:t xml:space="preserve"> also encompassed a prohibition of contraceptive methods</w:t>
      </w:r>
      <w:proofErr w:type="gramStart"/>
      <w:r w:rsidRPr="00781920">
        <w:rPr>
          <w:rFonts w:ascii="Times New Roman" w:hAnsi="Times New Roman" w:cs="Times New Roman"/>
          <w:iCs/>
          <w:sz w:val="24"/>
          <w:szCs w:val="24"/>
        </w:rPr>
        <w:t>, ,</w:t>
      </w:r>
      <w:proofErr w:type="gramEnd"/>
      <w:r w:rsidRPr="00781920">
        <w:rPr>
          <w:rFonts w:ascii="Times New Roman" w:hAnsi="Times New Roman" w:cs="Times New Roman"/>
          <w:iCs/>
          <w:sz w:val="24"/>
          <w:szCs w:val="24"/>
        </w:rPr>
        <w:t xml:space="preserve"> suggesting that  the issue is the recognition of divine will and not only protection of the </w:t>
      </w:r>
      <w:proofErr w:type="spellStart"/>
      <w:r w:rsidRPr="00781920">
        <w:rPr>
          <w:rFonts w:ascii="Times New Roman" w:hAnsi="Times New Roman" w:cs="Times New Roman"/>
          <w:iCs/>
          <w:sz w:val="24"/>
          <w:szCs w:val="24"/>
        </w:rPr>
        <w:t>foetus</w:t>
      </w:r>
      <w:proofErr w:type="spellEnd"/>
      <w:r w:rsidRPr="00781920">
        <w:rPr>
          <w:rFonts w:ascii="Times New Roman" w:hAnsi="Times New Roman" w:cs="Times New Roman"/>
          <w:iCs/>
          <w:sz w:val="24"/>
          <w:szCs w:val="24"/>
        </w:rPr>
        <w:t xml:space="preserve"> after conception. As a result of the view of the Pope, the laws of many countries were changed to prohibit any termination of pregnancy and, in some cases, contraception. These laws form the basis of the restrictive legislation on abortion and contraception that still exists in some countries. </w:t>
      </w:r>
    </w:p>
    <w:p w:rsidR="00D5311D" w:rsidRPr="00781920" w:rsidRDefault="00D5311D" w:rsidP="00D5311D">
      <w:pPr>
        <w:spacing w:after="0" w:line="240" w:lineRule="auto"/>
        <w:jc w:val="both"/>
        <w:rPr>
          <w:rFonts w:ascii="Times New Roman" w:hAnsi="Times New Roman" w:cs="Times New Roman"/>
          <w:iCs/>
          <w:sz w:val="24"/>
          <w:szCs w:val="24"/>
        </w:rPr>
      </w:pPr>
    </w:p>
    <w:p w:rsidR="00D5311D" w:rsidRPr="00781920" w:rsidRDefault="00D5311D" w:rsidP="002B71A4">
      <w:pPr>
        <w:spacing w:after="0" w:line="240" w:lineRule="auto"/>
        <w:jc w:val="both"/>
        <w:rPr>
          <w:rFonts w:ascii="Times New Roman" w:hAnsi="Times New Roman" w:cs="Times New Roman"/>
          <w:iCs/>
          <w:sz w:val="24"/>
          <w:szCs w:val="24"/>
        </w:rPr>
      </w:pPr>
      <w:r w:rsidRPr="00781920">
        <w:rPr>
          <w:rFonts w:ascii="Times New Roman" w:hAnsi="Times New Roman" w:cs="Times New Roman"/>
          <w:iCs/>
          <w:sz w:val="24"/>
          <w:szCs w:val="24"/>
        </w:rPr>
        <w:t xml:space="preserve">Between 1950 and 1985, almost all developed countries liberalized their abortion laws for reasons of women’s human rights, including equality, health and safety. This liberalization reflects the understanding that personhood is not established until birth. Those who believe that the </w:t>
      </w:r>
      <w:proofErr w:type="spellStart"/>
      <w:r w:rsidRPr="00781920">
        <w:rPr>
          <w:rFonts w:ascii="Times New Roman" w:hAnsi="Times New Roman" w:cs="Times New Roman"/>
          <w:iCs/>
          <w:sz w:val="24"/>
          <w:szCs w:val="24"/>
        </w:rPr>
        <w:t>foetus</w:t>
      </w:r>
      <w:proofErr w:type="spellEnd"/>
      <w:r w:rsidRPr="00781920">
        <w:rPr>
          <w:rFonts w:ascii="Times New Roman" w:hAnsi="Times New Roman" w:cs="Times New Roman"/>
          <w:iCs/>
          <w:sz w:val="24"/>
          <w:szCs w:val="24"/>
        </w:rPr>
        <w:t xml:space="preserve"> is already a human</w:t>
      </w:r>
      <w:r w:rsidR="002B71A4" w:rsidRPr="00781920">
        <w:rPr>
          <w:rFonts w:ascii="Times New Roman" w:hAnsi="Times New Roman" w:cs="Times New Roman"/>
          <w:iCs/>
          <w:sz w:val="24"/>
          <w:szCs w:val="24"/>
        </w:rPr>
        <w:t xml:space="preserve"> person with rights </w:t>
      </w:r>
      <w:r w:rsidRPr="00781920">
        <w:rPr>
          <w:rFonts w:ascii="Times New Roman" w:hAnsi="Times New Roman" w:cs="Times New Roman"/>
          <w:iCs/>
          <w:sz w:val="24"/>
          <w:szCs w:val="24"/>
        </w:rPr>
        <w:t xml:space="preserve">from the moment of conception are entitled to their belief but </w:t>
      </w:r>
      <w:r w:rsidR="00812C26" w:rsidRPr="00781920">
        <w:rPr>
          <w:rFonts w:ascii="Times New Roman" w:hAnsi="Times New Roman" w:cs="Times New Roman"/>
          <w:iCs/>
          <w:sz w:val="24"/>
          <w:szCs w:val="24"/>
        </w:rPr>
        <w:t>a democratic</w:t>
      </w:r>
      <w:r w:rsidRPr="00781920">
        <w:rPr>
          <w:rFonts w:ascii="Times New Roman" w:hAnsi="Times New Roman" w:cs="Times New Roman"/>
          <w:iCs/>
          <w:sz w:val="24"/>
          <w:szCs w:val="24"/>
        </w:rPr>
        <w:t xml:space="preserve"> State cannot have laws that are based on belief systems that not only </w:t>
      </w:r>
      <w:r w:rsidRPr="00781920">
        <w:rPr>
          <w:rFonts w:ascii="Times New Roman" w:hAnsi="Times New Roman" w:cs="Times New Roman"/>
          <w:iCs/>
          <w:sz w:val="24"/>
          <w:szCs w:val="24"/>
        </w:rPr>
        <w:lastRenderedPageBreak/>
        <w:t xml:space="preserve">are not shared by all </w:t>
      </w:r>
      <w:r w:rsidR="004A76AD" w:rsidRPr="00781920">
        <w:rPr>
          <w:rFonts w:ascii="Times New Roman" w:hAnsi="Times New Roman" w:cs="Times New Roman"/>
          <w:iCs/>
          <w:sz w:val="24"/>
          <w:szCs w:val="24"/>
        </w:rPr>
        <w:t>individuals</w:t>
      </w:r>
      <w:r w:rsidRPr="00781920">
        <w:rPr>
          <w:rFonts w:ascii="Times New Roman" w:hAnsi="Times New Roman" w:cs="Times New Roman"/>
          <w:iCs/>
          <w:sz w:val="24"/>
          <w:szCs w:val="24"/>
        </w:rPr>
        <w:t xml:space="preserve">, cultures </w:t>
      </w:r>
      <w:r w:rsidR="004A76AD" w:rsidRPr="00781920">
        <w:rPr>
          <w:rFonts w:ascii="Times New Roman" w:hAnsi="Times New Roman" w:cs="Times New Roman"/>
          <w:iCs/>
          <w:sz w:val="24"/>
          <w:szCs w:val="24"/>
        </w:rPr>
        <w:t>and religions</w:t>
      </w:r>
      <w:r w:rsidRPr="00781920">
        <w:rPr>
          <w:rFonts w:ascii="Times New Roman" w:hAnsi="Times New Roman" w:cs="Times New Roman"/>
          <w:iCs/>
          <w:sz w:val="24"/>
          <w:szCs w:val="24"/>
        </w:rPr>
        <w:t>, but are not scientifically based. Those who believe that personhood commences at the time of conception have the freedom to act in accordance with their beliefs but not to impose their beliefs on others through the legal system.</w:t>
      </w:r>
    </w:p>
    <w:p w:rsidR="007D7597" w:rsidRPr="00781920" w:rsidRDefault="007D7597" w:rsidP="00280859">
      <w:pPr>
        <w:spacing w:after="0" w:line="240" w:lineRule="auto"/>
        <w:jc w:val="both"/>
        <w:rPr>
          <w:rFonts w:ascii="Times New Roman" w:hAnsi="Times New Roman" w:cs="Times New Roman"/>
          <w:sz w:val="24"/>
          <w:szCs w:val="24"/>
        </w:rPr>
      </w:pPr>
    </w:p>
    <w:p w:rsidR="001C79AF" w:rsidRPr="00781920" w:rsidRDefault="00E136D0" w:rsidP="00292E32">
      <w:pPr>
        <w:spacing w:after="0" w:line="240" w:lineRule="auto"/>
        <w:jc w:val="both"/>
        <w:rPr>
          <w:rFonts w:ascii="Times New Roman" w:hAnsi="Times New Roman" w:cs="Times New Roman"/>
          <w:sz w:val="24"/>
          <w:szCs w:val="24"/>
        </w:rPr>
      </w:pPr>
      <w:r w:rsidRPr="00781920">
        <w:rPr>
          <w:rFonts w:ascii="Times New Roman" w:hAnsi="Times New Roman" w:cs="Times New Roman"/>
          <w:sz w:val="24"/>
          <w:szCs w:val="24"/>
        </w:rPr>
        <w:t>The true parameter</w:t>
      </w:r>
      <w:r w:rsidR="007D7597" w:rsidRPr="00781920">
        <w:rPr>
          <w:rFonts w:ascii="Times New Roman" w:hAnsi="Times New Roman" w:cs="Times New Roman"/>
          <w:sz w:val="24"/>
          <w:szCs w:val="24"/>
        </w:rPr>
        <w:t xml:space="preserve">s of </w:t>
      </w:r>
      <w:r w:rsidRPr="00781920">
        <w:rPr>
          <w:rFonts w:ascii="Times New Roman" w:hAnsi="Times New Roman" w:cs="Times New Roman"/>
          <w:sz w:val="24"/>
          <w:szCs w:val="24"/>
        </w:rPr>
        <w:t>contest</w:t>
      </w:r>
      <w:r w:rsidR="007D7597" w:rsidRPr="00781920">
        <w:rPr>
          <w:rFonts w:ascii="Times New Roman" w:hAnsi="Times New Roman" w:cs="Times New Roman"/>
          <w:sz w:val="24"/>
          <w:szCs w:val="24"/>
        </w:rPr>
        <w:t>ation</w:t>
      </w:r>
      <w:r w:rsidRPr="00781920">
        <w:rPr>
          <w:rFonts w:ascii="Times New Roman" w:hAnsi="Times New Roman" w:cs="Times New Roman"/>
          <w:sz w:val="24"/>
          <w:szCs w:val="24"/>
        </w:rPr>
        <w:t xml:space="preserve"> are then between the rights of a born person who is the subject and repository of international human rights and </w:t>
      </w:r>
      <w:r w:rsidR="001C79AF" w:rsidRPr="00781920">
        <w:rPr>
          <w:rFonts w:ascii="Times New Roman" w:hAnsi="Times New Roman" w:cs="Times New Roman"/>
          <w:sz w:val="24"/>
          <w:szCs w:val="24"/>
        </w:rPr>
        <w:t>any</w:t>
      </w:r>
      <w:r w:rsidRPr="00781920">
        <w:rPr>
          <w:rFonts w:ascii="Times New Roman" w:hAnsi="Times New Roman" w:cs="Times New Roman"/>
          <w:sz w:val="24"/>
          <w:szCs w:val="24"/>
        </w:rPr>
        <w:t xml:space="preserve"> societal interest that there may be in the process of gestation of a possible future person. The limits of intervention in order to promote any such societal interest </w:t>
      </w:r>
      <w:r w:rsidR="008E656F" w:rsidRPr="00781920">
        <w:rPr>
          <w:rFonts w:ascii="Times New Roman" w:hAnsi="Times New Roman" w:cs="Times New Roman"/>
          <w:sz w:val="24"/>
          <w:szCs w:val="24"/>
        </w:rPr>
        <w:t xml:space="preserve">must stop short of violating the human rights of the pregnant woman </w:t>
      </w:r>
      <w:r w:rsidR="00090FFE" w:rsidRPr="00781920">
        <w:rPr>
          <w:rFonts w:ascii="Times New Roman" w:hAnsi="Times New Roman" w:cs="Times New Roman"/>
          <w:sz w:val="24"/>
          <w:szCs w:val="24"/>
        </w:rPr>
        <w:t>in</w:t>
      </w:r>
      <w:r w:rsidR="008E656F" w:rsidRPr="00781920">
        <w:rPr>
          <w:rFonts w:ascii="Times New Roman" w:hAnsi="Times New Roman" w:cs="Times New Roman"/>
          <w:sz w:val="24"/>
          <w:szCs w:val="24"/>
        </w:rPr>
        <w:t xml:space="preserve"> whose body the gestation </w:t>
      </w:r>
      <w:r w:rsidR="00090FFE" w:rsidRPr="00781920">
        <w:rPr>
          <w:rFonts w:ascii="Times New Roman" w:hAnsi="Times New Roman" w:cs="Times New Roman"/>
          <w:sz w:val="24"/>
          <w:szCs w:val="24"/>
        </w:rPr>
        <w:t xml:space="preserve">is </w:t>
      </w:r>
      <w:r w:rsidR="007D7597" w:rsidRPr="00781920">
        <w:rPr>
          <w:rFonts w:ascii="Times New Roman" w:hAnsi="Times New Roman" w:cs="Times New Roman"/>
          <w:sz w:val="24"/>
          <w:szCs w:val="24"/>
        </w:rPr>
        <w:t xml:space="preserve">to </w:t>
      </w:r>
      <w:r w:rsidR="008E656F" w:rsidRPr="00781920">
        <w:rPr>
          <w:rFonts w:ascii="Times New Roman" w:hAnsi="Times New Roman" w:cs="Times New Roman"/>
          <w:sz w:val="24"/>
          <w:szCs w:val="24"/>
        </w:rPr>
        <w:t>take place.</w:t>
      </w:r>
      <w:r w:rsidR="00090FFE" w:rsidRPr="00781920">
        <w:rPr>
          <w:rFonts w:ascii="Times New Roman" w:hAnsi="Times New Roman" w:cs="Times New Roman"/>
          <w:sz w:val="24"/>
          <w:szCs w:val="24"/>
        </w:rPr>
        <w:t xml:space="preserve"> </w:t>
      </w:r>
      <w:r w:rsidR="009E3068" w:rsidRPr="00781920">
        <w:rPr>
          <w:rFonts w:ascii="Times New Roman" w:hAnsi="Times New Roman" w:cs="Times New Roman"/>
          <w:sz w:val="24"/>
          <w:szCs w:val="24"/>
        </w:rPr>
        <w:t>Most notably the Colo</w:t>
      </w:r>
      <w:r w:rsidR="0040663E" w:rsidRPr="00781920">
        <w:rPr>
          <w:rFonts w:ascii="Times New Roman" w:hAnsi="Times New Roman" w:cs="Times New Roman"/>
          <w:sz w:val="24"/>
          <w:szCs w:val="24"/>
        </w:rPr>
        <w:t>mbian Constitutional Court</w:t>
      </w:r>
      <w:r w:rsidR="00292E32" w:rsidRPr="00781920">
        <w:rPr>
          <w:rFonts w:ascii="Times New Roman" w:hAnsi="Times New Roman" w:cs="Times New Roman"/>
          <w:sz w:val="24"/>
          <w:szCs w:val="24"/>
        </w:rPr>
        <w:t>, basing its decision on women’s right to health, life and equality,</w:t>
      </w:r>
      <w:r w:rsidR="0040663E" w:rsidRPr="00781920">
        <w:rPr>
          <w:rFonts w:ascii="Times New Roman" w:hAnsi="Times New Roman" w:cs="Times New Roman"/>
          <w:sz w:val="24"/>
          <w:szCs w:val="24"/>
        </w:rPr>
        <w:t xml:space="preserve"> determined that the legal right to life is limited to born human beings and </w:t>
      </w:r>
      <w:r w:rsidR="00292E32" w:rsidRPr="00781920">
        <w:rPr>
          <w:rFonts w:ascii="Times New Roman" w:hAnsi="Times New Roman" w:cs="Times New Roman"/>
          <w:sz w:val="24"/>
          <w:szCs w:val="24"/>
        </w:rPr>
        <w:t>drew the distinction between value of life, including fetal life, and a legal right to life.</w:t>
      </w:r>
      <w:r w:rsidR="00292E32" w:rsidRPr="00781920">
        <w:rPr>
          <w:rStyle w:val="FootnoteReference"/>
          <w:rFonts w:ascii="Times New Roman" w:hAnsi="Times New Roman" w:cs="Times New Roman"/>
          <w:sz w:val="24"/>
          <w:szCs w:val="24"/>
        </w:rPr>
        <w:footnoteReference w:id="6"/>
      </w:r>
    </w:p>
    <w:p w:rsidR="00292E32" w:rsidRPr="00781920" w:rsidRDefault="00292E32" w:rsidP="00292E32">
      <w:pPr>
        <w:spacing w:after="0" w:line="240" w:lineRule="auto"/>
        <w:jc w:val="both"/>
        <w:rPr>
          <w:rFonts w:ascii="Times New Roman" w:hAnsi="Times New Roman" w:cs="Times New Roman"/>
          <w:sz w:val="24"/>
          <w:szCs w:val="24"/>
        </w:rPr>
      </w:pPr>
    </w:p>
    <w:p w:rsidR="001C79AF" w:rsidRPr="00781920" w:rsidRDefault="001C79AF" w:rsidP="001C79AF">
      <w:pPr>
        <w:spacing w:after="0" w:line="240" w:lineRule="auto"/>
        <w:jc w:val="both"/>
        <w:rPr>
          <w:rFonts w:ascii="Times New Roman" w:hAnsi="Times New Roman" w:cs="Times New Roman"/>
          <w:iCs/>
          <w:sz w:val="24"/>
          <w:szCs w:val="24"/>
        </w:rPr>
      </w:pPr>
      <w:r w:rsidRPr="00781920">
        <w:rPr>
          <w:rFonts w:ascii="Times New Roman" w:hAnsi="Times New Roman" w:cs="Times New Roman"/>
          <w:sz w:val="24"/>
          <w:szCs w:val="24"/>
        </w:rPr>
        <w:t>In this context, we have, like several human rights bodies and mechanisms</w:t>
      </w:r>
      <w:r w:rsidRPr="00781920">
        <w:rPr>
          <w:rStyle w:val="FootnoteReference"/>
          <w:rFonts w:ascii="Times New Roman" w:hAnsi="Times New Roman" w:cs="Times New Roman"/>
          <w:sz w:val="24"/>
          <w:szCs w:val="24"/>
        </w:rPr>
        <w:footnoteReference w:id="7"/>
      </w:r>
      <w:r w:rsidRPr="00781920">
        <w:rPr>
          <w:rFonts w:ascii="Times New Roman" w:hAnsi="Times New Roman" w:cs="Times New Roman"/>
          <w:sz w:val="24"/>
          <w:szCs w:val="24"/>
        </w:rPr>
        <w:t xml:space="preserve">, called for an end to </w:t>
      </w:r>
      <w:r w:rsidRPr="00781920">
        <w:rPr>
          <w:rFonts w:ascii="Times New Roman" w:hAnsi="Times New Roman" w:cs="Times New Roman"/>
          <w:bCs/>
          <w:iCs/>
          <w:sz w:val="24"/>
          <w:szCs w:val="24"/>
        </w:rPr>
        <w:t>prosecutions and punishment of women or medical service providers for murder or manslaughter for termination of pregnancy. Murder and manslaughter are relevant only to human persons, which, as said, is</w:t>
      </w:r>
      <w:r w:rsidRPr="00781920">
        <w:rPr>
          <w:rFonts w:ascii="Times New Roman" w:hAnsi="Times New Roman" w:cs="Times New Roman"/>
          <w:iCs/>
          <w:sz w:val="24"/>
          <w:szCs w:val="24"/>
        </w:rPr>
        <w:t xml:space="preserve"> a status acquired at birth. Hence, for instance, our expert group intervened in the numerous cases of women in El Salvador who, in cases of miscarriage, have been given prison sentences of up to 30 years on grounds of murder or manslaughter. </w:t>
      </w:r>
    </w:p>
    <w:p w:rsidR="005B140D" w:rsidRPr="00781920" w:rsidRDefault="005B140D" w:rsidP="00280859">
      <w:pPr>
        <w:spacing w:after="0" w:line="240" w:lineRule="auto"/>
        <w:jc w:val="both"/>
        <w:rPr>
          <w:rFonts w:ascii="Times New Roman" w:hAnsi="Times New Roman" w:cs="Times New Roman"/>
          <w:sz w:val="24"/>
          <w:szCs w:val="24"/>
        </w:rPr>
      </w:pPr>
    </w:p>
    <w:p w:rsidR="00F851A3" w:rsidRPr="00781920" w:rsidRDefault="00151DED" w:rsidP="008F1C25">
      <w:pPr>
        <w:spacing w:after="0" w:line="240" w:lineRule="auto"/>
        <w:jc w:val="both"/>
        <w:rPr>
          <w:rFonts w:ascii="Times New Roman" w:hAnsi="Times New Roman" w:cs="Times New Roman"/>
          <w:b/>
          <w:i/>
          <w:sz w:val="24"/>
          <w:szCs w:val="24"/>
        </w:rPr>
      </w:pPr>
      <w:r w:rsidRPr="00781920">
        <w:rPr>
          <w:rFonts w:ascii="Times New Roman" w:hAnsi="Times New Roman" w:cs="Times New Roman"/>
          <w:b/>
          <w:i/>
          <w:sz w:val="24"/>
          <w:szCs w:val="24"/>
        </w:rPr>
        <w:t>D</w:t>
      </w:r>
      <w:r w:rsidR="00F851A3" w:rsidRPr="00781920">
        <w:rPr>
          <w:rFonts w:ascii="Times New Roman" w:hAnsi="Times New Roman" w:cs="Times New Roman"/>
          <w:b/>
          <w:i/>
          <w:sz w:val="24"/>
          <w:szCs w:val="24"/>
        </w:rPr>
        <w:t xml:space="preserve">ecriminalization of </w:t>
      </w:r>
      <w:r w:rsidR="00736756" w:rsidRPr="00781920">
        <w:rPr>
          <w:rFonts w:ascii="Times New Roman" w:hAnsi="Times New Roman" w:cs="Times New Roman"/>
          <w:b/>
          <w:i/>
          <w:sz w:val="24"/>
          <w:szCs w:val="24"/>
        </w:rPr>
        <w:t>termination of pregnancy</w:t>
      </w:r>
    </w:p>
    <w:p w:rsidR="006B3097" w:rsidRPr="00781920" w:rsidRDefault="006B3097" w:rsidP="00280859">
      <w:pPr>
        <w:spacing w:after="0" w:line="240" w:lineRule="auto"/>
        <w:jc w:val="both"/>
        <w:rPr>
          <w:rFonts w:ascii="Times New Roman" w:hAnsi="Times New Roman" w:cs="Times New Roman"/>
          <w:b/>
          <w:i/>
          <w:sz w:val="24"/>
          <w:szCs w:val="24"/>
        </w:rPr>
      </w:pPr>
    </w:p>
    <w:p w:rsidR="006B3097" w:rsidRPr="00781920" w:rsidRDefault="006B3097" w:rsidP="005E50A3">
      <w:pPr>
        <w:spacing w:after="0" w:line="240" w:lineRule="auto"/>
        <w:jc w:val="both"/>
        <w:rPr>
          <w:rFonts w:ascii="Times New Roman" w:hAnsi="Times New Roman" w:cs="Times New Roman"/>
          <w:sz w:val="24"/>
          <w:szCs w:val="24"/>
        </w:rPr>
      </w:pPr>
      <w:r w:rsidRPr="00781920">
        <w:rPr>
          <w:rFonts w:ascii="Times New Roman" w:hAnsi="Times New Roman" w:cs="Times New Roman"/>
          <w:sz w:val="24"/>
          <w:szCs w:val="24"/>
        </w:rPr>
        <w:t xml:space="preserve">Our expert group has called for </w:t>
      </w:r>
      <w:r w:rsidR="005E50A3" w:rsidRPr="00781920">
        <w:rPr>
          <w:rFonts w:ascii="Times New Roman" w:hAnsi="Times New Roman" w:cs="Times New Roman"/>
          <w:sz w:val="24"/>
          <w:szCs w:val="24"/>
        </w:rPr>
        <w:t xml:space="preserve">decriminalization of the termination of pregnancy and repeal </w:t>
      </w:r>
      <w:r w:rsidRPr="00781920">
        <w:rPr>
          <w:rFonts w:ascii="Times New Roman" w:hAnsi="Times New Roman" w:cs="Times New Roman"/>
          <w:sz w:val="24"/>
          <w:szCs w:val="24"/>
        </w:rPr>
        <w:t>of restrictive abortion laws which have persisted or are being newly passed and give deference to a societal interest in gestation in preference to protecting the woman’s right to life, health and her other human rights.</w:t>
      </w:r>
    </w:p>
    <w:p w:rsidR="00913364" w:rsidRPr="00781920" w:rsidRDefault="00913364" w:rsidP="00280859">
      <w:pPr>
        <w:spacing w:after="0" w:line="240" w:lineRule="auto"/>
        <w:jc w:val="both"/>
        <w:rPr>
          <w:rFonts w:ascii="Times New Roman" w:hAnsi="Times New Roman" w:cs="Times New Roman"/>
          <w:b/>
          <w:i/>
          <w:sz w:val="24"/>
          <w:szCs w:val="24"/>
        </w:rPr>
      </w:pPr>
    </w:p>
    <w:p w:rsidR="006B3097" w:rsidRPr="00781920" w:rsidRDefault="00573179" w:rsidP="002B71A4">
      <w:pPr>
        <w:spacing w:line="240" w:lineRule="auto"/>
        <w:jc w:val="both"/>
        <w:rPr>
          <w:rFonts w:ascii="Times New Roman" w:hAnsi="Times New Roman" w:cs="Times New Roman"/>
          <w:bCs/>
          <w:iCs/>
          <w:sz w:val="24"/>
          <w:szCs w:val="24"/>
        </w:rPr>
      </w:pPr>
      <w:r w:rsidRPr="00781920">
        <w:rPr>
          <w:rFonts w:ascii="Times New Roman" w:hAnsi="Times New Roman" w:cs="Times New Roman"/>
          <w:bCs/>
          <w:iCs/>
          <w:sz w:val="24"/>
          <w:szCs w:val="24"/>
        </w:rPr>
        <w:t>Hu</w:t>
      </w:r>
      <w:r w:rsidR="00913364" w:rsidRPr="00781920">
        <w:rPr>
          <w:rFonts w:ascii="Times New Roman" w:hAnsi="Times New Roman" w:cs="Times New Roman"/>
          <w:bCs/>
          <w:iCs/>
          <w:sz w:val="24"/>
          <w:szCs w:val="24"/>
        </w:rPr>
        <w:t xml:space="preserve">man rights mechanisms </w:t>
      </w:r>
      <w:r w:rsidR="005E50A3" w:rsidRPr="00781920">
        <w:rPr>
          <w:rFonts w:ascii="Times New Roman" w:hAnsi="Times New Roman" w:cs="Times New Roman"/>
          <w:bCs/>
          <w:iCs/>
          <w:sz w:val="24"/>
          <w:szCs w:val="24"/>
        </w:rPr>
        <w:t xml:space="preserve">had </w:t>
      </w:r>
      <w:r w:rsidRPr="00781920">
        <w:rPr>
          <w:rFonts w:ascii="Times New Roman" w:hAnsi="Times New Roman" w:cs="Times New Roman"/>
          <w:bCs/>
          <w:iCs/>
          <w:sz w:val="24"/>
          <w:szCs w:val="24"/>
        </w:rPr>
        <w:t>started</w:t>
      </w:r>
      <w:r w:rsidR="00913364" w:rsidRPr="00781920">
        <w:rPr>
          <w:rFonts w:ascii="Times New Roman" w:hAnsi="Times New Roman" w:cs="Times New Roman"/>
          <w:bCs/>
          <w:iCs/>
          <w:sz w:val="24"/>
          <w:szCs w:val="24"/>
        </w:rPr>
        <w:t xml:space="preserve"> from a hesitant approach</w:t>
      </w:r>
      <w:r w:rsidR="009E1A4B" w:rsidRPr="00781920">
        <w:rPr>
          <w:rFonts w:ascii="Times New Roman" w:hAnsi="Times New Roman" w:cs="Times New Roman"/>
          <w:bCs/>
          <w:iCs/>
          <w:sz w:val="24"/>
          <w:szCs w:val="24"/>
        </w:rPr>
        <w:t xml:space="preserve"> to the </w:t>
      </w:r>
      <w:proofErr w:type="spellStart"/>
      <w:r w:rsidR="009E1A4B" w:rsidRPr="00781920">
        <w:rPr>
          <w:rFonts w:ascii="Times New Roman" w:hAnsi="Times New Roman" w:cs="Times New Roman"/>
          <w:bCs/>
          <w:iCs/>
          <w:sz w:val="24"/>
          <w:szCs w:val="24"/>
        </w:rPr>
        <w:t>liberalisation</w:t>
      </w:r>
      <w:proofErr w:type="spellEnd"/>
      <w:r w:rsidR="009E1A4B" w:rsidRPr="00781920">
        <w:rPr>
          <w:rFonts w:ascii="Times New Roman" w:hAnsi="Times New Roman" w:cs="Times New Roman"/>
          <w:bCs/>
          <w:iCs/>
          <w:sz w:val="24"/>
          <w:szCs w:val="24"/>
        </w:rPr>
        <w:t xml:space="preserve"> of termination pf pregnancy</w:t>
      </w:r>
      <w:r w:rsidR="00913364" w:rsidRPr="00781920">
        <w:rPr>
          <w:rFonts w:ascii="Times New Roman" w:hAnsi="Times New Roman" w:cs="Times New Roman"/>
          <w:bCs/>
          <w:iCs/>
          <w:sz w:val="24"/>
          <w:szCs w:val="24"/>
        </w:rPr>
        <w:t xml:space="preserve">, </w:t>
      </w:r>
      <w:r w:rsidR="006B3097" w:rsidRPr="00781920">
        <w:rPr>
          <w:rFonts w:ascii="Times New Roman" w:hAnsi="Times New Roman" w:cs="Times New Roman"/>
          <w:bCs/>
          <w:iCs/>
          <w:sz w:val="24"/>
          <w:szCs w:val="24"/>
        </w:rPr>
        <w:t xml:space="preserve">only </w:t>
      </w:r>
      <w:r w:rsidR="00913364" w:rsidRPr="00781920">
        <w:rPr>
          <w:rFonts w:ascii="Times New Roman" w:hAnsi="Times New Roman" w:cs="Times New Roman"/>
          <w:bCs/>
          <w:iCs/>
          <w:sz w:val="24"/>
          <w:szCs w:val="24"/>
        </w:rPr>
        <w:t xml:space="preserve">requesting that states consider changing their laws on termination of pregnancy </w:t>
      </w:r>
      <w:r w:rsidR="006366EF" w:rsidRPr="00781920">
        <w:rPr>
          <w:rFonts w:ascii="Times New Roman" w:hAnsi="Times New Roman" w:cs="Times New Roman"/>
          <w:bCs/>
          <w:iCs/>
          <w:sz w:val="24"/>
          <w:szCs w:val="24"/>
        </w:rPr>
        <w:t xml:space="preserve">so as </w:t>
      </w:r>
      <w:r w:rsidR="00913364" w:rsidRPr="00781920">
        <w:rPr>
          <w:rFonts w:ascii="Times New Roman" w:hAnsi="Times New Roman" w:cs="Times New Roman"/>
          <w:bCs/>
          <w:iCs/>
          <w:sz w:val="24"/>
          <w:szCs w:val="24"/>
        </w:rPr>
        <w:t>to at least allow abortion in the exceptional cases of risk to the woman’s life or health, rape</w:t>
      </w:r>
      <w:r w:rsidRPr="00781920">
        <w:rPr>
          <w:rFonts w:ascii="Times New Roman" w:hAnsi="Times New Roman" w:cs="Times New Roman"/>
          <w:bCs/>
          <w:iCs/>
          <w:sz w:val="24"/>
          <w:szCs w:val="24"/>
        </w:rPr>
        <w:t xml:space="preserve"> and a severely impaired </w:t>
      </w:r>
      <w:proofErr w:type="spellStart"/>
      <w:r w:rsidRPr="00781920">
        <w:rPr>
          <w:rFonts w:ascii="Times New Roman" w:hAnsi="Times New Roman" w:cs="Times New Roman"/>
          <w:bCs/>
          <w:iCs/>
          <w:sz w:val="24"/>
          <w:szCs w:val="24"/>
        </w:rPr>
        <w:t>foetus</w:t>
      </w:r>
      <w:proofErr w:type="spellEnd"/>
      <w:r w:rsidRPr="00781920">
        <w:rPr>
          <w:rFonts w:ascii="Times New Roman" w:hAnsi="Times New Roman" w:cs="Times New Roman"/>
          <w:bCs/>
          <w:iCs/>
          <w:sz w:val="24"/>
          <w:szCs w:val="24"/>
        </w:rPr>
        <w:t xml:space="preserve">. They </w:t>
      </w:r>
      <w:r w:rsidR="009E1A4B" w:rsidRPr="00781920">
        <w:rPr>
          <w:rFonts w:ascii="Times New Roman" w:hAnsi="Times New Roman" w:cs="Times New Roman"/>
          <w:bCs/>
          <w:iCs/>
          <w:sz w:val="24"/>
          <w:szCs w:val="24"/>
        </w:rPr>
        <w:t xml:space="preserve">also tended to </w:t>
      </w:r>
      <w:r w:rsidRPr="00781920">
        <w:rPr>
          <w:rFonts w:ascii="Times New Roman" w:hAnsi="Times New Roman" w:cs="Times New Roman"/>
          <w:bCs/>
          <w:iCs/>
          <w:sz w:val="24"/>
          <w:szCs w:val="24"/>
        </w:rPr>
        <w:t xml:space="preserve">focus on the health issue alone. </w:t>
      </w:r>
      <w:r w:rsidR="006366EF" w:rsidRPr="00781920">
        <w:rPr>
          <w:rFonts w:ascii="Times New Roman" w:hAnsi="Times New Roman" w:cs="Times New Roman"/>
          <w:bCs/>
          <w:iCs/>
          <w:sz w:val="24"/>
          <w:szCs w:val="24"/>
        </w:rPr>
        <w:t>In 1999, the CEDAW Committee called</w:t>
      </w:r>
      <w:r w:rsidR="009E1A4B" w:rsidRPr="00781920">
        <w:rPr>
          <w:rFonts w:ascii="Times New Roman" w:hAnsi="Times New Roman" w:cs="Times New Roman"/>
          <w:bCs/>
          <w:iCs/>
          <w:sz w:val="24"/>
          <w:szCs w:val="24"/>
        </w:rPr>
        <w:t>,</w:t>
      </w:r>
      <w:r w:rsidR="006366EF" w:rsidRPr="00781920">
        <w:rPr>
          <w:rFonts w:ascii="Times New Roman" w:hAnsi="Times New Roman" w:cs="Times New Roman"/>
          <w:bCs/>
          <w:iCs/>
          <w:sz w:val="24"/>
          <w:szCs w:val="24"/>
        </w:rPr>
        <w:t xml:space="preserve"> in its General Recommendation 24 on health, to “Prioritize the prevention of unwanted pregnancy through family planning and sex education and reduce maternal mortality rates through safe motherhood services and prenatal assistance. When possible, legislation criminalizing abortion should be amended, in order to withdraw punitive measures imposed on women who undergo abortion". </w:t>
      </w:r>
    </w:p>
    <w:p w:rsidR="00D2190E" w:rsidRPr="00781920" w:rsidRDefault="00573179" w:rsidP="002A6334">
      <w:pPr>
        <w:spacing w:line="240" w:lineRule="auto"/>
        <w:jc w:val="both"/>
        <w:rPr>
          <w:rFonts w:ascii="Times New Roman" w:hAnsi="Times New Roman" w:cs="Times New Roman"/>
          <w:bCs/>
          <w:iCs/>
          <w:sz w:val="24"/>
          <w:szCs w:val="24"/>
        </w:rPr>
      </w:pPr>
      <w:r w:rsidRPr="00781920">
        <w:rPr>
          <w:rFonts w:ascii="Times New Roman" w:hAnsi="Times New Roman" w:cs="Times New Roman"/>
          <w:bCs/>
          <w:iCs/>
          <w:sz w:val="24"/>
          <w:szCs w:val="24"/>
        </w:rPr>
        <w:t xml:space="preserve">However, in the last two years, a number of human rights mechanisms have moved to requiring decriminalization in general. </w:t>
      </w:r>
      <w:r w:rsidR="009E1A4B" w:rsidRPr="00781920">
        <w:rPr>
          <w:rFonts w:ascii="Times New Roman" w:hAnsi="Times New Roman" w:cs="Times New Roman"/>
          <w:bCs/>
          <w:iCs/>
          <w:sz w:val="24"/>
          <w:szCs w:val="24"/>
        </w:rPr>
        <w:t>In 2016, in its an</w:t>
      </w:r>
      <w:r w:rsidR="00047266" w:rsidRPr="00781920">
        <w:rPr>
          <w:rFonts w:ascii="Times New Roman" w:hAnsi="Times New Roman" w:cs="Times New Roman"/>
          <w:bCs/>
          <w:iCs/>
          <w:sz w:val="24"/>
          <w:szCs w:val="24"/>
        </w:rPr>
        <w:t>nual thematic report, our expert group</w:t>
      </w:r>
      <w:r w:rsidR="009E1A4B" w:rsidRPr="00781920">
        <w:rPr>
          <w:rFonts w:ascii="Times New Roman" w:hAnsi="Times New Roman" w:cs="Times New Roman"/>
          <w:bCs/>
          <w:iCs/>
          <w:sz w:val="24"/>
          <w:szCs w:val="24"/>
        </w:rPr>
        <w:t xml:space="preserve"> called to “Discontinue the use of criminal law to punish woman for ending a pregnancy”. </w:t>
      </w:r>
      <w:proofErr w:type="gramStart"/>
      <w:r w:rsidR="006366EF" w:rsidRPr="00781920">
        <w:rPr>
          <w:rFonts w:ascii="Times New Roman" w:hAnsi="Times New Roman" w:cs="Times New Roman"/>
          <w:bCs/>
          <w:iCs/>
          <w:sz w:val="24"/>
          <w:szCs w:val="24"/>
        </w:rPr>
        <w:t>In 2016, the CESCR Committee stated</w:t>
      </w:r>
      <w:r w:rsidRPr="00781920">
        <w:rPr>
          <w:rFonts w:ascii="Times New Roman" w:hAnsi="Times New Roman" w:cs="Times New Roman"/>
          <w:bCs/>
          <w:iCs/>
          <w:sz w:val="24"/>
          <w:szCs w:val="24"/>
        </w:rPr>
        <w:t xml:space="preserve"> in GC 22</w:t>
      </w:r>
      <w:r w:rsidR="002D601C" w:rsidRPr="00781920">
        <w:rPr>
          <w:rFonts w:ascii="Times New Roman" w:hAnsi="Times New Roman" w:cs="Times New Roman"/>
          <w:bCs/>
          <w:iCs/>
          <w:sz w:val="24"/>
          <w:szCs w:val="24"/>
        </w:rPr>
        <w:t>: “</w:t>
      </w:r>
      <w:r w:rsidR="006366EF" w:rsidRPr="00781920">
        <w:rPr>
          <w:rFonts w:ascii="Times New Roman" w:hAnsi="Times New Roman" w:cs="Times New Roman"/>
          <w:bCs/>
          <w:iCs/>
          <w:sz w:val="24"/>
          <w:szCs w:val="24"/>
        </w:rPr>
        <w:t>States parties are under immediate obligation to eliminate discrimination against individuals and groups and to guarantee their equal right to sexual and reproductive health.</w:t>
      </w:r>
      <w:proofErr w:type="gramEnd"/>
      <w:r w:rsidR="006366EF" w:rsidRPr="00781920">
        <w:rPr>
          <w:rFonts w:ascii="Times New Roman" w:hAnsi="Times New Roman" w:cs="Times New Roman"/>
          <w:bCs/>
          <w:iCs/>
          <w:sz w:val="24"/>
          <w:szCs w:val="24"/>
        </w:rPr>
        <w:t xml:space="preserve"> This requires States to repeal or reform laws and policies </w:t>
      </w:r>
      <w:r w:rsidR="002D601C" w:rsidRPr="00781920">
        <w:rPr>
          <w:rFonts w:ascii="Times New Roman" w:hAnsi="Times New Roman" w:cs="Times New Roman"/>
          <w:bCs/>
          <w:iCs/>
          <w:sz w:val="24"/>
          <w:szCs w:val="24"/>
        </w:rPr>
        <w:t>[</w:t>
      </w:r>
      <w:r w:rsidR="006366EF" w:rsidRPr="00781920">
        <w:rPr>
          <w:rFonts w:ascii="Times New Roman" w:hAnsi="Times New Roman" w:cs="Times New Roman"/>
          <w:bCs/>
          <w:iCs/>
          <w:sz w:val="24"/>
          <w:szCs w:val="24"/>
        </w:rPr>
        <w:t>…</w:t>
      </w:r>
      <w:r w:rsidR="002D601C" w:rsidRPr="00781920">
        <w:rPr>
          <w:rFonts w:ascii="Times New Roman" w:hAnsi="Times New Roman" w:cs="Times New Roman"/>
          <w:bCs/>
          <w:iCs/>
          <w:sz w:val="24"/>
          <w:szCs w:val="24"/>
        </w:rPr>
        <w:t>]</w:t>
      </w:r>
      <w:r w:rsidR="006366EF" w:rsidRPr="00781920">
        <w:rPr>
          <w:rFonts w:ascii="Times New Roman" w:hAnsi="Times New Roman" w:cs="Times New Roman"/>
          <w:bCs/>
          <w:iCs/>
          <w:sz w:val="24"/>
          <w:szCs w:val="24"/>
        </w:rPr>
        <w:t xml:space="preserve"> and practices </w:t>
      </w:r>
      <w:r w:rsidR="006366EF" w:rsidRPr="00781920">
        <w:rPr>
          <w:rFonts w:ascii="Times New Roman" w:hAnsi="Times New Roman" w:cs="Times New Roman"/>
          <w:bCs/>
          <w:iCs/>
          <w:sz w:val="24"/>
          <w:szCs w:val="24"/>
        </w:rPr>
        <w:lastRenderedPageBreak/>
        <w:t>that undermine autonomy and right to equality and non-discrimination in the full enjoyment of the right to sexual and reproductive health, for example criminalization of a</w:t>
      </w:r>
      <w:r w:rsidR="002D601C" w:rsidRPr="00781920">
        <w:rPr>
          <w:rFonts w:ascii="Times New Roman" w:hAnsi="Times New Roman" w:cs="Times New Roman"/>
          <w:bCs/>
          <w:iCs/>
          <w:sz w:val="24"/>
          <w:szCs w:val="24"/>
        </w:rPr>
        <w:t>bortion […]”</w:t>
      </w:r>
      <w:r w:rsidRPr="00781920">
        <w:rPr>
          <w:rFonts w:ascii="Times New Roman" w:hAnsi="Times New Roman" w:cs="Times New Roman"/>
          <w:bCs/>
          <w:iCs/>
          <w:sz w:val="24"/>
          <w:szCs w:val="24"/>
        </w:rPr>
        <w:t>. In 2017, in G</w:t>
      </w:r>
      <w:r w:rsidR="00047266" w:rsidRPr="00781920">
        <w:rPr>
          <w:rFonts w:ascii="Times New Roman" w:hAnsi="Times New Roman" w:cs="Times New Roman"/>
          <w:bCs/>
          <w:iCs/>
          <w:sz w:val="24"/>
          <w:szCs w:val="24"/>
        </w:rPr>
        <w:t xml:space="preserve">eneral </w:t>
      </w:r>
      <w:r w:rsidRPr="00781920">
        <w:rPr>
          <w:rFonts w:ascii="Times New Roman" w:hAnsi="Times New Roman" w:cs="Times New Roman"/>
          <w:bCs/>
          <w:iCs/>
          <w:sz w:val="24"/>
          <w:szCs w:val="24"/>
        </w:rPr>
        <w:t>C</w:t>
      </w:r>
      <w:r w:rsidR="00047266" w:rsidRPr="00781920">
        <w:rPr>
          <w:rFonts w:ascii="Times New Roman" w:hAnsi="Times New Roman" w:cs="Times New Roman"/>
          <w:bCs/>
          <w:iCs/>
          <w:sz w:val="24"/>
          <w:szCs w:val="24"/>
        </w:rPr>
        <w:t>omment</w:t>
      </w:r>
      <w:r w:rsidRPr="00781920">
        <w:rPr>
          <w:rFonts w:ascii="Times New Roman" w:hAnsi="Times New Roman" w:cs="Times New Roman"/>
          <w:bCs/>
          <w:iCs/>
          <w:sz w:val="24"/>
          <w:szCs w:val="24"/>
        </w:rPr>
        <w:t xml:space="preserve"> 35 on </w:t>
      </w:r>
      <w:r w:rsidR="00047266" w:rsidRPr="00781920">
        <w:rPr>
          <w:rFonts w:ascii="Times New Roman" w:hAnsi="Times New Roman" w:cs="Times New Roman"/>
          <w:bCs/>
          <w:iCs/>
          <w:sz w:val="24"/>
          <w:szCs w:val="24"/>
        </w:rPr>
        <w:t>gender-based violence</w:t>
      </w:r>
      <w:r w:rsidRPr="00781920">
        <w:rPr>
          <w:rFonts w:ascii="Times New Roman" w:hAnsi="Times New Roman" w:cs="Times New Roman"/>
          <w:bCs/>
          <w:iCs/>
          <w:sz w:val="24"/>
          <w:szCs w:val="24"/>
        </w:rPr>
        <w:t xml:space="preserve">, the CEDAW Committee determined that </w:t>
      </w:r>
      <w:proofErr w:type="spellStart"/>
      <w:r w:rsidRPr="00781920">
        <w:rPr>
          <w:rFonts w:ascii="Times New Roman" w:hAnsi="Times New Roman" w:cs="Times New Roman"/>
          <w:bCs/>
          <w:iCs/>
          <w:sz w:val="24"/>
          <w:szCs w:val="24"/>
        </w:rPr>
        <w:t>criminalisa</w:t>
      </w:r>
      <w:r w:rsidR="002D601C" w:rsidRPr="00781920">
        <w:rPr>
          <w:rFonts w:ascii="Times New Roman" w:hAnsi="Times New Roman" w:cs="Times New Roman"/>
          <w:bCs/>
          <w:iCs/>
          <w:sz w:val="24"/>
          <w:szCs w:val="24"/>
        </w:rPr>
        <w:t>tion</w:t>
      </w:r>
      <w:proofErr w:type="spellEnd"/>
      <w:r w:rsidR="002D601C" w:rsidRPr="00781920">
        <w:rPr>
          <w:rFonts w:ascii="Times New Roman" w:hAnsi="Times New Roman" w:cs="Times New Roman"/>
          <w:bCs/>
          <w:iCs/>
          <w:sz w:val="24"/>
          <w:szCs w:val="24"/>
        </w:rPr>
        <w:t xml:space="preserve"> of abortion, is a form of </w:t>
      </w:r>
      <w:r w:rsidRPr="00781920">
        <w:rPr>
          <w:rFonts w:ascii="Times New Roman" w:hAnsi="Times New Roman" w:cs="Times New Roman"/>
          <w:bCs/>
          <w:iCs/>
          <w:sz w:val="24"/>
          <w:szCs w:val="24"/>
        </w:rPr>
        <w:t>“gender-based violence that, depending on the circumstances, may amount to torture or cruel, inhuman or degrading treatment."</w:t>
      </w:r>
    </w:p>
    <w:p w:rsidR="000D798C" w:rsidRPr="00781920" w:rsidRDefault="00D2190E" w:rsidP="00E01C3B">
      <w:pPr>
        <w:shd w:val="clear" w:color="auto" w:fill="FFFFFF"/>
        <w:spacing w:after="0" w:line="240" w:lineRule="auto"/>
        <w:jc w:val="both"/>
        <w:rPr>
          <w:rFonts w:ascii="Times New Roman" w:hAnsi="Times New Roman" w:cs="Times New Roman"/>
          <w:iCs/>
          <w:sz w:val="24"/>
          <w:szCs w:val="24"/>
        </w:rPr>
      </w:pPr>
      <w:r w:rsidRPr="00781920">
        <w:rPr>
          <w:rFonts w:ascii="Times New Roman" w:hAnsi="Times New Roman" w:cs="Times New Roman"/>
          <w:bCs/>
          <w:iCs/>
          <w:sz w:val="24"/>
          <w:szCs w:val="24"/>
        </w:rPr>
        <w:t xml:space="preserve">In line with these calls for the decriminalization of </w:t>
      </w:r>
      <w:r w:rsidR="008F1C25" w:rsidRPr="00781920">
        <w:rPr>
          <w:rFonts w:ascii="Times New Roman" w:hAnsi="Times New Roman" w:cs="Times New Roman"/>
          <w:bCs/>
          <w:iCs/>
          <w:sz w:val="24"/>
          <w:szCs w:val="24"/>
        </w:rPr>
        <w:t xml:space="preserve">the termination of </w:t>
      </w:r>
      <w:r w:rsidRPr="00781920">
        <w:rPr>
          <w:rFonts w:ascii="Times New Roman" w:hAnsi="Times New Roman" w:cs="Times New Roman"/>
          <w:bCs/>
          <w:iCs/>
          <w:sz w:val="24"/>
          <w:szCs w:val="24"/>
        </w:rPr>
        <w:t xml:space="preserve">pregnancy, </w:t>
      </w:r>
      <w:r w:rsidR="00712432" w:rsidRPr="00781920">
        <w:rPr>
          <w:rFonts w:ascii="Times New Roman" w:hAnsi="Times New Roman" w:cs="Times New Roman"/>
          <w:bCs/>
          <w:iCs/>
          <w:sz w:val="24"/>
          <w:szCs w:val="24"/>
        </w:rPr>
        <w:t xml:space="preserve">the Working Group has </w:t>
      </w:r>
      <w:r w:rsidR="005E50A3" w:rsidRPr="00781920">
        <w:rPr>
          <w:rFonts w:ascii="Times New Roman" w:hAnsi="Times New Roman" w:cs="Times New Roman"/>
          <w:bCs/>
          <w:iCs/>
          <w:sz w:val="24"/>
          <w:szCs w:val="24"/>
        </w:rPr>
        <w:t>called for protection of the</w:t>
      </w:r>
      <w:r w:rsidRPr="00781920">
        <w:rPr>
          <w:rFonts w:ascii="Times New Roman" w:hAnsi="Times New Roman" w:cs="Times New Roman"/>
          <w:bCs/>
          <w:iCs/>
          <w:sz w:val="24"/>
          <w:szCs w:val="24"/>
        </w:rPr>
        <w:t xml:space="preserve"> right to safe termination of pregnancy i</w:t>
      </w:r>
      <w:r w:rsidR="001D0369" w:rsidRPr="00781920">
        <w:rPr>
          <w:rFonts w:ascii="Times New Roman" w:hAnsi="Times New Roman" w:cs="Times New Roman"/>
          <w:bCs/>
          <w:iCs/>
          <w:sz w:val="24"/>
          <w:szCs w:val="24"/>
        </w:rPr>
        <w:t>n the context of the right to life enshrined in article 6 of the ICCPR.</w:t>
      </w:r>
      <w:r w:rsidR="002E6C25" w:rsidRPr="00781920">
        <w:rPr>
          <w:rStyle w:val="FootnoteReference"/>
          <w:rFonts w:ascii="Times New Roman" w:hAnsi="Times New Roman" w:cs="Times New Roman"/>
          <w:bCs/>
          <w:iCs/>
          <w:sz w:val="24"/>
          <w:szCs w:val="24"/>
        </w:rPr>
        <w:footnoteReference w:id="8"/>
      </w:r>
      <w:r w:rsidRPr="00781920">
        <w:rPr>
          <w:rFonts w:ascii="Times New Roman" w:hAnsi="Times New Roman" w:cs="Times New Roman"/>
          <w:sz w:val="24"/>
          <w:szCs w:val="24"/>
        </w:rPr>
        <w:t xml:space="preserve"> The criminalization of termination of pregnancy deters health officials from carrying out safe termination of pregnancy, even where it is legal, thus increasing the number of women seeking clandestine and unsafe solutions: “</w:t>
      </w:r>
      <w:r w:rsidRPr="00781920">
        <w:rPr>
          <w:rFonts w:ascii="Times New Roman" w:hAnsi="Times New Roman" w:cs="Times New Roman"/>
          <w:iCs/>
          <w:sz w:val="24"/>
          <w:szCs w:val="24"/>
        </w:rPr>
        <w:t>Ultimately, criminalization does grave harm to women’s health and human rights by stigmatizing a safe and needed medical procedure</w:t>
      </w:r>
      <w:r w:rsidRPr="00781920">
        <w:rPr>
          <w:rFonts w:ascii="Times New Roman" w:hAnsi="Times New Roman" w:cs="Times New Roman"/>
          <w:i/>
          <w:iCs/>
          <w:sz w:val="24"/>
          <w:szCs w:val="24"/>
        </w:rPr>
        <w:t>.</w:t>
      </w:r>
      <w:r w:rsidRPr="00781920">
        <w:rPr>
          <w:rFonts w:ascii="Times New Roman" w:hAnsi="Times New Roman" w:cs="Times New Roman"/>
          <w:iCs/>
          <w:sz w:val="24"/>
          <w:szCs w:val="24"/>
        </w:rPr>
        <w:t>”</w:t>
      </w:r>
      <w:r w:rsidR="006B3097" w:rsidRPr="00781920">
        <w:rPr>
          <w:rStyle w:val="FootnoteReference"/>
          <w:rFonts w:ascii="Times New Roman" w:hAnsi="Times New Roman" w:cs="Times New Roman"/>
          <w:iCs/>
          <w:sz w:val="24"/>
          <w:szCs w:val="24"/>
        </w:rPr>
        <w:footnoteReference w:id="9"/>
      </w:r>
      <w:r w:rsidR="000D798C" w:rsidRPr="00781920">
        <w:rPr>
          <w:rFonts w:ascii="Times New Roman" w:hAnsi="Times New Roman" w:cs="Times New Roman"/>
          <w:iCs/>
          <w:sz w:val="24"/>
          <w:szCs w:val="24"/>
        </w:rPr>
        <w:t xml:space="preserve"> The Working Group wishes to draw attention to the fact that it is a form of </w:t>
      </w:r>
      <w:proofErr w:type="spellStart"/>
      <w:r w:rsidR="000D798C" w:rsidRPr="00781920">
        <w:rPr>
          <w:rFonts w:ascii="Times New Roman" w:hAnsi="Times New Roman" w:cs="Times New Roman"/>
          <w:iCs/>
          <w:sz w:val="24"/>
          <w:szCs w:val="24"/>
        </w:rPr>
        <w:t>femicide</w:t>
      </w:r>
      <w:proofErr w:type="spellEnd"/>
      <w:r w:rsidR="000D798C" w:rsidRPr="00781920">
        <w:rPr>
          <w:rFonts w:ascii="Times New Roman" w:hAnsi="Times New Roman" w:cs="Times New Roman"/>
          <w:iCs/>
          <w:sz w:val="24"/>
          <w:szCs w:val="24"/>
        </w:rPr>
        <w:t xml:space="preserve"> to deny access to lawful and safe termination of pregnancy for women whose life is at risk if the pregnancy is continued.</w:t>
      </w:r>
    </w:p>
    <w:p w:rsidR="00D2190E" w:rsidRPr="00781920" w:rsidRDefault="00D2190E" w:rsidP="005E50A3">
      <w:pPr>
        <w:spacing w:after="0" w:line="240" w:lineRule="auto"/>
        <w:jc w:val="both"/>
        <w:rPr>
          <w:rFonts w:ascii="Times New Roman" w:hAnsi="Times New Roman" w:cs="Times New Roman"/>
          <w:iCs/>
          <w:sz w:val="24"/>
          <w:szCs w:val="24"/>
        </w:rPr>
      </w:pPr>
    </w:p>
    <w:p w:rsidR="00E46752" w:rsidRPr="00781920" w:rsidRDefault="00E46752" w:rsidP="00280859">
      <w:pPr>
        <w:jc w:val="both"/>
        <w:rPr>
          <w:rFonts w:ascii="Times New Roman" w:hAnsi="Times New Roman" w:cs="Times New Roman"/>
          <w:b/>
          <w:i/>
          <w:sz w:val="24"/>
          <w:szCs w:val="24"/>
        </w:rPr>
      </w:pPr>
      <w:r w:rsidRPr="00781920">
        <w:rPr>
          <w:rFonts w:ascii="Times New Roman" w:hAnsi="Times New Roman" w:cs="Times New Roman"/>
          <w:b/>
          <w:i/>
          <w:sz w:val="24"/>
          <w:szCs w:val="24"/>
        </w:rPr>
        <w:t>Grounds for termination of pregnancy after the first trimester</w:t>
      </w:r>
    </w:p>
    <w:p w:rsidR="00890EA0" w:rsidRPr="00781920" w:rsidRDefault="00E46752" w:rsidP="00BE5F57">
      <w:pPr>
        <w:shd w:val="clear" w:color="auto" w:fill="FFFFFF"/>
        <w:spacing w:line="240" w:lineRule="auto"/>
        <w:jc w:val="both"/>
        <w:rPr>
          <w:rFonts w:ascii="Times New Roman" w:hAnsi="Times New Roman" w:cs="Times New Roman"/>
          <w:bCs/>
          <w:iCs/>
          <w:sz w:val="24"/>
          <w:szCs w:val="24"/>
        </w:rPr>
      </w:pPr>
      <w:r w:rsidRPr="00781920">
        <w:rPr>
          <w:rFonts w:ascii="Times New Roman" w:hAnsi="Times New Roman" w:cs="Times New Roman"/>
          <w:bCs/>
          <w:iCs/>
          <w:sz w:val="24"/>
          <w:szCs w:val="24"/>
        </w:rPr>
        <w:t>The calls for decriminalization of abortion do not address the question of regulation of termination of pregnancy</w:t>
      </w:r>
      <w:r w:rsidR="008B56A6" w:rsidRPr="00781920">
        <w:rPr>
          <w:rFonts w:ascii="Times New Roman" w:hAnsi="Times New Roman" w:cs="Times New Roman"/>
          <w:bCs/>
          <w:iCs/>
          <w:sz w:val="24"/>
          <w:szCs w:val="24"/>
        </w:rPr>
        <w:t xml:space="preserve">, in general, and </w:t>
      </w:r>
      <w:r w:rsidRPr="00781920">
        <w:rPr>
          <w:rFonts w:ascii="Times New Roman" w:hAnsi="Times New Roman" w:cs="Times New Roman"/>
          <w:bCs/>
          <w:iCs/>
          <w:sz w:val="24"/>
          <w:szCs w:val="24"/>
        </w:rPr>
        <w:t>after the first trimester</w:t>
      </w:r>
      <w:r w:rsidR="008B56A6" w:rsidRPr="00781920">
        <w:rPr>
          <w:rFonts w:ascii="Times New Roman" w:hAnsi="Times New Roman" w:cs="Times New Roman"/>
          <w:bCs/>
          <w:iCs/>
          <w:sz w:val="24"/>
          <w:szCs w:val="24"/>
        </w:rPr>
        <w:t>, in particular</w:t>
      </w:r>
      <w:r w:rsidRPr="00781920">
        <w:rPr>
          <w:rFonts w:ascii="Times New Roman" w:hAnsi="Times New Roman" w:cs="Times New Roman"/>
          <w:bCs/>
          <w:iCs/>
          <w:sz w:val="24"/>
          <w:szCs w:val="24"/>
        </w:rPr>
        <w:t xml:space="preserve">. </w:t>
      </w:r>
      <w:r w:rsidR="004F257A" w:rsidRPr="00781920">
        <w:rPr>
          <w:rFonts w:ascii="Times New Roman" w:hAnsi="Times New Roman" w:cs="Times New Roman"/>
          <w:bCs/>
          <w:iCs/>
          <w:sz w:val="24"/>
          <w:szCs w:val="24"/>
        </w:rPr>
        <w:t>However</w:t>
      </w:r>
      <w:r w:rsidR="00A80097" w:rsidRPr="00781920">
        <w:rPr>
          <w:rFonts w:ascii="Times New Roman" w:hAnsi="Times New Roman" w:cs="Times New Roman"/>
          <w:bCs/>
          <w:iCs/>
          <w:sz w:val="24"/>
          <w:szCs w:val="24"/>
        </w:rPr>
        <w:t>, i</w:t>
      </w:r>
      <w:r w:rsidR="004F257A" w:rsidRPr="00781920">
        <w:rPr>
          <w:rFonts w:ascii="Times New Roman" w:hAnsi="Times New Roman" w:cs="Times New Roman"/>
          <w:bCs/>
          <w:iCs/>
          <w:sz w:val="24"/>
          <w:szCs w:val="24"/>
        </w:rPr>
        <w:t xml:space="preserve">t seems that the human rights mechanisms in their call for decriminalization are differentiating this from </w:t>
      </w:r>
      <w:r w:rsidR="008B56A6" w:rsidRPr="00781920">
        <w:rPr>
          <w:rFonts w:ascii="Times New Roman" w:hAnsi="Times New Roman" w:cs="Times New Roman"/>
          <w:bCs/>
          <w:iCs/>
          <w:sz w:val="24"/>
          <w:szCs w:val="24"/>
        </w:rPr>
        <w:t>legalization</w:t>
      </w:r>
      <w:r w:rsidR="004F257A" w:rsidRPr="00781920">
        <w:rPr>
          <w:rFonts w:ascii="Times New Roman" w:hAnsi="Times New Roman" w:cs="Times New Roman"/>
          <w:bCs/>
          <w:iCs/>
          <w:sz w:val="24"/>
          <w:szCs w:val="24"/>
        </w:rPr>
        <w:t xml:space="preserve"> which they continue to restrict to exceptional grounds</w:t>
      </w:r>
      <w:r w:rsidR="008B56A6" w:rsidRPr="00781920">
        <w:rPr>
          <w:rFonts w:ascii="Times New Roman" w:hAnsi="Times New Roman" w:cs="Times New Roman"/>
          <w:bCs/>
          <w:iCs/>
          <w:sz w:val="24"/>
          <w:szCs w:val="24"/>
        </w:rPr>
        <w:t xml:space="preserve">. Thus, for instance, </w:t>
      </w:r>
      <w:r w:rsidR="00BA758A" w:rsidRPr="00781920">
        <w:rPr>
          <w:rFonts w:ascii="Times New Roman" w:hAnsi="Times New Roman" w:cs="Times New Roman"/>
          <w:bCs/>
          <w:iCs/>
          <w:sz w:val="24"/>
          <w:szCs w:val="24"/>
        </w:rPr>
        <w:t>our expert group</w:t>
      </w:r>
      <w:r w:rsidR="00890EA0" w:rsidRPr="00781920">
        <w:rPr>
          <w:rFonts w:ascii="Times New Roman" w:hAnsi="Times New Roman" w:cs="Times New Roman"/>
          <w:bCs/>
          <w:iCs/>
          <w:sz w:val="24"/>
          <w:szCs w:val="24"/>
        </w:rPr>
        <w:t xml:space="preserve"> distinguished between decriminalization and legalization: “Repeal restrictive laws and policies in relation to termination of pregnancy, especially in cases of risk to the life or health, including the mental health, of the pregnant woman, rape, incest and fatal impairment of the fetus”; and “Discontinue the use of criminal law to punish a woman for ending a pregnancy and provide women and girls with medical treatment for miscarriage and complications of unsafe termination of pregnancy”</w:t>
      </w:r>
      <w:r w:rsidR="00A80097" w:rsidRPr="00781920">
        <w:rPr>
          <w:rFonts w:ascii="Times New Roman" w:hAnsi="Times New Roman" w:cs="Times New Roman"/>
          <w:bCs/>
          <w:iCs/>
          <w:sz w:val="24"/>
          <w:szCs w:val="24"/>
        </w:rPr>
        <w:t xml:space="preserve">. </w:t>
      </w:r>
      <w:r w:rsidR="00BE5F57" w:rsidRPr="00781920">
        <w:rPr>
          <w:rFonts w:ascii="Times New Roman" w:hAnsi="Times New Roman" w:cs="Times New Roman"/>
          <w:bCs/>
          <w:iCs/>
          <w:sz w:val="24"/>
          <w:szCs w:val="24"/>
        </w:rPr>
        <w:t>Similarly, the CEDAW Committee in its concluding observation to Myanmar stated that the State should:</w:t>
      </w:r>
      <w:r w:rsidR="00BE5F57" w:rsidRPr="00781920">
        <w:rPr>
          <w:rStyle w:val="FootnoteReference"/>
          <w:rFonts w:ascii="Times New Roman" w:hAnsi="Times New Roman" w:cs="Times New Roman"/>
          <w:bCs/>
          <w:iCs/>
          <w:sz w:val="24"/>
          <w:szCs w:val="24"/>
        </w:rPr>
        <w:footnoteReference w:id="10"/>
      </w:r>
      <w:r w:rsidR="00BE5F57" w:rsidRPr="00781920">
        <w:rPr>
          <w:rFonts w:ascii="Times New Roman" w:hAnsi="Times New Roman" w:cs="Times New Roman"/>
          <w:bCs/>
          <w:iCs/>
          <w:sz w:val="24"/>
          <w:szCs w:val="24"/>
        </w:rPr>
        <w:t>: "Amend its legislation to legalize abortion not only in cases in which the life of the pregnant woman is threatened, but also in all cases of rape, incest and severe fetal impairment, and to decriminalize abortion in all other cases;"</w:t>
      </w:r>
      <w:r w:rsidR="00BE5F57" w:rsidRPr="00781920">
        <w:rPr>
          <w:rStyle w:val="FootnoteReference"/>
          <w:rFonts w:ascii="Times New Roman" w:hAnsi="Times New Roman" w:cs="Times New Roman"/>
          <w:sz w:val="24"/>
          <w:szCs w:val="24"/>
        </w:rPr>
        <w:footnoteReference w:id="11"/>
      </w:r>
      <w:r w:rsidR="00A80097" w:rsidRPr="00781920">
        <w:rPr>
          <w:rFonts w:ascii="Times New Roman" w:hAnsi="Times New Roman" w:cs="Times New Roman"/>
          <w:bCs/>
          <w:iCs/>
          <w:sz w:val="24"/>
          <w:szCs w:val="24"/>
        </w:rPr>
        <w:t xml:space="preserve">In practice, most states which allow abortion on request during the first trimester do require grounds for termination of pregnancy after the first trimester. </w:t>
      </w:r>
    </w:p>
    <w:p w:rsidR="008E489C" w:rsidRPr="00781920" w:rsidRDefault="00890EA0" w:rsidP="00701255">
      <w:pPr>
        <w:spacing w:after="0" w:line="240" w:lineRule="auto"/>
        <w:jc w:val="both"/>
        <w:rPr>
          <w:rFonts w:ascii="Times New Roman" w:hAnsi="Times New Roman" w:cs="Times New Roman"/>
          <w:bCs/>
          <w:iCs/>
          <w:sz w:val="24"/>
          <w:szCs w:val="24"/>
        </w:rPr>
      </w:pPr>
      <w:r w:rsidRPr="00781920">
        <w:rPr>
          <w:rFonts w:ascii="Times New Roman" w:hAnsi="Times New Roman" w:cs="Times New Roman"/>
          <w:bCs/>
          <w:iCs/>
          <w:sz w:val="24"/>
          <w:szCs w:val="24"/>
        </w:rPr>
        <w:t xml:space="preserve">The requirement of grounds after the first trimester </w:t>
      </w:r>
      <w:r w:rsidR="003C25C2" w:rsidRPr="00781920">
        <w:rPr>
          <w:rFonts w:ascii="Times New Roman" w:hAnsi="Times New Roman" w:cs="Times New Roman"/>
          <w:bCs/>
          <w:iCs/>
          <w:sz w:val="24"/>
          <w:szCs w:val="24"/>
        </w:rPr>
        <w:t xml:space="preserve">may </w:t>
      </w:r>
      <w:r w:rsidRPr="00781920">
        <w:rPr>
          <w:rFonts w:ascii="Times New Roman" w:hAnsi="Times New Roman" w:cs="Times New Roman"/>
          <w:bCs/>
          <w:iCs/>
          <w:sz w:val="24"/>
          <w:szCs w:val="24"/>
        </w:rPr>
        <w:t xml:space="preserve">provide a balance between the human rights of the pregnant woman and </w:t>
      </w:r>
      <w:r w:rsidR="00EE0C1D" w:rsidRPr="00781920">
        <w:rPr>
          <w:rFonts w:ascii="Times New Roman" w:hAnsi="Times New Roman" w:cs="Times New Roman"/>
          <w:bCs/>
          <w:iCs/>
          <w:sz w:val="24"/>
          <w:szCs w:val="24"/>
        </w:rPr>
        <w:t>a</w:t>
      </w:r>
      <w:r w:rsidRPr="00781920">
        <w:rPr>
          <w:rFonts w:ascii="Times New Roman" w:hAnsi="Times New Roman" w:cs="Times New Roman"/>
          <w:bCs/>
          <w:iCs/>
          <w:sz w:val="24"/>
          <w:szCs w:val="24"/>
        </w:rPr>
        <w:t xml:space="preserve"> societal interest in discouraging termination where </w:t>
      </w:r>
      <w:r w:rsidR="00250A40" w:rsidRPr="00781920">
        <w:rPr>
          <w:rFonts w:ascii="Times New Roman" w:hAnsi="Times New Roman" w:cs="Times New Roman"/>
          <w:bCs/>
          <w:iCs/>
          <w:sz w:val="24"/>
          <w:szCs w:val="24"/>
        </w:rPr>
        <w:t xml:space="preserve">the pregnancy is more </w:t>
      </w:r>
      <w:r w:rsidR="008E489C" w:rsidRPr="00781920">
        <w:rPr>
          <w:rFonts w:ascii="Times New Roman" w:hAnsi="Times New Roman" w:cs="Times New Roman"/>
          <w:bCs/>
          <w:iCs/>
          <w:sz w:val="24"/>
          <w:szCs w:val="24"/>
        </w:rPr>
        <w:t>advanced</w:t>
      </w:r>
      <w:r w:rsidR="00250A40" w:rsidRPr="00781920">
        <w:rPr>
          <w:rFonts w:ascii="Times New Roman" w:hAnsi="Times New Roman" w:cs="Times New Roman"/>
          <w:bCs/>
          <w:iCs/>
          <w:sz w:val="24"/>
          <w:szCs w:val="24"/>
        </w:rPr>
        <w:t xml:space="preserve">, which involves a more complex medical procedure for the woman, and </w:t>
      </w:r>
      <w:r w:rsidR="008E489C" w:rsidRPr="00781920">
        <w:rPr>
          <w:rFonts w:ascii="Times New Roman" w:hAnsi="Times New Roman" w:cs="Times New Roman"/>
          <w:bCs/>
          <w:iCs/>
          <w:sz w:val="24"/>
          <w:szCs w:val="24"/>
        </w:rPr>
        <w:t xml:space="preserve">a more fully developed </w:t>
      </w:r>
      <w:proofErr w:type="spellStart"/>
      <w:r w:rsidR="008E489C" w:rsidRPr="00781920">
        <w:rPr>
          <w:rFonts w:ascii="Times New Roman" w:hAnsi="Times New Roman" w:cs="Times New Roman"/>
          <w:bCs/>
          <w:iCs/>
          <w:sz w:val="24"/>
          <w:szCs w:val="24"/>
        </w:rPr>
        <w:t>foetus</w:t>
      </w:r>
      <w:proofErr w:type="spellEnd"/>
      <w:r w:rsidRPr="00781920">
        <w:rPr>
          <w:rFonts w:ascii="Times New Roman" w:hAnsi="Times New Roman" w:cs="Times New Roman"/>
          <w:bCs/>
          <w:iCs/>
          <w:sz w:val="24"/>
          <w:szCs w:val="24"/>
        </w:rPr>
        <w:t xml:space="preserve">. </w:t>
      </w:r>
      <w:r w:rsidR="008E489C" w:rsidRPr="00781920">
        <w:rPr>
          <w:rFonts w:ascii="Times New Roman" w:hAnsi="Times New Roman" w:cs="Times New Roman"/>
          <w:bCs/>
          <w:iCs/>
          <w:sz w:val="24"/>
          <w:szCs w:val="24"/>
        </w:rPr>
        <w:t>Though there</w:t>
      </w:r>
      <w:r w:rsidR="002E6C25" w:rsidRPr="00781920">
        <w:rPr>
          <w:rFonts w:ascii="Times New Roman" w:hAnsi="Times New Roman" w:cs="Times New Roman"/>
          <w:bCs/>
          <w:iCs/>
          <w:sz w:val="24"/>
          <w:szCs w:val="24"/>
        </w:rPr>
        <w:t xml:space="preserve"> should never be criminalization of termination of pregnancy</w:t>
      </w:r>
      <w:r w:rsidR="008E489C" w:rsidRPr="00781920">
        <w:rPr>
          <w:rFonts w:ascii="Times New Roman" w:hAnsi="Times New Roman" w:cs="Times New Roman"/>
          <w:bCs/>
          <w:iCs/>
          <w:sz w:val="24"/>
          <w:szCs w:val="24"/>
        </w:rPr>
        <w:t>, term</w:t>
      </w:r>
      <w:r w:rsidR="002E6C25" w:rsidRPr="00781920">
        <w:rPr>
          <w:rFonts w:ascii="Times New Roman" w:hAnsi="Times New Roman" w:cs="Times New Roman"/>
          <w:bCs/>
          <w:iCs/>
          <w:sz w:val="24"/>
          <w:szCs w:val="24"/>
        </w:rPr>
        <w:t xml:space="preserve">ination after the first trimester </w:t>
      </w:r>
      <w:r w:rsidR="008E489C" w:rsidRPr="00781920">
        <w:rPr>
          <w:rFonts w:ascii="Times New Roman" w:hAnsi="Times New Roman" w:cs="Times New Roman"/>
          <w:bCs/>
          <w:iCs/>
          <w:sz w:val="24"/>
          <w:szCs w:val="24"/>
        </w:rPr>
        <w:t>may be subject to</w:t>
      </w:r>
      <w:r w:rsidR="002E6C25" w:rsidRPr="00781920">
        <w:rPr>
          <w:rFonts w:ascii="Times New Roman" w:hAnsi="Times New Roman" w:cs="Times New Roman"/>
          <w:bCs/>
          <w:iCs/>
          <w:sz w:val="24"/>
          <w:szCs w:val="24"/>
        </w:rPr>
        <w:t xml:space="preserve"> the need to make room for </w:t>
      </w:r>
      <w:r w:rsidR="008E489C" w:rsidRPr="00781920">
        <w:rPr>
          <w:rFonts w:ascii="Times New Roman" w:hAnsi="Times New Roman" w:cs="Times New Roman"/>
          <w:bCs/>
          <w:iCs/>
          <w:sz w:val="24"/>
          <w:szCs w:val="24"/>
        </w:rPr>
        <w:t xml:space="preserve">greater societal interest in the process of gestation and may hence be regulated in the health system, as regards the procedures for accessing medical services. </w:t>
      </w:r>
    </w:p>
    <w:p w:rsidR="008E489C" w:rsidRPr="00781920" w:rsidRDefault="008E489C" w:rsidP="008E489C">
      <w:pPr>
        <w:spacing w:after="0" w:line="240" w:lineRule="auto"/>
        <w:jc w:val="both"/>
        <w:rPr>
          <w:rFonts w:ascii="Times New Roman" w:hAnsi="Times New Roman" w:cs="Times New Roman"/>
          <w:color w:val="222222"/>
          <w:sz w:val="24"/>
          <w:szCs w:val="24"/>
          <w:shd w:val="clear" w:color="auto" w:fill="FFFFFF"/>
        </w:rPr>
      </w:pPr>
    </w:p>
    <w:p w:rsidR="008E797C" w:rsidRPr="00781920" w:rsidRDefault="008E489C" w:rsidP="00280859">
      <w:pPr>
        <w:spacing w:after="0" w:line="240" w:lineRule="auto"/>
        <w:jc w:val="both"/>
        <w:rPr>
          <w:rFonts w:ascii="Times New Roman" w:hAnsi="Times New Roman" w:cs="Times New Roman"/>
          <w:bCs/>
          <w:iCs/>
          <w:sz w:val="24"/>
          <w:szCs w:val="24"/>
        </w:rPr>
      </w:pPr>
      <w:r w:rsidRPr="00781920">
        <w:rPr>
          <w:rFonts w:ascii="Times New Roman" w:hAnsi="Times New Roman" w:cs="Times New Roman"/>
          <w:bCs/>
          <w:iCs/>
          <w:sz w:val="24"/>
          <w:szCs w:val="24"/>
        </w:rPr>
        <w:lastRenderedPageBreak/>
        <w:t>Nevertheless</w:t>
      </w:r>
      <w:r w:rsidR="00EE0C1D" w:rsidRPr="00781920">
        <w:rPr>
          <w:rFonts w:ascii="Times New Roman" w:hAnsi="Times New Roman" w:cs="Times New Roman"/>
          <w:bCs/>
          <w:iCs/>
          <w:sz w:val="24"/>
          <w:szCs w:val="24"/>
        </w:rPr>
        <w:t xml:space="preserve">, the requirement of grounds must not result in creating a barrier to termination of the pregnancy in situations in which the woman will pursue the course of seeking an unsafe termination rather than continuing the pregnancy. </w:t>
      </w:r>
      <w:r w:rsidR="008508FE" w:rsidRPr="00781920">
        <w:rPr>
          <w:rFonts w:ascii="Times New Roman" w:hAnsi="Times New Roman" w:cs="Times New Roman"/>
          <w:bCs/>
          <w:iCs/>
          <w:sz w:val="24"/>
          <w:szCs w:val="24"/>
        </w:rPr>
        <w:t xml:space="preserve">This involves a subjective as well as objective test of good reason, relying on the equal and indeed superior ability of women to make a judgment call regarding their reasons for not being able to continue the pregnancy. </w:t>
      </w:r>
      <w:r w:rsidR="00D7549C" w:rsidRPr="00781920">
        <w:rPr>
          <w:rFonts w:ascii="Times New Roman" w:hAnsi="Times New Roman" w:cs="Times New Roman"/>
          <w:bCs/>
          <w:iCs/>
          <w:sz w:val="24"/>
          <w:szCs w:val="24"/>
        </w:rPr>
        <w:t>T</w:t>
      </w:r>
      <w:r w:rsidR="00EE0C1D" w:rsidRPr="00781920">
        <w:rPr>
          <w:rFonts w:ascii="Times New Roman" w:hAnsi="Times New Roman" w:cs="Times New Roman"/>
          <w:bCs/>
          <w:iCs/>
          <w:sz w:val="24"/>
          <w:szCs w:val="24"/>
        </w:rPr>
        <w:t>he procedure for fulfilling the requirement must be immediate, in consultation with the medical ser</w:t>
      </w:r>
      <w:r w:rsidR="008508FE" w:rsidRPr="00781920">
        <w:rPr>
          <w:rFonts w:ascii="Times New Roman" w:hAnsi="Times New Roman" w:cs="Times New Roman"/>
          <w:bCs/>
          <w:iCs/>
          <w:sz w:val="24"/>
          <w:szCs w:val="24"/>
        </w:rPr>
        <w:t>vice providers</w:t>
      </w:r>
      <w:r w:rsidR="00D7549C" w:rsidRPr="00781920">
        <w:rPr>
          <w:rFonts w:ascii="Times New Roman" w:hAnsi="Times New Roman" w:cs="Times New Roman"/>
          <w:bCs/>
          <w:iCs/>
          <w:sz w:val="24"/>
          <w:szCs w:val="24"/>
        </w:rPr>
        <w:t xml:space="preserve"> in order to avoid delays which will in effect prevent the carrying out of a termination procedure before the pregnancy becomes more advanced</w:t>
      </w:r>
      <w:r w:rsidR="008508FE" w:rsidRPr="00781920">
        <w:rPr>
          <w:rFonts w:ascii="Times New Roman" w:hAnsi="Times New Roman" w:cs="Times New Roman"/>
          <w:bCs/>
          <w:iCs/>
          <w:sz w:val="24"/>
          <w:szCs w:val="24"/>
        </w:rPr>
        <w:t>. Barriers which do not fulfil th</w:t>
      </w:r>
      <w:r w:rsidR="00D7549C" w:rsidRPr="00781920">
        <w:rPr>
          <w:rFonts w:ascii="Times New Roman" w:hAnsi="Times New Roman" w:cs="Times New Roman"/>
          <w:bCs/>
          <w:iCs/>
          <w:sz w:val="24"/>
          <w:szCs w:val="24"/>
        </w:rPr>
        <w:t>ese</w:t>
      </w:r>
      <w:r w:rsidR="008508FE" w:rsidRPr="00781920">
        <w:rPr>
          <w:rFonts w:ascii="Times New Roman" w:hAnsi="Times New Roman" w:cs="Times New Roman"/>
          <w:bCs/>
          <w:iCs/>
          <w:sz w:val="24"/>
          <w:szCs w:val="24"/>
        </w:rPr>
        <w:t xml:space="preserve"> </w:t>
      </w:r>
      <w:r w:rsidR="00D7549C" w:rsidRPr="00781920">
        <w:rPr>
          <w:rFonts w:ascii="Times New Roman" w:hAnsi="Times New Roman" w:cs="Times New Roman"/>
          <w:bCs/>
          <w:iCs/>
          <w:sz w:val="24"/>
          <w:szCs w:val="24"/>
        </w:rPr>
        <w:t>conditions</w:t>
      </w:r>
      <w:r w:rsidR="008508FE" w:rsidRPr="00781920">
        <w:rPr>
          <w:rFonts w:ascii="Times New Roman" w:hAnsi="Times New Roman" w:cs="Times New Roman"/>
          <w:bCs/>
          <w:iCs/>
          <w:sz w:val="24"/>
          <w:szCs w:val="24"/>
        </w:rPr>
        <w:t xml:space="preserve"> in effect force </w:t>
      </w:r>
      <w:r w:rsidR="00D7549C" w:rsidRPr="00781920">
        <w:rPr>
          <w:rFonts w:ascii="Times New Roman" w:hAnsi="Times New Roman" w:cs="Times New Roman"/>
          <w:bCs/>
          <w:iCs/>
          <w:sz w:val="24"/>
          <w:szCs w:val="24"/>
        </w:rPr>
        <w:t>the termination</w:t>
      </w:r>
      <w:r w:rsidR="008508FE" w:rsidRPr="00781920">
        <w:rPr>
          <w:rFonts w:ascii="Times New Roman" w:hAnsi="Times New Roman" w:cs="Times New Roman"/>
          <w:bCs/>
          <w:iCs/>
          <w:sz w:val="24"/>
          <w:szCs w:val="24"/>
        </w:rPr>
        <w:t xml:space="preserve"> undergro</w:t>
      </w:r>
      <w:r w:rsidR="00250A40" w:rsidRPr="00781920">
        <w:rPr>
          <w:rFonts w:ascii="Times New Roman" w:hAnsi="Times New Roman" w:cs="Times New Roman"/>
          <w:bCs/>
          <w:iCs/>
          <w:sz w:val="24"/>
          <w:szCs w:val="24"/>
        </w:rPr>
        <w:t xml:space="preserve">und, </w:t>
      </w:r>
      <w:r w:rsidR="008508FE" w:rsidRPr="00781920">
        <w:rPr>
          <w:rFonts w:ascii="Times New Roman" w:hAnsi="Times New Roman" w:cs="Times New Roman"/>
          <w:bCs/>
          <w:iCs/>
          <w:sz w:val="24"/>
          <w:szCs w:val="24"/>
        </w:rPr>
        <w:t>result</w:t>
      </w:r>
      <w:r w:rsidR="00250A40" w:rsidRPr="00781920">
        <w:rPr>
          <w:rFonts w:ascii="Times New Roman" w:hAnsi="Times New Roman" w:cs="Times New Roman"/>
          <w:bCs/>
          <w:iCs/>
          <w:sz w:val="24"/>
          <w:szCs w:val="24"/>
        </w:rPr>
        <w:t>ing</w:t>
      </w:r>
      <w:r w:rsidR="008508FE" w:rsidRPr="00781920">
        <w:rPr>
          <w:rFonts w:ascii="Times New Roman" w:hAnsi="Times New Roman" w:cs="Times New Roman"/>
          <w:bCs/>
          <w:iCs/>
          <w:sz w:val="24"/>
          <w:szCs w:val="24"/>
        </w:rPr>
        <w:t xml:space="preserve"> in maternal mortality</w:t>
      </w:r>
      <w:r w:rsidR="00EE0C1D" w:rsidRPr="00781920">
        <w:rPr>
          <w:rFonts w:ascii="Times New Roman" w:hAnsi="Times New Roman" w:cs="Times New Roman"/>
          <w:bCs/>
          <w:iCs/>
          <w:sz w:val="24"/>
          <w:szCs w:val="24"/>
        </w:rPr>
        <w:t xml:space="preserve"> </w:t>
      </w:r>
      <w:r w:rsidR="008508FE" w:rsidRPr="00781920">
        <w:rPr>
          <w:rFonts w:ascii="Times New Roman" w:hAnsi="Times New Roman" w:cs="Times New Roman"/>
          <w:bCs/>
          <w:iCs/>
          <w:sz w:val="24"/>
          <w:szCs w:val="24"/>
        </w:rPr>
        <w:t xml:space="preserve">and morbidity for women who do not have the financial resources to seek illegal medical services by qualified practitioners. </w:t>
      </w:r>
    </w:p>
    <w:p w:rsidR="008E797C" w:rsidRPr="00781920" w:rsidRDefault="008E797C" w:rsidP="00280859">
      <w:pPr>
        <w:spacing w:after="0" w:line="240" w:lineRule="auto"/>
        <w:jc w:val="both"/>
        <w:rPr>
          <w:rFonts w:ascii="Times New Roman" w:hAnsi="Times New Roman" w:cs="Times New Roman"/>
          <w:bCs/>
          <w:iCs/>
          <w:sz w:val="24"/>
          <w:szCs w:val="24"/>
        </w:rPr>
      </w:pPr>
    </w:p>
    <w:p w:rsidR="00A30982" w:rsidRPr="00781920" w:rsidRDefault="008508FE" w:rsidP="002E6C25">
      <w:pPr>
        <w:spacing w:after="0" w:line="240" w:lineRule="auto"/>
        <w:jc w:val="both"/>
        <w:rPr>
          <w:rFonts w:ascii="Times New Roman" w:hAnsi="Times New Roman" w:cs="Times New Roman"/>
          <w:sz w:val="24"/>
          <w:szCs w:val="24"/>
        </w:rPr>
      </w:pPr>
      <w:r w:rsidRPr="00781920">
        <w:rPr>
          <w:rFonts w:ascii="Times New Roman" w:hAnsi="Times New Roman" w:cs="Times New Roman"/>
          <w:bCs/>
          <w:iCs/>
          <w:sz w:val="24"/>
          <w:szCs w:val="24"/>
        </w:rPr>
        <w:t>In any case</w:t>
      </w:r>
      <w:r w:rsidR="00890EA0" w:rsidRPr="00781920">
        <w:rPr>
          <w:rFonts w:ascii="Times New Roman" w:hAnsi="Times New Roman" w:cs="Times New Roman"/>
          <w:bCs/>
          <w:iCs/>
          <w:sz w:val="24"/>
          <w:szCs w:val="24"/>
        </w:rPr>
        <w:t xml:space="preserve">, </w:t>
      </w:r>
      <w:r w:rsidRPr="00781920">
        <w:rPr>
          <w:rFonts w:ascii="Times New Roman" w:hAnsi="Times New Roman" w:cs="Times New Roman"/>
          <w:bCs/>
          <w:iCs/>
          <w:sz w:val="24"/>
          <w:szCs w:val="24"/>
        </w:rPr>
        <w:t xml:space="preserve">where objective grounds are required, they </w:t>
      </w:r>
      <w:r w:rsidR="00890EA0" w:rsidRPr="00781920">
        <w:rPr>
          <w:rFonts w:ascii="Times New Roman" w:hAnsi="Times New Roman" w:cs="Times New Roman"/>
          <w:bCs/>
          <w:iCs/>
          <w:sz w:val="24"/>
          <w:szCs w:val="24"/>
        </w:rPr>
        <w:t xml:space="preserve">should be </w:t>
      </w:r>
      <w:r w:rsidRPr="00781920">
        <w:rPr>
          <w:rFonts w:ascii="Times New Roman" w:hAnsi="Times New Roman" w:cs="Times New Roman"/>
          <w:bCs/>
          <w:iCs/>
          <w:sz w:val="24"/>
          <w:szCs w:val="24"/>
        </w:rPr>
        <w:t>expan</w:t>
      </w:r>
      <w:r w:rsidR="00250A40" w:rsidRPr="00781920">
        <w:rPr>
          <w:rFonts w:ascii="Times New Roman" w:hAnsi="Times New Roman" w:cs="Times New Roman"/>
          <w:bCs/>
          <w:iCs/>
          <w:sz w:val="24"/>
          <w:szCs w:val="24"/>
        </w:rPr>
        <w:t>sive</w:t>
      </w:r>
      <w:r w:rsidRPr="00781920">
        <w:rPr>
          <w:rFonts w:ascii="Times New Roman" w:hAnsi="Times New Roman" w:cs="Times New Roman"/>
          <w:bCs/>
          <w:iCs/>
          <w:sz w:val="24"/>
          <w:szCs w:val="24"/>
        </w:rPr>
        <w:t>.</w:t>
      </w:r>
      <w:r w:rsidR="002E6C25" w:rsidRPr="00781920">
        <w:rPr>
          <w:rStyle w:val="FootnoteReference"/>
          <w:rFonts w:ascii="Times New Roman" w:hAnsi="Times New Roman" w:cs="Times New Roman"/>
          <w:bCs/>
          <w:iCs/>
          <w:sz w:val="24"/>
          <w:szCs w:val="24"/>
        </w:rPr>
        <w:footnoteReference w:id="12"/>
      </w:r>
      <w:r w:rsidR="00250A40" w:rsidRPr="00781920">
        <w:rPr>
          <w:rFonts w:ascii="Times New Roman" w:hAnsi="Times New Roman" w:cs="Times New Roman"/>
          <w:bCs/>
          <w:iCs/>
          <w:sz w:val="24"/>
          <w:szCs w:val="24"/>
        </w:rPr>
        <w:t xml:space="preserve"> Grounds proposed by various human right mechanisms have included risk to the life or health, including the mental health, of the pregnant woman, rape, incest and fatal or severe impairment of the fetus. </w:t>
      </w:r>
      <w:r w:rsidR="00760E8A" w:rsidRPr="00781920">
        <w:rPr>
          <w:rFonts w:ascii="Times New Roman" w:hAnsi="Times New Roman" w:cs="Times New Roman"/>
          <w:iCs/>
          <w:sz w:val="24"/>
          <w:szCs w:val="24"/>
        </w:rPr>
        <w:t>The existing list is</w:t>
      </w:r>
      <w:r w:rsidR="00A30982" w:rsidRPr="00781920">
        <w:rPr>
          <w:rFonts w:ascii="Times New Roman" w:hAnsi="Times New Roman" w:cs="Times New Roman"/>
          <w:sz w:val="24"/>
          <w:szCs w:val="24"/>
        </w:rPr>
        <w:t xml:space="preserve"> eclectic and gives a solution only to </w:t>
      </w:r>
      <w:r w:rsidR="00760E8A" w:rsidRPr="00781920">
        <w:rPr>
          <w:rFonts w:ascii="Times New Roman" w:hAnsi="Times New Roman" w:cs="Times New Roman"/>
          <w:sz w:val="24"/>
          <w:szCs w:val="24"/>
        </w:rPr>
        <w:t>a few</w:t>
      </w:r>
      <w:r w:rsidR="00A30982" w:rsidRPr="00781920">
        <w:rPr>
          <w:rFonts w:ascii="Times New Roman" w:hAnsi="Times New Roman" w:cs="Times New Roman"/>
          <w:sz w:val="24"/>
          <w:szCs w:val="24"/>
        </w:rPr>
        <w:t xml:space="preserve"> distinct reason</w:t>
      </w:r>
      <w:r w:rsidR="00760E8A" w:rsidRPr="00781920">
        <w:rPr>
          <w:rFonts w:ascii="Times New Roman" w:hAnsi="Times New Roman" w:cs="Times New Roman"/>
          <w:sz w:val="24"/>
          <w:szCs w:val="24"/>
        </w:rPr>
        <w:t>s</w:t>
      </w:r>
      <w:r w:rsidR="00A30982" w:rsidRPr="00781920">
        <w:rPr>
          <w:rFonts w:ascii="Times New Roman" w:hAnsi="Times New Roman" w:cs="Times New Roman"/>
          <w:sz w:val="24"/>
          <w:szCs w:val="24"/>
        </w:rPr>
        <w:t xml:space="preserve"> amongst the many legal, cultural, social or economic reasons just as compelling which may force women to seek termination of pregnancy. Examples include pregnancies in situations of domestic violence, child marriage, </w:t>
      </w:r>
      <w:r w:rsidR="00760E8A" w:rsidRPr="00781920">
        <w:rPr>
          <w:rFonts w:ascii="Times New Roman" w:hAnsi="Times New Roman" w:cs="Times New Roman"/>
          <w:sz w:val="24"/>
          <w:szCs w:val="24"/>
        </w:rPr>
        <w:t xml:space="preserve">refugee status, </w:t>
      </w:r>
      <w:r w:rsidR="00A30982" w:rsidRPr="00781920">
        <w:rPr>
          <w:rFonts w:ascii="Times New Roman" w:hAnsi="Times New Roman" w:cs="Times New Roman"/>
          <w:sz w:val="24"/>
          <w:szCs w:val="24"/>
        </w:rPr>
        <w:t xml:space="preserve">extreme poverty etc. Indeed it is not possible to list a priori all the situations in which women may be forced to seek termination of pregnancy.  Our expert group </w:t>
      </w:r>
      <w:r w:rsidR="00760E8A" w:rsidRPr="00781920">
        <w:rPr>
          <w:rFonts w:ascii="Times New Roman" w:hAnsi="Times New Roman" w:cs="Times New Roman"/>
          <w:sz w:val="24"/>
          <w:szCs w:val="24"/>
        </w:rPr>
        <w:t>has suggested</w:t>
      </w:r>
      <w:r w:rsidR="00760E8A" w:rsidRPr="00781920">
        <w:rPr>
          <w:rStyle w:val="FootnoteReference"/>
          <w:rFonts w:ascii="Times New Roman" w:hAnsi="Times New Roman" w:cs="Times New Roman"/>
          <w:sz w:val="24"/>
          <w:szCs w:val="24"/>
        </w:rPr>
        <w:footnoteReference w:id="13"/>
      </w:r>
      <w:r w:rsidR="00760E8A" w:rsidRPr="00781920">
        <w:rPr>
          <w:rFonts w:ascii="Times New Roman" w:hAnsi="Times New Roman" w:cs="Times New Roman"/>
          <w:sz w:val="24"/>
          <w:szCs w:val="24"/>
        </w:rPr>
        <w:t xml:space="preserve"> </w:t>
      </w:r>
      <w:r w:rsidR="00A30982" w:rsidRPr="00781920">
        <w:rPr>
          <w:rFonts w:ascii="Times New Roman" w:hAnsi="Times New Roman" w:cs="Times New Roman"/>
          <w:sz w:val="24"/>
          <w:szCs w:val="24"/>
        </w:rPr>
        <w:t>that in the vast majority of cases women only seek termination of pregnancy when they are forced to do so by oppressive legal, cultural, social or economic circumstances</w:t>
      </w:r>
      <w:r w:rsidR="001D0369" w:rsidRPr="00781920">
        <w:rPr>
          <w:rFonts w:ascii="Times New Roman" w:hAnsi="Times New Roman" w:cs="Times New Roman"/>
          <w:sz w:val="24"/>
          <w:szCs w:val="24"/>
        </w:rPr>
        <w:t>.</w:t>
      </w:r>
      <w:r w:rsidR="00760E8A" w:rsidRPr="00781920">
        <w:rPr>
          <w:rFonts w:ascii="Times New Roman" w:hAnsi="Times New Roman" w:cs="Times New Roman"/>
          <w:sz w:val="24"/>
          <w:szCs w:val="24"/>
        </w:rPr>
        <w:t xml:space="preserve"> </w:t>
      </w:r>
    </w:p>
    <w:p w:rsidR="00A30982" w:rsidRPr="00781920" w:rsidRDefault="00A30982" w:rsidP="00280859">
      <w:pPr>
        <w:spacing w:after="0" w:line="240" w:lineRule="auto"/>
        <w:jc w:val="both"/>
        <w:rPr>
          <w:rFonts w:ascii="Times New Roman" w:hAnsi="Times New Roman" w:cs="Times New Roman"/>
          <w:sz w:val="24"/>
          <w:szCs w:val="24"/>
        </w:rPr>
      </w:pPr>
    </w:p>
    <w:p w:rsidR="009A5E0B" w:rsidRPr="00781920" w:rsidRDefault="00A30982" w:rsidP="002A6334">
      <w:pPr>
        <w:spacing w:after="0" w:line="240" w:lineRule="auto"/>
        <w:jc w:val="both"/>
        <w:rPr>
          <w:rFonts w:ascii="Times New Roman" w:hAnsi="Times New Roman" w:cs="Times New Roman"/>
          <w:bCs/>
          <w:iCs/>
          <w:sz w:val="24"/>
          <w:szCs w:val="24"/>
        </w:rPr>
      </w:pPr>
      <w:r w:rsidRPr="00781920">
        <w:rPr>
          <w:rFonts w:ascii="Times New Roman" w:hAnsi="Times New Roman" w:cs="Times New Roman"/>
          <w:bCs/>
          <w:iCs/>
          <w:sz w:val="24"/>
          <w:szCs w:val="24"/>
        </w:rPr>
        <w:t xml:space="preserve">Human rights mechanisms </w:t>
      </w:r>
      <w:r w:rsidR="00250A40" w:rsidRPr="00781920">
        <w:rPr>
          <w:rFonts w:ascii="Times New Roman" w:hAnsi="Times New Roman" w:cs="Times New Roman"/>
          <w:bCs/>
          <w:iCs/>
          <w:sz w:val="24"/>
          <w:szCs w:val="24"/>
        </w:rPr>
        <w:t xml:space="preserve">have </w:t>
      </w:r>
      <w:r w:rsidR="00E607C0" w:rsidRPr="00781920">
        <w:rPr>
          <w:rFonts w:ascii="Times New Roman" w:hAnsi="Times New Roman" w:cs="Times New Roman"/>
          <w:bCs/>
          <w:iCs/>
          <w:sz w:val="24"/>
          <w:szCs w:val="24"/>
        </w:rPr>
        <w:t>unambiguously</w:t>
      </w:r>
      <w:r w:rsidR="00250A40" w:rsidRPr="00781920">
        <w:rPr>
          <w:rFonts w:ascii="Times New Roman" w:hAnsi="Times New Roman" w:cs="Times New Roman"/>
          <w:bCs/>
          <w:iCs/>
          <w:sz w:val="24"/>
          <w:szCs w:val="24"/>
        </w:rPr>
        <w:t xml:space="preserve"> called for </w:t>
      </w:r>
      <w:r w:rsidRPr="00781920">
        <w:rPr>
          <w:rFonts w:ascii="Times New Roman" w:hAnsi="Times New Roman" w:cs="Times New Roman"/>
          <w:bCs/>
          <w:iCs/>
          <w:sz w:val="24"/>
          <w:szCs w:val="24"/>
        </w:rPr>
        <w:t xml:space="preserve">legalizing the termination </w:t>
      </w:r>
      <w:r w:rsidR="00250A40" w:rsidRPr="00781920">
        <w:rPr>
          <w:rFonts w:ascii="Times New Roman" w:hAnsi="Times New Roman" w:cs="Times New Roman"/>
          <w:bCs/>
          <w:iCs/>
          <w:sz w:val="24"/>
          <w:szCs w:val="24"/>
        </w:rPr>
        <w:t xml:space="preserve">of pregnancy of children under the age of 18. </w:t>
      </w:r>
      <w:r w:rsidR="00B627DC" w:rsidRPr="00781920">
        <w:rPr>
          <w:rFonts w:ascii="Times New Roman" w:hAnsi="Times New Roman" w:cs="Times New Roman"/>
          <w:bCs/>
          <w:iCs/>
          <w:sz w:val="24"/>
          <w:szCs w:val="24"/>
        </w:rPr>
        <w:t>Our</w:t>
      </w:r>
      <w:r w:rsidR="00701255" w:rsidRPr="00781920">
        <w:rPr>
          <w:rFonts w:ascii="Times New Roman" w:hAnsi="Times New Roman" w:cs="Times New Roman"/>
          <w:bCs/>
          <w:iCs/>
          <w:sz w:val="24"/>
          <w:szCs w:val="24"/>
        </w:rPr>
        <w:t xml:space="preserve"> Working Group</w:t>
      </w:r>
      <w:r w:rsidR="00D7549C" w:rsidRPr="00781920">
        <w:rPr>
          <w:rFonts w:ascii="Times New Roman" w:hAnsi="Times New Roman" w:cs="Times New Roman"/>
          <w:bCs/>
          <w:iCs/>
          <w:sz w:val="24"/>
          <w:szCs w:val="24"/>
        </w:rPr>
        <w:t xml:space="preserve"> had repeatedly called for provision of access to termination of pregnancy for adolescent girls, in its country visits and</w:t>
      </w:r>
      <w:r w:rsidR="00C10B5C" w:rsidRPr="00781920">
        <w:rPr>
          <w:rFonts w:ascii="Times New Roman" w:hAnsi="Times New Roman" w:cs="Times New Roman"/>
          <w:bCs/>
          <w:iCs/>
          <w:sz w:val="24"/>
          <w:szCs w:val="24"/>
        </w:rPr>
        <w:t xml:space="preserve"> also intervened, unfortunately without success, in the case of a 10 year old girl in Paraguay</w:t>
      </w:r>
      <w:r w:rsidR="00F804FC" w:rsidRPr="00781920">
        <w:rPr>
          <w:rStyle w:val="FootnoteReference"/>
          <w:rFonts w:ascii="Times New Roman" w:hAnsi="Times New Roman" w:cs="Times New Roman"/>
          <w:bCs/>
          <w:iCs/>
          <w:sz w:val="24"/>
          <w:szCs w:val="24"/>
        </w:rPr>
        <w:footnoteReference w:id="14"/>
      </w:r>
      <w:r w:rsidR="00C10B5C" w:rsidRPr="00781920">
        <w:rPr>
          <w:rFonts w:ascii="Times New Roman" w:hAnsi="Times New Roman" w:cs="Times New Roman"/>
          <w:bCs/>
          <w:iCs/>
          <w:sz w:val="24"/>
          <w:szCs w:val="24"/>
        </w:rPr>
        <w:t xml:space="preserve"> who was forced to carry </w:t>
      </w:r>
      <w:r w:rsidR="00DC184A" w:rsidRPr="00781920">
        <w:rPr>
          <w:rFonts w:ascii="Times New Roman" w:hAnsi="Times New Roman" w:cs="Times New Roman"/>
          <w:bCs/>
          <w:iCs/>
          <w:sz w:val="24"/>
          <w:szCs w:val="24"/>
        </w:rPr>
        <w:t xml:space="preserve">to term </w:t>
      </w:r>
      <w:r w:rsidR="00C10B5C" w:rsidRPr="00781920">
        <w:rPr>
          <w:rFonts w:ascii="Times New Roman" w:hAnsi="Times New Roman" w:cs="Times New Roman"/>
          <w:bCs/>
          <w:iCs/>
          <w:sz w:val="24"/>
          <w:szCs w:val="24"/>
        </w:rPr>
        <w:t xml:space="preserve">a pregnancy resulting from rape. The Group </w:t>
      </w:r>
      <w:r w:rsidR="00D7549C" w:rsidRPr="00781920">
        <w:rPr>
          <w:rFonts w:ascii="Times New Roman" w:hAnsi="Times New Roman" w:cs="Times New Roman"/>
          <w:bCs/>
          <w:iCs/>
          <w:sz w:val="24"/>
          <w:szCs w:val="24"/>
        </w:rPr>
        <w:t>included a recommendation to this effect in its 2016 Thematic Report on Health and Safety</w:t>
      </w:r>
      <w:r w:rsidR="00C10B5C" w:rsidRPr="00781920">
        <w:rPr>
          <w:rFonts w:ascii="Times New Roman" w:hAnsi="Times New Roman" w:cs="Times New Roman"/>
          <w:bCs/>
          <w:iCs/>
          <w:sz w:val="24"/>
          <w:szCs w:val="24"/>
        </w:rPr>
        <w:t>: “Allow pregnant girls and adolescents to terminate unwanted pregnancies, as a measure of equality and health, so that they can complete their school education and protect them from the high risk to life and health, including from obstetric fistula, in continuing to bring a pregnancy to term”.</w:t>
      </w:r>
      <w:r w:rsidR="00E607C0" w:rsidRPr="00781920">
        <w:rPr>
          <w:rFonts w:ascii="Times New Roman" w:hAnsi="Times New Roman" w:cs="Times New Roman"/>
          <w:bCs/>
          <w:iCs/>
          <w:sz w:val="24"/>
          <w:szCs w:val="24"/>
        </w:rPr>
        <w:t xml:space="preserve"> </w:t>
      </w:r>
      <w:r w:rsidR="00250A40" w:rsidRPr="00781920">
        <w:rPr>
          <w:rFonts w:ascii="Times New Roman" w:hAnsi="Times New Roman" w:cs="Times New Roman"/>
          <w:bCs/>
          <w:iCs/>
          <w:sz w:val="24"/>
          <w:szCs w:val="24"/>
        </w:rPr>
        <w:t>The Committee on the Rights of the Child</w:t>
      </w:r>
      <w:r w:rsidR="00EE1BEC" w:rsidRPr="00781920">
        <w:rPr>
          <w:rFonts w:ascii="Times New Roman" w:hAnsi="Times New Roman" w:cs="Times New Roman"/>
          <w:bCs/>
          <w:iCs/>
          <w:sz w:val="24"/>
          <w:szCs w:val="24"/>
        </w:rPr>
        <w:t xml:space="preserve"> too</w:t>
      </w:r>
      <w:r w:rsidR="00250A40" w:rsidRPr="00781920">
        <w:rPr>
          <w:rFonts w:ascii="Times New Roman" w:hAnsi="Times New Roman" w:cs="Times New Roman"/>
          <w:bCs/>
          <w:iCs/>
          <w:sz w:val="24"/>
          <w:szCs w:val="24"/>
        </w:rPr>
        <w:t xml:space="preserve"> </w:t>
      </w:r>
      <w:r w:rsidR="00D7549C" w:rsidRPr="00781920">
        <w:rPr>
          <w:rFonts w:ascii="Times New Roman" w:hAnsi="Times New Roman" w:cs="Times New Roman"/>
          <w:bCs/>
          <w:iCs/>
          <w:sz w:val="24"/>
          <w:szCs w:val="24"/>
        </w:rPr>
        <w:t xml:space="preserve">included a strong recommendation for decriminalization of abortion in the case of pregnant adolescents in </w:t>
      </w:r>
      <w:r w:rsidR="00EE1BEC" w:rsidRPr="00781920">
        <w:rPr>
          <w:rFonts w:ascii="Times New Roman" w:hAnsi="Times New Roman" w:cs="Times New Roman"/>
          <w:bCs/>
          <w:iCs/>
          <w:sz w:val="24"/>
          <w:szCs w:val="24"/>
        </w:rPr>
        <w:t xml:space="preserve">its </w:t>
      </w:r>
      <w:r w:rsidR="00D7549C" w:rsidRPr="00781920">
        <w:rPr>
          <w:rFonts w:ascii="Times New Roman" w:hAnsi="Times New Roman" w:cs="Times New Roman"/>
          <w:bCs/>
          <w:iCs/>
          <w:sz w:val="24"/>
          <w:szCs w:val="24"/>
        </w:rPr>
        <w:t>General Comment 80, in 2016: "The Committee urges States to decriminalize abortion to ensure that girls have access to safe abortion and post-abortion services, review legislation with a view to guaranteeing the best interests of pregnant adolescents and ensure that their views are always heard and respected in abortion-related decisions."</w:t>
      </w:r>
      <w:r w:rsidR="00250A40" w:rsidRPr="00781920">
        <w:rPr>
          <w:rFonts w:ascii="Times New Roman" w:hAnsi="Times New Roman" w:cs="Times New Roman"/>
          <w:bCs/>
          <w:iCs/>
          <w:sz w:val="24"/>
          <w:szCs w:val="24"/>
        </w:rPr>
        <w:t xml:space="preserve"> </w:t>
      </w:r>
    </w:p>
    <w:p w:rsidR="002A6334" w:rsidRPr="00781920" w:rsidRDefault="002A6334" w:rsidP="002A6334">
      <w:pPr>
        <w:spacing w:after="0" w:line="240" w:lineRule="auto"/>
        <w:jc w:val="both"/>
        <w:rPr>
          <w:rFonts w:ascii="Times New Roman" w:hAnsi="Times New Roman" w:cs="Times New Roman"/>
          <w:bCs/>
          <w:iCs/>
          <w:sz w:val="24"/>
          <w:szCs w:val="24"/>
        </w:rPr>
      </w:pPr>
    </w:p>
    <w:p w:rsidR="009A5E0B" w:rsidRPr="00781920" w:rsidRDefault="009A5E0B" w:rsidP="00280859">
      <w:pPr>
        <w:spacing w:line="240" w:lineRule="auto"/>
        <w:jc w:val="both"/>
        <w:rPr>
          <w:rFonts w:ascii="Times New Roman" w:hAnsi="Times New Roman" w:cs="Times New Roman"/>
          <w:bCs/>
          <w:iCs/>
          <w:sz w:val="24"/>
          <w:szCs w:val="24"/>
        </w:rPr>
      </w:pPr>
      <w:r w:rsidRPr="00781920">
        <w:rPr>
          <w:rFonts w:ascii="Times New Roman" w:hAnsi="Times New Roman" w:cs="Times New Roman"/>
          <w:bCs/>
          <w:iCs/>
          <w:sz w:val="24"/>
          <w:szCs w:val="24"/>
        </w:rPr>
        <w:t xml:space="preserve">The Committee for the Rights of Persons with Disability (CRPD) has </w:t>
      </w:r>
      <w:r w:rsidR="0094770C" w:rsidRPr="00781920">
        <w:rPr>
          <w:rFonts w:ascii="Times New Roman" w:hAnsi="Times New Roman" w:cs="Times New Roman"/>
          <w:bCs/>
          <w:iCs/>
          <w:sz w:val="24"/>
          <w:szCs w:val="24"/>
        </w:rPr>
        <w:t xml:space="preserve">in its concluding observations called on </w:t>
      </w:r>
      <w:r w:rsidRPr="00781920">
        <w:rPr>
          <w:rFonts w:ascii="Times New Roman" w:hAnsi="Times New Roman" w:cs="Times New Roman"/>
          <w:bCs/>
          <w:iCs/>
          <w:sz w:val="24"/>
          <w:szCs w:val="24"/>
        </w:rPr>
        <w:t>the United Kingdom</w:t>
      </w:r>
      <w:r w:rsidRPr="00781920">
        <w:rPr>
          <w:rStyle w:val="FootnoteReference"/>
          <w:rFonts w:ascii="Times New Roman" w:hAnsi="Times New Roman" w:cs="Times New Roman"/>
          <w:sz w:val="24"/>
          <w:szCs w:val="24"/>
        </w:rPr>
        <w:footnoteReference w:id="15"/>
      </w:r>
      <w:r w:rsidR="0094770C" w:rsidRPr="00781920">
        <w:rPr>
          <w:rFonts w:ascii="Times New Roman" w:hAnsi="Times New Roman" w:cs="Times New Roman"/>
          <w:sz w:val="24"/>
          <w:szCs w:val="24"/>
        </w:rPr>
        <w:t xml:space="preserve"> to </w:t>
      </w:r>
      <w:r w:rsidR="0094770C" w:rsidRPr="00781920">
        <w:rPr>
          <w:rFonts w:ascii="Times New Roman" w:hAnsi="Times New Roman" w:cs="Times New Roman"/>
          <w:bCs/>
          <w:iCs/>
          <w:sz w:val="24"/>
          <w:szCs w:val="24"/>
        </w:rPr>
        <w:t>withdraw the right to terminate a pregnancy on the grounds of fetal impairment:</w:t>
      </w:r>
      <w:r w:rsidRPr="00781920">
        <w:rPr>
          <w:rFonts w:ascii="Times New Roman" w:hAnsi="Times New Roman" w:cs="Times New Roman"/>
          <w:bCs/>
          <w:iCs/>
          <w:sz w:val="24"/>
          <w:szCs w:val="24"/>
        </w:rPr>
        <w:t xml:space="preserve">  "Women’s rights to reproductive and sexual autonomy should </w:t>
      </w:r>
      <w:r w:rsidRPr="00781920">
        <w:rPr>
          <w:rFonts w:ascii="Times New Roman" w:hAnsi="Times New Roman" w:cs="Times New Roman"/>
          <w:bCs/>
          <w:iCs/>
          <w:sz w:val="24"/>
          <w:szCs w:val="24"/>
        </w:rPr>
        <w:lastRenderedPageBreak/>
        <w:t xml:space="preserve">be respected without legalizing selective abortions on ground of </w:t>
      </w:r>
      <w:proofErr w:type="spellStart"/>
      <w:r w:rsidRPr="00781920">
        <w:rPr>
          <w:rFonts w:ascii="Times New Roman" w:hAnsi="Times New Roman" w:cs="Times New Roman"/>
          <w:bCs/>
          <w:iCs/>
          <w:sz w:val="24"/>
          <w:szCs w:val="24"/>
        </w:rPr>
        <w:t>foetus</w:t>
      </w:r>
      <w:proofErr w:type="spellEnd"/>
      <w:r w:rsidRPr="00781920">
        <w:rPr>
          <w:rFonts w:ascii="Times New Roman" w:hAnsi="Times New Roman" w:cs="Times New Roman"/>
          <w:bCs/>
          <w:iCs/>
          <w:sz w:val="24"/>
          <w:szCs w:val="24"/>
        </w:rPr>
        <w:t xml:space="preserve"> deficiency." This </w:t>
      </w:r>
      <w:r w:rsidR="0094770C" w:rsidRPr="00781920">
        <w:rPr>
          <w:rFonts w:ascii="Times New Roman" w:hAnsi="Times New Roman" w:cs="Times New Roman"/>
          <w:bCs/>
          <w:iCs/>
          <w:sz w:val="24"/>
          <w:szCs w:val="24"/>
        </w:rPr>
        <w:t xml:space="preserve">position adopted by the CRPD </w:t>
      </w:r>
      <w:r w:rsidRPr="00781920">
        <w:rPr>
          <w:rFonts w:ascii="Times New Roman" w:hAnsi="Times New Roman" w:cs="Times New Roman"/>
          <w:bCs/>
          <w:iCs/>
          <w:sz w:val="24"/>
          <w:szCs w:val="24"/>
        </w:rPr>
        <w:t xml:space="preserve">severely limits a pregnant woman's reproductive autonomy, even though the Committee says </w:t>
      </w:r>
      <w:r w:rsidR="0094770C" w:rsidRPr="00781920">
        <w:rPr>
          <w:rFonts w:ascii="Times New Roman" w:hAnsi="Times New Roman" w:cs="Times New Roman"/>
          <w:bCs/>
          <w:iCs/>
          <w:sz w:val="24"/>
          <w:szCs w:val="24"/>
        </w:rPr>
        <w:t>that autonomy</w:t>
      </w:r>
      <w:r w:rsidRPr="00781920">
        <w:rPr>
          <w:rFonts w:ascii="Times New Roman" w:hAnsi="Times New Roman" w:cs="Times New Roman"/>
          <w:bCs/>
          <w:iCs/>
          <w:sz w:val="24"/>
          <w:szCs w:val="24"/>
        </w:rPr>
        <w:t xml:space="preserve"> should be respected, because so few countries are willing to allow abortion at the pregnant woman's request.</w:t>
      </w:r>
      <w:r w:rsidR="0094770C" w:rsidRPr="00781920">
        <w:rPr>
          <w:rFonts w:ascii="Times New Roman" w:hAnsi="Times New Roman" w:cs="Times New Roman"/>
          <w:bCs/>
          <w:iCs/>
          <w:sz w:val="24"/>
          <w:szCs w:val="24"/>
        </w:rPr>
        <w:t xml:space="preserve"> The extremely important goal of respecting, protecting and fulfilling the human rights of persons with disabilities is accorded to those who are born and should not be relied upon to give priority to a societal interest in the gestation of a </w:t>
      </w:r>
      <w:proofErr w:type="spellStart"/>
      <w:r w:rsidR="0094770C" w:rsidRPr="00781920">
        <w:rPr>
          <w:rFonts w:ascii="Times New Roman" w:hAnsi="Times New Roman" w:cs="Times New Roman"/>
          <w:bCs/>
          <w:iCs/>
          <w:sz w:val="24"/>
          <w:szCs w:val="24"/>
        </w:rPr>
        <w:t>foetus</w:t>
      </w:r>
      <w:proofErr w:type="spellEnd"/>
      <w:r w:rsidR="0094770C" w:rsidRPr="00781920">
        <w:rPr>
          <w:rFonts w:ascii="Times New Roman" w:hAnsi="Times New Roman" w:cs="Times New Roman"/>
          <w:bCs/>
          <w:iCs/>
          <w:sz w:val="24"/>
          <w:szCs w:val="24"/>
        </w:rPr>
        <w:t xml:space="preserve"> over the pregnant woman’s human right to choose whether</w:t>
      </w:r>
      <w:r w:rsidR="007D4153" w:rsidRPr="00781920">
        <w:rPr>
          <w:rFonts w:ascii="Times New Roman" w:hAnsi="Times New Roman" w:cs="Times New Roman"/>
          <w:bCs/>
          <w:iCs/>
          <w:sz w:val="24"/>
          <w:szCs w:val="24"/>
        </w:rPr>
        <w:t xml:space="preserve"> or not to continue</w:t>
      </w:r>
      <w:r w:rsidR="00C85418" w:rsidRPr="00781920">
        <w:rPr>
          <w:rFonts w:ascii="Times New Roman" w:hAnsi="Times New Roman" w:cs="Times New Roman"/>
          <w:bCs/>
          <w:iCs/>
          <w:sz w:val="24"/>
          <w:szCs w:val="24"/>
        </w:rPr>
        <w:t xml:space="preserve"> her</w:t>
      </w:r>
      <w:r w:rsidR="007D4153" w:rsidRPr="00781920">
        <w:rPr>
          <w:rFonts w:ascii="Times New Roman" w:hAnsi="Times New Roman" w:cs="Times New Roman"/>
          <w:bCs/>
          <w:iCs/>
          <w:sz w:val="24"/>
          <w:szCs w:val="24"/>
        </w:rPr>
        <w:t xml:space="preserve"> pregnancy.</w:t>
      </w:r>
    </w:p>
    <w:p w:rsidR="003C25C2" w:rsidRPr="00781920" w:rsidRDefault="003C25C2" w:rsidP="00280859">
      <w:pPr>
        <w:spacing w:after="0" w:line="240" w:lineRule="auto"/>
        <w:jc w:val="both"/>
        <w:rPr>
          <w:rFonts w:ascii="Times New Roman" w:hAnsi="Times New Roman" w:cs="Times New Roman"/>
          <w:bCs/>
          <w:iCs/>
          <w:sz w:val="24"/>
          <w:szCs w:val="24"/>
        </w:rPr>
      </w:pPr>
    </w:p>
    <w:p w:rsidR="005B140D" w:rsidRPr="00781920" w:rsidRDefault="001016A6" w:rsidP="00280859">
      <w:pPr>
        <w:spacing w:after="0" w:line="240" w:lineRule="auto"/>
        <w:jc w:val="both"/>
        <w:rPr>
          <w:rFonts w:ascii="Times New Roman" w:hAnsi="Times New Roman" w:cs="Times New Roman"/>
          <w:b/>
          <w:i/>
          <w:sz w:val="24"/>
          <w:szCs w:val="24"/>
        </w:rPr>
      </w:pPr>
      <w:r w:rsidRPr="00781920">
        <w:rPr>
          <w:rFonts w:ascii="Times New Roman" w:hAnsi="Times New Roman" w:cs="Times New Roman"/>
          <w:b/>
          <w:i/>
          <w:sz w:val="24"/>
          <w:szCs w:val="24"/>
        </w:rPr>
        <w:t>T</w:t>
      </w:r>
      <w:r w:rsidR="005333D3" w:rsidRPr="00781920">
        <w:rPr>
          <w:rFonts w:ascii="Times New Roman" w:hAnsi="Times New Roman" w:cs="Times New Roman"/>
          <w:b/>
          <w:i/>
          <w:sz w:val="24"/>
          <w:szCs w:val="24"/>
        </w:rPr>
        <w:t xml:space="preserve">he right of the pregnant woman to </w:t>
      </w:r>
      <w:r w:rsidR="00EF46FE" w:rsidRPr="00781920">
        <w:rPr>
          <w:rFonts w:ascii="Times New Roman" w:hAnsi="Times New Roman" w:cs="Times New Roman"/>
          <w:b/>
          <w:i/>
          <w:sz w:val="24"/>
          <w:szCs w:val="24"/>
        </w:rPr>
        <w:t xml:space="preserve">access </w:t>
      </w:r>
      <w:r w:rsidR="00D228BA" w:rsidRPr="00781920">
        <w:rPr>
          <w:rFonts w:ascii="Times New Roman" w:hAnsi="Times New Roman" w:cs="Times New Roman"/>
          <w:b/>
          <w:i/>
          <w:sz w:val="24"/>
          <w:szCs w:val="24"/>
        </w:rPr>
        <w:t>termination of pregnancy</w:t>
      </w:r>
      <w:r w:rsidR="00EF46FE" w:rsidRPr="00781920">
        <w:rPr>
          <w:rFonts w:ascii="Times New Roman" w:hAnsi="Times New Roman" w:cs="Times New Roman"/>
          <w:b/>
          <w:i/>
          <w:sz w:val="24"/>
          <w:szCs w:val="24"/>
        </w:rPr>
        <w:t xml:space="preserve"> should be </w:t>
      </w:r>
      <w:r w:rsidR="008B2A88" w:rsidRPr="00781920">
        <w:rPr>
          <w:rFonts w:ascii="Times New Roman" w:hAnsi="Times New Roman" w:cs="Times New Roman"/>
          <w:b/>
          <w:i/>
          <w:sz w:val="24"/>
          <w:szCs w:val="24"/>
        </w:rPr>
        <w:t>autonomous, affordable and effective</w:t>
      </w:r>
    </w:p>
    <w:p w:rsidR="008B2A88" w:rsidRPr="00781920" w:rsidRDefault="008B2A88" w:rsidP="00280859">
      <w:pPr>
        <w:spacing w:after="0" w:line="240" w:lineRule="auto"/>
        <w:jc w:val="both"/>
        <w:rPr>
          <w:rFonts w:ascii="Times New Roman" w:hAnsi="Times New Roman" w:cs="Times New Roman"/>
          <w:b/>
          <w:i/>
          <w:sz w:val="24"/>
          <w:szCs w:val="24"/>
        </w:rPr>
      </w:pPr>
    </w:p>
    <w:p w:rsidR="00E22DB9" w:rsidRPr="00781920" w:rsidRDefault="00E607C0" w:rsidP="00280859">
      <w:pPr>
        <w:spacing w:after="0" w:line="240" w:lineRule="auto"/>
        <w:jc w:val="both"/>
        <w:rPr>
          <w:rFonts w:ascii="Times New Roman" w:hAnsi="Times New Roman" w:cs="Times New Roman"/>
          <w:sz w:val="24"/>
          <w:szCs w:val="24"/>
        </w:rPr>
      </w:pPr>
      <w:r w:rsidRPr="00781920">
        <w:rPr>
          <w:rFonts w:ascii="Times New Roman" w:hAnsi="Times New Roman" w:cs="Times New Roman"/>
          <w:sz w:val="24"/>
          <w:szCs w:val="24"/>
        </w:rPr>
        <w:t>Termination of pregnancy should be by qualified medical service providers in a safe environment.</w:t>
      </w:r>
      <w:r w:rsidR="00E22DB9" w:rsidRPr="00781920">
        <w:rPr>
          <w:rFonts w:ascii="Times New Roman" w:hAnsi="Times New Roman" w:cs="Times New Roman"/>
          <w:sz w:val="24"/>
          <w:szCs w:val="24"/>
        </w:rPr>
        <w:t xml:space="preserve"> </w:t>
      </w:r>
      <w:proofErr w:type="gramStart"/>
      <w:r w:rsidR="00E22DB9" w:rsidRPr="00781920">
        <w:rPr>
          <w:rFonts w:ascii="Times New Roman" w:hAnsi="Times New Roman" w:cs="Times New Roman"/>
          <w:sz w:val="24"/>
          <w:szCs w:val="24"/>
        </w:rPr>
        <w:t xml:space="preserve">WHO data has clearly demonstrated that </w:t>
      </w:r>
      <w:proofErr w:type="spellStart"/>
      <w:r w:rsidR="00E22DB9" w:rsidRPr="00781920">
        <w:rPr>
          <w:rFonts w:ascii="Times New Roman" w:hAnsi="Times New Roman" w:cs="Times New Roman"/>
          <w:sz w:val="24"/>
          <w:szCs w:val="24"/>
        </w:rPr>
        <w:t>crimina</w:t>
      </w:r>
      <w:r w:rsidR="00B310DD" w:rsidRPr="00781920">
        <w:rPr>
          <w:rFonts w:ascii="Times New Roman" w:hAnsi="Times New Roman" w:cs="Times New Roman"/>
          <w:sz w:val="24"/>
          <w:szCs w:val="24"/>
        </w:rPr>
        <w:t>lising</w:t>
      </w:r>
      <w:proofErr w:type="spellEnd"/>
      <w:r w:rsidR="00B310DD" w:rsidRPr="00781920">
        <w:rPr>
          <w:rFonts w:ascii="Times New Roman" w:hAnsi="Times New Roman" w:cs="Times New Roman"/>
          <w:sz w:val="24"/>
          <w:szCs w:val="24"/>
        </w:rPr>
        <w:t xml:space="preserve"> termination of pregnancy </w:t>
      </w:r>
      <w:r w:rsidR="00E22DB9" w:rsidRPr="00781920">
        <w:rPr>
          <w:rFonts w:ascii="Times New Roman" w:hAnsi="Times New Roman" w:cs="Times New Roman"/>
          <w:sz w:val="24"/>
          <w:szCs w:val="24"/>
        </w:rPr>
        <w:t>does not reduce women’s resort to abortion procedures</w:t>
      </w:r>
      <w:r w:rsidR="00FC1C0D" w:rsidRPr="00781920">
        <w:rPr>
          <w:rFonts w:ascii="Times New Roman" w:hAnsi="Times New Roman" w:cs="Times New Roman"/>
          <w:sz w:val="24"/>
          <w:szCs w:val="24"/>
        </w:rPr>
        <w:t>.</w:t>
      </w:r>
      <w:proofErr w:type="gramEnd"/>
      <w:r w:rsidR="00FC1C0D" w:rsidRPr="00781920">
        <w:rPr>
          <w:rFonts w:ascii="Times New Roman" w:hAnsi="Times New Roman" w:cs="Times New Roman"/>
          <w:sz w:val="24"/>
          <w:szCs w:val="24"/>
        </w:rPr>
        <w:t xml:space="preserve"> </w:t>
      </w:r>
      <w:r w:rsidR="00E22DB9" w:rsidRPr="00781920">
        <w:rPr>
          <w:rFonts w:ascii="Times New Roman" w:hAnsi="Times New Roman" w:cs="Times New Roman"/>
          <w:sz w:val="24"/>
          <w:szCs w:val="24"/>
        </w:rPr>
        <w:t xml:space="preserve">Rather, it is likely to increase the number of women seeking clandestine and unsafe solutions. Countries where women gained the right to termination of pregnancy in the 1970s or 1980s and are provided with access to information and to all methods of </w:t>
      </w:r>
      <w:proofErr w:type="gramStart"/>
      <w:r w:rsidR="00E22DB9" w:rsidRPr="00781920">
        <w:rPr>
          <w:rFonts w:ascii="Times New Roman" w:hAnsi="Times New Roman" w:cs="Times New Roman"/>
          <w:sz w:val="24"/>
          <w:szCs w:val="24"/>
        </w:rPr>
        <w:t>contraception,</w:t>
      </w:r>
      <w:proofErr w:type="gramEnd"/>
      <w:r w:rsidR="00E22DB9" w:rsidRPr="00781920">
        <w:rPr>
          <w:rFonts w:ascii="Times New Roman" w:hAnsi="Times New Roman" w:cs="Times New Roman"/>
          <w:sz w:val="24"/>
          <w:szCs w:val="24"/>
        </w:rPr>
        <w:t xml:space="preserve"> have the lowest rates of termination of pregnancy. Ultimately, criminalization does grave harm to women’s health and human rights by stigmatizing a safe and needed medical procedure. </w:t>
      </w:r>
    </w:p>
    <w:p w:rsidR="00E607C0" w:rsidRPr="00781920" w:rsidRDefault="00E607C0" w:rsidP="00280859">
      <w:pPr>
        <w:spacing w:after="0" w:line="240" w:lineRule="auto"/>
        <w:jc w:val="both"/>
        <w:rPr>
          <w:rFonts w:ascii="Times New Roman" w:hAnsi="Times New Roman" w:cs="Times New Roman"/>
          <w:sz w:val="24"/>
          <w:szCs w:val="24"/>
        </w:rPr>
      </w:pPr>
    </w:p>
    <w:p w:rsidR="00E22DB9" w:rsidRPr="00781920" w:rsidRDefault="008B2A88" w:rsidP="00280859">
      <w:pPr>
        <w:spacing w:after="0" w:line="240" w:lineRule="auto"/>
        <w:jc w:val="both"/>
        <w:rPr>
          <w:rFonts w:ascii="Times New Roman" w:hAnsi="Times New Roman" w:cs="Times New Roman"/>
          <w:iCs/>
          <w:sz w:val="24"/>
          <w:szCs w:val="24"/>
        </w:rPr>
      </w:pPr>
      <w:r w:rsidRPr="00781920">
        <w:rPr>
          <w:rFonts w:ascii="Times New Roman" w:hAnsi="Times New Roman" w:cs="Times New Roman"/>
          <w:iCs/>
          <w:sz w:val="24"/>
          <w:szCs w:val="24"/>
        </w:rPr>
        <w:t>The WGDAW has called on states to ensure that access to health care, including reproductive healthcare, is autonomous, affordable and effective. This necessitates a series of measures with regard to termination of pregnancy:  to invalidate conditioning of women’s and girls’ access to health care on third-party authorization; provide training to health providers, including on gender equality and non-discrimination, respect for women’s rights and dignity; provide non-discriminatory health insurance coverage for women, without surcharges for coverage of their reproductive health; include contraception of choice, termination of pregnancy in universal health care or subsidize provision of these treatments and medicines to ensure that they are affordable; restrict conscientious objection to the direct provider of the medical intervention and allow conscientious objection only where an alternative can be found for the patient to access treatment within the time needed for performance of the procedure; exercise due diligence to ensure that the diverse actors and corporate and individual health providers who provide health services or produce medications do so in a non-discriminatory way and establish guidelines for the equal treatment of women patients under their codes of conduct;</w:t>
      </w:r>
      <w:r w:rsidR="009A5E0B" w:rsidRPr="00781920">
        <w:rPr>
          <w:rFonts w:ascii="Times New Roman" w:hAnsi="Times New Roman" w:cs="Times New Roman"/>
          <w:iCs/>
          <w:sz w:val="24"/>
          <w:szCs w:val="24"/>
        </w:rPr>
        <w:t xml:space="preserve"> p</w:t>
      </w:r>
      <w:r w:rsidRPr="00781920">
        <w:rPr>
          <w:rFonts w:ascii="Times New Roman" w:hAnsi="Times New Roman" w:cs="Times New Roman"/>
          <w:iCs/>
          <w:sz w:val="24"/>
          <w:szCs w:val="24"/>
        </w:rPr>
        <w:t xml:space="preserve">rovide age-appropriate, comprehensive and inclusive sexuality education based on scientific evidence and human rights, for girls and boys, as part of the mandatory school </w:t>
      </w:r>
      <w:proofErr w:type="spellStart"/>
      <w:r w:rsidRPr="00781920">
        <w:rPr>
          <w:rFonts w:ascii="Times New Roman" w:hAnsi="Times New Roman" w:cs="Times New Roman"/>
          <w:iCs/>
          <w:sz w:val="24"/>
          <w:szCs w:val="24"/>
        </w:rPr>
        <w:t>programmes</w:t>
      </w:r>
      <w:proofErr w:type="spellEnd"/>
      <w:r w:rsidRPr="00781920">
        <w:rPr>
          <w:rFonts w:ascii="Times New Roman" w:hAnsi="Times New Roman" w:cs="Times New Roman"/>
          <w:iCs/>
          <w:sz w:val="24"/>
          <w:szCs w:val="24"/>
        </w:rPr>
        <w:t>. Sexuality education should give particular attention to gender equa</w:t>
      </w:r>
      <w:r w:rsidR="009A5E0B" w:rsidRPr="00781920">
        <w:rPr>
          <w:rFonts w:ascii="Times New Roman" w:hAnsi="Times New Roman" w:cs="Times New Roman"/>
          <w:iCs/>
          <w:sz w:val="24"/>
          <w:szCs w:val="24"/>
        </w:rPr>
        <w:t>lity, sexuality, relationships</w:t>
      </w:r>
      <w:r w:rsidRPr="00781920">
        <w:rPr>
          <w:rFonts w:ascii="Times New Roman" w:hAnsi="Times New Roman" w:cs="Times New Roman"/>
          <w:iCs/>
          <w:sz w:val="24"/>
          <w:szCs w:val="24"/>
        </w:rPr>
        <w:t xml:space="preserve">, and responsible parenthood and sexual </w:t>
      </w:r>
      <w:proofErr w:type="spellStart"/>
      <w:r w:rsidRPr="00781920">
        <w:rPr>
          <w:rFonts w:ascii="Times New Roman" w:hAnsi="Times New Roman" w:cs="Times New Roman"/>
          <w:iCs/>
          <w:sz w:val="24"/>
          <w:szCs w:val="24"/>
        </w:rPr>
        <w:t>behaviour</w:t>
      </w:r>
      <w:proofErr w:type="spellEnd"/>
      <w:r w:rsidRPr="00781920">
        <w:rPr>
          <w:rFonts w:ascii="Times New Roman" w:hAnsi="Times New Roman" w:cs="Times New Roman"/>
          <w:iCs/>
          <w:sz w:val="24"/>
          <w:szCs w:val="24"/>
        </w:rPr>
        <w:t xml:space="preserve"> to prevent early pregnancies</w:t>
      </w:r>
      <w:r w:rsidR="009A5E0B" w:rsidRPr="00781920">
        <w:rPr>
          <w:rFonts w:ascii="Times New Roman" w:hAnsi="Times New Roman" w:cs="Times New Roman"/>
          <w:iCs/>
          <w:sz w:val="24"/>
          <w:szCs w:val="24"/>
        </w:rPr>
        <w:t>.</w:t>
      </w:r>
      <w:r w:rsidR="00754AF1" w:rsidRPr="00781920">
        <w:rPr>
          <w:rStyle w:val="FootnoteReference"/>
          <w:rFonts w:ascii="Times New Roman" w:hAnsi="Times New Roman" w:cs="Times New Roman"/>
          <w:iCs/>
          <w:sz w:val="24"/>
          <w:szCs w:val="24"/>
        </w:rPr>
        <w:footnoteReference w:id="16"/>
      </w:r>
    </w:p>
    <w:p w:rsidR="00C85418" w:rsidRPr="00781920" w:rsidRDefault="00C85418" w:rsidP="00280859">
      <w:pPr>
        <w:spacing w:after="0" w:line="240" w:lineRule="auto"/>
        <w:jc w:val="both"/>
        <w:rPr>
          <w:rFonts w:ascii="Times New Roman" w:hAnsi="Times New Roman" w:cs="Times New Roman"/>
          <w:iCs/>
          <w:sz w:val="24"/>
          <w:szCs w:val="24"/>
        </w:rPr>
      </w:pPr>
    </w:p>
    <w:p w:rsidR="00133F5B" w:rsidRPr="00781920" w:rsidRDefault="00133F5B" w:rsidP="00280859">
      <w:pPr>
        <w:spacing w:after="0" w:line="240" w:lineRule="auto"/>
        <w:jc w:val="both"/>
        <w:rPr>
          <w:rFonts w:ascii="Times New Roman" w:hAnsi="Times New Roman" w:cs="Times New Roman"/>
          <w:b/>
          <w:bCs/>
          <w:iCs/>
          <w:sz w:val="24"/>
          <w:szCs w:val="24"/>
        </w:rPr>
      </w:pPr>
      <w:r w:rsidRPr="00781920">
        <w:rPr>
          <w:rFonts w:ascii="Times New Roman" w:hAnsi="Times New Roman" w:cs="Times New Roman"/>
          <w:b/>
          <w:bCs/>
          <w:iCs/>
          <w:sz w:val="24"/>
          <w:szCs w:val="24"/>
        </w:rPr>
        <w:t>Backlash</w:t>
      </w:r>
      <w:r w:rsidR="00754AF1" w:rsidRPr="00781920">
        <w:rPr>
          <w:rFonts w:ascii="Times New Roman" w:hAnsi="Times New Roman" w:cs="Times New Roman"/>
          <w:b/>
          <w:bCs/>
          <w:iCs/>
          <w:sz w:val="24"/>
          <w:szCs w:val="24"/>
        </w:rPr>
        <w:t xml:space="preserve"> and Regression</w:t>
      </w:r>
    </w:p>
    <w:p w:rsidR="00810F4F" w:rsidRPr="00781920" w:rsidRDefault="00810F4F" w:rsidP="00280859">
      <w:pPr>
        <w:spacing w:after="0" w:line="240" w:lineRule="auto"/>
        <w:jc w:val="both"/>
        <w:rPr>
          <w:rFonts w:ascii="Times New Roman" w:hAnsi="Times New Roman" w:cs="Times New Roman"/>
          <w:iCs/>
          <w:sz w:val="24"/>
          <w:szCs w:val="24"/>
        </w:rPr>
      </w:pPr>
    </w:p>
    <w:p w:rsidR="00500BA9" w:rsidRPr="00781920" w:rsidRDefault="00D5311D" w:rsidP="003F48F8">
      <w:pPr>
        <w:spacing w:after="0" w:line="240" w:lineRule="auto"/>
        <w:jc w:val="both"/>
        <w:rPr>
          <w:rFonts w:ascii="Times New Roman" w:hAnsi="Times New Roman" w:cs="Times New Roman"/>
          <w:iCs/>
          <w:sz w:val="24"/>
          <w:szCs w:val="24"/>
        </w:rPr>
      </w:pPr>
      <w:r w:rsidRPr="00781920">
        <w:rPr>
          <w:rFonts w:ascii="Times New Roman" w:hAnsi="Times New Roman" w:cs="Times New Roman"/>
          <w:iCs/>
          <w:sz w:val="24"/>
          <w:szCs w:val="24"/>
        </w:rPr>
        <w:t xml:space="preserve">Twenty five per cent </w:t>
      </w:r>
      <w:r w:rsidR="00FB3D27" w:rsidRPr="00781920">
        <w:rPr>
          <w:rFonts w:ascii="Times New Roman" w:hAnsi="Times New Roman" w:cs="Times New Roman"/>
          <w:iCs/>
          <w:sz w:val="24"/>
          <w:szCs w:val="24"/>
        </w:rPr>
        <w:t>of the world's population lives in countries with highly restrictive abortion laws, mostly in Latin America, Africa and Asia. In Europe two countries have h</w:t>
      </w:r>
      <w:r w:rsidR="00BE5F57" w:rsidRPr="00781920">
        <w:rPr>
          <w:rFonts w:ascii="Times New Roman" w:hAnsi="Times New Roman" w:cs="Times New Roman"/>
          <w:iCs/>
          <w:sz w:val="24"/>
          <w:szCs w:val="24"/>
        </w:rPr>
        <w:t>ighly restrictive abortion laws</w:t>
      </w:r>
      <w:r w:rsidR="00FB3D27" w:rsidRPr="00781920">
        <w:rPr>
          <w:rFonts w:ascii="Times New Roman" w:hAnsi="Times New Roman" w:cs="Times New Roman"/>
          <w:iCs/>
          <w:sz w:val="24"/>
          <w:szCs w:val="24"/>
        </w:rPr>
        <w:t xml:space="preserve">. The politicized religious </w:t>
      </w:r>
      <w:r w:rsidR="00156D3E" w:rsidRPr="00781920">
        <w:rPr>
          <w:rFonts w:ascii="Times New Roman" w:hAnsi="Times New Roman" w:cs="Times New Roman"/>
          <w:iCs/>
          <w:sz w:val="24"/>
          <w:szCs w:val="24"/>
        </w:rPr>
        <w:t>conservative movement</w:t>
      </w:r>
      <w:r w:rsidR="00FB3D27" w:rsidRPr="00781920">
        <w:rPr>
          <w:rFonts w:ascii="Times New Roman" w:hAnsi="Times New Roman" w:cs="Times New Roman"/>
          <w:iCs/>
          <w:sz w:val="24"/>
          <w:szCs w:val="24"/>
        </w:rPr>
        <w:t xml:space="preserve"> is active in numerous countries </w:t>
      </w:r>
      <w:r w:rsidR="00FB3D27" w:rsidRPr="00781920">
        <w:rPr>
          <w:rFonts w:ascii="Times New Roman" w:hAnsi="Times New Roman" w:cs="Times New Roman"/>
          <w:iCs/>
          <w:sz w:val="24"/>
          <w:szCs w:val="24"/>
        </w:rPr>
        <w:lastRenderedPageBreak/>
        <w:t xml:space="preserve">to either stop the clock or set it back and is making </w:t>
      </w:r>
      <w:r w:rsidR="00754AF1" w:rsidRPr="00781920">
        <w:rPr>
          <w:rFonts w:ascii="Times New Roman" w:hAnsi="Times New Roman" w:cs="Times New Roman"/>
          <w:iCs/>
          <w:sz w:val="24"/>
          <w:szCs w:val="24"/>
        </w:rPr>
        <w:t>a concerted effort</w:t>
      </w:r>
      <w:r w:rsidR="00E22DB9" w:rsidRPr="00781920">
        <w:rPr>
          <w:rFonts w:ascii="Times New Roman" w:hAnsi="Times New Roman" w:cs="Times New Roman"/>
          <w:iCs/>
          <w:sz w:val="24"/>
          <w:szCs w:val="24"/>
        </w:rPr>
        <w:t xml:space="preserve"> in countries in many regions</w:t>
      </w:r>
      <w:r w:rsidR="00754AF1" w:rsidRPr="00781920">
        <w:rPr>
          <w:rFonts w:ascii="Times New Roman" w:hAnsi="Times New Roman" w:cs="Times New Roman"/>
          <w:iCs/>
          <w:sz w:val="24"/>
          <w:szCs w:val="24"/>
        </w:rPr>
        <w:t xml:space="preserve"> to retain </w:t>
      </w:r>
      <w:r w:rsidR="00E22DB9" w:rsidRPr="00781920">
        <w:rPr>
          <w:rFonts w:ascii="Times New Roman" w:hAnsi="Times New Roman" w:cs="Times New Roman"/>
          <w:iCs/>
          <w:sz w:val="24"/>
          <w:szCs w:val="24"/>
        </w:rPr>
        <w:t xml:space="preserve">or even introduce </w:t>
      </w:r>
      <w:r w:rsidR="00754AF1" w:rsidRPr="00781920">
        <w:rPr>
          <w:rFonts w:ascii="Times New Roman" w:hAnsi="Times New Roman" w:cs="Times New Roman"/>
          <w:iCs/>
          <w:sz w:val="24"/>
          <w:szCs w:val="24"/>
        </w:rPr>
        <w:t>prohibiti</w:t>
      </w:r>
      <w:r w:rsidR="00FB3D27" w:rsidRPr="00781920">
        <w:rPr>
          <w:rFonts w:ascii="Times New Roman" w:hAnsi="Times New Roman" w:cs="Times New Roman"/>
          <w:iCs/>
          <w:sz w:val="24"/>
          <w:szCs w:val="24"/>
        </w:rPr>
        <w:t>ons on termination of pregnancy. In a few countries the effort is to have a total ban,</w:t>
      </w:r>
      <w:r w:rsidR="00754AF1" w:rsidRPr="00781920">
        <w:rPr>
          <w:rFonts w:ascii="Times New Roman" w:hAnsi="Times New Roman" w:cs="Times New Roman"/>
          <w:iCs/>
          <w:sz w:val="24"/>
          <w:szCs w:val="24"/>
        </w:rPr>
        <w:t xml:space="preserve"> even where the pregnancy threatens </w:t>
      </w:r>
      <w:r w:rsidR="00133F5B" w:rsidRPr="00781920">
        <w:rPr>
          <w:rFonts w:ascii="Times New Roman" w:hAnsi="Times New Roman" w:cs="Times New Roman"/>
          <w:iCs/>
          <w:sz w:val="24"/>
          <w:szCs w:val="24"/>
        </w:rPr>
        <w:t xml:space="preserve">the life of the pregnant woman. </w:t>
      </w:r>
      <w:r w:rsidR="00754AF1" w:rsidRPr="00781920">
        <w:rPr>
          <w:rFonts w:ascii="Times New Roman" w:hAnsi="Times New Roman" w:cs="Times New Roman"/>
          <w:iCs/>
          <w:sz w:val="24"/>
          <w:szCs w:val="24"/>
        </w:rPr>
        <w:t xml:space="preserve">It was evident </w:t>
      </w:r>
      <w:r w:rsidR="00156D3E" w:rsidRPr="00781920">
        <w:rPr>
          <w:rFonts w:ascii="Times New Roman" w:hAnsi="Times New Roman" w:cs="Times New Roman"/>
          <w:iCs/>
          <w:sz w:val="24"/>
          <w:szCs w:val="24"/>
        </w:rPr>
        <w:t>for instance in Chile</w:t>
      </w:r>
      <w:r w:rsidR="00F804FC" w:rsidRPr="00781920">
        <w:rPr>
          <w:rStyle w:val="FootnoteReference"/>
          <w:rFonts w:ascii="Times New Roman" w:hAnsi="Times New Roman" w:cs="Times New Roman"/>
          <w:iCs/>
          <w:sz w:val="24"/>
          <w:szCs w:val="24"/>
        </w:rPr>
        <w:footnoteReference w:id="17"/>
      </w:r>
      <w:r w:rsidR="00156D3E" w:rsidRPr="00781920">
        <w:rPr>
          <w:rFonts w:ascii="Times New Roman" w:hAnsi="Times New Roman" w:cs="Times New Roman"/>
          <w:iCs/>
          <w:sz w:val="24"/>
          <w:szCs w:val="24"/>
        </w:rPr>
        <w:t xml:space="preserve"> </w:t>
      </w:r>
      <w:r w:rsidR="00754AF1" w:rsidRPr="00781920">
        <w:rPr>
          <w:rFonts w:ascii="Times New Roman" w:hAnsi="Times New Roman" w:cs="Times New Roman"/>
          <w:iCs/>
          <w:sz w:val="24"/>
          <w:szCs w:val="24"/>
        </w:rPr>
        <w:t>in the long struggle</w:t>
      </w:r>
      <w:r w:rsidR="00156D3E" w:rsidRPr="00781920">
        <w:rPr>
          <w:rFonts w:ascii="Times New Roman" w:hAnsi="Times New Roman" w:cs="Times New Roman"/>
          <w:iCs/>
          <w:sz w:val="24"/>
          <w:szCs w:val="24"/>
        </w:rPr>
        <w:t>, recently won,</w:t>
      </w:r>
      <w:r w:rsidR="00754AF1" w:rsidRPr="00781920">
        <w:rPr>
          <w:rFonts w:ascii="Times New Roman" w:hAnsi="Times New Roman" w:cs="Times New Roman"/>
          <w:iCs/>
          <w:sz w:val="24"/>
          <w:szCs w:val="24"/>
        </w:rPr>
        <w:t xml:space="preserve"> to allow termination of pregnancy where the woman’s life is at risk. It</w:t>
      </w:r>
      <w:r w:rsidR="00133F5B" w:rsidRPr="00781920">
        <w:rPr>
          <w:rFonts w:ascii="Times New Roman" w:hAnsi="Times New Roman" w:cs="Times New Roman"/>
          <w:iCs/>
          <w:sz w:val="24"/>
          <w:szCs w:val="24"/>
        </w:rPr>
        <w:t xml:space="preserve"> was </w:t>
      </w:r>
      <w:r w:rsidR="00156D3E" w:rsidRPr="00781920">
        <w:rPr>
          <w:rFonts w:ascii="Times New Roman" w:hAnsi="Times New Roman" w:cs="Times New Roman"/>
          <w:iCs/>
          <w:sz w:val="24"/>
          <w:szCs w:val="24"/>
        </w:rPr>
        <w:t>also</w:t>
      </w:r>
      <w:r w:rsidR="00856DB2" w:rsidRPr="00781920">
        <w:rPr>
          <w:rFonts w:ascii="Times New Roman" w:hAnsi="Times New Roman" w:cs="Times New Roman"/>
          <w:iCs/>
          <w:sz w:val="24"/>
          <w:szCs w:val="24"/>
        </w:rPr>
        <w:t xml:space="preserve"> </w:t>
      </w:r>
      <w:r w:rsidR="00133F5B" w:rsidRPr="00781920">
        <w:rPr>
          <w:rFonts w:ascii="Times New Roman" w:hAnsi="Times New Roman" w:cs="Times New Roman"/>
          <w:iCs/>
          <w:sz w:val="24"/>
          <w:szCs w:val="24"/>
        </w:rPr>
        <w:t xml:space="preserve">recently evidenced in the defeat of a bill presented </w:t>
      </w:r>
      <w:r w:rsidR="00754AF1" w:rsidRPr="00781920">
        <w:rPr>
          <w:rFonts w:ascii="Times New Roman" w:hAnsi="Times New Roman" w:cs="Times New Roman"/>
          <w:iCs/>
          <w:sz w:val="24"/>
          <w:szCs w:val="24"/>
        </w:rPr>
        <w:t>in</w:t>
      </w:r>
      <w:r w:rsidR="00133F5B" w:rsidRPr="00781920">
        <w:rPr>
          <w:rFonts w:ascii="Times New Roman" w:hAnsi="Times New Roman" w:cs="Times New Roman"/>
          <w:iCs/>
          <w:sz w:val="24"/>
          <w:szCs w:val="24"/>
        </w:rPr>
        <w:t xml:space="preserve"> the Dominican Republic</w:t>
      </w:r>
      <w:r w:rsidR="00F804FC" w:rsidRPr="00781920">
        <w:rPr>
          <w:rStyle w:val="FootnoteReference"/>
          <w:rFonts w:ascii="Times New Roman" w:hAnsi="Times New Roman" w:cs="Times New Roman"/>
          <w:iCs/>
          <w:sz w:val="24"/>
          <w:szCs w:val="24"/>
        </w:rPr>
        <w:footnoteReference w:id="18"/>
      </w:r>
      <w:r w:rsidR="00133F5B" w:rsidRPr="00781920">
        <w:rPr>
          <w:rFonts w:ascii="Times New Roman" w:hAnsi="Times New Roman" w:cs="Times New Roman"/>
          <w:iCs/>
          <w:sz w:val="24"/>
          <w:szCs w:val="24"/>
        </w:rPr>
        <w:t xml:space="preserve"> to allow termination of pregnancy where</w:t>
      </w:r>
      <w:r w:rsidR="00754AF1" w:rsidRPr="00781920">
        <w:rPr>
          <w:rFonts w:ascii="Times New Roman" w:hAnsi="Times New Roman" w:cs="Times New Roman"/>
          <w:iCs/>
          <w:sz w:val="24"/>
          <w:szCs w:val="24"/>
        </w:rPr>
        <w:t xml:space="preserve"> the</w:t>
      </w:r>
      <w:r w:rsidR="00133F5B" w:rsidRPr="00781920">
        <w:rPr>
          <w:rFonts w:ascii="Times New Roman" w:hAnsi="Times New Roman" w:cs="Times New Roman"/>
          <w:iCs/>
          <w:sz w:val="24"/>
          <w:szCs w:val="24"/>
        </w:rPr>
        <w:t xml:space="preserve"> life of the woman is at risk.</w:t>
      </w:r>
      <w:r w:rsidR="00754AF1" w:rsidRPr="00781920">
        <w:rPr>
          <w:rFonts w:ascii="Times New Roman" w:hAnsi="Times New Roman" w:cs="Times New Roman"/>
          <w:iCs/>
          <w:sz w:val="24"/>
          <w:szCs w:val="24"/>
        </w:rPr>
        <w:t xml:space="preserve"> </w:t>
      </w:r>
      <w:r w:rsidR="00FB3D27" w:rsidRPr="00781920">
        <w:rPr>
          <w:rFonts w:ascii="Times New Roman" w:hAnsi="Times New Roman" w:cs="Times New Roman"/>
          <w:iCs/>
          <w:sz w:val="24"/>
          <w:szCs w:val="24"/>
        </w:rPr>
        <w:t xml:space="preserve">Attempts to turn the clock back and introduce restrictive abortion laws </w:t>
      </w:r>
      <w:r w:rsidR="00BA7C2F" w:rsidRPr="00781920">
        <w:rPr>
          <w:rFonts w:ascii="Times New Roman" w:hAnsi="Times New Roman" w:cs="Times New Roman"/>
          <w:iCs/>
          <w:sz w:val="24"/>
          <w:szCs w:val="24"/>
        </w:rPr>
        <w:t xml:space="preserve">have also been taking place </w:t>
      </w:r>
      <w:r w:rsidR="00500BA9" w:rsidRPr="00781920">
        <w:rPr>
          <w:rFonts w:ascii="Times New Roman" w:hAnsi="Times New Roman" w:cs="Times New Roman"/>
          <w:iCs/>
          <w:sz w:val="24"/>
          <w:szCs w:val="24"/>
        </w:rPr>
        <w:t>taking</w:t>
      </w:r>
      <w:r w:rsidR="00FB3D27" w:rsidRPr="00781920">
        <w:rPr>
          <w:rFonts w:ascii="Times New Roman" w:hAnsi="Times New Roman" w:cs="Times New Roman"/>
          <w:iCs/>
          <w:sz w:val="24"/>
          <w:szCs w:val="24"/>
        </w:rPr>
        <w:t xml:space="preserve"> place </w:t>
      </w:r>
      <w:r w:rsidR="00BE5F57" w:rsidRPr="00781920">
        <w:rPr>
          <w:rFonts w:ascii="Times New Roman" w:hAnsi="Times New Roman" w:cs="Times New Roman"/>
          <w:iCs/>
          <w:sz w:val="24"/>
          <w:szCs w:val="24"/>
        </w:rPr>
        <w:t>for instance in</w:t>
      </w:r>
      <w:r w:rsidR="00FB3D27" w:rsidRPr="00781920">
        <w:rPr>
          <w:rFonts w:ascii="Times New Roman" w:hAnsi="Times New Roman" w:cs="Times New Roman"/>
          <w:iCs/>
          <w:sz w:val="24"/>
          <w:szCs w:val="24"/>
        </w:rPr>
        <w:t xml:space="preserve"> </w:t>
      </w:r>
      <w:r w:rsidR="00BA7C2F" w:rsidRPr="00781920">
        <w:rPr>
          <w:rFonts w:ascii="Times New Roman" w:hAnsi="Times New Roman" w:cs="Times New Roman"/>
          <w:iCs/>
          <w:sz w:val="24"/>
          <w:szCs w:val="24"/>
        </w:rPr>
        <w:t xml:space="preserve">the United States, </w:t>
      </w:r>
      <w:r w:rsidR="00500BA9" w:rsidRPr="00781920">
        <w:rPr>
          <w:rFonts w:ascii="Times New Roman" w:hAnsi="Times New Roman" w:cs="Times New Roman"/>
          <w:iCs/>
          <w:sz w:val="24"/>
          <w:szCs w:val="24"/>
        </w:rPr>
        <w:t>Poland</w:t>
      </w:r>
      <w:r w:rsidR="00BA7C2F" w:rsidRPr="00781920">
        <w:rPr>
          <w:rFonts w:ascii="Times New Roman" w:hAnsi="Times New Roman" w:cs="Times New Roman"/>
          <w:iCs/>
          <w:sz w:val="24"/>
          <w:szCs w:val="24"/>
        </w:rPr>
        <w:t>, the Philippines and Sierra Leone</w:t>
      </w:r>
      <w:r w:rsidR="00500BA9" w:rsidRPr="00781920">
        <w:rPr>
          <w:rFonts w:ascii="Times New Roman" w:hAnsi="Times New Roman" w:cs="Times New Roman"/>
          <w:iCs/>
          <w:sz w:val="24"/>
          <w:szCs w:val="24"/>
        </w:rPr>
        <w:t xml:space="preserve">. There are efforts to intensify restrictions on </w:t>
      </w:r>
      <w:r w:rsidR="00133F5B" w:rsidRPr="00781920">
        <w:rPr>
          <w:rFonts w:ascii="Times New Roman" w:hAnsi="Times New Roman" w:cs="Times New Roman"/>
          <w:iCs/>
          <w:sz w:val="24"/>
          <w:szCs w:val="24"/>
        </w:rPr>
        <w:t>the funding of contraceptives in the U</w:t>
      </w:r>
      <w:r w:rsidR="003F48F8" w:rsidRPr="00781920">
        <w:rPr>
          <w:rFonts w:ascii="Times New Roman" w:hAnsi="Times New Roman" w:cs="Times New Roman"/>
          <w:iCs/>
          <w:sz w:val="24"/>
          <w:szCs w:val="24"/>
        </w:rPr>
        <w:t xml:space="preserve">nited </w:t>
      </w:r>
      <w:r w:rsidR="00133F5B" w:rsidRPr="00781920">
        <w:rPr>
          <w:rFonts w:ascii="Times New Roman" w:hAnsi="Times New Roman" w:cs="Times New Roman"/>
          <w:iCs/>
          <w:sz w:val="24"/>
          <w:szCs w:val="24"/>
        </w:rPr>
        <w:t>S</w:t>
      </w:r>
      <w:r w:rsidR="003F48F8" w:rsidRPr="00781920">
        <w:rPr>
          <w:rFonts w:ascii="Times New Roman" w:hAnsi="Times New Roman" w:cs="Times New Roman"/>
          <w:iCs/>
          <w:sz w:val="24"/>
          <w:szCs w:val="24"/>
        </w:rPr>
        <w:t>tates</w:t>
      </w:r>
      <w:r w:rsidR="00542182">
        <w:rPr>
          <w:rFonts w:ascii="Times New Roman" w:hAnsi="Times New Roman" w:cs="Times New Roman"/>
          <w:iCs/>
          <w:sz w:val="24"/>
          <w:szCs w:val="24"/>
        </w:rPr>
        <w:t xml:space="preserve"> – in the Hobb</w:t>
      </w:r>
      <w:bookmarkStart w:id="0" w:name="_GoBack"/>
      <w:bookmarkEnd w:id="0"/>
      <w:r w:rsidR="00133F5B" w:rsidRPr="00781920">
        <w:rPr>
          <w:rFonts w:ascii="Times New Roman" w:hAnsi="Times New Roman" w:cs="Times New Roman"/>
          <w:iCs/>
          <w:sz w:val="24"/>
          <w:szCs w:val="24"/>
        </w:rPr>
        <w:t>y Lobby Case</w:t>
      </w:r>
      <w:r w:rsidR="00783698" w:rsidRPr="00781920">
        <w:rPr>
          <w:rStyle w:val="FootnoteReference"/>
          <w:rFonts w:ascii="Times New Roman" w:hAnsi="Times New Roman" w:cs="Times New Roman"/>
          <w:iCs/>
          <w:sz w:val="24"/>
          <w:szCs w:val="24"/>
        </w:rPr>
        <w:footnoteReference w:id="19"/>
      </w:r>
      <w:r w:rsidR="00133F5B" w:rsidRPr="00781920">
        <w:rPr>
          <w:rFonts w:ascii="Times New Roman" w:hAnsi="Times New Roman" w:cs="Times New Roman"/>
          <w:iCs/>
          <w:sz w:val="24"/>
          <w:szCs w:val="24"/>
        </w:rPr>
        <w:t xml:space="preserve"> and in recent legislative proposals to extend the discretion of health insurance agents to exclude funding for contraception.</w:t>
      </w:r>
    </w:p>
    <w:p w:rsidR="003F48F8" w:rsidRPr="00781920" w:rsidRDefault="003F48F8" w:rsidP="003F48F8">
      <w:pPr>
        <w:spacing w:after="0" w:line="240" w:lineRule="auto"/>
        <w:jc w:val="both"/>
        <w:rPr>
          <w:rFonts w:ascii="Times New Roman" w:hAnsi="Times New Roman" w:cs="Times New Roman"/>
          <w:iCs/>
          <w:sz w:val="24"/>
          <w:szCs w:val="24"/>
        </w:rPr>
      </w:pPr>
    </w:p>
    <w:p w:rsidR="00D44AFF" w:rsidRPr="00781920" w:rsidRDefault="00500BA9" w:rsidP="00CB026A">
      <w:pPr>
        <w:spacing w:line="240" w:lineRule="auto"/>
        <w:jc w:val="both"/>
        <w:rPr>
          <w:rFonts w:ascii="Times New Roman" w:hAnsi="Times New Roman" w:cs="Times New Roman"/>
          <w:iCs/>
          <w:sz w:val="24"/>
          <w:szCs w:val="24"/>
        </w:rPr>
      </w:pPr>
      <w:r w:rsidRPr="00781920">
        <w:rPr>
          <w:rFonts w:ascii="Times New Roman" w:hAnsi="Times New Roman" w:cs="Times New Roman"/>
          <w:iCs/>
          <w:sz w:val="24"/>
          <w:szCs w:val="24"/>
        </w:rPr>
        <w:t>The commitment to women’s human rights</w:t>
      </w:r>
      <w:r w:rsidR="001A6747" w:rsidRPr="00781920">
        <w:rPr>
          <w:rFonts w:ascii="Times New Roman" w:hAnsi="Times New Roman" w:cs="Times New Roman"/>
          <w:iCs/>
          <w:sz w:val="24"/>
          <w:szCs w:val="24"/>
        </w:rPr>
        <w:t xml:space="preserve"> regarding termination of pregnancy</w:t>
      </w:r>
      <w:r w:rsidRPr="00781920">
        <w:rPr>
          <w:rFonts w:ascii="Times New Roman" w:hAnsi="Times New Roman" w:cs="Times New Roman"/>
          <w:iCs/>
          <w:sz w:val="24"/>
          <w:szCs w:val="24"/>
        </w:rPr>
        <w:t xml:space="preserve">, </w:t>
      </w:r>
      <w:r w:rsidR="001A6747" w:rsidRPr="00781920">
        <w:rPr>
          <w:rFonts w:ascii="Times New Roman" w:hAnsi="Times New Roman" w:cs="Times New Roman"/>
          <w:iCs/>
          <w:sz w:val="24"/>
          <w:szCs w:val="24"/>
        </w:rPr>
        <w:t xml:space="preserve">such as evident in the </w:t>
      </w:r>
      <w:r w:rsidR="009E3068" w:rsidRPr="00781920">
        <w:rPr>
          <w:rFonts w:ascii="Times New Roman" w:hAnsi="Times New Roman" w:cs="Times New Roman"/>
          <w:iCs/>
          <w:sz w:val="24"/>
          <w:szCs w:val="24"/>
        </w:rPr>
        <w:t xml:space="preserve">decisions of the </w:t>
      </w:r>
      <w:r w:rsidR="001A6747" w:rsidRPr="00781920">
        <w:rPr>
          <w:rFonts w:ascii="Times New Roman" w:hAnsi="Times New Roman" w:cs="Times New Roman"/>
          <w:iCs/>
          <w:sz w:val="24"/>
          <w:szCs w:val="24"/>
        </w:rPr>
        <w:t>US Supreme Court in Roe v. Wade</w:t>
      </w:r>
      <w:r w:rsidR="009E3068" w:rsidRPr="00781920">
        <w:rPr>
          <w:rFonts w:ascii="Times New Roman" w:hAnsi="Times New Roman" w:cs="Times New Roman"/>
          <w:iCs/>
          <w:sz w:val="24"/>
          <w:szCs w:val="24"/>
        </w:rPr>
        <w:t xml:space="preserve"> and most notably the Colo</w:t>
      </w:r>
      <w:r w:rsidR="0040663E" w:rsidRPr="00781920">
        <w:rPr>
          <w:rFonts w:ascii="Times New Roman" w:hAnsi="Times New Roman" w:cs="Times New Roman"/>
          <w:iCs/>
          <w:sz w:val="24"/>
          <w:szCs w:val="24"/>
        </w:rPr>
        <w:t>mbia</w:t>
      </w:r>
      <w:r w:rsidR="009E3068" w:rsidRPr="00781920">
        <w:rPr>
          <w:rFonts w:ascii="Times New Roman" w:hAnsi="Times New Roman" w:cs="Times New Roman"/>
          <w:iCs/>
          <w:sz w:val="24"/>
          <w:szCs w:val="24"/>
        </w:rPr>
        <w:t>n</w:t>
      </w:r>
      <w:r w:rsidR="0040663E" w:rsidRPr="00781920">
        <w:rPr>
          <w:rFonts w:ascii="Times New Roman" w:hAnsi="Times New Roman" w:cs="Times New Roman"/>
          <w:iCs/>
          <w:sz w:val="24"/>
          <w:szCs w:val="24"/>
        </w:rPr>
        <w:t xml:space="preserve"> Constitutional Court, </w:t>
      </w:r>
      <w:r w:rsidRPr="00781920">
        <w:rPr>
          <w:rFonts w:ascii="Times New Roman" w:hAnsi="Times New Roman" w:cs="Times New Roman"/>
          <w:iCs/>
          <w:sz w:val="24"/>
          <w:szCs w:val="24"/>
        </w:rPr>
        <w:t xml:space="preserve">has </w:t>
      </w:r>
      <w:r w:rsidR="0040663E" w:rsidRPr="00781920">
        <w:rPr>
          <w:rFonts w:ascii="Times New Roman" w:hAnsi="Times New Roman" w:cs="Times New Roman"/>
          <w:iCs/>
          <w:sz w:val="24"/>
          <w:szCs w:val="24"/>
        </w:rPr>
        <w:t xml:space="preserve">not </w:t>
      </w:r>
      <w:r w:rsidRPr="00781920">
        <w:rPr>
          <w:rFonts w:ascii="Times New Roman" w:hAnsi="Times New Roman" w:cs="Times New Roman"/>
          <w:iCs/>
          <w:sz w:val="24"/>
          <w:szCs w:val="24"/>
        </w:rPr>
        <w:t xml:space="preserve">been upheld by </w:t>
      </w:r>
      <w:r w:rsidR="001A6747" w:rsidRPr="00781920">
        <w:rPr>
          <w:rFonts w:ascii="Times New Roman" w:hAnsi="Times New Roman" w:cs="Times New Roman"/>
          <w:iCs/>
          <w:sz w:val="24"/>
          <w:szCs w:val="24"/>
        </w:rPr>
        <w:t xml:space="preserve">all </w:t>
      </w:r>
      <w:r w:rsidRPr="00781920">
        <w:rPr>
          <w:rFonts w:ascii="Times New Roman" w:hAnsi="Times New Roman" w:cs="Times New Roman"/>
          <w:iCs/>
          <w:sz w:val="24"/>
          <w:szCs w:val="24"/>
        </w:rPr>
        <w:t>constitutional courts</w:t>
      </w:r>
      <w:r w:rsidR="001A6747" w:rsidRPr="00781920">
        <w:rPr>
          <w:rFonts w:ascii="Times New Roman" w:hAnsi="Times New Roman" w:cs="Times New Roman"/>
          <w:iCs/>
          <w:sz w:val="24"/>
          <w:szCs w:val="24"/>
        </w:rPr>
        <w:t xml:space="preserve"> in different regions.</w:t>
      </w:r>
      <w:r w:rsidR="00D44AFF" w:rsidRPr="00781920">
        <w:rPr>
          <w:rFonts w:ascii="Times New Roman" w:hAnsi="Times New Roman" w:cs="Times New Roman"/>
          <w:iCs/>
          <w:sz w:val="24"/>
          <w:szCs w:val="24"/>
        </w:rPr>
        <w:t xml:space="preserve"> </w:t>
      </w:r>
      <w:r w:rsidRPr="00781920">
        <w:rPr>
          <w:rFonts w:ascii="Times New Roman" w:hAnsi="Times New Roman" w:cs="Times New Roman"/>
          <w:iCs/>
          <w:sz w:val="24"/>
          <w:szCs w:val="24"/>
        </w:rPr>
        <w:t>Most recently, the UK Supreme Court in its recent majority decision on Na</w:t>
      </w:r>
      <w:r w:rsidR="00BA5060">
        <w:rPr>
          <w:rFonts w:ascii="Times New Roman" w:hAnsi="Times New Roman" w:cs="Times New Roman"/>
          <w:iCs/>
          <w:sz w:val="24"/>
          <w:szCs w:val="24"/>
        </w:rPr>
        <w:t xml:space="preserve">tional Health funding for </w:t>
      </w:r>
      <w:r w:rsidRPr="00781920">
        <w:rPr>
          <w:rFonts w:ascii="Times New Roman" w:hAnsi="Times New Roman" w:cs="Times New Roman"/>
          <w:iCs/>
          <w:sz w:val="24"/>
          <w:szCs w:val="24"/>
        </w:rPr>
        <w:t xml:space="preserve">women </w:t>
      </w:r>
      <w:r w:rsidR="00BA5060">
        <w:rPr>
          <w:rFonts w:ascii="Times New Roman" w:hAnsi="Times New Roman" w:cs="Times New Roman"/>
          <w:iCs/>
          <w:sz w:val="24"/>
          <w:szCs w:val="24"/>
        </w:rPr>
        <w:t xml:space="preserve">in Northern Ireland </w:t>
      </w:r>
      <w:r w:rsidRPr="00781920">
        <w:rPr>
          <w:rFonts w:ascii="Times New Roman" w:hAnsi="Times New Roman" w:cs="Times New Roman"/>
          <w:iCs/>
          <w:sz w:val="24"/>
          <w:szCs w:val="24"/>
        </w:rPr>
        <w:t xml:space="preserve">seeking abortions in the UK, deferred to the democratic will of the North Ireland legislature in its ban on abortions in cases other than preservation of the pregnant woman’s life, thus putting women’s </w:t>
      </w:r>
      <w:r w:rsidR="000306F3" w:rsidRPr="00781920">
        <w:rPr>
          <w:rFonts w:ascii="Times New Roman" w:hAnsi="Times New Roman" w:cs="Times New Roman"/>
          <w:iCs/>
          <w:sz w:val="24"/>
          <w:szCs w:val="24"/>
        </w:rPr>
        <w:t xml:space="preserve">human rights to </w:t>
      </w:r>
      <w:r w:rsidRPr="00781920">
        <w:rPr>
          <w:rFonts w:ascii="Times New Roman" w:hAnsi="Times New Roman" w:cs="Times New Roman"/>
          <w:iCs/>
          <w:sz w:val="24"/>
          <w:szCs w:val="24"/>
        </w:rPr>
        <w:t xml:space="preserve">autonomy, health and equality to </w:t>
      </w:r>
      <w:r w:rsidR="000306F3" w:rsidRPr="00781920">
        <w:rPr>
          <w:rFonts w:ascii="Times New Roman" w:hAnsi="Times New Roman" w:cs="Times New Roman"/>
          <w:iCs/>
          <w:sz w:val="24"/>
          <w:szCs w:val="24"/>
        </w:rPr>
        <w:t>a</w:t>
      </w:r>
      <w:r w:rsidRPr="00781920">
        <w:rPr>
          <w:rFonts w:ascii="Times New Roman" w:hAnsi="Times New Roman" w:cs="Times New Roman"/>
          <w:iCs/>
          <w:sz w:val="24"/>
          <w:szCs w:val="24"/>
        </w:rPr>
        <w:t xml:space="preserve"> popular vote rather than </w:t>
      </w:r>
      <w:r w:rsidR="000306F3" w:rsidRPr="00781920">
        <w:rPr>
          <w:rFonts w:ascii="Times New Roman" w:hAnsi="Times New Roman" w:cs="Times New Roman"/>
          <w:iCs/>
          <w:sz w:val="24"/>
          <w:szCs w:val="24"/>
        </w:rPr>
        <w:t>respecting, protecting and fulfilling</w:t>
      </w:r>
      <w:r w:rsidRPr="00781920">
        <w:rPr>
          <w:rFonts w:ascii="Times New Roman" w:hAnsi="Times New Roman" w:cs="Times New Roman"/>
          <w:iCs/>
          <w:sz w:val="24"/>
          <w:szCs w:val="24"/>
        </w:rPr>
        <w:t xml:space="preserve"> them as </w:t>
      </w:r>
      <w:r w:rsidR="000306F3" w:rsidRPr="00781920">
        <w:rPr>
          <w:rFonts w:ascii="Times New Roman" w:hAnsi="Times New Roman" w:cs="Times New Roman"/>
          <w:iCs/>
          <w:sz w:val="24"/>
          <w:szCs w:val="24"/>
        </w:rPr>
        <w:t>human rights and hence not subject to majority votes or referendums</w:t>
      </w:r>
      <w:r w:rsidR="00D44AFF" w:rsidRPr="00781920">
        <w:rPr>
          <w:rStyle w:val="FootnoteReference"/>
          <w:rFonts w:ascii="Times New Roman" w:hAnsi="Times New Roman" w:cs="Times New Roman"/>
          <w:iCs/>
          <w:sz w:val="24"/>
          <w:szCs w:val="24"/>
        </w:rPr>
        <w:footnoteReference w:id="20"/>
      </w:r>
      <w:r w:rsidR="000306F3" w:rsidRPr="00781920">
        <w:rPr>
          <w:rFonts w:ascii="Times New Roman" w:hAnsi="Times New Roman" w:cs="Times New Roman"/>
          <w:iCs/>
          <w:sz w:val="24"/>
          <w:szCs w:val="24"/>
        </w:rPr>
        <w:t>.</w:t>
      </w:r>
    </w:p>
    <w:p w:rsidR="00500BA9" w:rsidRPr="00781920" w:rsidRDefault="002D601C" w:rsidP="00280859">
      <w:pPr>
        <w:spacing w:after="0" w:line="240" w:lineRule="auto"/>
        <w:jc w:val="both"/>
        <w:rPr>
          <w:rFonts w:ascii="Times New Roman" w:hAnsi="Times New Roman" w:cs="Times New Roman"/>
          <w:iCs/>
          <w:sz w:val="24"/>
          <w:szCs w:val="24"/>
        </w:rPr>
      </w:pPr>
      <w:r w:rsidRPr="00781920">
        <w:rPr>
          <w:rFonts w:ascii="Times New Roman" w:hAnsi="Times New Roman" w:cs="Times New Roman"/>
          <w:b/>
          <w:bCs/>
          <w:i/>
          <w:sz w:val="24"/>
          <w:szCs w:val="24"/>
        </w:rPr>
        <w:t>C</w:t>
      </w:r>
      <w:r w:rsidR="00C85418" w:rsidRPr="00781920">
        <w:rPr>
          <w:rFonts w:ascii="Times New Roman" w:hAnsi="Times New Roman" w:cs="Times New Roman"/>
          <w:b/>
          <w:bCs/>
          <w:i/>
          <w:sz w:val="24"/>
          <w:szCs w:val="24"/>
        </w:rPr>
        <w:t>onclusion</w:t>
      </w:r>
      <w:r w:rsidR="00C85418" w:rsidRPr="00781920">
        <w:rPr>
          <w:rFonts w:ascii="Times New Roman" w:hAnsi="Times New Roman" w:cs="Times New Roman"/>
          <w:iCs/>
          <w:sz w:val="24"/>
          <w:szCs w:val="24"/>
        </w:rPr>
        <w:t xml:space="preserve"> </w:t>
      </w:r>
    </w:p>
    <w:p w:rsidR="00500BA9" w:rsidRPr="00781920" w:rsidRDefault="00500BA9" w:rsidP="00280859">
      <w:pPr>
        <w:spacing w:after="0" w:line="240" w:lineRule="auto"/>
        <w:jc w:val="both"/>
        <w:rPr>
          <w:rFonts w:ascii="Times New Roman" w:hAnsi="Times New Roman" w:cs="Times New Roman"/>
          <w:iCs/>
          <w:sz w:val="24"/>
          <w:szCs w:val="24"/>
        </w:rPr>
      </w:pPr>
    </w:p>
    <w:p w:rsidR="002855C2" w:rsidRPr="00781920" w:rsidRDefault="00D44AFF" w:rsidP="00DB5461">
      <w:pPr>
        <w:spacing w:after="0" w:line="240" w:lineRule="auto"/>
        <w:jc w:val="both"/>
        <w:rPr>
          <w:rFonts w:ascii="Times New Roman" w:hAnsi="Times New Roman" w:cs="Times New Roman"/>
          <w:iCs/>
          <w:sz w:val="24"/>
          <w:szCs w:val="24"/>
        </w:rPr>
      </w:pPr>
      <w:r w:rsidRPr="00781920">
        <w:rPr>
          <w:rFonts w:ascii="Times New Roman" w:hAnsi="Times New Roman" w:cs="Times New Roman"/>
          <w:iCs/>
          <w:sz w:val="24"/>
          <w:szCs w:val="24"/>
        </w:rPr>
        <w:t>The Working Group on discrimination against women</w:t>
      </w:r>
      <w:r w:rsidR="00B80837" w:rsidRPr="00781920">
        <w:rPr>
          <w:rFonts w:ascii="Times New Roman" w:hAnsi="Times New Roman" w:cs="Times New Roman"/>
          <w:iCs/>
          <w:sz w:val="24"/>
          <w:szCs w:val="24"/>
        </w:rPr>
        <w:t xml:space="preserve"> </w:t>
      </w:r>
      <w:r w:rsidR="00C85418" w:rsidRPr="00781920">
        <w:rPr>
          <w:rFonts w:ascii="Times New Roman" w:hAnsi="Times New Roman" w:cs="Times New Roman"/>
          <w:iCs/>
          <w:sz w:val="24"/>
          <w:szCs w:val="24"/>
        </w:rPr>
        <w:t xml:space="preserve">would like to reiterate that much of the discrimination </w:t>
      </w:r>
      <w:r w:rsidR="000306F3" w:rsidRPr="00781920">
        <w:rPr>
          <w:rFonts w:ascii="Times New Roman" w:hAnsi="Times New Roman" w:cs="Times New Roman"/>
          <w:iCs/>
          <w:sz w:val="24"/>
          <w:szCs w:val="24"/>
        </w:rPr>
        <w:t xml:space="preserve">women face </w:t>
      </w:r>
      <w:r w:rsidR="00C85418" w:rsidRPr="00781920">
        <w:rPr>
          <w:rFonts w:ascii="Times New Roman" w:hAnsi="Times New Roman" w:cs="Times New Roman"/>
          <w:iCs/>
          <w:sz w:val="24"/>
          <w:szCs w:val="24"/>
        </w:rPr>
        <w:t xml:space="preserve">in </w:t>
      </w:r>
      <w:r w:rsidR="00545652" w:rsidRPr="00781920">
        <w:rPr>
          <w:rFonts w:ascii="Times New Roman" w:hAnsi="Times New Roman" w:cs="Times New Roman"/>
          <w:iCs/>
          <w:sz w:val="24"/>
          <w:szCs w:val="24"/>
        </w:rPr>
        <w:t xml:space="preserve">their right to </w:t>
      </w:r>
      <w:r w:rsidR="00C85418" w:rsidRPr="00781920">
        <w:rPr>
          <w:rFonts w:ascii="Times New Roman" w:hAnsi="Times New Roman" w:cs="Times New Roman"/>
          <w:iCs/>
          <w:sz w:val="24"/>
          <w:szCs w:val="24"/>
        </w:rPr>
        <w:t xml:space="preserve">access to health services and the resulting preventable ill health of women, including maternal mortality and morbidity, can be attributed to the </w:t>
      </w:r>
      <w:proofErr w:type="spellStart"/>
      <w:r w:rsidR="00C85418" w:rsidRPr="00781920">
        <w:rPr>
          <w:rFonts w:ascii="Times New Roman" w:hAnsi="Times New Roman" w:cs="Times New Roman"/>
          <w:iCs/>
          <w:sz w:val="24"/>
          <w:szCs w:val="24"/>
        </w:rPr>
        <w:t>instrum</w:t>
      </w:r>
      <w:r w:rsidR="00810F4F" w:rsidRPr="00781920">
        <w:rPr>
          <w:rFonts w:ascii="Times New Roman" w:hAnsi="Times New Roman" w:cs="Times New Roman"/>
          <w:iCs/>
          <w:sz w:val="24"/>
          <w:szCs w:val="24"/>
        </w:rPr>
        <w:t>entalization</w:t>
      </w:r>
      <w:proofErr w:type="spellEnd"/>
      <w:r w:rsidR="00810F4F" w:rsidRPr="00781920">
        <w:rPr>
          <w:rFonts w:ascii="Times New Roman" w:hAnsi="Times New Roman" w:cs="Times New Roman"/>
          <w:iCs/>
          <w:sz w:val="24"/>
          <w:szCs w:val="24"/>
        </w:rPr>
        <w:t xml:space="preserve"> and politicization of women’s bodies</w:t>
      </w:r>
      <w:r w:rsidR="00E062DB" w:rsidRPr="00781920">
        <w:rPr>
          <w:rFonts w:ascii="Times New Roman" w:hAnsi="Times New Roman" w:cs="Times New Roman"/>
          <w:iCs/>
          <w:sz w:val="24"/>
          <w:szCs w:val="24"/>
        </w:rPr>
        <w:t xml:space="preserve"> and </w:t>
      </w:r>
      <w:r w:rsidR="00545652" w:rsidRPr="00781920">
        <w:rPr>
          <w:rFonts w:ascii="Times New Roman" w:hAnsi="Times New Roman" w:cs="Times New Roman"/>
          <w:iCs/>
          <w:sz w:val="24"/>
          <w:szCs w:val="24"/>
        </w:rPr>
        <w:t>health</w:t>
      </w:r>
      <w:r w:rsidR="00C85418" w:rsidRPr="00781920">
        <w:rPr>
          <w:rFonts w:ascii="Times New Roman" w:hAnsi="Times New Roman" w:cs="Times New Roman"/>
          <w:iCs/>
          <w:sz w:val="24"/>
          <w:szCs w:val="24"/>
        </w:rPr>
        <w:t xml:space="preserve">. </w:t>
      </w:r>
      <w:r w:rsidR="00545652" w:rsidRPr="00781920">
        <w:rPr>
          <w:rFonts w:ascii="Times New Roman" w:hAnsi="Times New Roman" w:cs="Times New Roman"/>
          <w:iCs/>
          <w:sz w:val="24"/>
          <w:szCs w:val="24"/>
        </w:rPr>
        <w:t>Insisting on the right to life of zygotes and fetuses and equating this right to the right of a born woman to her life, her health, her autonomy and her entire personhood by c</w:t>
      </w:r>
      <w:r w:rsidR="00D01211" w:rsidRPr="00781920">
        <w:rPr>
          <w:rFonts w:ascii="Times New Roman" w:hAnsi="Times New Roman" w:cs="Times New Roman"/>
          <w:iCs/>
          <w:sz w:val="24"/>
          <w:szCs w:val="24"/>
        </w:rPr>
        <w:t>riminaliz</w:t>
      </w:r>
      <w:r w:rsidR="00545652" w:rsidRPr="00781920">
        <w:rPr>
          <w:rFonts w:ascii="Times New Roman" w:hAnsi="Times New Roman" w:cs="Times New Roman"/>
          <w:iCs/>
          <w:sz w:val="24"/>
          <w:szCs w:val="24"/>
        </w:rPr>
        <w:t>ing</w:t>
      </w:r>
      <w:r w:rsidR="00C85418" w:rsidRPr="00781920">
        <w:rPr>
          <w:rFonts w:ascii="Times New Roman" w:hAnsi="Times New Roman" w:cs="Times New Roman"/>
          <w:iCs/>
          <w:sz w:val="24"/>
          <w:szCs w:val="24"/>
        </w:rPr>
        <w:t xml:space="preserve"> termination of pregnancy is one of the most damaging ways of </w:t>
      </w:r>
      <w:proofErr w:type="spellStart"/>
      <w:r w:rsidR="00C85418" w:rsidRPr="00781920">
        <w:rPr>
          <w:rFonts w:ascii="Times New Roman" w:hAnsi="Times New Roman" w:cs="Times New Roman"/>
          <w:iCs/>
          <w:sz w:val="24"/>
          <w:szCs w:val="24"/>
        </w:rPr>
        <w:t>instrumentalizing</w:t>
      </w:r>
      <w:proofErr w:type="spellEnd"/>
      <w:r w:rsidR="00C85418" w:rsidRPr="00781920">
        <w:rPr>
          <w:rFonts w:ascii="Times New Roman" w:hAnsi="Times New Roman" w:cs="Times New Roman"/>
          <w:iCs/>
          <w:sz w:val="24"/>
          <w:szCs w:val="24"/>
        </w:rPr>
        <w:t xml:space="preserve"> and politicizing women’s bodies and lives, subjecting them to risks to their lives or health and depriving them of autonomy in decision-making</w:t>
      </w:r>
      <w:r w:rsidR="00DB5461" w:rsidRPr="00781920">
        <w:rPr>
          <w:rFonts w:ascii="Times New Roman" w:hAnsi="Times New Roman" w:cs="Times New Roman"/>
          <w:iCs/>
          <w:sz w:val="24"/>
          <w:szCs w:val="24"/>
        </w:rPr>
        <w:t>.</w:t>
      </w:r>
      <w:r w:rsidR="00C85418" w:rsidRPr="00781920">
        <w:rPr>
          <w:rStyle w:val="FootnoteReference"/>
          <w:rFonts w:ascii="Times New Roman" w:hAnsi="Times New Roman" w:cs="Times New Roman"/>
          <w:iCs/>
          <w:sz w:val="24"/>
          <w:szCs w:val="24"/>
        </w:rPr>
        <w:footnoteReference w:id="21"/>
      </w:r>
    </w:p>
    <w:p w:rsidR="00C85418" w:rsidRPr="00781920" w:rsidRDefault="00C85418" w:rsidP="00280859">
      <w:pPr>
        <w:spacing w:after="0" w:line="240" w:lineRule="auto"/>
        <w:jc w:val="both"/>
        <w:rPr>
          <w:rFonts w:ascii="Times New Roman" w:hAnsi="Times New Roman" w:cs="Times New Roman"/>
          <w:iCs/>
          <w:sz w:val="24"/>
          <w:szCs w:val="24"/>
        </w:rPr>
      </w:pPr>
    </w:p>
    <w:sectPr w:rsidR="00C85418" w:rsidRPr="00781920" w:rsidSect="004D48D4">
      <w:headerReference w:type="default" r:id="rId9"/>
      <w:footerReference w:type="default" r:id="rId10"/>
      <w:pgSz w:w="12240" w:h="15840"/>
      <w:pgMar w:top="993" w:right="1440" w:bottom="1440" w:left="1440" w:header="14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84C" w:rsidRDefault="0063684C" w:rsidP="00BB1AC8">
      <w:pPr>
        <w:spacing w:after="0" w:line="240" w:lineRule="auto"/>
      </w:pPr>
      <w:r>
        <w:separator/>
      </w:r>
    </w:p>
  </w:endnote>
  <w:endnote w:type="continuationSeparator" w:id="0">
    <w:p w:rsidR="0063684C" w:rsidRDefault="0063684C" w:rsidP="00BB1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262228"/>
      <w:docPartObj>
        <w:docPartGallery w:val="Page Numbers (Bottom of Page)"/>
        <w:docPartUnique/>
      </w:docPartObj>
    </w:sdtPr>
    <w:sdtEndPr>
      <w:rPr>
        <w:noProof/>
      </w:rPr>
    </w:sdtEndPr>
    <w:sdtContent>
      <w:p w:rsidR="00E22DB9" w:rsidRDefault="00BC7E75">
        <w:pPr>
          <w:pStyle w:val="Footer"/>
          <w:jc w:val="right"/>
        </w:pPr>
        <w:r>
          <w:fldChar w:fldCharType="begin"/>
        </w:r>
        <w:r w:rsidR="00E22DB9">
          <w:instrText xml:space="preserve"> PAGE   \* MERGEFORMAT </w:instrText>
        </w:r>
        <w:r>
          <w:fldChar w:fldCharType="separate"/>
        </w:r>
        <w:r w:rsidR="00542182">
          <w:rPr>
            <w:noProof/>
          </w:rPr>
          <w:t>7</w:t>
        </w:r>
        <w:r>
          <w:rPr>
            <w:noProof/>
          </w:rPr>
          <w:fldChar w:fldCharType="end"/>
        </w:r>
      </w:p>
    </w:sdtContent>
  </w:sdt>
  <w:p w:rsidR="00E22DB9" w:rsidRDefault="00E22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84C" w:rsidRDefault="0063684C" w:rsidP="00BB1AC8">
      <w:pPr>
        <w:spacing w:after="0" w:line="240" w:lineRule="auto"/>
      </w:pPr>
      <w:r>
        <w:separator/>
      </w:r>
    </w:p>
  </w:footnote>
  <w:footnote w:type="continuationSeparator" w:id="0">
    <w:p w:rsidR="0063684C" w:rsidRDefault="0063684C" w:rsidP="00BB1AC8">
      <w:pPr>
        <w:spacing w:after="0" w:line="240" w:lineRule="auto"/>
      </w:pPr>
      <w:r>
        <w:continuationSeparator/>
      </w:r>
    </w:p>
  </w:footnote>
  <w:footnote w:id="1">
    <w:p w:rsidR="00280859" w:rsidRPr="006B2ACA" w:rsidRDefault="00280859" w:rsidP="00652D4F">
      <w:pPr>
        <w:pStyle w:val="FootnoteText"/>
        <w:rPr>
          <w:rFonts w:ascii="Times New Roman" w:hAnsi="Times New Roman" w:cs="Times New Roman"/>
          <w:sz w:val="18"/>
          <w:szCs w:val="18"/>
        </w:rPr>
      </w:pPr>
      <w:r w:rsidRPr="006B2ACA">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Paper</w:t>
      </w:r>
      <w:r w:rsidR="00A76045">
        <w:rPr>
          <w:rFonts w:ascii="Times New Roman" w:hAnsi="Times New Roman" w:cs="Times New Roman"/>
          <w:sz w:val="18"/>
          <w:szCs w:val="18"/>
        </w:rPr>
        <w:t xml:space="preserve"> prepared</w:t>
      </w:r>
      <w:r>
        <w:rPr>
          <w:rFonts w:ascii="Times New Roman" w:hAnsi="Times New Roman" w:cs="Times New Roman"/>
          <w:sz w:val="18"/>
          <w:szCs w:val="18"/>
        </w:rPr>
        <w:t xml:space="preserve"> </w:t>
      </w:r>
      <w:r w:rsidR="00652D4F">
        <w:rPr>
          <w:rFonts w:ascii="Times New Roman" w:hAnsi="Times New Roman" w:cs="Times New Roman"/>
          <w:sz w:val="18"/>
          <w:szCs w:val="18"/>
        </w:rPr>
        <w:t xml:space="preserve">and led </w:t>
      </w:r>
      <w:r>
        <w:rPr>
          <w:rFonts w:ascii="Times New Roman" w:hAnsi="Times New Roman" w:cs="Times New Roman"/>
          <w:sz w:val="18"/>
          <w:szCs w:val="18"/>
        </w:rPr>
        <w:t>by F</w:t>
      </w:r>
      <w:r w:rsidR="00A76045">
        <w:rPr>
          <w:rFonts w:ascii="Times New Roman" w:hAnsi="Times New Roman" w:cs="Times New Roman"/>
          <w:sz w:val="18"/>
          <w:szCs w:val="18"/>
        </w:rPr>
        <w:t>r</w:t>
      </w:r>
      <w:r>
        <w:rPr>
          <w:rFonts w:ascii="Times New Roman" w:hAnsi="Times New Roman" w:cs="Times New Roman"/>
          <w:sz w:val="18"/>
          <w:szCs w:val="18"/>
        </w:rPr>
        <w:t>ances Raday</w:t>
      </w:r>
      <w:r w:rsidR="00A76045">
        <w:rPr>
          <w:rFonts w:ascii="Times New Roman" w:hAnsi="Times New Roman" w:cs="Times New Roman"/>
          <w:sz w:val="18"/>
          <w:szCs w:val="18"/>
        </w:rPr>
        <w:t xml:space="preserve"> and agreed by </w:t>
      </w:r>
      <w:r w:rsidR="00652D4F">
        <w:rPr>
          <w:rFonts w:ascii="Times New Roman" w:hAnsi="Times New Roman" w:cs="Times New Roman"/>
          <w:sz w:val="18"/>
          <w:szCs w:val="18"/>
        </w:rPr>
        <w:t>the</w:t>
      </w:r>
      <w:r w:rsidR="002C2946">
        <w:rPr>
          <w:rFonts w:ascii="Times New Roman" w:hAnsi="Times New Roman" w:cs="Times New Roman"/>
          <w:sz w:val="18"/>
          <w:szCs w:val="18"/>
        </w:rPr>
        <w:t xml:space="preserve"> members of the Working Group </w:t>
      </w:r>
      <w:r w:rsidR="00A76045">
        <w:rPr>
          <w:rFonts w:ascii="Times New Roman" w:hAnsi="Times New Roman" w:cs="Times New Roman"/>
          <w:sz w:val="18"/>
          <w:szCs w:val="18"/>
        </w:rPr>
        <w:t xml:space="preserve"> </w:t>
      </w:r>
      <w:r w:rsidR="002C2946">
        <w:rPr>
          <w:rFonts w:ascii="Times New Roman" w:hAnsi="Times New Roman" w:cs="Times New Roman"/>
          <w:sz w:val="18"/>
          <w:szCs w:val="18"/>
        </w:rPr>
        <w:t>(</w:t>
      </w:r>
      <w:r w:rsidR="00A76045">
        <w:rPr>
          <w:rFonts w:ascii="Times New Roman" w:hAnsi="Times New Roman" w:cs="Times New Roman"/>
          <w:sz w:val="18"/>
          <w:szCs w:val="18"/>
        </w:rPr>
        <w:t>Alda, Facio,</w:t>
      </w:r>
      <w:r w:rsidR="00652D4F">
        <w:rPr>
          <w:rFonts w:ascii="Times New Roman" w:hAnsi="Times New Roman" w:cs="Times New Roman"/>
          <w:sz w:val="18"/>
          <w:szCs w:val="18"/>
        </w:rPr>
        <w:t xml:space="preserve"> Frances Raday,</w:t>
      </w:r>
      <w:r w:rsidR="00A76045">
        <w:rPr>
          <w:rFonts w:ascii="Times New Roman" w:hAnsi="Times New Roman" w:cs="Times New Roman"/>
          <w:sz w:val="18"/>
          <w:szCs w:val="18"/>
        </w:rPr>
        <w:t xml:space="preserve"> Eleonora </w:t>
      </w:r>
      <w:proofErr w:type="spellStart"/>
      <w:r w:rsidR="00A76045">
        <w:rPr>
          <w:rFonts w:ascii="Times New Roman" w:hAnsi="Times New Roman" w:cs="Times New Roman"/>
          <w:sz w:val="18"/>
          <w:szCs w:val="18"/>
        </w:rPr>
        <w:t>Zeli</w:t>
      </w:r>
      <w:r w:rsidR="002516B4">
        <w:rPr>
          <w:rFonts w:ascii="Times New Roman" w:hAnsi="Times New Roman" w:cs="Times New Roman"/>
          <w:sz w:val="18"/>
          <w:szCs w:val="18"/>
        </w:rPr>
        <w:t>nska</w:t>
      </w:r>
      <w:proofErr w:type="spellEnd"/>
      <w:r w:rsidR="002516B4">
        <w:rPr>
          <w:rFonts w:ascii="Times New Roman" w:hAnsi="Times New Roman" w:cs="Times New Roman"/>
          <w:sz w:val="18"/>
          <w:szCs w:val="18"/>
        </w:rPr>
        <w:t xml:space="preserve">, Kamala </w:t>
      </w:r>
      <w:proofErr w:type="spellStart"/>
      <w:r w:rsidR="002516B4">
        <w:rPr>
          <w:rFonts w:ascii="Times New Roman" w:hAnsi="Times New Roman" w:cs="Times New Roman"/>
          <w:sz w:val="18"/>
          <w:szCs w:val="18"/>
        </w:rPr>
        <w:t>Chandrakirana</w:t>
      </w:r>
      <w:proofErr w:type="spellEnd"/>
      <w:r w:rsidR="002516B4">
        <w:rPr>
          <w:rFonts w:ascii="Times New Roman" w:hAnsi="Times New Roman" w:cs="Times New Roman"/>
          <w:sz w:val="18"/>
          <w:szCs w:val="18"/>
        </w:rPr>
        <w:t xml:space="preserve"> and </w:t>
      </w:r>
      <w:proofErr w:type="spellStart"/>
      <w:r w:rsidR="002516B4">
        <w:rPr>
          <w:rFonts w:ascii="Times New Roman" w:hAnsi="Times New Roman" w:cs="Times New Roman"/>
          <w:sz w:val="18"/>
          <w:szCs w:val="18"/>
        </w:rPr>
        <w:t>E</w:t>
      </w:r>
      <w:r w:rsidR="00A76045">
        <w:rPr>
          <w:rFonts w:ascii="Times New Roman" w:hAnsi="Times New Roman" w:cs="Times New Roman"/>
          <w:sz w:val="18"/>
          <w:szCs w:val="18"/>
        </w:rPr>
        <w:t>mna</w:t>
      </w:r>
      <w:proofErr w:type="spellEnd"/>
      <w:r w:rsidR="00A76045">
        <w:rPr>
          <w:rFonts w:ascii="Times New Roman" w:hAnsi="Times New Roman" w:cs="Times New Roman"/>
          <w:sz w:val="18"/>
          <w:szCs w:val="18"/>
        </w:rPr>
        <w:t xml:space="preserve"> </w:t>
      </w:r>
      <w:proofErr w:type="spellStart"/>
      <w:r w:rsidR="00A76045">
        <w:rPr>
          <w:rFonts w:ascii="Times New Roman" w:hAnsi="Times New Roman" w:cs="Times New Roman"/>
          <w:sz w:val="18"/>
          <w:szCs w:val="18"/>
        </w:rPr>
        <w:t>Aouij</w:t>
      </w:r>
      <w:proofErr w:type="spellEnd"/>
      <w:r w:rsidR="002C2946">
        <w:rPr>
          <w:rFonts w:ascii="Times New Roman" w:hAnsi="Times New Roman" w:cs="Times New Roman"/>
          <w:sz w:val="18"/>
          <w:szCs w:val="18"/>
        </w:rPr>
        <w:t>)</w:t>
      </w:r>
    </w:p>
  </w:footnote>
  <w:footnote w:id="2">
    <w:p w:rsidR="00D2190E" w:rsidRPr="00CF6FC3" w:rsidRDefault="00D2190E" w:rsidP="00D2190E">
      <w:pPr>
        <w:pStyle w:val="FootnoteText"/>
        <w:rPr>
          <w:rFonts w:ascii="Times New Roman" w:hAnsi="Times New Roman" w:cs="Times New Roman"/>
          <w:sz w:val="18"/>
          <w:szCs w:val="18"/>
        </w:rPr>
      </w:pPr>
      <w:r>
        <w:rPr>
          <w:rStyle w:val="FootnoteReference"/>
        </w:rPr>
        <w:footnoteRef/>
      </w:r>
      <w:r>
        <w:t xml:space="preserve"> </w:t>
      </w:r>
      <w:r w:rsidRPr="00CF6FC3">
        <w:rPr>
          <w:rFonts w:ascii="Times New Roman" w:hAnsi="Times New Roman" w:cs="Times New Roman"/>
          <w:sz w:val="18"/>
          <w:szCs w:val="18"/>
        </w:rPr>
        <w:t>Articles 3 and 17 of the ICCPR</w:t>
      </w:r>
    </w:p>
  </w:footnote>
  <w:footnote w:id="3">
    <w:p w:rsidR="00D2190E" w:rsidRPr="00CF6FC3" w:rsidRDefault="00D2190E" w:rsidP="00D2190E">
      <w:pPr>
        <w:pStyle w:val="FootnoteText"/>
        <w:rPr>
          <w:rFonts w:ascii="Times New Roman" w:hAnsi="Times New Roman" w:cs="Times New Roman"/>
          <w:sz w:val="18"/>
          <w:szCs w:val="18"/>
        </w:rPr>
      </w:pPr>
      <w:r w:rsidRPr="00CF6FC3">
        <w:rPr>
          <w:rStyle w:val="FootnoteReference"/>
          <w:rFonts w:ascii="Times New Roman" w:hAnsi="Times New Roman" w:cs="Times New Roman"/>
          <w:sz w:val="18"/>
          <w:szCs w:val="18"/>
        </w:rPr>
        <w:footnoteRef/>
      </w:r>
      <w:r w:rsidRPr="00CF6FC3">
        <w:rPr>
          <w:rFonts w:ascii="Times New Roman" w:hAnsi="Times New Roman" w:cs="Times New Roman"/>
          <w:sz w:val="18"/>
          <w:szCs w:val="18"/>
        </w:rPr>
        <w:t xml:space="preserve"> Articles 3 and 12 of the ICESCR</w:t>
      </w:r>
    </w:p>
  </w:footnote>
  <w:footnote w:id="4">
    <w:p w:rsidR="00D2190E" w:rsidRDefault="00D2190E" w:rsidP="00D2190E">
      <w:pPr>
        <w:pStyle w:val="FootnoteText"/>
      </w:pPr>
      <w:r w:rsidRPr="00CF6FC3">
        <w:rPr>
          <w:rStyle w:val="FootnoteReference"/>
          <w:rFonts w:ascii="Times New Roman" w:hAnsi="Times New Roman" w:cs="Times New Roman"/>
          <w:sz w:val="18"/>
          <w:szCs w:val="18"/>
        </w:rPr>
        <w:footnoteRef/>
      </w:r>
      <w:r w:rsidRPr="00CF6FC3">
        <w:rPr>
          <w:rFonts w:ascii="Times New Roman" w:hAnsi="Times New Roman" w:cs="Times New Roman"/>
          <w:sz w:val="18"/>
          <w:szCs w:val="18"/>
        </w:rPr>
        <w:t>Article 12 of the CEDAW</w:t>
      </w:r>
    </w:p>
  </w:footnote>
  <w:footnote w:id="5">
    <w:p w:rsidR="00D5311D" w:rsidRPr="0051669F" w:rsidRDefault="00D5311D" w:rsidP="00D5311D">
      <w:pPr>
        <w:pStyle w:val="FootnoteText"/>
        <w:rPr>
          <w:rFonts w:ascii="Times New Roman" w:hAnsi="Times New Roman" w:cs="Times New Roman"/>
          <w:sz w:val="18"/>
          <w:szCs w:val="18"/>
        </w:rPr>
      </w:pPr>
      <w:r w:rsidRPr="0051669F">
        <w:rPr>
          <w:rStyle w:val="FootnoteReference"/>
          <w:rFonts w:ascii="Times New Roman" w:hAnsi="Times New Roman" w:cs="Times New Roman"/>
          <w:sz w:val="18"/>
          <w:szCs w:val="18"/>
        </w:rPr>
        <w:footnoteRef/>
      </w:r>
      <w:r w:rsidRPr="0051669F">
        <w:rPr>
          <w:rFonts w:ascii="Times New Roman" w:hAnsi="Times New Roman" w:cs="Times New Roman"/>
          <w:sz w:val="18"/>
          <w:szCs w:val="18"/>
        </w:rPr>
        <w:t xml:space="preserve"> </w:t>
      </w:r>
      <w:proofErr w:type="gramStart"/>
      <w:r w:rsidRPr="0051669F">
        <w:rPr>
          <w:rFonts w:ascii="Times New Roman" w:hAnsi="Times New Roman" w:cs="Times New Roman"/>
          <w:sz w:val="18"/>
          <w:szCs w:val="18"/>
        </w:rPr>
        <w:t>UN GAOR, 12th Session, Agenda Item 33, at 119 (q), UN Doc.</w:t>
      </w:r>
      <w:proofErr w:type="gramEnd"/>
      <w:r w:rsidRPr="0051669F">
        <w:rPr>
          <w:rFonts w:ascii="Times New Roman" w:hAnsi="Times New Roman" w:cs="Times New Roman"/>
          <w:sz w:val="18"/>
          <w:szCs w:val="18"/>
        </w:rPr>
        <w:t xml:space="preserve"> </w:t>
      </w:r>
      <w:proofErr w:type="gramStart"/>
      <w:r w:rsidRPr="0051669F">
        <w:rPr>
          <w:rFonts w:ascii="Times New Roman" w:hAnsi="Times New Roman" w:cs="Times New Roman"/>
          <w:sz w:val="18"/>
          <w:szCs w:val="18"/>
        </w:rPr>
        <w:t>A/3764, 1957.</w:t>
      </w:r>
      <w:proofErr w:type="gramEnd"/>
    </w:p>
  </w:footnote>
  <w:footnote w:id="6">
    <w:p w:rsidR="00292E32" w:rsidRDefault="00292E32">
      <w:pPr>
        <w:pStyle w:val="FootnoteText"/>
      </w:pPr>
      <w:r w:rsidRPr="002C2946">
        <w:rPr>
          <w:rStyle w:val="FootnoteReference"/>
        </w:rPr>
        <w:footnoteRef/>
      </w:r>
      <w:r w:rsidRPr="002C2946">
        <w:t xml:space="preserve"> </w:t>
      </w:r>
      <w:hyperlink r:id="rId1" w:anchor="page_scan_tab_contents" w:history="1">
        <w:r w:rsidR="002C2946" w:rsidRPr="002C2946">
          <w:rPr>
            <w:rStyle w:val="Hyperlink"/>
            <w:rFonts w:ascii="Times New Roman" w:hAnsi="Times New Roman" w:cs="Times New Roman"/>
            <w:sz w:val="18"/>
            <w:szCs w:val="18"/>
          </w:rPr>
          <w:t>https://www.jstor.org/stable/25475303?seq=1#page_scan_tab_contents</w:t>
        </w:r>
      </w:hyperlink>
      <w:r w:rsidR="002C2946">
        <w:t xml:space="preserve"> </w:t>
      </w:r>
    </w:p>
  </w:footnote>
  <w:footnote w:id="7">
    <w:p w:rsidR="001C79AF" w:rsidRPr="00763875" w:rsidRDefault="001C79AF" w:rsidP="001C79AF">
      <w:pPr>
        <w:pStyle w:val="FootnoteText"/>
        <w:jc w:val="both"/>
        <w:rPr>
          <w:lang w:val="en-GB"/>
        </w:rPr>
      </w:pPr>
      <w:r>
        <w:rPr>
          <w:rStyle w:val="FootnoteReference"/>
        </w:rPr>
        <w:footnoteRef/>
      </w:r>
      <w:r>
        <w:t xml:space="preserve"> </w:t>
      </w:r>
      <w:r w:rsidRPr="006B3097">
        <w:rPr>
          <w:rFonts w:ascii="Times New Roman" w:hAnsi="Times New Roman" w:cs="Times New Roman"/>
          <w:sz w:val="18"/>
          <w:szCs w:val="18"/>
        </w:rPr>
        <w:t>See, inter alia, CESCR General Comment 22, CEDAW General Recommendation 35, CRC General Comment 20, and also CEDAW, CESCR, CAT, CRC relevant concluding observations, Special Procedures mandate holders’ reports (Special Rapporteur on the right of everyone to the enjoyment of the highest attainable standard of physical and mental health, Special Rapporteur on Torture and other cruel, inhuman or degrading treatment or punishment, Special Rapporteur on extrajudicial, summary or arbitrary executions</w:t>
      </w:r>
      <w:r>
        <w:rPr>
          <w:rFonts w:ascii="Times New Roman" w:hAnsi="Times New Roman" w:cs="Times New Roman"/>
          <w:sz w:val="18"/>
          <w:szCs w:val="18"/>
        </w:rPr>
        <w:t>.</w:t>
      </w:r>
    </w:p>
  </w:footnote>
  <w:footnote w:id="8">
    <w:p w:rsidR="002E6C25" w:rsidRPr="00154257" w:rsidRDefault="002E6C25" w:rsidP="00287BF9">
      <w:pPr>
        <w:spacing w:after="0" w:line="240" w:lineRule="auto"/>
        <w:jc w:val="both"/>
        <w:rPr>
          <w:rFonts w:ascii="Times New Roman" w:hAnsi="Times New Roman" w:cs="Times New Roman"/>
          <w:sz w:val="18"/>
          <w:szCs w:val="18"/>
        </w:rPr>
      </w:pPr>
      <w:r>
        <w:rPr>
          <w:rStyle w:val="FootnoteReference"/>
        </w:rPr>
        <w:footnoteRef/>
      </w:r>
      <w:r>
        <w:t xml:space="preserve"> </w:t>
      </w:r>
      <w:r w:rsidR="008B01AE" w:rsidRPr="00F85756">
        <w:rPr>
          <w:rFonts w:ascii="Times New Roman" w:hAnsi="Times New Roman" w:cs="Times New Roman"/>
          <w:sz w:val="18"/>
          <w:szCs w:val="18"/>
        </w:rPr>
        <w:t xml:space="preserve">The Working Group has expressed its opinion that a recent formulation by the Human Rights Committee, in its draft General Comment on Article 6 – Right to Life, could lead to a regressive interpretation of Article 6 setting back the considerable progress </w:t>
      </w:r>
      <w:r w:rsidR="008B01AE" w:rsidRPr="00154257">
        <w:rPr>
          <w:rFonts w:ascii="Times New Roman" w:hAnsi="Times New Roman" w:cs="Times New Roman"/>
          <w:sz w:val="18"/>
          <w:szCs w:val="18"/>
        </w:rPr>
        <w:t>made by UN human rights mechanisms in recognizing women’s human rights to dignity, autonomy, highest attainable standard of health and respect for private life on a basis of equality with men, without discrimination.</w:t>
      </w:r>
    </w:p>
  </w:footnote>
  <w:footnote w:id="9">
    <w:p w:rsidR="006B3097" w:rsidRDefault="006B3097">
      <w:pPr>
        <w:pStyle w:val="FootnoteText"/>
      </w:pPr>
      <w:r w:rsidRPr="00154257">
        <w:rPr>
          <w:rStyle w:val="FootnoteReference"/>
        </w:rPr>
        <w:footnoteRef/>
      </w:r>
      <w:r w:rsidRPr="00154257">
        <w:t xml:space="preserve"> </w:t>
      </w:r>
      <w:r w:rsidR="00154257" w:rsidRPr="00154257">
        <w:rPr>
          <w:rFonts w:ascii="Times New Roman" w:hAnsi="Times New Roman" w:cs="Times New Roman"/>
          <w:sz w:val="18"/>
          <w:szCs w:val="18"/>
        </w:rPr>
        <w:t>See Working Group on discrimination against women in law and practice report on health and safety, A/HRC/32/44</w:t>
      </w:r>
    </w:p>
  </w:footnote>
  <w:footnote w:id="10">
    <w:p w:rsidR="00BE5F57" w:rsidRPr="002A6334" w:rsidRDefault="00BE5F57" w:rsidP="00BE5F57">
      <w:pPr>
        <w:pStyle w:val="FootnoteText"/>
        <w:rPr>
          <w:rFonts w:ascii="Times New Roman" w:hAnsi="Times New Roman" w:cs="Times New Roman"/>
          <w:sz w:val="18"/>
          <w:szCs w:val="18"/>
        </w:rPr>
      </w:pPr>
      <w:r w:rsidRPr="002A6334">
        <w:rPr>
          <w:rStyle w:val="FootnoteReference"/>
          <w:rFonts w:ascii="Times New Roman" w:hAnsi="Times New Roman" w:cs="Times New Roman"/>
          <w:sz w:val="18"/>
          <w:szCs w:val="18"/>
        </w:rPr>
        <w:footnoteRef/>
      </w:r>
      <w:proofErr w:type="gramStart"/>
      <w:r w:rsidRPr="002A6334">
        <w:rPr>
          <w:rFonts w:ascii="Times New Roman" w:hAnsi="Times New Roman" w:cs="Times New Roman"/>
          <w:bCs/>
          <w:iCs/>
          <w:sz w:val="18"/>
          <w:szCs w:val="18"/>
        </w:rPr>
        <w:t>Myanmar, CEDAW/C/MMR/CO/4-5, 25 July 2016, para.</w:t>
      </w:r>
      <w:proofErr w:type="gramEnd"/>
      <w:r w:rsidRPr="002A6334">
        <w:rPr>
          <w:rFonts w:ascii="Times New Roman" w:hAnsi="Times New Roman" w:cs="Times New Roman"/>
          <w:bCs/>
          <w:iCs/>
          <w:sz w:val="18"/>
          <w:szCs w:val="18"/>
        </w:rPr>
        <w:t xml:space="preserve"> 39(b)</w:t>
      </w:r>
    </w:p>
  </w:footnote>
  <w:footnote w:id="11">
    <w:p w:rsidR="00BE5F57" w:rsidRPr="002A6334" w:rsidRDefault="00BE5F57" w:rsidP="00BE5F57">
      <w:pPr>
        <w:shd w:val="clear" w:color="auto" w:fill="FFFFFF"/>
        <w:spacing w:after="0" w:line="240" w:lineRule="auto"/>
        <w:rPr>
          <w:rFonts w:ascii="Times New Roman" w:hAnsi="Times New Roman" w:cs="Times New Roman"/>
          <w:color w:val="222222"/>
          <w:sz w:val="18"/>
          <w:szCs w:val="18"/>
        </w:rPr>
      </w:pPr>
      <w:r w:rsidRPr="002A6334">
        <w:rPr>
          <w:rStyle w:val="FootnoteReference"/>
          <w:rFonts w:ascii="Times New Roman" w:hAnsi="Times New Roman" w:cs="Times New Roman"/>
          <w:sz w:val="18"/>
          <w:szCs w:val="18"/>
        </w:rPr>
        <w:footnoteRef/>
      </w:r>
      <w:r w:rsidRPr="002A6334">
        <w:rPr>
          <w:rFonts w:ascii="Times New Roman" w:hAnsi="Times New Roman" w:cs="Times New Roman"/>
          <w:sz w:val="18"/>
          <w:szCs w:val="18"/>
        </w:rPr>
        <w:t xml:space="preserve"> </w:t>
      </w:r>
      <w:hyperlink r:id="rId2" w:tgtFrame="_blank" w:history="1">
        <w:r w:rsidRPr="002A6334">
          <w:rPr>
            <w:rStyle w:val="Hyperlink"/>
            <w:rFonts w:ascii="Times New Roman" w:hAnsi="Times New Roman" w:cs="Times New Roman"/>
            <w:color w:val="1155CC"/>
            <w:sz w:val="18"/>
            <w:szCs w:val="18"/>
          </w:rPr>
          <w:t>http://tbinternet.ohchr.org/_layouts/treatybodyexternal/Download.aspx?symbolno=CEDAW/C/MMR/CO/4-5&amp;Lang=En</w:t>
        </w:r>
      </w:hyperlink>
    </w:p>
  </w:footnote>
  <w:footnote w:id="12">
    <w:p w:rsidR="002E6C25" w:rsidRDefault="002E6C25">
      <w:pPr>
        <w:pStyle w:val="FootnoteText"/>
      </w:pPr>
      <w:r w:rsidRPr="006576C9">
        <w:rPr>
          <w:rStyle w:val="FootnoteReference"/>
        </w:rPr>
        <w:footnoteRef/>
      </w:r>
      <w:r w:rsidRPr="006576C9">
        <w:t xml:space="preserve"> </w:t>
      </w:r>
      <w:r w:rsidRPr="006576C9">
        <w:rPr>
          <w:rFonts w:ascii="Times New Roman" w:hAnsi="Times New Roman" w:cs="Times New Roman"/>
          <w:sz w:val="18"/>
          <w:szCs w:val="18"/>
        </w:rPr>
        <w:t>See the comments</w:t>
      </w:r>
      <w:r w:rsidR="00A31EE0">
        <w:rPr>
          <w:rFonts w:ascii="Times New Roman" w:hAnsi="Times New Roman" w:cs="Times New Roman"/>
          <w:sz w:val="18"/>
          <w:szCs w:val="18"/>
        </w:rPr>
        <w:t xml:space="preserve"> of the WG</w:t>
      </w:r>
      <w:r w:rsidRPr="006576C9">
        <w:rPr>
          <w:rFonts w:ascii="Times New Roman" w:hAnsi="Times New Roman" w:cs="Times New Roman"/>
          <w:sz w:val="18"/>
          <w:szCs w:val="18"/>
        </w:rPr>
        <w:t>DAW to the Human Rights Committee</w:t>
      </w:r>
      <w:r w:rsidR="00A31EE0">
        <w:rPr>
          <w:rFonts w:ascii="Times New Roman" w:hAnsi="Times New Roman" w:cs="Times New Roman"/>
          <w:sz w:val="18"/>
          <w:szCs w:val="18"/>
        </w:rPr>
        <w:t xml:space="preserve"> General Comment on Art.6 on the Right to Life</w:t>
      </w:r>
    </w:p>
  </w:footnote>
  <w:footnote w:id="13">
    <w:p w:rsidR="00E22DB9" w:rsidRPr="002D601C" w:rsidRDefault="00E22DB9">
      <w:pPr>
        <w:pStyle w:val="FootnoteText"/>
        <w:rPr>
          <w:rFonts w:ascii="Times New Roman" w:hAnsi="Times New Roman" w:cs="Times New Roman"/>
          <w:sz w:val="18"/>
          <w:szCs w:val="18"/>
        </w:rPr>
      </w:pPr>
      <w:r w:rsidRPr="002D601C">
        <w:rPr>
          <w:rStyle w:val="FootnoteReference"/>
          <w:rFonts w:ascii="Times New Roman" w:hAnsi="Times New Roman" w:cs="Times New Roman"/>
          <w:sz w:val="18"/>
          <w:szCs w:val="18"/>
        </w:rPr>
        <w:footnoteRef/>
      </w:r>
      <w:r w:rsidRPr="002D601C">
        <w:rPr>
          <w:rFonts w:ascii="Times New Roman" w:hAnsi="Times New Roman" w:cs="Times New Roman"/>
          <w:sz w:val="18"/>
          <w:szCs w:val="18"/>
        </w:rPr>
        <w:t xml:space="preserve"> </w:t>
      </w:r>
      <w:proofErr w:type="gramStart"/>
      <w:r w:rsidRPr="002D601C">
        <w:rPr>
          <w:rFonts w:ascii="Times New Roman" w:hAnsi="Times New Roman" w:cs="Times New Roman"/>
          <w:sz w:val="18"/>
          <w:szCs w:val="18"/>
        </w:rPr>
        <w:t>WG DAW response to the proposed Draft of the Human Rights Committee in its draft proposal for a General Comment on Article 6 ICCPR.</w:t>
      </w:r>
      <w:proofErr w:type="gramEnd"/>
    </w:p>
  </w:footnote>
  <w:footnote w:id="14">
    <w:p w:rsidR="00F804FC" w:rsidRPr="00F804FC" w:rsidRDefault="00F804FC">
      <w:pPr>
        <w:pStyle w:val="FootnoteText"/>
      </w:pPr>
      <w:r>
        <w:rPr>
          <w:rStyle w:val="FootnoteReference"/>
        </w:rPr>
        <w:footnoteRef/>
      </w:r>
      <w:r>
        <w:t xml:space="preserve"> </w:t>
      </w:r>
      <w:hyperlink r:id="rId3" w:history="1">
        <w:r w:rsidR="007266CA" w:rsidRPr="007266CA">
          <w:rPr>
            <w:rStyle w:val="Hyperlink"/>
            <w:rFonts w:ascii="Times New Roman" w:hAnsi="Times New Roman" w:cs="Times New Roman"/>
            <w:sz w:val="18"/>
            <w:szCs w:val="18"/>
          </w:rPr>
          <w:t>https://spcommreports.in.ohchr.org/Tmsearch/TMDocuments</w:t>
        </w:r>
      </w:hyperlink>
      <w:r w:rsidR="007266CA">
        <w:t xml:space="preserve"> </w:t>
      </w:r>
    </w:p>
  </w:footnote>
  <w:footnote w:id="15">
    <w:p w:rsidR="00E22DB9" w:rsidRPr="002D601C" w:rsidRDefault="00E22DB9" w:rsidP="009A5E0B">
      <w:pPr>
        <w:pStyle w:val="FootnoteText"/>
        <w:rPr>
          <w:rFonts w:ascii="Times New Roman" w:hAnsi="Times New Roman" w:cs="Times New Roman"/>
          <w:sz w:val="18"/>
          <w:szCs w:val="18"/>
        </w:rPr>
      </w:pPr>
      <w:r w:rsidRPr="002D601C">
        <w:rPr>
          <w:rStyle w:val="FootnoteReference"/>
          <w:rFonts w:ascii="Times New Roman" w:hAnsi="Times New Roman" w:cs="Times New Roman"/>
          <w:sz w:val="18"/>
          <w:szCs w:val="18"/>
        </w:rPr>
        <w:footnoteRef/>
      </w:r>
      <w:r w:rsidRPr="002D601C">
        <w:rPr>
          <w:rFonts w:ascii="Times New Roman" w:hAnsi="Times New Roman" w:cs="Times New Roman"/>
          <w:sz w:val="18"/>
          <w:szCs w:val="18"/>
        </w:rPr>
        <w:t xml:space="preserve"> </w:t>
      </w:r>
      <w:r w:rsidR="002D601C" w:rsidRPr="002D601C">
        <w:rPr>
          <w:rFonts w:ascii="Times New Roman" w:hAnsi="Times New Roman" w:cs="Times New Roman"/>
          <w:sz w:val="18"/>
          <w:szCs w:val="18"/>
        </w:rPr>
        <w:t>CRPD/C/GBR/CO/129 August 2017</w:t>
      </w:r>
    </w:p>
    <w:p w:rsidR="00E22DB9" w:rsidRPr="00AE4FDE" w:rsidRDefault="00E22DB9" w:rsidP="009A5E0B">
      <w:pPr>
        <w:pStyle w:val="FootnoteText"/>
        <w:rPr>
          <w:lang w:val="en-GB"/>
        </w:rPr>
      </w:pPr>
    </w:p>
  </w:footnote>
  <w:footnote w:id="16">
    <w:p w:rsidR="00E22DB9" w:rsidRPr="00754AF1" w:rsidRDefault="00E22DB9" w:rsidP="00754AF1">
      <w:pPr>
        <w:pStyle w:val="FootnoteText"/>
        <w:rPr>
          <w:rFonts w:ascii="Times New Roman" w:hAnsi="Times New Roman" w:cs="Times New Roman"/>
          <w:sz w:val="18"/>
          <w:szCs w:val="18"/>
        </w:rPr>
      </w:pPr>
      <w:r>
        <w:rPr>
          <w:rStyle w:val="FootnoteReference"/>
        </w:rPr>
        <w:footnoteRef/>
      </w:r>
      <w:r>
        <w:t xml:space="preserve"> </w:t>
      </w:r>
      <w:r w:rsidRPr="00523EF6">
        <w:rPr>
          <w:rFonts w:ascii="Times New Roman" w:hAnsi="Times New Roman" w:cs="Times New Roman"/>
          <w:sz w:val="18"/>
          <w:szCs w:val="18"/>
        </w:rPr>
        <w:t xml:space="preserve">See </w:t>
      </w:r>
      <w:r w:rsidRPr="001E4CB7">
        <w:rPr>
          <w:rFonts w:ascii="Times New Roman" w:hAnsi="Times New Roman" w:cs="Times New Roman"/>
          <w:sz w:val="18"/>
          <w:szCs w:val="18"/>
        </w:rPr>
        <w:t xml:space="preserve">Working Group on discrimination against women in law and practice report on health and </w:t>
      </w:r>
      <w:r>
        <w:rPr>
          <w:rFonts w:ascii="Times New Roman" w:hAnsi="Times New Roman" w:cs="Times New Roman"/>
          <w:sz w:val="18"/>
          <w:szCs w:val="18"/>
        </w:rPr>
        <w:t>safety, A/HRC/32/44</w:t>
      </w:r>
    </w:p>
  </w:footnote>
  <w:footnote w:id="17">
    <w:p w:rsidR="00F804FC" w:rsidRPr="00F804FC" w:rsidRDefault="00F804FC">
      <w:pPr>
        <w:pStyle w:val="FootnoteText"/>
      </w:pPr>
      <w:r>
        <w:rPr>
          <w:rStyle w:val="FootnoteReference"/>
        </w:rPr>
        <w:footnoteRef/>
      </w:r>
      <w:r>
        <w:t xml:space="preserve"> </w:t>
      </w:r>
      <w:hyperlink r:id="rId4" w:history="1">
        <w:r w:rsidR="008F600D" w:rsidRPr="001757E2">
          <w:rPr>
            <w:rStyle w:val="Hyperlink"/>
          </w:rPr>
          <w:t>http://www.ohchr.org/EN/Issues/Women/WGWomen/Pages/Communications.aspx</w:t>
        </w:r>
      </w:hyperlink>
      <w:r w:rsidR="008F600D">
        <w:t xml:space="preserve"> </w:t>
      </w:r>
    </w:p>
  </w:footnote>
  <w:footnote w:id="18">
    <w:p w:rsidR="00F804FC" w:rsidRPr="00F804FC" w:rsidRDefault="00F804FC">
      <w:pPr>
        <w:pStyle w:val="FootnoteText"/>
      </w:pPr>
      <w:r>
        <w:rPr>
          <w:rStyle w:val="FootnoteReference"/>
        </w:rPr>
        <w:footnoteRef/>
      </w:r>
      <w:r>
        <w:t xml:space="preserve"> </w:t>
      </w:r>
      <w:hyperlink r:id="rId5" w:history="1">
        <w:r w:rsidR="009D5816" w:rsidRPr="001757E2">
          <w:rPr>
            <w:rStyle w:val="Hyperlink"/>
          </w:rPr>
          <w:t>http://www.ohchr.org/EN/NewsEvents/Pages/DisplayNews.aspx?NewsID=21119&amp;LangID=E</w:t>
        </w:r>
      </w:hyperlink>
      <w:r w:rsidR="009D5816">
        <w:t xml:space="preserve"> </w:t>
      </w:r>
    </w:p>
  </w:footnote>
  <w:footnote w:id="19">
    <w:p w:rsidR="00783698" w:rsidRPr="00783698" w:rsidRDefault="00783698">
      <w:pPr>
        <w:pStyle w:val="FootnoteText"/>
      </w:pPr>
      <w:r>
        <w:rPr>
          <w:rStyle w:val="FootnoteReference"/>
        </w:rPr>
        <w:footnoteRef/>
      </w:r>
      <w:r>
        <w:t xml:space="preserve"> </w:t>
      </w:r>
      <w:hyperlink r:id="rId6" w:history="1">
        <w:r w:rsidR="008F600D" w:rsidRPr="001757E2">
          <w:rPr>
            <w:rStyle w:val="Hyperlink"/>
          </w:rPr>
          <w:t>http://ap.ohchr.org/documents/dpage_e.aspx?si=A/HRC/32/44/Add.2</w:t>
        </w:r>
      </w:hyperlink>
      <w:r w:rsidR="008F600D">
        <w:t xml:space="preserve"> </w:t>
      </w:r>
    </w:p>
  </w:footnote>
  <w:footnote w:id="20">
    <w:p w:rsidR="00D44AFF" w:rsidRPr="00D44AFF" w:rsidRDefault="00D44AFF">
      <w:pPr>
        <w:pStyle w:val="FootnoteText"/>
      </w:pPr>
      <w:r>
        <w:rPr>
          <w:rStyle w:val="FootnoteReference"/>
        </w:rPr>
        <w:footnoteRef/>
      </w:r>
      <w:r>
        <w:t xml:space="preserve"> </w:t>
      </w:r>
      <w:hyperlink r:id="rId7" w:history="1">
        <w:r w:rsidR="00A95D51" w:rsidRPr="001757E2">
          <w:rPr>
            <w:rStyle w:val="Hyperlink"/>
          </w:rPr>
          <w:t>https://spcommreports.in.ohchr.org/Tmsearch/TMDocuments</w:t>
        </w:r>
      </w:hyperlink>
      <w:r w:rsidR="00A95D51">
        <w:t xml:space="preserve"> </w:t>
      </w:r>
    </w:p>
  </w:footnote>
  <w:footnote w:id="21">
    <w:p w:rsidR="00E22DB9" w:rsidRPr="00F54FB6" w:rsidRDefault="00E22DB9" w:rsidP="00C85418">
      <w:pPr>
        <w:pStyle w:val="FootnoteText"/>
        <w:rPr>
          <w:lang w:val="en-GB"/>
        </w:rPr>
      </w:pPr>
      <w:r>
        <w:rPr>
          <w:rStyle w:val="FootnoteReference"/>
        </w:rPr>
        <w:footnoteRef/>
      </w:r>
      <w:r>
        <w:t xml:space="preserve"> </w:t>
      </w:r>
      <w:r w:rsidRPr="00DB5461">
        <w:rPr>
          <w:rFonts w:ascii="Times New Roman" w:hAnsi="Times New Roman" w:cs="Times New Roman"/>
          <w:sz w:val="18"/>
          <w:szCs w:val="18"/>
          <w:lang w:val="en-GB"/>
        </w:rPr>
        <w:t>Working Group on discrimination against women in law and practice report on health and safety A/HRC/32/44,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B9" w:rsidRDefault="00E22D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5348"/>
    <w:multiLevelType w:val="multilevel"/>
    <w:tmpl w:val="4E42A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AB0B9E"/>
    <w:multiLevelType w:val="hybridMultilevel"/>
    <w:tmpl w:val="66B475AC"/>
    <w:lvl w:ilvl="0" w:tplc="713C6E6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C255B4"/>
    <w:multiLevelType w:val="hybridMultilevel"/>
    <w:tmpl w:val="B2BA27A0"/>
    <w:lvl w:ilvl="0" w:tplc="7E6C598C">
      <w:start w:val="1"/>
      <w:numFmt w:val="decimal"/>
      <w:lvlText w:val="%1."/>
      <w:lvlJc w:val="left"/>
      <w:pPr>
        <w:ind w:left="630" w:hanging="360"/>
      </w:pPr>
      <w:rPr>
        <w:rFonts w:ascii="Times New Roman" w:hAnsi="Times New Roman" w:cs="Times New Roman" w:hint="default"/>
      </w:rPr>
    </w:lvl>
    <w:lvl w:ilvl="1" w:tplc="08090019">
      <w:start w:val="1"/>
      <w:numFmt w:val="lowerLetter"/>
      <w:lvlText w:val="%2."/>
      <w:lvlJc w:val="left"/>
      <w:pPr>
        <w:ind w:left="1080" w:hanging="360"/>
      </w:pPr>
    </w:lvl>
    <w:lvl w:ilvl="2" w:tplc="FA6A6F56">
      <w:start w:val="1"/>
      <w:numFmt w:val="decimal"/>
      <w:lvlText w:val="%3."/>
      <w:lvlJc w:val="right"/>
      <w:pPr>
        <w:ind w:left="1800" w:hanging="180"/>
      </w:pPr>
      <w:rPr>
        <w:rFonts w:ascii="Times New Roman" w:eastAsiaTheme="minorHAnsi" w:hAnsi="Times New Roman" w:cs="Times New Roman"/>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FE"/>
    <w:rsid w:val="00004557"/>
    <w:rsid w:val="00007A10"/>
    <w:rsid w:val="00010F39"/>
    <w:rsid w:val="00012693"/>
    <w:rsid w:val="0002103B"/>
    <w:rsid w:val="00022E70"/>
    <w:rsid w:val="00024BCC"/>
    <w:rsid w:val="000306F3"/>
    <w:rsid w:val="00047266"/>
    <w:rsid w:val="000645E3"/>
    <w:rsid w:val="00067AD2"/>
    <w:rsid w:val="00090885"/>
    <w:rsid w:val="00090FFE"/>
    <w:rsid w:val="00097F38"/>
    <w:rsid w:val="000A4515"/>
    <w:rsid w:val="000B7CDF"/>
    <w:rsid w:val="000D798C"/>
    <w:rsid w:val="000F466A"/>
    <w:rsid w:val="000F7DE9"/>
    <w:rsid w:val="001016A6"/>
    <w:rsid w:val="001153C6"/>
    <w:rsid w:val="00133F5B"/>
    <w:rsid w:val="0014165D"/>
    <w:rsid w:val="00151DED"/>
    <w:rsid w:val="00154257"/>
    <w:rsid w:val="00156D3E"/>
    <w:rsid w:val="00193F38"/>
    <w:rsid w:val="001A6747"/>
    <w:rsid w:val="001B0495"/>
    <w:rsid w:val="001B4E8E"/>
    <w:rsid w:val="001B5304"/>
    <w:rsid w:val="001C79AF"/>
    <w:rsid w:val="001D0369"/>
    <w:rsid w:val="001D58EE"/>
    <w:rsid w:val="001E4CB7"/>
    <w:rsid w:val="001F1354"/>
    <w:rsid w:val="0020396A"/>
    <w:rsid w:val="00210FB4"/>
    <w:rsid w:val="00211927"/>
    <w:rsid w:val="002305AA"/>
    <w:rsid w:val="002371F5"/>
    <w:rsid w:val="00250A40"/>
    <w:rsid w:val="002516B4"/>
    <w:rsid w:val="00252CA7"/>
    <w:rsid w:val="00254176"/>
    <w:rsid w:val="00270DA4"/>
    <w:rsid w:val="002742BE"/>
    <w:rsid w:val="00280859"/>
    <w:rsid w:val="0028460E"/>
    <w:rsid w:val="002855C2"/>
    <w:rsid w:val="00287BF9"/>
    <w:rsid w:val="00290376"/>
    <w:rsid w:val="00291465"/>
    <w:rsid w:val="00291F6B"/>
    <w:rsid w:val="00292E32"/>
    <w:rsid w:val="002A6334"/>
    <w:rsid w:val="002B1EE8"/>
    <w:rsid w:val="002B29FD"/>
    <w:rsid w:val="002B71A4"/>
    <w:rsid w:val="002C2946"/>
    <w:rsid w:val="002C6169"/>
    <w:rsid w:val="002D3675"/>
    <w:rsid w:val="002D601C"/>
    <w:rsid w:val="002E6C25"/>
    <w:rsid w:val="00306E94"/>
    <w:rsid w:val="00311956"/>
    <w:rsid w:val="003154D5"/>
    <w:rsid w:val="003208C1"/>
    <w:rsid w:val="003232C9"/>
    <w:rsid w:val="00327C3F"/>
    <w:rsid w:val="00332E80"/>
    <w:rsid w:val="003332DA"/>
    <w:rsid w:val="0033581E"/>
    <w:rsid w:val="00344EA4"/>
    <w:rsid w:val="0034538C"/>
    <w:rsid w:val="00346A11"/>
    <w:rsid w:val="003555E8"/>
    <w:rsid w:val="00373B6E"/>
    <w:rsid w:val="00380792"/>
    <w:rsid w:val="0039028F"/>
    <w:rsid w:val="003C25C2"/>
    <w:rsid w:val="003D48EA"/>
    <w:rsid w:val="003E4336"/>
    <w:rsid w:val="003F48F8"/>
    <w:rsid w:val="003F5813"/>
    <w:rsid w:val="004048D5"/>
    <w:rsid w:val="0040663E"/>
    <w:rsid w:val="00420647"/>
    <w:rsid w:val="00430D04"/>
    <w:rsid w:val="0043454F"/>
    <w:rsid w:val="004360E3"/>
    <w:rsid w:val="00444CB1"/>
    <w:rsid w:val="0046018B"/>
    <w:rsid w:val="00461F79"/>
    <w:rsid w:val="00463B16"/>
    <w:rsid w:val="004831E7"/>
    <w:rsid w:val="00484550"/>
    <w:rsid w:val="004973D8"/>
    <w:rsid w:val="004A715E"/>
    <w:rsid w:val="004A76AD"/>
    <w:rsid w:val="004A7E32"/>
    <w:rsid w:val="004C30F4"/>
    <w:rsid w:val="004D48D4"/>
    <w:rsid w:val="004F257A"/>
    <w:rsid w:val="00500BA9"/>
    <w:rsid w:val="00513234"/>
    <w:rsid w:val="0051669F"/>
    <w:rsid w:val="00523B88"/>
    <w:rsid w:val="00523EF6"/>
    <w:rsid w:val="005333D3"/>
    <w:rsid w:val="005348AF"/>
    <w:rsid w:val="00541C1E"/>
    <w:rsid w:val="00542182"/>
    <w:rsid w:val="00545652"/>
    <w:rsid w:val="00573179"/>
    <w:rsid w:val="00573183"/>
    <w:rsid w:val="00581FFF"/>
    <w:rsid w:val="0059161D"/>
    <w:rsid w:val="005A51DB"/>
    <w:rsid w:val="005B140D"/>
    <w:rsid w:val="005B3955"/>
    <w:rsid w:val="005C3A45"/>
    <w:rsid w:val="005C72B4"/>
    <w:rsid w:val="005E50A3"/>
    <w:rsid w:val="005F0524"/>
    <w:rsid w:val="005F5B31"/>
    <w:rsid w:val="006366EF"/>
    <w:rsid w:val="0063684C"/>
    <w:rsid w:val="00637003"/>
    <w:rsid w:val="00641AE6"/>
    <w:rsid w:val="00652D4F"/>
    <w:rsid w:val="0065584B"/>
    <w:rsid w:val="006576C9"/>
    <w:rsid w:val="00664935"/>
    <w:rsid w:val="006665B3"/>
    <w:rsid w:val="0066708E"/>
    <w:rsid w:val="00677CF4"/>
    <w:rsid w:val="00682856"/>
    <w:rsid w:val="006A5E8E"/>
    <w:rsid w:val="006B3097"/>
    <w:rsid w:val="006B6BC1"/>
    <w:rsid w:val="006C2A66"/>
    <w:rsid w:val="006D7466"/>
    <w:rsid w:val="006E3301"/>
    <w:rsid w:val="006F4ACC"/>
    <w:rsid w:val="00701255"/>
    <w:rsid w:val="007035AA"/>
    <w:rsid w:val="00712432"/>
    <w:rsid w:val="007200E1"/>
    <w:rsid w:val="007265D8"/>
    <w:rsid w:val="007266CA"/>
    <w:rsid w:val="00726AFA"/>
    <w:rsid w:val="007334DE"/>
    <w:rsid w:val="00736756"/>
    <w:rsid w:val="007406D9"/>
    <w:rsid w:val="00741E34"/>
    <w:rsid w:val="007454DB"/>
    <w:rsid w:val="00752068"/>
    <w:rsid w:val="00754AF1"/>
    <w:rsid w:val="00755779"/>
    <w:rsid w:val="00760E8A"/>
    <w:rsid w:val="007629DE"/>
    <w:rsid w:val="00763875"/>
    <w:rsid w:val="007723CA"/>
    <w:rsid w:val="00781920"/>
    <w:rsid w:val="0078218B"/>
    <w:rsid w:val="00783698"/>
    <w:rsid w:val="00797008"/>
    <w:rsid w:val="007A6E6D"/>
    <w:rsid w:val="007B4A64"/>
    <w:rsid w:val="007C3B71"/>
    <w:rsid w:val="007C51AF"/>
    <w:rsid w:val="007C6B41"/>
    <w:rsid w:val="007D4153"/>
    <w:rsid w:val="007D7597"/>
    <w:rsid w:val="007E0104"/>
    <w:rsid w:val="007E5CC4"/>
    <w:rsid w:val="007E6F93"/>
    <w:rsid w:val="007F5F5C"/>
    <w:rsid w:val="008073AD"/>
    <w:rsid w:val="00810F4F"/>
    <w:rsid w:val="00811028"/>
    <w:rsid w:val="00812C26"/>
    <w:rsid w:val="008134DC"/>
    <w:rsid w:val="00825A10"/>
    <w:rsid w:val="00826F18"/>
    <w:rsid w:val="00831D2B"/>
    <w:rsid w:val="00845E22"/>
    <w:rsid w:val="0085078A"/>
    <w:rsid w:val="008508FE"/>
    <w:rsid w:val="00854616"/>
    <w:rsid w:val="00856DB2"/>
    <w:rsid w:val="00881A5A"/>
    <w:rsid w:val="00890EA0"/>
    <w:rsid w:val="00892EB6"/>
    <w:rsid w:val="008A3455"/>
    <w:rsid w:val="008A485A"/>
    <w:rsid w:val="008B01AE"/>
    <w:rsid w:val="008B04F4"/>
    <w:rsid w:val="008B2A88"/>
    <w:rsid w:val="008B56A6"/>
    <w:rsid w:val="008D2386"/>
    <w:rsid w:val="008E489C"/>
    <w:rsid w:val="008E656F"/>
    <w:rsid w:val="008E797C"/>
    <w:rsid w:val="008F1C25"/>
    <w:rsid w:val="008F600D"/>
    <w:rsid w:val="00912A2C"/>
    <w:rsid w:val="00913364"/>
    <w:rsid w:val="00914842"/>
    <w:rsid w:val="0091669E"/>
    <w:rsid w:val="00937B8F"/>
    <w:rsid w:val="0094370C"/>
    <w:rsid w:val="00944BDD"/>
    <w:rsid w:val="0094770C"/>
    <w:rsid w:val="00954590"/>
    <w:rsid w:val="00980EB2"/>
    <w:rsid w:val="009840A0"/>
    <w:rsid w:val="009A5E0B"/>
    <w:rsid w:val="009B5B6B"/>
    <w:rsid w:val="009C6433"/>
    <w:rsid w:val="009D2F15"/>
    <w:rsid w:val="009D5816"/>
    <w:rsid w:val="009E1A4B"/>
    <w:rsid w:val="009E3068"/>
    <w:rsid w:val="009F2179"/>
    <w:rsid w:val="009F34DB"/>
    <w:rsid w:val="00A01BB5"/>
    <w:rsid w:val="00A02B41"/>
    <w:rsid w:val="00A13A1A"/>
    <w:rsid w:val="00A24348"/>
    <w:rsid w:val="00A30982"/>
    <w:rsid w:val="00A31EE0"/>
    <w:rsid w:val="00A442B0"/>
    <w:rsid w:val="00A47C6B"/>
    <w:rsid w:val="00A54172"/>
    <w:rsid w:val="00A54DE5"/>
    <w:rsid w:val="00A72788"/>
    <w:rsid w:val="00A76045"/>
    <w:rsid w:val="00A80097"/>
    <w:rsid w:val="00A85516"/>
    <w:rsid w:val="00A86322"/>
    <w:rsid w:val="00A95D51"/>
    <w:rsid w:val="00AA02DC"/>
    <w:rsid w:val="00AB041F"/>
    <w:rsid w:val="00AC19C8"/>
    <w:rsid w:val="00AC73AD"/>
    <w:rsid w:val="00AD09A3"/>
    <w:rsid w:val="00AE4DD9"/>
    <w:rsid w:val="00AE4FDE"/>
    <w:rsid w:val="00B23789"/>
    <w:rsid w:val="00B25B08"/>
    <w:rsid w:val="00B30FE1"/>
    <w:rsid w:val="00B310DD"/>
    <w:rsid w:val="00B41183"/>
    <w:rsid w:val="00B54EE3"/>
    <w:rsid w:val="00B627DC"/>
    <w:rsid w:val="00B6388B"/>
    <w:rsid w:val="00B71DBF"/>
    <w:rsid w:val="00B74C0B"/>
    <w:rsid w:val="00B77FF4"/>
    <w:rsid w:val="00B80837"/>
    <w:rsid w:val="00BA5060"/>
    <w:rsid w:val="00BA5DB3"/>
    <w:rsid w:val="00BA758A"/>
    <w:rsid w:val="00BA7C2F"/>
    <w:rsid w:val="00BB1AC8"/>
    <w:rsid w:val="00BB2F29"/>
    <w:rsid w:val="00BC0F30"/>
    <w:rsid w:val="00BC7E75"/>
    <w:rsid w:val="00BE4A1A"/>
    <w:rsid w:val="00BE5F57"/>
    <w:rsid w:val="00C0518E"/>
    <w:rsid w:val="00C052F1"/>
    <w:rsid w:val="00C106DA"/>
    <w:rsid w:val="00C10B5C"/>
    <w:rsid w:val="00C24A5D"/>
    <w:rsid w:val="00C2744E"/>
    <w:rsid w:val="00C32583"/>
    <w:rsid w:val="00C3346A"/>
    <w:rsid w:val="00C366B0"/>
    <w:rsid w:val="00C40C91"/>
    <w:rsid w:val="00C47F73"/>
    <w:rsid w:val="00C53088"/>
    <w:rsid w:val="00C63B3C"/>
    <w:rsid w:val="00C85418"/>
    <w:rsid w:val="00C86272"/>
    <w:rsid w:val="00C9089A"/>
    <w:rsid w:val="00C9562E"/>
    <w:rsid w:val="00C978B2"/>
    <w:rsid w:val="00CB026A"/>
    <w:rsid w:val="00CB0CB1"/>
    <w:rsid w:val="00CB3C93"/>
    <w:rsid w:val="00CB6DFC"/>
    <w:rsid w:val="00CC3558"/>
    <w:rsid w:val="00CC7626"/>
    <w:rsid w:val="00CF03F5"/>
    <w:rsid w:val="00CF5D7D"/>
    <w:rsid w:val="00CF6FC3"/>
    <w:rsid w:val="00D01211"/>
    <w:rsid w:val="00D15362"/>
    <w:rsid w:val="00D2024D"/>
    <w:rsid w:val="00D2190E"/>
    <w:rsid w:val="00D228BA"/>
    <w:rsid w:val="00D422A6"/>
    <w:rsid w:val="00D427BF"/>
    <w:rsid w:val="00D44AFF"/>
    <w:rsid w:val="00D5311D"/>
    <w:rsid w:val="00D63F06"/>
    <w:rsid w:val="00D6476C"/>
    <w:rsid w:val="00D671FD"/>
    <w:rsid w:val="00D70C7B"/>
    <w:rsid w:val="00D7549C"/>
    <w:rsid w:val="00DB3127"/>
    <w:rsid w:val="00DB5461"/>
    <w:rsid w:val="00DC184A"/>
    <w:rsid w:val="00DC2A1F"/>
    <w:rsid w:val="00DC6F24"/>
    <w:rsid w:val="00DC6F41"/>
    <w:rsid w:val="00DD422C"/>
    <w:rsid w:val="00DD7260"/>
    <w:rsid w:val="00DE12A8"/>
    <w:rsid w:val="00DE5029"/>
    <w:rsid w:val="00DF26E0"/>
    <w:rsid w:val="00E01C3B"/>
    <w:rsid w:val="00E04EEC"/>
    <w:rsid w:val="00E062DB"/>
    <w:rsid w:val="00E10C1D"/>
    <w:rsid w:val="00E136D0"/>
    <w:rsid w:val="00E22B39"/>
    <w:rsid w:val="00E22DB9"/>
    <w:rsid w:val="00E23E9A"/>
    <w:rsid w:val="00E46752"/>
    <w:rsid w:val="00E47A7A"/>
    <w:rsid w:val="00E544FE"/>
    <w:rsid w:val="00E56029"/>
    <w:rsid w:val="00E607C0"/>
    <w:rsid w:val="00E645C1"/>
    <w:rsid w:val="00E75D50"/>
    <w:rsid w:val="00E930C1"/>
    <w:rsid w:val="00EA3489"/>
    <w:rsid w:val="00EC0679"/>
    <w:rsid w:val="00EE0C1D"/>
    <w:rsid w:val="00EE1BEC"/>
    <w:rsid w:val="00EE3FCB"/>
    <w:rsid w:val="00EF46FE"/>
    <w:rsid w:val="00EF50F2"/>
    <w:rsid w:val="00F14C95"/>
    <w:rsid w:val="00F170A5"/>
    <w:rsid w:val="00F229EF"/>
    <w:rsid w:val="00F26892"/>
    <w:rsid w:val="00F33E56"/>
    <w:rsid w:val="00F37043"/>
    <w:rsid w:val="00F432EB"/>
    <w:rsid w:val="00F47BAD"/>
    <w:rsid w:val="00F54FB6"/>
    <w:rsid w:val="00F6462A"/>
    <w:rsid w:val="00F70124"/>
    <w:rsid w:val="00F804FC"/>
    <w:rsid w:val="00F8384A"/>
    <w:rsid w:val="00F851A3"/>
    <w:rsid w:val="00F85756"/>
    <w:rsid w:val="00F91A83"/>
    <w:rsid w:val="00FB3D27"/>
    <w:rsid w:val="00FC1C0D"/>
    <w:rsid w:val="00FD071C"/>
    <w:rsid w:val="00FD096B"/>
    <w:rsid w:val="00FF0DCF"/>
    <w:rsid w:val="00FF0FCF"/>
    <w:rsid w:val="00FF2463"/>
    <w:rsid w:val="00FF443F"/>
    <w:rsid w:val="00FF5A25"/>
    <w:rsid w:val="00FF6227"/>
    <w:rsid w:val="00FF6D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lnk">
    <w:name w:val="ref-lnk"/>
    <w:basedOn w:val="DefaultParagraphFont"/>
    <w:rsid w:val="00BB1AC8"/>
  </w:style>
  <w:style w:type="character" w:styleId="Hyperlink">
    <w:name w:val="Hyperlink"/>
    <w:basedOn w:val="DefaultParagraphFont"/>
    <w:uiPriority w:val="99"/>
    <w:unhideWhenUsed/>
    <w:rsid w:val="00BB1AC8"/>
    <w:rPr>
      <w:color w:val="0000FF"/>
      <w:u w:val="single"/>
    </w:rPr>
  </w:style>
  <w:style w:type="character" w:customStyle="1" w:styleId="ref-overlay">
    <w:name w:val="ref-overlay"/>
    <w:basedOn w:val="DefaultParagraphFont"/>
    <w:rsid w:val="00BB1AC8"/>
  </w:style>
  <w:style w:type="character" w:customStyle="1" w:styleId="ref-links">
    <w:name w:val="ref-links"/>
    <w:basedOn w:val="DefaultParagraphFont"/>
    <w:rsid w:val="00BB1AC8"/>
  </w:style>
  <w:style w:type="character" w:customStyle="1" w:styleId="googlescholar-container">
    <w:name w:val="googlescholar-container"/>
    <w:basedOn w:val="DefaultParagraphFont"/>
    <w:rsid w:val="00BB1AC8"/>
  </w:style>
  <w:style w:type="paragraph" w:styleId="FootnoteText">
    <w:name w:val="footnote text"/>
    <w:aliases w:val="FA,FA Fußnotentext,Footnote Text Char Char Char Char,Footnote Text Char Char1,Footnote Text Char1 Char Char,Footnote Text Char1 Char1 Char1 Char Char Char,Footnote Text Char2,Footnote Text Char2 Char1 Char Char Char,5_G,Podrozdział"/>
    <w:basedOn w:val="Normal"/>
    <w:link w:val="FootnoteTextChar"/>
    <w:uiPriority w:val="99"/>
    <w:unhideWhenUsed/>
    <w:rsid w:val="00BB1AC8"/>
    <w:pPr>
      <w:spacing w:after="0" w:line="240" w:lineRule="auto"/>
    </w:pPr>
    <w:rPr>
      <w:sz w:val="20"/>
      <w:szCs w:val="20"/>
    </w:rPr>
  </w:style>
  <w:style w:type="character" w:customStyle="1" w:styleId="FootnoteTextChar">
    <w:name w:val="Footnote Text Char"/>
    <w:aliases w:val="FA Char,FA Fußnotentext Char,Footnote Text Char Char Char Char Char,Footnote Text Char Char1 Char,Footnote Text Char1 Char Char Char,Footnote Text Char1 Char1 Char1 Char Char Char Char,Footnote Text Char2 Char,5_G Char"/>
    <w:basedOn w:val="DefaultParagraphFont"/>
    <w:link w:val="FootnoteText"/>
    <w:uiPriority w:val="99"/>
    <w:rsid w:val="00BB1AC8"/>
    <w:rPr>
      <w:sz w:val="20"/>
      <w:szCs w:val="20"/>
    </w:rPr>
  </w:style>
  <w:style w:type="character" w:styleId="FootnoteReference">
    <w:name w:val="footnote reference"/>
    <w:aliases w:val="4_G,16 Point,Superscript 6 Point,Footnote Reference in text,Footnote Reference Superscript"/>
    <w:basedOn w:val="DefaultParagraphFont"/>
    <w:uiPriority w:val="99"/>
    <w:unhideWhenUsed/>
    <w:rsid w:val="00BB1AC8"/>
    <w:rPr>
      <w:vertAlign w:val="superscript"/>
    </w:rPr>
  </w:style>
  <w:style w:type="paragraph" w:styleId="ListParagraph">
    <w:name w:val="List Paragraph"/>
    <w:basedOn w:val="Normal"/>
    <w:uiPriority w:val="34"/>
    <w:qFormat/>
    <w:rsid w:val="002B29FD"/>
    <w:pPr>
      <w:spacing w:after="160" w:line="259" w:lineRule="auto"/>
      <w:ind w:left="720"/>
      <w:contextualSpacing/>
    </w:pPr>
    <w:rPr>
      <w:lang w:val="en-GB" w:bidi="ar-SA"/>
    </w:rPr>
  </w:style>
  <w:style w:type="paragraph" w:styleId="Header">
    <w:name w:val="header"/>
    <w:basedOn w:val="Normal"/>
    <w:link w:val="HeaderChar"/>
    <w:uiPriority w:val="99"/>
    <w:unhideWhenUsed/>
    <w:rsid w:val="00211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927"/>
  </w:style>
  <w:style w:type="paragraph" w:styleId="Footer">
    <w:name w:val="footer"/>
    <w:basedOn w:val="Normal"/>
    <w:link w:val="FooterChar"/>
    <w:uiPriority w:val="99"/>
    <w:unhideWhenUsed/>
    <w:rsid w:val="00211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927"/>
  </w:style>
  <w:style w:type="paragraph" w:styleId="BalloonText">
    <w:name w:val="Balloon Text"/>
    <w:basedOn w:val="Normal"/>
    <w:link w:val="BalloonTextChar"/>
    <w:uiPriority w:val="99"/>
    <w:semiHidden/>
    <w:unhideWhenUsed/>
    <w:rsid w:val="00151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DED"/>
    <w:rPr>
      <w:rFonts w:ascii="Tahoma" w:hAnsi="Tahoma" w:cs="Tahoma"/>
      <w:sz w:val="16"/>
      <w:szCs w:val="16"/>
    </w:rPr>
  </w:style>
  <w:style w:type="character" w:styleId="CommentReference">
    <w:name w:val="annotation reference"/>
    <w:basedOn w:val="DefaultParagraphFont"/>
    <w:uiPriority w:val="99"/>
    <w:semiHidden/>
    <w:unhideWhenUsed/>
    <w:rsid w:val="00DE5029"/>
    <w:rPr>
      <w:sz w:val="16"/>
      <w:szCs w:val="16"/>
    </w:rPr>
  </w:style>
  <w:style w:type="paragraph" w:styleId="CommentText">
    <w:name w:val="annotation text"/>
    <w:basedOn w:val="Normal"/>
    <w:link w:val="CommentTextChar"/>
    <w:uiPriority w:val="99"/>
    <w:semiHidden/>
    <w:unhideWhenUsed/>
    <w:rsid w:val="00DE5029"/>
    <w:pPr>
      <w:spacing w:line="240" w:lineRule="auto"/>
    </w:pPr>
    <w:rPr>
      <w:sz w:val="20"/>
      <w:szCs w:val="20"/>
    </w:rPr>
  </w:style>
  <w:style w:type="character" w:customStyle="1" w:styleId="CommentTextChar">
    <w:name w:val="Comment Text Char"/>
    <w:basedOn w:val="DefaultParagraphFont"/>
    <w:link w:val="CommentText"/>
    <w:uiPriority w:val="99"/>
    <w:semiHidden/>
    <w:rsid w:val="00DE5029"/>
    <w:rPr>
      <w:sz w:val="20"/>
      <w:szCs w:val="20"/>
    </w:rPr>
  </w:style>
  <w:style w:type="paragraph" w:styleId="CommentSubject">
    <w:name w:val="annotation subject"/>
    <w:basedOn w:val="CommentText"/>
    <w:next w:val="CommentText"/>
    <w:link w:val="CommentSubjectChar"/>
    <w:uiPriority w:val="99"/>
    <w:semiHidden/>
    <w:unhideWhenUsed/>
    <w:rsid w:val="00DE5029"/>
    <w:rPr>
      <w:b/>
      <w:bCs/>
    </w:rPr>
  </w:style>
  <w:style w:type="character" w:customStyle="1" w:styleId="CommentSubjectChar">
    <w:name w:val="Comment Subject Char"/>
    <w:basedOn w:val="CommentTextChar"/>
    <w:link w:val="CommentSubject"/>
    <w:uiPriority w:val="99"/>
    <w:semiHidden/>
    <w:rsid w:val="00DE5029"/>
    <w:rPr>
      <w:b/>
      <w:bCs/>
      <w:sz w:val="20"/>
      <w:szCs w:val="20"/>
    </w:rPr>
  </w:style>
  <w:style w:type="paragraph" w:styleId="EndnoteText">
    <w:name w:val="endnote text"/>
    <w:basedOn w:val="Normal"/>
    <w:link w:val="EndnoteTextChar"/>
    <w:uiPriority w:val="99"/>
    <w:semiHidden/>
    <w:unhideWhenUsed/>
    <w:rsid w:val="000F7D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7DE9"/>
    <w:rPr>
      <w:sz w:val="20"/>
      <w:szCs w:val="20"/>
    </w:rPr>
  </w:style>
  <w:style w:type="character" w:styleId="EndnoteReference">
    <w:name w:val="endnote reference"/>
    <w:basedOn w:val="DefaultParagraphFont"/>
    <w:uiPriority w:val="99"/>
    <w:semiHidden/>
    <w:unhideWhenUsed/>
    <w:rsid w:val="000F7D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lnk">
    <w:name w:val="ref-lnk"/>
    <w:basedOn w:val="DefaultParagraphFont"/>
    <w:rsid w:val="00BB1AC8"/>
  </w:style>
  <w:style w:type="character" w:styleId="Hyperlink">
    <w:name w:val="Hyperlink"/>
    <w:basedOn w:val="DefaultParagraphFont"/>
    <w:uiPriority w:val="99"/>
    <w:unhideWhenUsed/>
    <w:rsid w:val="00BB1AC8"/>
    <w:rPr>
      <w:color w:val="0000FF"/>
      <w:u w:val="single"/>
    </w:rPr>
  </w:style>
  <w:style w:type="character" w:customStyle="1" w:styleId="ref-overlay">
    <w:name w:val="ref-overlay"/>
    <w:basedOn w:val="DefaultParagraphFont"/>
    <w:rsid w:val="00BB1AC8"/>
  </w:style>
  <w:style w:type="character" w:customStyle="1" w:styleId="ref-links">
    <w:name w:val="ref-links"/>
    <w:basedOn w:val="DefaultParagraphFont"/>
    <w:rsid w:val="00BB1AC8"/>
  </w:style>
  <w:style w:type="character" w:customStyle="1" w:styleId="googlescholar-container">
    <w:name w:val="googlescholar-container"/>
    <w:basedOn w:val="DefaultParagraphFont"/>
    <w:rsid w:val="00BB1AC8"/>
  </w:style>
  <w:style w:type="paragraph" w:styleId="FootnoteText">
    <w:name w:val="footnote text"/>
    <w:aliases w:val="FA,FA Fußnotentext,Footnote Text Char Char Char Char,Footnote Text Char Char1,Footnote Text Char1 Char Char,Footnote Text Char1 Char1 Char1 Char Char Char,Footnote Text Char2,Footnote Text Char2 Char1 Char Char Char,5_G,Podrozdział"/>
    <w:basedOn w:val="Normal"/>
    <w:link w:val="FootnoteTextChar"/>
    <w:uiPriority w:val="99"/>
    <w:unhideWhenUsed/>
    <w:rsid w:val="00BB1AC8"/>
    <w:pPr>
      <w:spacing w:after="0" w:line="240" w:lineRule="auto"/>
    </w:pPr>
    <w:rPr>
      <w:sz w:val="20"/>
      <w:szCs w:val="20"/>
    </w:rPr>
  </w:style>
  <w:style w:type="character" w:customStyle="1" w:styleId="FootnoteTextChar">
    <w:name w:val="Footnote Text Char"/>
    <w:aliases w:val="FA Char,FA Fußnotentext Char,Footnote Text Char Char Char Char Char,Footnote Text Char Char1 Char,Footnote Text Char1 Char Char Char,Footnote Text Char1 Char1 Char1 Char Char Char Char,Footnote Text Char2 Char,5_G Char"/>
    <w:basedOn w:val="DefaultParagraphFont"/>
    <w:link w:val="FootnoteText"/>
    <w:uiPriority w:val="99"/>
    <w:rsid w:val="00BB1AC8"/>
    <w:rPr>
      <w:sz w:val="20"/>
      <w:szCs w:val="20"/>
    </w:rPr>
  </w:style>
  <w:style w:type="character" w:styleId="FootnoteReference">
    <w:name w:val="footnote reference"/>
    <w:aliases w:val="4_G,16 Point,Superscript 6 Point,Footnote Reference in text,Footnote Reference Superscript"/>
    <w:basedOn w:val="DefaultParagraphFont"/>
    <w:uiPriority w:val="99"/>
    <w:unhideWhenUsed/>
    <w:rsid w:val="00BB1AC8"/>
    <w:rPr>
      <w:vertAlign w:val="superscript"/>
    </w:rPr>
  </w:style>
  <w:style w:type="paragraph" w:styleId="ListParagraph">
    <w:name w:val="List Paragraph"/>
    <w:basedOn w:val="Normal"/>
    <w:uiPriority w:val="34"/>
    <w:qFormat/>
    <w:rsid w:val="002B29FD"/>
    <w:pPr>
      <w:spacing w:after="160" w:line="259" w:lineRule="auto"/>
      <w:ind w:left="720"/>
      <w:contextualSpacing/>
    </w:pPr>
    <w:rPr>
      <w:lang w:val="en-GB" w:bidi="ar-SA"/>
    </w:rPr>
  </w:style>
  <w:style w:type="paragraph" w:styleId="Header">
    <w:name w:val="header"/>
    <w:basedOn w:val="Normal"/>
    <w:link w:val="HeaderChar"/>
    <w:uiPriority w:val="99"/>
    <w:unhideWhenUsed/>
    <w:rsid w:val="00211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927"/>
  </w:style>
  <w:style w:type="paragraph" w:styleId="Footer">
    <w:name w:val="footer"/>
    <w:basedOn w:val="Normal"/>
    <w:link w:val="FooterChar"/>
    <w:uiPriority w:val="99"/>
    <w:unhideWhenUsed/>
    <w:rsid w:val="00211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927"/>
  </w:style>
  <w:style w:type="paragraph" w:styleId="BalloonText">
    <w:name w:val="Balloon Text"/>
    <w:basedOn w:val="Normal"/>
    <w:link w:val="BalloonTextChar"/>
    <w:uiPriority w:val="99"/>
    <w:semiHidden/>
    <w:unhideWhenUsed/>
    <w:rsid w:val="00151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DED"/>
    <w:rPr>
      <w:rFonts w:ascii="Tahoma" w:hAnsi="Tahoma" w:cs="Tahoma"/>
      <w:sz w:val="16"/>
      <w:szCs w:val="16"/>
    </w:rPr>
  </w:style>
  <w:style w:type="character" w:styleId="CommentReference">
    <w:name w:val="annotation reference"/>
    <w:basedOn w:val="DefaultParagraphFont"/>
    <w:uiPriority w:val="99"/>
    <w:semiHidden/>
    <w:unhideWhenUsed/>
    <w:rsid w:val="00DE5029"/>
    <w:rPr>
      <w:sz w:val="16"/>
      <w:szCs w:val="16"/>
    </w:rPr>
  </w:style>
  <w:style w:type="paragraph" w:styleId="CommentText">
    <w:name w:val="annotation text"/>
    <w:basedOn w:val="Normal"/>
    <w:link w:val="CommentTextChar"/>
    <w:uiPriority w:val="99"/>
    <w:semiHidden/>
    <w:unhideWhenUsed/>
    <w:rsid w:val="00DE5029"/>
    <w:pPr>
      <w:spacing w:line="240" w:lineRule="auto"/>
    </w:pPr>
    <w:rPr>
      <w:sz w:val="20"/>
      <w:szCs w:val="20"/>
    </w:rPr>
  </w:style>
  <w:style w:type="character" w:customStyle="1" w:styleId="CommentTextChar">
    <w:name w:val="Comment Text Char"/>
    <w:basedOn w:val="DefaultParagraphFont"/>
    <w:link w:val="CommentText"/>
    <w:uiPriority w:val="99"/>
    <w:semiHidden/>
    <w:rsid w:val="00DE5029"/>
    <w:rPr>
      <w:sz w:val="20"/>
      <w:szCs w:val="20"/>
    </w:rPr>
  </w:style>
  <w:style w:type="paragraph" w:styleId="CommentSubject">
    <w:name w:val="annotation subject"/>
    <w:basedOn w:val="CommentText"/>
    <w:next w:val="CommentText"/>
    <w:link w:val="CommentSubjectChar"/>
    <w:uiPriority w:val="99"/>
    <w:semiHidden/>
    <w:unhideWhenUsed/>
    <w:rsid w:val="00DE5029"/>
    <w:rPr>
      <w:b/>
      <w:bCs/>
    </w:rPr>
  </w:style>
  <w:style w:type="character" w:customStyle="1" w:styleId="CommentSubjectChar">
    <w:name w:val="Comment Subject Char"/>
    <w:basedOn w:val="CommentTextChar"/>
    <w:link w:val="CommentSubject"/>
    <w:uiPriority w:val="99"/>
    <w:semiHidden/>
    <w:rsid w:val="00DE5029"/>
    <w:rPr>
      <w:b/>
      <w:bCs/>
      <w:sz w:val="20"/>
      <w:szCs w:val="20"/>
    </w:rPr>
  </w:style>
  <w:style w:type="paragraph" w:styleId="EndnoteText">
    <w:name w:val="endnote text"/>
    <w:basedOn w:val="Normal"/>
    <w:link w:val="EndnoteTextChar"/>
    <w:uiPriority w:val="99"/>
    <w:semiHidden/>
    <w:unhideWhenUsed/>
    <w:rsid w:val="000F7D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7DE9"/>
    <w:rPr>
      <w:sz w:val="20"/>
      <w:szCs w:val="20"/>
    </w:rPr>
  </w:style>
  <w:style w:type="character" w:styleId="EndnoteReference">
    <w:name w:val="endnote reference"/>
    <w:basedOn w:val="DefaultParagraphFont"/>
    <w:uiPriority w:val="99"/>
    <w:semiHidden/>
    <w:unhideWhenUsed/>
    <w:rsid w:val="000F7D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16724">
      <w:bodyDiv w:val="1"/>
      <w:marLeft w:val="0"/>
      <w:marRight w:val="0"/>
      <w:marTop w:val="0"/>
      <w:marBottom w:val="0"/>
      <w:divBdr>
        <w:top w:val="none" w:sz="0" w:space="0" w:color="auto"/>
        <w:left w:val="none" w:sz="0" w:space="0" w:color="auto"/>
        <w:bottom w:val="none" w:sz="0" w:space="0" w:color="auto"/>
        <w:right w:val="none" w:sz="0" w:space="0" w:color="auto"/>
      </w:divBdr>
    </w:div>
    <w:div w:id="328754474">
      <w:bodyDiv w:val="1"/>
      <w:marLeft w:val="0"/>
      <w:marRight w:val="0"/>
      <w:marTop w:val="0"/>
      <w:marBottom w:val="0"/>
      <w:divBdr>
        <w:top w:val="none" w:sz="0" w:space="0" w:color="auto"/>
        <w:left w:val="none" w:sz="0" w:space="0" w:color="auto"/>
        <w:bottom w:val="none" w:sz="0" w:space="0" w:color="auto"/>
        <w:right w:val="none" w:sz="0" w:space="0" w:color="auto"/>
      </w:divBdr>
    </w:div>
    <w:div w:id="414324865">
      <w:bodyDiv w:val="1"/>
      <w:marLeft w:val="0"/>
      <w:marRight w:val="0"/>
      <w:marTop w:val="0"/>
      <w:marBottom w:val="0"/>
      <w:divBdr>
        <w:top w:val="none" w:sz="0" w:space="0" w:color="auto"/>
        <w:left w:val="none" w:sz="0" w:space="0" w:color="auto"/>
        <w:bottom w:val="none" w:sz="0" w:space="0" w:color="auto"/>
        <w:right w:val="none" w:sz="0" w:space="0" w:color="auto"/>
      </w:divBdr>
      <w:divsChild>
        <w:div w:id="1273829271">
          <w:marLeft w:val="0"/>
          <w:marRight w:val="0"/>
          <w:marTop w:val="0"/>
          <w:marBottom w:val="0"/>
          <w:divBdr>
            <w:top w:val="none" w:sz="0" w:space="0" w:color="auto"/>
            <w:left w:val="none" w:sz="0" w:space="0" w:color="auto"/>
            <w:bottom w:val="none" w:sz="0" w:space="0" w:color="auto"/>
            <w:right w:val="none" w:sz="0" w:space="0" w:color="auto"/>
          </w:divBdr>
        </w:div>
      </w:divsChild>
    </w:div>
    <w:div w:id="1052078896">
      <w:bodyDiv w:val="1"/>
      <w:marLeft w:val="0"/>
      <w:marRight w:val="0"/>
      <w:marTop w:val="0"/>
      <w:marBottom w:val="0"/>
      <w:divBdr>
        <w:top w:val="none" w:sz="0" w:space="0" w:color="auto"/>
        <w:left w:val="none" w:sz="0" w:space="0" w:color="auto"/>
        <w:bottom w:val="none" w:sz="0" w:space="0" w:color="auto"/>
        <w:right w:val="none" w:sz="0" w:space="0" w:color="auto"/>
      </w:divBdr>
      <w:divsChild>
        <w:div w:id="656421366">
          <w:marLeft w:val="0"/>
          <w:marRight w:val="0"/>
          <w:marTop w:val="0"/>
          <w:marBottom w:val="0"/>
          <w:divBdr>
            <w:top w:val="none" w:sz="0" w:space="0" w:color="auto"/>
            <w:left w:val="none" w:sz="0" w:space="0" w:color="auto"/>
            <w:bottom w:val="none" w:sz="0" w:space="0" w:color="auto"/>
            <w:right w:val="none" w:sz="0" w:space="0" w:color="auto"/>
          </w:divBdr>
        </w:div>
      </w:divsChild>
    </w:div>
    <w:div w:id="1691252629">
      <w:bodyDiv w:val="1"/>
      <w:marLeft w:val="0"/>
      <w:marRight w:val="0"/>
      <w:marTop w:val="0"/>
      <w:marBottom w:val="0"/>
      <w:divBdr>
        <w:top w:val="none" w:sz="0" w:space="0" w:color="auto"/>
        <w:left w:val="none" w:sz="0" w:space="0" w:color="auto"/>
        <w:bottom w:val="none" w:sz="0" w:space="0" w:color="auto"/>
        <w:right w:val="none" w:sz="0" w:space="0" w:color="auto"/>
      </w:divBdr>
      <w:divsChild>
        <w:div w:id="1799569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spcommreports.in.ohchr.org/Tmsearch/TMDocuments" TargetMode="External"/><Relationship Id="rId7" Type="http://schemas.openxmlformats.org/officeDocument/2006/relationships/hyperlink" Target="https://spcommreports.in.ohchr.org/Tmsearch/TMDocuments" TargetMode="External"/><Relationship Id="rId2" Type="http://schemas.openxmlformats.org/officeDocument/2006/relationships/hyperlink" Target="http://tbinternet.ohchr.org/_layouts/treatybodyexternal/Download.aspx?symbolno=CEDAW/C/MMR/CO/4-5&amp;Lang=En" TargetMode="External"/><Relationship Id="rId1" Type="http://schemas.openxmlformats.org/officeDocument/2006/relationships/hyperlink" Target="https://www.jstor.org/stable/25475303?seq=1" TargetMode="External"/><Relationship Id="rId6" Type="http://schemas.openxmlformats.org/officeDocument/2006/relationships/hyperlink" Target="http://ap.ohchr.org/documents/dpage_e.aspx?si=A/HRC/32/44/Add.2" TargetMode="External"/><Relationship Id="rId5" Type="http://schemas.openxmlformats.org/officeDocument/2006/relationships/hyperlink" Target="https://www.ohchr.org/EN/NewsEvents/Pages/DisplayNews.aspx?NewsID=21119&amp;LangID=E" TargetMode="External"/><Relationship Id="rId4" Type="http://schemas.openxmlformats.org/officeDocument/2006/relationships/hyperlink" Target="https://www.ohchr.org/EN/Issues/Women/WGWomen/Pages/Communic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2D6E69-A477-45B9-8638-B9172BEBE9F7}">
  <ds:schemaRefs>
    <ds:schemaRef ds:uri="http://schemas.openxmlformats.org/officeDocument/2006/bibliography"/>
  </ds:schemaRefs>
</ds:datastoreItem>
</file>

<file path=customXml/itemProps2.xml><?xml version="1.0" encoding="utf-8"?>
<ds:datastoreItem xmlns:ds="http://schemas.openxmlformats.org/officeDocument/2006/customXml" ds:itemID="{008773EC-9D3C-4E7F-8CA1-1ECC141740AD}"/>
</file>

<file path=customXml/itemProps3.xml><?xml version="1.0" encoding="utf-8"?>
<ds:datastoreItem xmlns:ds="http://schemas.openxmlformats.org/officeDocument/2006/customXml" ds:itemID="{AFE46BBC-94E3-4538-AB0A-B6E043A9434E}"/>
</file>

<file path=customXml/itemProps4.xml><?xml version="1.0" encoding="utf-8"?>
<ds:datastoreItem xmlns:ds="http://schemas.openxmlformats.org/officeDocument/2006/customXml" ds:itemID="{B0EFABF9-8BBF-46AF-87C6-4220A96FAB5D}"/>
</file>

<file path=docProps/app.xml><?xml version="1.0" encoding="utf-8"?>
<Properties xmlns="http://schemas.openxmlformats.org/officeDocument/2006/extended-properties" xmlns:vt="http://schemas.openxmlformats.org/officeDocument/2006/docPropsVTypes">
  <Template>Normal.dotm</Template>
  <TotalTime>58</TotalTime>
  <Pages>7</Pages>
  <Words>3412</Words>
  <Characters>19455</Characters>
  <Application>Microsoft Office Word</Application>
  <DocSecurity>0</DocSecurity>
  <Lines>162</Lines>
  <Paragraphs>45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OHCHR</Company>
  <LinksUpToDate>false</LinksUpToDate>
  <CharactersWithSpaces>22822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Autonomy Equality Reproductive</dc:title>
  <dc:creator>Frances</dc:creator>
  <cp:lastModifiedBy>Bernadette Arditi</cp:lastModifiedBy>
  <cp:revision>18</cp:revision>
  <dcterms:created xsi:type="dcterms:W3CDTF">2017-10-31T09:03:00Z</dcterms:created>
  <dcterms:modified xsi:type="dcterms:W3CDTF">2017-11-01T15:24:00Z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