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9A" w:rsidRPr="0044139A" w:rsidRDefault="0044139A" w:rsidP="0044139A">
      <w:pPr>
        <w:jc w:val="both"/>
        <w:rPr>
          <w:rFonts w:ascii="Arial" w:hAnsi="Arial" w:cs="Arial"/>
          <w:sz w:val="20"/>
          <w:szCs w:val="20"/>
        </w:rPr>
      </w:pPr>
    </w:p>
    <w:p w:rsidR="001A1E48" w:rsidRPr="0044139A" w:rsidRDefault="001A1E48" w:rsidP="0044139A">
      <w:pPr>
        <w:jc w:val="both"/>
        <w:rPr>
          <w:rFonts w:ascii="Arial" w:hAnsi="Arial" w:cs="Arial"/>
          <w:sz w:val="20"/>
          <w:szCs w:val="20"/>
        </w:rPr>
      </w:pPr>
      <w:r w:rsidRPr="0044139A">
        <w:rPr>
          <w:rFonts w:ascii="Arial" w:hAnsi="Arial" w:cs="Arial"/>
          <w:sz w:val="20"/>
          <w:szCs w:val="20"/>
        </w:rPr>
        <w:t xml:space="preserve">In the case of </w:t>
      </w:r>
      <w:r w:rsidR="00771340">
        <w:rPr>
          <w:rFonts w:ascii="Arial" w:hAnsi="Arial" w:cs="Arial"/>
          <w:sz w:val="20"/>
          <w:szCs w:val="20"/>
        </w:rPr>
        <w:t>l</w:t>
      </w:r>
      <w:r w:rsidR="003A42FF" w:rsidRPr="0044139A">
        <w:rPr>
          <w:rFonts w:ascii="Arial" w:hAnsi="Arial" w:cs="Arial"/>
          <w:sz w:val="20"/>
          <w:szCs w:val="20"/>
        </w:rPr>
        <w:t>esbian</w:t>
      </w:r>
      <w:r w:rsidR="00C94327">
        <w:rPr>
          <w:rFonts w:ascii="Arial" w:hAnsi="Arial" w:cs="Arial"/>
          <w:sz w:val="20"/>
          <w:szCs w:val="20"/>
        </w:rPr>
        <w:t>, bisexual and</w:t>
      </w:r>
      <w:r w:rsidRPr="0044139A">
        <w:rPr>
          <w:rFonts w:ascii="Arial" w:hAnsi="Arial" w:cs="Arial"/>
          <w:sz w:val="20"/>
          <w:szCs w:val="20"/>
        </w:rPr>
        <w:t xml:space="preserve"> intersex </w:t>
      </w:r>
      <w:r w:rsidR="00C94327">
        <w:rPr>
          <w:rFonts w:ascii="Arial" w:hAnsi="Arial" w:cs="Arial"/>
          <w:sz w:val="20"/>
          <w:szCs w:val="20"/>
        </w:rPr>
        <w:t xml:space="preserve">women </w:t>
      </w:r>
      <w:r w:rsidRPr="0044139A">
        <w:rPr>
          <w:rFonts w:ascii="Arial" w:hAnsi="Arial" w:cs="Arial"/>
          <w:sz w:val="20"/>
          <w:szCs w:val="20"/>
        </w:rPr>
        <w:t xml:space="preserve">and </w:t>
      </w:r>
      <w:proofErr w:type="gramStart"/>
      <w:r w:rsidRPr="0044139A">
        <w:rPr>
          <w:rFonts w:ascii="Arial" w:hAnsi="Arial" w:cs="Arial"/>
          <w:sz w:val="20"/>
          <w:szCs w:val="20"/>
        </w:rPr>
        <w:t>trans</w:t>
      </w:r>
      <w:proofErr w:type="gramEnd"/>
      <w:r w:rsidRPr="0044139A">
        <w:rPr>
          <w:rFonts w:ascii="Arial" w:hAnsi="Arial" w:cs="Arial"/>
          <w:sz w:val="20"/>
          <w:szCs w:val="20"/>
        </w:rPr>
        <w:t xml:space="preserve"> </w:t>
      </w:r>
      <w:r w:rsidR="00771340">
        <w:rPr>
          <w:rFonts w:ascii="Arial" w:hAnsi="Arial" w:cs="Arial"/>
          <w:sz w:val="20"/>
          <w:szCs w:val="20"/>
        </w:rPr>
        <w:t>persons</w:t>
      </w:r>
      <w:r w:rsidR="003A42FF" w:rsidRPr="0044139A">
        <w:rPr>
          <w:rFonts w:ascii="Arial" w:hAnsi="Arial" w:cs="Arial"/>
          <w:sz w:val="20"/>
          <w:szCs w:val="20"/>
        </w:rPr>
        <w:t>, there are particular instances of discrimination in law and practice which im</w:t>
      </w:r>
      <w:r w:rsidR="002D6FB8">
        <w:rPr>
          <w:rFonts w:ascii="Arial" w:hAnsi="Arial" w:cs="Arial"/>
          <w:sz w:val="20"/>
          <w:szCs w:val="20"/>
        </w:rPr>
        <w:t>pact on their health and safety.</w:t>
      </w:r>
      <w:r w:rsidR="002D6FB8">
        <w:rPr>
          <w:rStyle w:val="FootnoteReference"/>
          <w:rFonts w:ascii="Arial" w:hAnsi="Arial" w:cs="Arial"/>
          <w:sz w:val="20"/>
          <w:szCs w:val="20"/>
        </w:rPr>
        <w:footnoteReference w:id="1"/>
      </w:r>
      <w:r w:rsidR="003A42FF" w:rsidRPr="0044139A">
        <w:rPr>
          <w:rFonts w:ascii="Arial" w:hAnsi="Arial" w:cs="Arial"/>
          <w:sz w:val="20"/>
          <w:szCs w:val="20"/>
        </w:rPr>
        <w:t xml:space="preserve"> ILGA </w:t>
      </w:r>
      <w:r w:rsidR="00AE0DDA" w:rsidRPr="0044139A">
        <w:rPr>
          <w:rFonts w:ascii="Arial" w:hAnsi="Arial" w:cs="Arial"/>
          <w:sz w:val="20"/>
          <w:szCs w:val="20"/>
        </w:rPr>
        <w:t xml:space="preserve">would like to highlight </w:t>
      </w:r>
      <w:r w:rsidR="00B35F4A" w:rsidRPr="0044139A">
        <w:rPr>
          <w:rFonts w:ascii="Arial" w:hAnsi="Arial" w:cs="Arial"/>
          <w:sz w:val="20"/>
          <w:szCs w:val="20"/>
        </w:rPr>
        <w:t>some of these</w:t>
      </w:r>
      <w:r w:rsidR="008F42D8">
        <w:rPr>
          <w:rFonts w:ascii="Arial" w:hAnsi="Arial" w:cs="Arial"/>
          <w:sz w:val="20"/>
          <w:szCs w:val="20"/>
        </w:rPr>
        <w:t xml:space="preserve"> in this brief submission, and would be happy to provide more information to the Working Group on </w:t>
      </w:r>
      <w:r w:rsidR="00771340">
        <w:rPr>
          <w:rFonts w:ascii="Arial" w:hAnsi="Arial" w:cs="Arial"/>
          <w:sz w:val="20"/>
          <w:szCs w:val="20"/>
        </w:rPr>
        <w:t>the issue of d</w:t>
      </w:r>
      <w:r w:rsidR="008F42D8">
        <w:rPr>
          <w:rFonts w:ascii="Arial" w:hAnsi="Arial" w:cs="Arial"/>
          <w:sz w:val="20"/>
          <w:szCs w:val="20"/>
        </w:rPr>
        <w:t xml:space="preserve">iscrimination against women in law and </w:t>
      </w:r>
      <w:r w:rsidR="00771340">
        <w:rPr>
          <w:rFonts w:ascii="Arial" w:hAnsi="Arial" w:cs="Arial"/>
          <w:sz w:val="20"/>
          <w:szCs w:val="20"/>
        </w:rPr>
        <w:t xml:space="preserve">in </w:t>
      </w:r>
      <w:r w:rsidR="008F42D8">
        <w:rPr>
          <w:rFonts w:ascii="Arial" w:hAnsi="Arial" w:cs="Arial"/>
          <w:sz w:val="20"/>
          <w:szCs w:val="20"/>
        </w:rPr>
        <w:t>practice should they seek further details on any of the issues raised.</w:t>
      </w:r>
      <w:r w:rsidR="008F42D8">
        <w:rPr>
          <w:rStyle w:val="FootnoteReference"/>
          <w:rFonts w:ascii="Arial" w:hAnsi="Arial" w:cs="Arial"/>
          <w:sz w:val="20"/>
          <w:szCs w:val="20"/>
        </w:rPr>
        <w:footnoteReference w:id="2"/>
      </w:r>
      <w:r w:rsidR="008F42D8">
        <w:rPr>
          <w:rFonts w:ascii="Arial" w:hAnsi="Arial" w:cs="Arial"/>
          <w:sz w:val="20"/>
          <w:szCs w:val="20"/>
        </w:rPr>
        <w:t xml:space="preserve"> </w:t>
      </w:r>
    </w:p>
    <w:p w:rsidR="00086294" w:rsidRPr="0044139A" w:rsidRDefault="00086294" w:rsidP="0044139A">
      <w:pPr>
        <w:pStyle w:val="ListParagraph"/>
        <w:numPr>
          <w:ilvl w:val="0"/>
          <w:numId w:val="1"/>
        </w:numPr>
        <w:ind w:hanging="720"/>
        <w:jc w:val="both"/>
        <w:rPr>
          <w:rFonts w:ascii="Arial" w:hAnsi="Arial" w:cs="Arial"/>
          <w:b/>
          <w:sz w:val="20"/>
          <w:szCs w:val="20"/>
          <w:shd w:val="clear" w:color="auto" w:fill="FFFFFF"/>
        </w:rPr>
      </w:pPr>
      <w:r w:rsidRPr="0044139A">
        <w:rPr>
          <w:rFonts w:ascii="Arial" w:hAnsi="Arial" w:cs="Arial"/>
          <w:b/>
          <w:sz w:val="20"/>
          <w:szCs w:val="20"/>
          <w:shd w:val="clear" w:color="auto" w:fill="FFFFFF"/>
        </w:rPr>
        <w:t>Sexual and Reproductive Health and Rights</w:t>
      </w:r>
    </w:p>
    <w:p w:rsidR="00E15A9C" w:rsidRPr="0044139A" w:rsidRDefault="008F42D8" w:rsidP="0044139A">
      <w:pPr>
        <w:jc w:val="both"/>
        <w:rPr>
          <w:rFonts w:ascii="Arial" w:hAnsi="Arial" w:cs="Arial"/>
          <w:sz w:val="20"/>
          <w:szCs w:val="20"/>
        </w:rPr>
      </w:pPr>
      <w:r>
        <w:rPr>
          <w:rFonts w:ascii="Arial" w:hAnsi="Arial" w:cs="Arial"/>
          <w:sz w:val="20"/>
          <w:szCs w:val="20"/>
        </w:rPr>
        <w:t>In the context of the enjoyment of sexual and reproductive h</w:t>
      </w:r>
      <w:r w:rsidR="00C94327">
        <w:rPr>
          <w:rFonts w:ascii="Arial" w:hAnsi="Arial" w:cs="Arial"/>
          <w:sz w:val="20"/>
          <w:szCs w:val="20"/>
        </w:rPr>
        <w:t>ealth rights, lesbian,</w:t>
      </w:r>
      <w:r>
        <w:rPr>
          <w:rFonts w:ascii="Arial" w:hAnsi="Arial" w:cs="Arial"/>
          <w:sz w:val="20"/>
          <w:szCs w:val="20"/>
        </w:rPr>
        <w:t xml:space="preserve"> bisexual </w:t>
      </w:r>
      <w:r w:rsidR="00C94327">
        <w:rPr>
          <w:rFonts w:ascii="Arial" w:hAnsi="Arial" w:cs="Arial"/>
          <w:sz w:val="20"/>
          <w:szCs w:val="20"/>
        </w:rPr>
        <w:t xml:space="preserve">and intersex women and </w:t>
      </w:r>
      <w:r>
        <w:rPr>
          <w:rFonts w:ascii="Arial" w:hAnsi="Arial" w:cs="Arial"/>
          <w:sz w:val="20"/>
          <w:szCs w:val="20"/>
        </w:rPr>
        <w:t xml:space="preserve">trans </w:t>
      </w:r>
      <w:r w:rsidR="00C94327">
        <w:rPr>
          <w:rFonts w:ascii="Arial" w:hAnsi="Arial" w:cs="Arial"/>
          <w:sz w:val="20"/>
          <w:szCs w:val="20"/>
        </w:rPr>
        <w:t>persons</w:t>
      </w:r>
      <w:r>
        <w:rPr>
          <w:rFonts w:ascii="Arial" w:hAnsi="Arial" w:cs="Arial"/>
          <w:sz w:val="20"/>
          <w:szCs w:val="20"/>
        </w:rPr>
        <w:t xml:space="preserve"> (LBTI) face many of the same obstacles, such as exclusion from family planning services and sexual health programmes, a lack of information regarding </w:t>
      </w:r>
      <w:r w:rsidR="00C94327">
        <w:rPr>
          <w:rFonts w:ascii="Arial" w:hAnsi="Arial" w:cs="Arial"/>
          <w:sz w:val="20"/>
          <w:szCs w:val="20"/>
        </w:rPr>
        <w:t>reproduction</w:t>
      </w:r>
      <w:r>
        <w:rPr>
          <w:rFonts w:ascii="Arial" w:hAnsi="Arial" w:cs="Arial"/>
          <w:sz w:val="20"/>
          <w:szCs w:val="20"/>
        </w:rPr>
        <w:t xml:space="preserve"> and fertility, </w:t>
      </w:r>
      <w:r w:rsidR="002D6FB8">
        <w:rPr>
          <w:rFonts w:ascii="Arial" w:hAnsi="Arial" w:cs="Arial"/>
          <w:sz w:val="20"/>
          <w:szCs w:val="20"/>
        </w:rPr>
        <w:t xml:space="preserve">and </w:t>
      </w:r>
      <w:r>
        <w:rPr>
          <w:rFonts w:ascii="Arial" w:hAnsi="Arial" w:cs="Arial"/>
          <w:sz w:val="20"/>
          <w:szCs w:val="20"/>
        </w:rPr>
        <w:t xml:space="preserve">difficulty accessing </w:t>
      </w:r>
      <w:r w:rsidR="002D6FB8">
        <w:rPr>
          <w:rFonts w:ascii="Arial" w:hAnsi="Arial" w:cs="Arial"/>
          <w:sz w:val="20"/>
          <w:szCs w:val="20"/>
        </w:rPr>
        <w:t>fertility treatments. These barriers often arise due to prejudices and assumptions regarding the health needs of LBTI women, and lead to discrimination. For example, t</w:t>
      </w:r>
      <w:r w:rsidR="00E15A9C" w:rsidRPr="0044139A">
        <w:rPr>
          <w:rFonts w:ascii="Arial" w:hAnsi="Arial" w:cs="Arial"/>
          <w:sz w:val="20"/>
          <w:szCs w:val="20"/>
        </w:rPr>
        <w:t>he World Health Organisation has documented that “</w:t>
      </w:r>
      <w:r w:rsidR="00953DF1" w:rsidRPr="0044139A">
        <w:rPr>
          <w:rFonts w:ascii="Arial" w:hAnsi="Arial" w:cs="Arial"/>
          <w:sz w:val="20"/>
          <w:szCs w:val="20"/>
        </w:rPr>
        <w:t>(</w:t>
      </w:r>
      <w:r w:rsidR="00E15A9C" w:rsidRPr="0044139A">
        <w:rPr>
          <w:rFonts w:ascii="Arial" w:hAnsi="Arial" w:cs="Arial"/>
          <w:sz w:val="20"/>
          <w:szCs w:val="20"/>
        </w:rPr>
        <w:t>I</w:t>
      </w:r>
      <w:r w:rsidR="00953DF1" w:rsidRPr="0044139A">
        <w:rPr>
          <w:rFonts w:ascii="Arial" w:hAnsi="Arial" w:cs="Arial"/>
          <w:sz w:val="20"/>
          <w:szCs w:val="20"/>
        </w:rPr>
        <w:t>)</w:t>
      </w:r>
      <w:proofErr w:type="spellStart"/>
      <w:r w:rsidR="00E15A9C" w:rsidRPr="0044139A">
        <w:rPr>
          <w:rFonts w:ascii="Arial" w:hAnsi="Arial" w:cs="Arial"/>
          <w:sz w:val="20"/>
          <w:szCs w:val="20"/>
        </w:rPr>
        <w:t>ntersex</w:t>
      </w:r>
      <w:proofErr w:type="spellEnd"/>
      <w:r w:rsidR="00E15A9C" w:rsidRPr="0044139A">
        <w:rPr>
          <w:rFonts w:ascii="Arial" w:hAnsi="Arial" w:cs="Arial"/>
          <w:sz w:val="20"/>
          <w:szCs w:val="20"/>
        </w:rPr>
        <w:t xml:space="preserve"> people may face discrimination and stigma in the health system, </w:t>
      </w:r>
      <w:r w:rsidR="00E15A9C" w:rsidRPr="0044139A">
        <w:rPr>
          <w:rFonts w:ascii="Arial" w:hAnsi="Arial" w:cs="Arial"/>
          <w:iCs/>
          <w:sz w:val="20"/>
          <w:szCs w:val="20"/>
          <w:shd w:val="clear" w:color="auto" w:fill="FFFFFF"/>
        </w:rPr>
        <w:t>in many cases being subjected to lack of quality of care, institutional violence and forced interventions throughout their lifetime”.</w:t>
      </w:r>
      <w:r w:rsidR="00E15A9C" w:rsidRPr="0044139A">
        <w:rPr>
          <w:rStyle w:val="FootnoteReference"/>
          <w:rFonts w:ascii="Arial" w:hAnsi="Arial" w:cs="Arial"/>
          <w:iCs/>
          <w:sz w:val="20"/>
          <w:szCs w:val="20"/>
          <w:shd w:val="clear" w:color="auto" w:fill="FFFFFF"/>
        </w:rPr>
        <w:footnoteReference w:id="3"/>
      </w:r>
      <w:r w:rsidR="00E15A9C" w:rsidRPr="0044139A">
        <w:rPr>
          <w:rFonts w:ascii="Arial" w:hAnsi="Arial" w:cs="Arial"/>
          <w:iCs/>
          <w:sz w:val="20"/>
          <w:szCs w:val="20"/>
          <w:shd w:val="clear" w:color="auto" w:fill="FFFFFF"/>
        </w:rPr>
        <w:t xml:space="preserve"> </w:t>
      </w:r>
    </w:p>
    <w:p w:rsidR="00AB6735" w:rsidRPr="0044139A" w:rsidRDefault="00614475" w:rsidP="0044139A">
      <w:pPr>
        <w:jc w:val="both"/>
        <w:rPr>
          <w:rFonts w:ascii="Arial" w:hAnsi="Arial" w:cs="Arial"/>
          <w:sz w:val="20"/>
          <w:szCs w:val="20"/>
        </w:rPr>
      </w:pPr>
      <w:proofErr w:type="gramStart"/>
      <w:r w:rsidRPr="0044139A">
        <w:rPr>
          <w:rFonts w:ascii="Arial" w:hAnsi="Arial" w:cs="Arial"/>
          <w:sz w:val="20"/>
          <w:szCs w:val="20"/>
        </w:rPr>
        <w:t>Trans</w:t>
      </w:r>
      <w:proofErr w:type="gramEnd"/>
      <w:r w:rsidRPr="0044139A">
        <w:rPr>
          <w:rFonts w:ascii="Arial" w:hAnsi="Arial" w:cs="Arial"/>
          <w:sz w:val="20"/>
          <w:szCs w:val="20"/>
        </w:rPr>
        <w:t xml:space="preserve"> people in many countries</w:t>
      </w:r>
      <w:r w:rsidR="0070729F" w:rsidRPr="0044139A">
        <w:rPr>
          <w:rFonts w:ascii="Arial" w:hAnsi="Arial" w:cs="Arial"/>
          <w:sz w:val="20"/>
          <w:szCs w:val="20"/>
        </w:rPr>
        <w:t xml:space="preserve"> do not have the ability to change their legal name or gender</w:t>
      </w:r>
      <w:r w:rsidR="00764D4A" w:rsidRPr="0044139A">
        <w:rPr>
          <w:rFonts w:ascii="Arial" w:hAnsi="Arial" w:cs="Arial"/>
          <w:sz w:val="20"/>
          <w:szCs w:val="20"/>
        </w:rPr>
        <w:t xml:space="preserve"> to match their gender identity or expression</w:t>
      </w:r>
      <w:r w:rsidR="0070729F" w:rsidRPr="0044139A">
        <w:rPr>
          <w:rFonts w:ascii="Arial" w:hAnsi="Arial" w:cs="Arial"/>
          <w:sz w:val="20"/>
          <w:szCs w:val="20"/>
        </w:rPr>
        <w:t xml:space="preserve">. In the </w:t>
      </w:r>
      <w:r w:rsidR="00771340">
        <w:rPr>
          <w:rFonts w:ascii="Arial" w:hAnsi="Arial" w:cs="Arial"/>
          <w:sz w:val="20"/>
          <w:szCs w:val="20"/>
        </w:rPr>
        <w:t>states</w:t>
      </w:r>
      <w:r w:rsidR="0070729F" w:rsidRPr="0044139A">
        <w:rPr>
          <w:rFonts w:ascii="Arial" w:hAnsi="Arial" w:cs="Arial"/>
          <w:sz w:val="20"/>
          <w:szCs w:val="20"/>
        </w:rPr>
        <w:t xml:space="preserve"> that do allow this, all but a few stipulate that the </w:t>
      </w:r>
      <w:proofErr w:type="gramStart"/>
      <w:r w:rsidR="0070729F" w:rsidRPr="0044139A">
        <w:rPr>
          <w:rFonts w:ascii="Arial" w:hAnsi="Arial" w:cs="Arial"/>
          <w:sz w:val="20"/>
          <w:szCs w:val="20"/>
        </w:rPr>
        <w:t>trans</w:t>
      </w:r>
      <w:proofErr w:type="gramEnd"/>
      <w:r w:rsidR="0070729F" w:rsidRPr="0044139A">
        <w:rPr>
          <w:rFonts w:ascii="Arial" w:hAnsi="Arial" w:cs="Arial"/>
          <w:sz w:val="20"/>
          <w:szCs w:val="20"/>
        </w:rPr>
        <w:t xml:space="preserve"> person</w:t>
      </w:r>
      <w:r w:rsidRPr="0044139A">
        <w:rPr>
          <w:rFonts w:ascii="Arial" w:hAnsi="Arial" w:cs="Arial"/>
          <w:sz w:val="20"/>
          <w:szCs w:val="20"/>
        </w:rPr>
        <w:t xml:space="preserve"> </w:t>
      </w:r>
      <w:r w:rsidR="0070729F" w:rsidRPr="0044139A">
        <w:rPr>
          <w:rFonts w:ascii="Arial" w:hAnsi="Arial" w:cs="Arial"/>
          <w:sz w:val="20"/>
          <w:szCs w:val="20"/>
        </w:rPr>
        <w:t xml:space="preserve">has </w:t>
      </w:r>
      <w:r w:rsidRPr="0044139A">
        <w:rPr>
          <w:rFonts w:ascii="Arial" w:hAnsi="Arial" w:cs="Arial"/>
          <w:sz w:val="20"/>
          <w:szCs w:val="20"/>
        </w:rPr>
        <w:t>to undergo a medical transition which result</w:t>
      </w:r>
      <w:r w:rsidR="00987D32" w:rsidRPr="0044139A">
        <w:rPr>
          <w:rFonts w:ascii="Arial" w:hAnsi="Arial" w:cs="Arial"/>
          <w:sz w:val="20"/>
          <w:szCs w:val="20"/>
        </w:rPr>
        <w:t>s</w:t>
      </w:r>
      <w:r w:rsidR="003C7E0D">
        <w:rPr>
          <w:rFonts w:ascii="Arial" w:hAnsi="Arial" w:cs="Arial"/>
          <w:sz w:val="20"/>
          <w:szCs w:val="20"/>
        </w:rPr>
        <w:t xml:space="preserve"> in sterilisation i</w:t>
      </w:r>
      <w:r w:rsidRPr="0044139A">
        <w:rPr>
          <w:rFonts w:ascii="Arial" w:hAnsi="Arial" w:cs="Arial"/>
          <w:sz w:val="20"/>
          <w:szCs w:val="20"/>
        </w:rPr>
        <w:t>n order to obtain documents that match their gender identity.</w:t>
      </w:r>
      <w:r w:rsidR="0070729F" w:rsidRPr="0044139A">
        <w:rPr>
          <w:rStyle w:val="FootnoteReference"/>
          <w:rFonts w:ascii="Arial" w:hAnsi="Arial" w:cs="Arial"/>
          <w:sz w:val="20"/>
          <w:szCs w:val="20"/>
        </w:rPr>
        <w:footnoteReference w:id="4"/>
      </w:r>
      <w:r w:rsidRPr="0044139A">
        <w:rPr>
          <w:rFonts w:ascii="Arial" w:hAnsi="Arial" w:cs="Arial"/>
          <w:sz w:val="20"/>
          <w:szCs w:val="20"/>
        </w:rPr>
        <w:t xml:space="preserve"> </w:t>
      </w:r>
      <w:r w:rsidR="002D6FB8">
        <w:rPr>
          <w:rFonts w:ascii="Arial" w:hAnsi="Arial" w:cs="Arial"/>
          <w:sz w:val="20"/>
          <w:szCs w:val="20"/>
        </w:rPr>
        <w:t>The High Commissioner for Human Rights has recommended the removal of all such abusive preconditions,</w:t>
      </w:r>
      <w:r w:rsidR="002D6FB8">
        <w:rPr>
          <w:rStyle w:val="FootnoteReference"/>
          <w:rFonts w:ascii="Arial" w:hAnsi="Arial" w:cs="Arial"/>
          <w:sz w:val="20"/>
          <w:szCs w:val="20"/>
        </w:rPr>
        <w:footnoteReference w:id="5"/>
      </w:r>
      <w:r w:rsidR="002D6FB8">
        <w:rPr>
          <w:rFonts w:ascii="Arial" w:hAnsi="Arial" w:cs="Arial"/>
          <w:sz w:val="20"/>
          <w:szCs w:val="20"/>
        </w:rPr>
        <w:t xml:space="preserve"> which violate the sexual and reproductive rights of </w:t>
      </w:r>
      <w:proofErr w:type="gramStart"/>
      <w:r w:rsidR="002D6FB8">
        <w:rPr>
          <w:rFonts w:ascii="Arial" w:hAnsi="Arial" w:cs="Arial"/>
          <w:sz w:val="20"/>
          <w:szCs w:val="20"/>
        </w:rPr>
        <w:t>trans</w:t>
      </w:r>
      <w:proofErr w:type="gramEnd"/>
      <w:r w:rsidR="002D6FB8">
        <w:rPr>
          <w:rFonts w:ascii="Arial" w:hAnsi="Arial" w:cs="Arial"/>
          <w:sz w:val="20"/>
          <w:szCs w:val="20"/>
        </w:rPr>
        <w:t xml:space="preserve"> persons.</w:t>
      </w:r>
    </w:p>
    <w:p w:rsidR="0010253B" w:rsidRPr="0044139A" w:rsidRDefault="00086294" w:rsidP="0044139A">
      <w:pPr>
        <w:pStyle w:val="ListParagraph"/>
        <w:numPr>
          <w:ilvl w:val="0"/>
          <w:numId w:val="1"/>
        </w:numPr>
        <w:jc w:val="both"/>
        <w:rPr>
          <w:rFonts w:ascii="Arial" w:hAnsi="Arial" w:cs="Arial"/>
          <w:b/>
          <w:sz w:val="20"/>
          <w:szCs w:val="20"/>
          <w:shd w:val="clear" w:color="auto" w:fill="FFFFFF"/>
        </w:rPr>
      </w:pPr>
      <w:r w:rsidRPr="0044139A">
        <w:rPr>
          <w:rFonts w:ascii="Arial" w:hAnsi="Arial" w:cs="Arial"/>
          <w:b/>
          <w:sz w:val="20"/>
          <w:szCs w:val="20"/>
          <w:shd w:val="clear" w:color="auto" w:fill="FFFFFF"/>
        </w:rPr>
        <w:t xml:space="preserve">Access to Health </w:t>
      </w:r>
    </w:p>
    <w:p w:rsidR="00D40D73" w:rsidRPr="0044139A" w:rsidRDefault="005960BF" w:rsidP="0044139A">
      <w:pPr>
        <w:jc w:val="both"/>
        <w:rPr>
          <w:rFonts w:ascii="Arial" w:hAnsi="Arial" w:cs="Arial"/>
          <w:sz w:val="20"/>
          <w:szCs w:val="20"/>
          <w:shd w:val="clear" w:color="auto" w:fill="FFFFFF"/>
        </w:rPr>
      </w:pPr>
      <w:r>
        <w:rPr>
          <w:rFonts w:ascii="Arial" w:hAnsi="Arial" w:cs="Arial"/>
          <w:sz w:val="20"/>
          <w:szCs w:val="20"/>
          <w:shd w:val="clear" w:color="auto" w:fill="FFFFFF"/>
        </w:rPr>
        <w:t xml:space="preserve">In relation to access to health, LBTI </w:t>
      </w:r>
      <w:r w:rsidR="006F6E81">
        <w:rPr>
          <w:rFonts w:ascii="Arial" w:hAnsi="Arial" w:cs="Arial"/>
          <w:sz w:val="20"/>
          <w:szCs w:val="20"/>
          <w:shd w:val="clear" w:color="auto" w:fill="FFFFFF"/>
        </w:rPr>
        <w:t>persons</w:t>
      </w:r>
      <w:r>
        <w:rPr>
          <w:rFonts w:ascii="Arial" w:hAnsi="Arial" w:cs="Arial"/>
          <w:sz w:val="20"/>
          <w:szCs w:val="20"/>
          <w:shd w:val="clear" w:color="auto" w:fill="FFFFFF"/>
        </w:rPr>
        <w:t xml:space="preserve"> face barriers due to gender-stereotyping by medical professional</w:t>
      </w:r>
      <w:r w:rsidR="00771340">
        <w:rPr>
          <w:rFonts w:ascii="Arial" w:hAnsi="Arial" w:cs="Arial"/>
          <w:sz w:val="20"/>
          <w:szCs w:val="20"/>
          <w:shd w:val="clear" w:color="auto" w:fill="FFFFFF"/>
        </w:rPr>
        <w:t>s</w:t>
      </w:r>
      <w:r>
        <w:rPr>
          <w:rFonts w:ascii="Arial" w:hAnsi="Arial" w:cs="Arial"/>
          <w:sz w:val="20"/>
          <w:szCs w:val="20"/>
          <w:shd w:val="clear" w:color="auto" w:fill="FFFFFF"/>
        </w:rPr>
        <w:t>. El</w:t>
      </w:r>
      <w:r w:rsidR="00953DF1" w:rsidRPr="0044139A">
        <w:rPr>
          <w:rFonts w:ascii="Arial" w:hAnsi="Arial" w:cs="Arial"/>
          <w:sz w:val="20"/>
          <w:szCs w:val="20"/>
          <w:shd w:val="clear" w:color="auto" w:fill="FFFFFF"/>
        </w:rPr>
        <w:t xml:space="preserve">evated numbers </w:t>
      </w:r>
      <w:r>
        <w:rPr>
          <w:rFonts w:ascii="Arial" w:hAnsi="Arial" w:cs="Arial"/>
          <w:sz w:val="20"/>
          <w:szCs w:val="20"/>
          <w:shd w:val="clear" w:color="auto" w:fill="FFFFFF"/>
        </w:rPr>
        <w:t xml:space="preserve">of </w:t>
      </w:r>
      <w:r w:rsidRPr="0044139A">
        <w:rPr>
          <w:rFonts w:ascii="Arial" w:hAnsi="Arial" w:cs="Arial"/>
          <w:sz w:val="20"/>
          <w:szCs w:val="20"/>
          <w:shd w:val="clear" w:color="auto" w:fill="FFFFFF"/>
        </w:rPr>
        <w:t>lesbian and bisexual women</w:t>
      </w:r>
      <w:r>
        <w:rPr>
          <w:rFonts w:ascii="Arial" w:hAnsi="Arial" w:cs="Arial"/>
          <w:sz w:val="20"/>
          <w:szCs w:val="20"/>
          <w:shd w:val="clear" w:color="auto" w:fill="FFFFFF"/>
        </w:rPr>
        <w:t>, for instance,</w:t>
      </w:r>
      <w:r w:rsidRPr="0044139A">
        <w:rPr>
          <w:rFonts w:ascii="Arial" w:hAnsi="Arial" w:cs="Arial"/>
          <w:sz w:val="20"/>
          <w:szCs w:val="20"/>
          <w:shd w:val="clear" w:color="auto" w:fill="FFFFFF"/>
        </w:rPr>
        <w:t xml:space="preserve"> </w:t>
      </w:r>
      <w:r w:rsidR="00953DF1" w:rsidRPr="0044139A">
        <w:rPr>
          <w:rFonts w:ascii="Arial" w:hAnsi="Arial" w:cs="Arial"/>
          <w:sz w:val="20"/>
          <w:szCs w:val="20"/>
          <w:shd w:val="clear" w:color="auto" w:fill="FFFFFF"/>
        </w:rPr>
        <w:t xml:space="preserve">report discrimination, lack of understanding of medical staff </w:t>
      </w:r>
      <w:r>
        <w:rPr>
          <w:rFonts w:ascii="Arial" w:hAnsi="Arial" w:cs="Arial"/>
          <w:sz w:val="20"/>
          <w:szCs w:val="20"/>
          <w:shd w:val="clear" w:color="auto" w:fill="FFFFFF"/>
        </w:rPr>
        <w:t>of their medical needs</w:t>
      </w:r>
      <w:r w:rsidR="00953DF1" w:rsidRPr="0044139A">
        <w:rPr>
          <w:rFonts w:ascii="Arial" w:hAnsi="Arial" w:cs="Arial"/>
          <w:sz w:val="20"/>
          <w:szCs w:val="20"/>
          <w:shd w:val="clear" w:color="auto" w:fill="FFFFFF"/>
        </w:rPr>
        <w:t xml:space="preserve">, rejection and refusal of medical services </w:t>
      </w:r>
      <w:r w:rsidR="00953DF1" w:rsidRPr="0044139A">
        <w:rPr>
          <w:rFonts w:ascii="Arial" w:hAnsi="Arial" w:cs="Arial"/>
          <w:sz w:val="20"/>
          <w:szCs w:val="20"/>
          <w:shd w:val="clear" w:color="auto" w:fill="FFFFFF"/>
        </w:rPr>
        <w:lastRenderedPageBreak/>
        <w:t>because of their sexual orientation. As a result of these</w:t>
      </w:r>
      <w:r w:rsidR="00771340">
        <w:rPr>
          <w:rFonts w:ascii="Arial" w:hAnsi="Arial" w:cs="Arial"/>
          <w:sz w:val="20"/>
          <w:szCs w:val="20"/>
          <w:shd w:val="clear" w:color="auto" w:fill="FFFFFF"/>
        </w:rPr>
        <w:t xml:space="preserve"> obstacles</w:t>
      </w:r>
      <w:r w:rsidR="00953DF1" w:rsidRPr="0044139A">
        <w:rPr>
          <w:rFonts w:ascii="Arial" w:hAnsi="Arial" w:cs="Arial"/>
          <w:sz w:val="20"/>
          <w:szCs w:val="20"/>
          <w:shd w:val="clear" w:color="auto" w:fill="FFFFFF"/>
        </w:rPr>
        <w:t xml:space="preserve">, lesbians and bisexual women are less likely to </w:t>
      </w:r>
      <w:r w:rsidR="00EE1557" w:rsidRPr="0044139A">
        <w:rPr>
          <w:rFonts w:ascii="Arial" w:hAnsi="Arial" w:cs="Arial"/>
          <w:sz w:val="20"/>
          <w:szCs w:val="20"/>
          <w:shd w:val="clear" w:color="auto" w:fill="FFFFFF"/>
        </w:rPr>
        <w:t>consult with</w:t>
      </w:r>
      <w:r w:rsidR="00953DF1" w:rsidRPr="0044139A">
        <w:rPr>
          <w:rFonts w:ascii="Arial" w:hAnsi="Arial" w:cs="Arial"/>
          <w:sz w:val="20"/>
          <w:szCs w:val="20"/>
          <w:shd w:val="clear" w:color="auto" w:fill="FFFFFF"/>
        </w:rPr>
        <w:t xml:space="preserve"> medical practitioners</w:t>
      </w:r>
      <w:r w:rsidR="00817C59" w:rsidRPr="0044139A">
        <w:rPr>
          <w:rFonts w:ascii="Arial" w:hAnsi="Arial" w:cs="Arial"/>
          <w:sz w:val="20"/>
          <w:szCs w:val="20"/>
          <w:shd w:val="clear" w:color="auto" w:fill="FFFFFF"/>
        </w:rPr>
        <w:t xml:space="preserve"> </w:t>
      </w:r>
      <w:r w:rsidR="00953DF1" w:rsidRPr="0044139A">
        <w:rPr>
          <w:rFonts w:ascii="Arial" w:hAnsi="Arial" w:cs="Arial"/>
          <w:sz w:val="20"/>
          <w:szCs w:val="20"/>
          <w:shd w:val="clear" w:color="auto" w:fill="FFFFFF"/>
        </w:rPr>
        <w:t>than the mainstream female population.</w:t>
      </w:r>
      <w:r w:rsidR="00953DF1" w:rsidRPr="0044139A">
        <w:rPr>
          <w:rStyle w:val="FootnoteReference"/>
          <w:rFonts w:ascii="Arial" w:hAnsi="Arial" w:cs="Arial"/>
          <w:sz w:val="20"/>
          <w:szCs w:val="20"/>
          <w:shd w:val="clear" w:color="auto" w:fill="FFFFFF"/>
        </w:rPr>
        <w:footnoteReference w:id="6"/>
      </w:r>
      <w:r w:rsidR="00953DF1" w:rsidRPr="0044139A">
        <w:rPr>
          <w:rFonts w:ascii="Arial" w:hAnsi="Arial" w:cs="Arial"/>
          <w:sz w:val="20"/>
          <w:szCs w:val="20"/>
          <w:shd w:val="clear" w:color="auto" w:fill="FFFFFF"/>
        </w:rPr>
        <w:t xml:space="preserve"> </w:t>
      </w:r>
    </w:p>
    <w:p w:rsidR="00653791" w:rsidRPr="0044139A" w:rsidRDefault="00364BA3" w:rsidP="0044139A">
      <w:pPr>
        <w:jc w:val="both"/>
        <w:rPr>
          <w:rFonts w:ascii="Arial" w:hAnsi="Arial" w:cs="Arial"/>
          <w:sz w:val="20"/>
          <w:szCs w:val="20"/>
        </w:rPr>
      </w:pPr>
      <w:r w:rsidRPr="0044139A">
        <w:rPr>
          <w:rFonts w:ascii="Arial" w:hAnsi="Arial" w:cs="Arial"/>
          <w:sz w:val="20"/>
          <w:szCs w:val="20"/>
          <w:shd w:val="clear" w:color="auto" w:fill="FFFFFF"/>
        </w:rPr>
        <w:t xml:space="preserve">In a French </w:t>
      </w:r>
      <w:r w:rsidR="00771340">
        <w:rPr>
          <w:rFonts w:ascii="Arial" w:hAnsi="Arial" w:cs="Arial"/>
          <w:sz w:val="20"/>
          <w:szCs w:val="20"/>
          <w:shd w:val="clear" w:color="auto" w:fill="FFFFFF"/>
        </w:rPr>
        <w:t>study</w:t>
      </w:r>
      <w:r w:rsidR="00817C59" w:rsidRPr="0044139A">
        <w:rPr>
          <w:rFonts w:ascii="Arial" w:hAnsi="Arial" w:cs="Arial"/>
          <w:sz w:val="20"/>
          <w:szCs w:val="20"/>
          <w:shd w:val="clear" w:color="auto" w:fill="FFFFFF"/>
        </w:rPr>
        <w:t xml:space="preserve">, 13% of the lesbians surveyed said they did not go to gynaecologists because of lesbophobia and experiences of rejection in the past. </w:t>
      </w:r>
      <w:r w:rsidRPr="0044139A">
        <w:rPr>
          <w:rFonts w:ascii="Arial" w:hAnsi="Arial" w:cs="Arial"/>
          <w:sz w:val="20"/>
          <w:szCs w:val="20"/>
          <w:shd w:val="clear" w:color="auto" w:fill="FFFFFF"/>
        </w:rPr>
        <w:t xml:space="preserve">In addition, the same survey reports that </w:t>
      </w:r>
      <w:r w:rsidRPr="0044139A">
        <w:rPr>
          <w:rFonts w:ascii="Arial" w:hAnsi="Arial" w:cs="Arial"/>
          <w:sz w:val="20"/>
          <w:szCs w:val="20"/>
        </w:rPr>
        <w:t>only 32% of respondents spoke openly to medical professionals about their sexual orientation, 20% told only some medical professionals and 25% told no medical professional</w:t>
      </w:r>
      <w:r w:rsidR="0044139A">
        <w:rPr>
          <w:rFonts w:ascii="Arial" w:hAnsi="Arial" w:cs="Arial"/>
          <w:sz w:val="20"/>
          <w:szCs w:val="20"/>
        </w:rPr>
        <w:t>s. In addition 60% of this last group of</w:t>
      </w:r>
      <w:r w:rsidRPr="0044139A">
        <w:rPr>
          <w:rFonts w:ascii="Arial" w:hAnsi="Arial" w:cs="Arial"/>
          <w:sz w:val="20"/>
          <w:szCs w:val="20"/>
        </w:rPr>
        <w:t xml:space="preserve"> respondents were under 25 years old, which shows </w:t>
      </w:r>
      <w:r w:rsidR="00771340">
        <w:rPr>
          <w:rFonts w:ascii="Arial" w:hAnsi="Arial" w:cs="Arial"/>
          <w:sz w:val="20"/>
          <w:szCs w:val="20"/>
        </w:rPr>
        <w:t xml:space="preserve">the disproportionate impact on </w:t>
      </w:r>
      <w:r w:rsidRPr="0044139A">
        <w:rPr>
          <w:rFonts w:ascii="Arial" w:hAnsi="Arial" w:cs="Arial"/>
          <w:sz w:val="20"/>
          <w:szCs w:val="20"/>
        </w:rPr>
        <w:t xml:space="preserve">young </w:t>
      </w:r>
      <w:r w:rsidR="00D40D73" w:rsidRPr="0044139A">
        <w:rPr>
          <w:rFonts w:ascii="Arial" w:hAnsi="Arial" w:cs="Arial"/>
          <w:sz w:val="20"/>
          <w:szCs w:val="20"/>
        </w:rPr>
        <w:t>women</w:t>
      </w:r>
      <w:r w:rsidRPr="0044139A">
        <w:rPr>
          <w:rFonts w:ascii="Arial" w:hAnsi="Arial" w:cs="Arial"/>
          <w:sz w:val="20"/>
          <w:szCs w:val="20"/>
        </w:rPr>
        <w:t>.</w:t>
      </w:r>
      <w:r w:rsidR="00D40D73" w:rsidRPr="0044139A">
        <w:rPr>
          <w:rStyle w:val="FootnoteReference"/>
          <w:rFonts w:ascii="Arial" w:hAnsi="Arial" w:cs="Arial"/>
          <w:sz w:val="20"/>
          <w:szCs w:val="20"/>
        </w:rPr>
        <w:footnoteReference w:id="7"/>
      </w:r>
      <w:r w:rsidRPr="0044139A">
        <w:rPr>
          <w:rFonts w:ascii="Arial" w:hAnsi="Arial" w:cs="Arial"/>
          <w:sz w:val="20"/>
          <w:szCs w:val="20"/>
        </w:rPr>
        <w:t xml:space="preserve"> </w:t>
      </w:r>
      <w:r w:rsidR="00D40D73" w:rsidRPr="0044139A">
        <w:rPr>
          <w:rFonts w:ascii="Arial" w:hAnsi="Arial" w:cs="Arial"/>
          <w:sz w:val="20"/>
          <w:szCs w:val="20"/>
        </w:rPr>
        <w:t>The compounding of invisibility and self-exclusion from medical servi</w:t>
      </w:r>
      <w:r w:rsidR="006F6E81">
        <w:rPr>
          <w:rFonts w:ascii="Arial" w:hAnsi="Arial" w:cs="Arial"/>
          <w:sz w:val="20"/>
          <w:szCs w:val="20"/>
        </w:rPr>
        <w:t>ces</w:t>
      </w:r>
      <w:r w:rsidR="00771340">
        <w:rPr>
          <w:rFonts w:ascii="Arial" w:hAnsi="Arial" w:cs="Arial"/>
          <w:sz w:val="20"/>
          <w:szCs w:val="20"/>
        </w:rPr>
        <w:t>,</w:t>
      </w:r>
      <w:r w:rsidR="006F6E81">
        <w:rPr>
          <w:rFonts w:ascii="Arial" w:hAnsi="Arial" w:cs="Arial"/>
          <w:sz w:val="20"/>
          <w:szCs w:val="20"/>
        </w:rPr>
        <w:t xml:space="preserve"> especially of young lesbian</w:t>
      </w:r>
      <w:r w:rsidR="00D40D73" w:rsidRPr="0044139A">
        <w:rPr>
          <w:rFonts w:ascii="Arial" w:hAnsi="Arial" w:cs="Arial"/>
          <w:sz w:val="20"/>
          <w:szCs w:val="20"/>
        </w:rPr>
        <w:t xml:space="preserve"> and bisexual women</w:t>
      </w:r>
      <w:r w:rsidR="00771340">
        <w:rPr>
          <w:rFonts w:ascii="Arial" w:hAnsi="Arial" w:cs="Arial"/>
          <w:sz w:val="20"/>
          <w:szCs w:val="20"/>
        </w:rPr>
        <w:t>,</w:t>
      </w:r>
      <w:bookmarkStart w:id="0" w:name="_GoBack"/>
      <w:bookmarkEnd w:id="0"/>
      <w:r w:rsidR="00D40D73" w:rsidRPr="0044139A">
        <w:rPr>
          <w:rFonts w:ascii="Arial" w:hAnsi="Arial" w:cs="Arial"/>
          <w:sz w:val="20"/>
          <w:szCs w:val="20"/>
        </w:rPr>
        <w:t xml:space="preserve"> means that they are not being monitored regularly for diseases and other conditions, making them more susceptible to developing health problems which go unnoticed until they are more advanced. Also, the s</w:t>
      </w:r>
      <w:r w:rsidR="006F6E81">
        <w:rPr>
          <w:rFonts w:ascii="Arial" w:hAnsi="Arial" w:cs="Arial"/>
          <w:sz w:val="20"/>
          <w:szCs w:val="20"/>
        </w:rPr>
        <w:t>pecific health needs of lesbian</w:t>
      </w:r>
      <w:r w:rsidR="00D40D73" w:rsidRPr="0044139A">
        <w:rPr>
          <w:rFonts w:ascii="Arial" w:hAnsi="Arial" w:cs="Arial"/>
          <w:sz w:val="20"/>
          <w:szCs w:val="20"/>
        </w:rPr>
        <w:t xml:space="preserve"> and bisexual women go unchecked and data that feeds into the medical profession’s understanding of lesbian and bisexual health is lacking.</w:t>
      </w:r>
    </w:p>
    <w:p w:rsidR="00953DF1" w:rsidRPr="0044139A" w:rsidRDefault="00653791" w:rsidP="0044139A">
      <w:pPr>
        <w:jc w:val="both"/>
        <w:rPr>
          <w:rFonts w:ascii="Arial" w:hAnsi="Arial" w:cs="Arial"/>
          <w:sz w:val="20"/>
          <w:szCs w:val="20"/>
        </w:rPr>
      </w:pPr>
      <w:proofErr w:type="gramStart"/>
      <w:r w:rsidRPr="0044139A">
        <w:rPr>
          <w:rFonts w:ascii="Arial" w:hAnsi="Arial" w:cs="Arial"/>
          <w:sz w:val="20"/>
          <w:szCs w:val="20"/>
        </w:rPr>
        <w:t>Trans</w:t>
      </w:r>
      <w:proofErr w:type="gramEnd"/>
      <w:r w:rsidRPr="0044139A">
        <w:rPr>
          <w:rFonts w:ascii="Arial" w:hAnsi="Arial" w:cs="Arial"/>
          <w:sz w:val="20"/>
          <w:szCs w:val="20"/>
        </w:rPr>
        <w:t xml:space="preserve"> people also face difficulties accessing the right health care, and general health care practitioners may be insensitive or oblivious to trans health needs</w:t>
      </w:r>
      <w:r w:rsidR="00545D4E">
        <w:rPr>
          <w:rFonts w:ascii="Arial" w:hAnsi="Arial" w:cs="Arial"/>
          <w:sz w:val="20"/>
          <w:szCs w:val="20"/>
        </w:rPr>
        <w:t>,</w:t>
      </w:r>
      <w:r w:rsidRPr="0044139A">
        <w:rPr>
          <w:rStyle w:val="FootnoteReference"/>
          <w:rFonts w:ascii="Arial" w:hAnsi="Arial" w:cs="Arial"/>
          <w:sz w:val="20"/>
          <w:szCs w:val="20"/>
        </w:rPr>
        <w:footnoteReference w:id="8"/>
      </w:r>
      <w:r w:rsidR="00510AD6">
        <w:rPr>
          <w:rFonts w:ascii="Arial" w:hAnsi="Arial" w:cs="Arial"/>
          <w:sz w:val="20"/>
          <w:szCs w:val="20"/>
        </w:rPr>
        <w:t xml:space="preserve"> </w:t>
      </w:r>
      <w:r w:rsidR="00545D4E">
        <w:rPr>
          <w:rFonts w:ascii="Arial" w:hAnsi="Arial" w:cs="Arial"/>
          <w:sz w:val="20"/>
          <w:szCs w:val="20"/>
        </w:rPr>
        <w:t>as well as medical interventions often being</w:t>
      </w:r>
      <w:r w:rsidR="00545D4E" w:rsidRPr="00545D4E">
        <w:rPr>
          <w:rFonts w:ascii="Arial" w:hAnsi="Arial" w:cs="Arial"/>
          <w:sz w:val="20"/>
          <w:szCs w:val="20"/>
        </w:rPr>
        <w:t xml:space="preserve"> prohibitively expensive and </w:t>
      </w:r>
      <w:r w:rsidR="00545D4E">
        <w:rPr>
          <w:rFonts w:ascii="Arial" w:hAnsi="Arial" w:cs="Arial"/>
          <w:sz w:val="20"/>
          <w:szCs w:val="20"/>
        </w:rPr>
        <w:t xml:space="preserve">excluded from </w:t>
      </w:r>
      <w:r w:rsidR="00545D4E" w:rsidRPr="00545D4E">
        <w:rPr>
          <w:rFonts w:ascii="Arial" w:hAnsi="Arial" w:cs="Arial"/>
          <w:sz w:val="20"/>
          <w:szCs w:val="20"/>
        </w:rPr>
        <w:t>State funding or insurance coverage</w:t>
      </w:r>
      <w:r w:rsidR="00545D4E">
        <w:rPr>
          <w:rFonts w:ascii="Arial" w:hAnsi="Arial" w:cs="Arial"/>
          <w:sz w:val="20"/>
          <w:szCs w:val="20"/>
        </w:rPr>
        <w:t>.</w:t>
      </w:r>
      <w:r w:rsidR="00545D4E">
        <w:rPr>
          <w:rStyle w:val="FootnoteReference"/>
          <w:rFonts w:ascii="Arial" w:hAnsi="Arial" w:cs="Arial"/>
          <w:sz w:val="20"/>
          <w:szCs w:val="20"/>
        </w:rPr>
        <w:footnoteReference w:id="9"/>
      </w:r>
      <w:r w:rsidR="00545D4E">
        <w:rPr>
          <w:rFonts w:ascii="Arial" w:hAnsi="Arial" w:cs="Arial"/>
          <w:sz w:val="20"/>
          <w:szCs w:val="20"/>
        </w:rPr>
        <w:t xml:space="preserve"> </w:t>
      </w:r>
      <w:r w:rsidR="005960BF">
        <w:rPr>
          <w:rFonts w:ascii="Arial" w:hAnsi="Arial" w:cs="Arial"/>
          <w:sz w:val="20"/>
          <w:szCs w:val="20"/>
        </w:rPr>
        <w:t xml:space="preserve">As can be the case for intersex persons, </w:t>
      </w:r>
      <w:proofErr w:type="gramStart"/>
      <w:r w:rsidR="005960BF">
        <w:rPr>
          <w:rFonts w:ascii="Arial" w:hAnsi="Arial" w:cs="Arial"/>
          <w:sz w:val="20"/>
          <w:szCs w:val="20"/>
        </w:rPr>
        <w:t>trans</w:t>
      </w:r>
      <w:proofErr w:type="gramEnd"/>
      <w:r w:rsidR="005960BF">
        <w:rPr>
          <w:rFonts w:ascii="Arial" w:hAnsi="Arial" w:cs="Arial"/>
          <w:sz w:val="20"/>
          <w:szCs w:val="20"/>
        </w:rPr>
        <w:t xml:space="preserve"> people are confronted with an over-simplification of sex and gender identities by medical professionals. As a result of past trauma, intersex persons, in particular, may feel unable or unwilling to consult health care </w:t>
      </w:r>
      <w:r w:rsidR="00545D4E">
        <w:rPr>
          <w:rFonts w:ascii="Arial" w:hAnsi="Arial" w:cs="Arial"/>
          <w:sz w:val="20"/>
          <w:szCs w:val="20"/>
        </w:rPr>
        <w:t>practitioners.</w:t>
      </w:r>
    </w:p>
    <w:p w:rsidR="00086294" w:rsidRPr="0044139A" w:rsidRDefault="00953DF1" w:rsidP="0044139A">
      <w:pPr>
        <w:pStyle w:val="ListParagraph"/>
        <w:numPr>
          <w:ilvl w:val="0"/>
          <w:numId w:val="1"/>
        </w:numPr>
        <w:jc w:val="both"/>
        <w:rPr>
          <w:rFonts w:ascii="Arial" w:hAnsi="Arial" w:cs="Arial"/>
          <w:b/>
          <w:sz w:val="20"/>
          <w:szCs w:val="20"/>
          <w:shd w:val="clear" w:color="auto" w:fill="FFFFFF"/>
        </w:rPr>
      </w:pPr>
      <w:r w:rsidRPr="0044139A">
        <w:rPr>
          <w:rFonts w:ascii="Arial" w:hAnsi="Arial" w:cs="Arial"/>
          <w:b/>
          <w:sz w:val="20"/>
          <w:szCs w:val="20"/>
          <w:shd w:val="clear" w:color="auto" w:fill="FFFFFF"/>
        </w:rPr>
        <w:t>Safety</w:t>
      </w:r>
    </w:p>
    <w:p w:rsidR="00FD6613" w:rsidRDefault="00FD6613" w:rsidP="00FD6613">
      <w:pPr>
        <w:jc w:val="both"/>
        <w:rPr>
          <w:rFonts w:ascii="Arial" w:hAnsi="Arial" w:cs="Arial"/>
          <w:sz w:val="20"/>
          <w:szCs w:val="20"/>
          <w:shd w:val="clear" w:color="auto" w:fill="FFFFFF"/>
        </w:rPr>
      </w:pPr>
      <w:r>
        <w:rPr>
          <w:rFonts w:ascii="Arial" w:hAnsi="Arial" w:cs="Arial"/>
          <w:sz w:val="20"/>
          <w:szCs w:val="20"/>
          <w:shd w:val="clear" w:color="auto" w:fill="FFFFFF"/>
        </w:rPr>
        <w:t xml:space="preserve">The safety of LBTI </w:t>
      </w:r>
      <w:r w:rsidR="00A555B5">
        <w:rPr>
          <w:rFonts w:ascii="Arial" w:hAnsi="Arial" w:cs="Arial"/>
          <w:sz w:val="20"/>
          <w:szCs w:val="20"/>
          <w:shd w:val="clear" w:color="auto" w:fill="FFFFFF"/>
        </w:rPr>
        <w:t>persons</w:t>
      </w:r>
      <w:r>
        <w:rPr>
          <w:rFonts w:ascii="Arial" w:hAnsi="Arial" w:cs="Arial"/>
          <w:sz w:val="20"/>
          <w:szCs w:val="20"/>
          <w:shd w:val="clear" w:color="auto" w:fill="FFFFFF"/>
        </w:rPr>
        <w:t xml:space="preserve"> is greatly impacted by the discrimination mentioned above, which leads to inadequate medical attention. In addition, LBT women can be subjected to unnecessary or involuntary conversion “therapies” and “treatments” which can have serious consequences on their physical and mental health. </w:t>
      </w:r>
    </w:p>
    <w:p w:rsidR="00CC319F" w:rsidRPr="00351DD5" w:rsidRDefault="00FD6613" w:rsidP="00351DD5">
      <w:pPr>
        <w:jc w:val="both"/>
        <w:rPr>
          <w:rFonts w:ascii="Arial" w:hAnsi="Arial" w:cs="Arial"/>
          <w:sz w:val="20"/>
          <w:szCs w:val="20"/>
        </w:rPr>
      </w:pPr>
      <w:r>
        <w:rPr>
          <w:rFonts w:ascii="Arial" w:hAnsi="Arial" w:cs="Arial"/>
          <w:sz w:val="20"/>
          <w:szCs w:val="20"/>
        </w:rPr>
        <w:t>Similarly, m</w:t>
      </w:r>
      <w:r w:rsidRPr="0044139A">
        <w:rPr>
          <w:rFonts w:ascii="Arial" w:hAnsi="Arial" w:cs="Arial"/>
          <w:sz w:val="20"/>
          <w:szCs w:val="20"/>
        </w:rPr>
        <w:t xml:space="preserve">any intersex people are subject to medically unnecessary treatment aimed at “normalising” their bodies, in particular their genitalia when they are infants, children or adolescents without their full and free consent, and sometimes without the full and free consent of their parents or caregivers. The outcomes of these treatments often include irreversible genital surgery and sterilisation and can result in a lifetime of medical complications and dependence on hormones. </w:t>
      </w:r>
      <w:r w:rsidRPr="0044139A">
        <w:rPr>
          <w:rFonts w:ascii="Arial" w:hAnsi="Arial" w:cs="Arial"/>
          <w:sz w:val="20"/>
          <w:szCs w:val="20"/>
          <w:lang w:eastAsia="zh-CN"/>
        </w:rPr>
        <w:t>The Committee on the Rights of the Child, the Committee against Torture and the special procedures mandate holders on the right to health and on torture have called for these unnecessary proced</w:t>
      </w:r>
      <w:r>
        <w:rPr>
          <w:rFonts w:ascii="Arial" w:hAnsi="Arial" w:cs="Arial"/>
          <w:sz w:val="20"/>
          <w:szCs w:val="20"/>
          <w:lang w:eastAsia="zh-CN"/>
        </w:rPr>
        <w:t>ures to end,</w:t>
      </w:r>
      <w:r w:rsidRPr="0044139A">
        <w:rPr>
          <w:rStyle w:val="FootnoteReference"/>
          <w:rFonts w:ascii="Arial" w:hAnsi="Arial" w:cs="Arial"/>
          <w:sz w:val="20"/>
          <w:szCs w:val="20"/>
          <w:lang w:eastAsia="zh-CN"/>
        </w:rPr>
        <w:footnoteReference w:id="10"/>
      </w:r>
      <w:r>
        <w:rPr>
          <w:rFonts w:ascii="Arial" w:hAnsi="Arial" w:cs="Arial"/>
          <w:sz w:val="20"/>
          <w:szCs w:val="20"/>
          <w:lang w:eastAsia="zh-CN"/>
        </w:rPr>
        <w:t xml:space="preserve"> and the High Commissioner for Human Rights has included these surgeries in his most recent report on female genital mutilation</w:t>
      </w:r>
      <w:r w:rsidR="00C94327">
        <w:rPr>
          <w:rFonts w:ascii="Arial" w:hAnsi="Arial" w:cs="Arial"/>
          <w:sz w:val="20"/>
          <w:szCs w:val="20"/>
          <w:lang w:eastAsia="zh-CN"/>
        </w:rPr>
        <w:t>.</w:t>
      </w:r>
      <w:r w:rsidR="00C94327">
        <w:rPr>
          <w:rStyle w:val="FootnoteReference"/>
          <w:rFonts w:ascii="Arial" w:hAnsi="Arial" w:cs="Arial"/>
          <w:sz w:val="20"/>
          <w:szCs w:val="20"/>
          <w:lang w:eastAsia="zh-CN"/>
        </w:rPr>
        <w:footnoteReference w:id="11"/>
      </w:r>
      <w:r w:rsidRPr="0044139A">
        <w:rPr>
          <w:rFonts w:ascii="Arial" w:hAnsi="Arial" w:cs="Arial"/>
          <w:color w:val="000000"/>
          <w:sz w:val="20"/>
          <w:szCs w:val="20"/>
          <w:lang w:eastAsia="zh-CN"/>
        </w:rPr>
        <w:t xml:space="preserve"> </w:t>
      </w:r>
    </w:p>
    <w:sectPr w:rsidR="00CC319F" w:rsidRPr="00351DD5" w:rsidSect="00912E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F3" w:rsidRDefault="00CB58F3" w:rsidP="00E15A9C">
      <w:pPr>
        <w:spacing w:after="0" w:line="240" w:lineRule="auto"/>
      </w:pPr>
      <w:r>
        <w:separator/>
      </w:r>
    </w:p>
  </w:endnote>
  <w:endnote w:type="continuationSeparator" w:id="0">
    <w:p w:rsidR="00CB58F3" w:rsidRDefault="00CB58F3" w:rsidP="00E1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F3" w:rsidRDefault="00CB58F3" w:rsidP="00E15A9C">
      <w:pPr>
        <w:spacing w:after="0" w:line="240" w:lineRule="auto"/>
      </w:pPr>
      <w:r>
        <w:separator/>
      </w:r>
    </w:p>
  </w:footnote>
  <w:footnote w:type="continuationSeparator" w:id="0">
    <w:p w:rsidR="00CB58F3" w:rsidRDefault="00CB58F3" w:rsidP="00E15A9C">
      <w:pPr>
        <w:spacing w:after="0" w:line="240" w:lineRule="auto"/>
      </w:pPr>
      <w:r>
        <w:continuationSeparator/>
      </w:r>
    </w:p>
  </w:footnote>
  <w:footnote w:id="1">
    <w:p w:rsidR="002D6FB8" w:rsidRPr="00771340" w:rsidRDefault="002D6FB8" w:rsidP="005960BF">
      <w:pPr>
        <w:pStyle w:val="FootnoteText"/>
        <w:rPr>
          <w:rFonts w:ascii="Arial" w:hAnsi="Arial" w:cs="Arial"/>
          <w:sz w:val="18"/>
          <w:szCs w:val="18"/>
        </w:rPr>
      </w:pPr>
      <w:r w:rsidRPr="00771340">
        <w:rPr>
          <w:rStyle w:val="FootnoteReference"/>
          <w:rFonts w:ascii="Arial" w:hAnsi="Arial" w:cs="Arial"/>
          <w:sz w:val="18"/>
          <w:szCs w:val="18"/>
        </w:rPr>
        <w:footnoteRef/>
      </w:r>
      <w:r w:rsidRPr="00771340">
        <w:rPr>
          <w:rFonts w:ascii="Arial" w:hAnsi="Arial" w:cs="Arial"/>
          <w:sz w:val="18"/>
          <w:szCs w:val="18"/>
        </w:rPr>
        <w:t xml:space="preserve"> Various United Nations human rights mechanisms have highlighted the health risks to lesbian, gay, bisexual, </w:t>
      </w:r>
      <w:proofErr w:type="gramStart"/>
      <w:r w:rsidRPr="00771340">
        <w:rPr>
          <w:rFonts w:ascii="Arial" w:hAnsi="Arial" w:cs="Arial"/>
          <w:sz w:val="18"/>
          <w:szCs w:val="18"/>
        </w:rPr>
        <w:t>trans</w:t>
      </w:r>
      <w:proofErr w:type="gramEnd"/>
      <w:r w:rsidRPr="00771340">
        <w:rPr>
          <w:rFonts w:ascii="Arial" w:hAnsi="Arial" w:cs="Arial"/>
          <w:sz w:val="18"/>
          <w:szCs w:val="18"/>
        </w:rPr>
        <w:t xml:space="preserve"> and intersex persons generally, as well as LBTI women specifically. For example, the Committee on the Elimination of Discrimination against Women has expressed concern about LBTI women as “victims of abuses and mistreatment by health service providers” (A/HRC/19/41, para 56), and the Special Rapporteur </w:t>
      </w:r>
      <w:r w:rsidR="005960BF" w:rsidRPr="00771340">
        <w:rPr>
          <w:rFonts w:ascii="Arial" w:hAnsi="Arial" w:cs="Arial"/>
          <w:sz w:val="18"/>
          <w:szCs w:val="18"/>
        </w:rPr>
        <w:t>on torture and other cruel, inhuman or degrading treatment or punishment has called “upon all States to repeal any law allowing intrusive and irreversible treatments, including forced genital-normalizing surgery, involuntary sterilization, unethical experimentation, medical display, ‘reparative therapies’ or ‘conversion therapies’, when enforced or administered without the free and informed consent of the person concerned.” He also called “upon them to outlaw forced or coerced sterilization in all circumstances and provide special protection to individuals belonging to marginalized groups.” (A/HRC/22/53, para 88)</w:t>
      </w:r>
    </w:p>
  </w:footnote>
  <w:footnote w:id="2">
    <w:p w:rsidR="008F42D8" w:rsidRPr="00771340" w:rsidRDefault="008F42D8">
      <w:pPr>
        <w:pStyle w:val="FootnoteText"/>
        <w:rPr>
          <w:rFonts w:ascii="Arial" w:hAnsi="Arial" w:cs="Arial"/>
          <w:sz w:val="18"/>
          <w:szCs w:val="18"/>
        </w:rPr>
      </w:pPr>
      <w:r w:rsidRPr="00771340">
        <w:rPr>
          <w:rStyle w:val="FootnoteReference"/>
          <w:rFonts w:ascii="Arial" w:hAnsi="Arial" w:cs="Arial"/>
          <w:sz w:val="18"/>
          <w:szCs w:val="18"/>
        </w:rPr>
        <w:footnoteRef/>
      </w:r>
      <w:r w:rsidRPr="00771340">
        <w:rPr>
          <w:rFonts w:ascii="Arial" w:hAnsi="Arial" w:cs="Arial"/>
          <w:sz w:val="18"/>
          <w:szCs w:val="18"/>
        </w:rPr>
        <w:t xml:space="preserve"> Please contact Zhan Chiam (zhan@ilga.org) and Helen Nolan (helen@ilga.org).</w:t>
      </w:r>
    </w:p>
  </w:footnote>
  <w:footnote w:id="3">
    <w:p w:rsidR="00E15A9C" w:rsidRPr="00771340" w:rsidRDefault="00E15A9C">
      <w:pPr>
        <w:pStyle w:val="FootnoteText"/>
        <w:rPr>
          <w:rFonts w:ascii="Arial" w:hAnsi="Arial" w:cs="Arial"/>
          <w:sz w:val="18"/>
          <w:szCs w:val="18"/>
          <w:lang w:val="en-US"/>
        </w:rPr>
      </w:pPr>
      <w:r w:rsidRPr="00771340">
        <w:rPr>
          <w:rStyle w:val="FootnoteReference"/>
          <w:rFonts w:ascii="Arial" w:hAnsi="Arial" w:cs="Arial"/>
          <w:sz w:val="18"/>
          <w:szCs w:val="18"/>
        </w:rPr>
        <w:footnoteRef/>
      </w:r>
      <w:r w:rsidRPr="00771340">
        <w:rPr>
          <w:rFonts w:ascii="Arial" w:hAnsi="Arial" w:cs="Arial"/>
          <w:sz w:val="18"/>
          <w:szCs w:val="18"/>
        </w:rPr>
        <w:t xml:space="preserve"> </w:t>
      </w:r>
      <w:r w:rsidR="00164B5F" w:rsidRPr="00771340">
        <w:rPr>
          <w:rFonts w:ascii="Arial" w:hAnsi="Arial" w:cs="Arial"/>
          <w:i/>
          <w:sz w:val="18"/>
          <w:szCs w:val="18"/>
        </w:rPr>
        <w:t>Sexual health, human rights and the law</w:t>
      </w:r>
      <w:r w:rsidR="00164B5F" w:rsidRPr="00771340">
        <w:rPr>
          <w:rFonts w:ascii="Arial" w:hAnsi="Arial" w:cs="Arial"/>
          <w:sz w:val="18"/>
          <w:szCs w:val="18"/>
        </w:rPr>
        <w:t xml:space="preserve">, World Health Organization, Geneva: 215, p.27 </w:t>
      </w:r>
      <w:r w:rsidR="006A62FE" w:rsidRPr="00771340">
        <w:rPr>
          <w:rFonts w:ascii="Arial" w:hAnsi="Arial" w:cs="Arial"/>
          <w:sz w:val="18"/>
          <w:szCs w:val="18"/>
        </w:rPr>
        <w:t xml:space="preserve">(available at </w:t>
      </w:r>
      <w:r w:rsidR="006A62FE" w:rsidRPr="00771340">
        <w:rPr>
          <w:rFonts w:ascii="Arial" w:hAnsi="Arial" w:cs="Arial"/>
          <w:sz w:val="18"/>
          <w:szCs w:val="18"/>
          <w:lang w:val="en-US"/>
        </w:rPr>
        <w:t>http://www.who.int/reproductivehealth/publications/sexual_health/sexual-health-human-rights-law/en/)</w:t>
      </w:r>
    </w:p>
  </w:footnote>
  <w:footnote w:id="4">
    <w:p w:rsidR="0070729F" w:rsidRPr="00771340" w:rsidRDefault="0070729F">
      <w:pPr>
        <w:pStyle w:val="FootnoteText"/>
        <w:rPr>
          <w:rFonts w:ascii="Arial" w:hAnsi="Arial" w:cs="Arial"/>
          <w:sz w:val="18"/>
          <w:szCs w:val="18"/>
          <w:lang w:val="en-US"/>
        </w:rPr>
      </w:pPr>
      <w:r w:rsidRPr="00771340">
        <w:rPr>
          <w:rStyle w:val="FootnoteReference"/>
          <w:rFonts w:ascii="Arial" w:hAnsi="Arial" w:cs="Arial"/>
          <w:sz w:val="18"/>
          <w:szCs w:val="18"/>
        </w:rPr>
        <w:footnoteRef/>
      </w:r>
      <w:r w:rsidRPr="00771340">
        <w:rPr>
          <w:rFonts w:ascii="Arial" w:hAnsi="Arial" w:cs="Arial"/>
          <w:sz w:val="18"/>
          <w:szCs w:val="18"/>
        </w:rPr>
        <w:t xml:space="preserve"> </w:t>
      </w:r>
      <w:r w:rsidR="008B596B" w:rsidRPr="00771340">
        <w:rPr>
          <w:rFonts w:ascii="Arial" w:hAnsi="Arial" w:cs="Arial"/>
          <w:i/>
          <w:sz w:val="18"/>
          <w:szCs w:val="18"/>
          <w:lang w:val="en-US"/>
        </w:rPr>
        <w:t>License To Be Y</w:t>
      </w:r>
      <w:r w:rsidRPr="00771340">
        <w:rPr>
          <w:rFonts w:ascii="Arial" w:hAnsi="Arial" w:cs="Arial"/>
          <w:i/>
          <w:sz w:val="18"/>
          <w:szCs w:val="18"/>
          <w:lang w:val="en-US"/>
        </w:rPr>
        <w:t>ourself</w:t>
      </w:r>
      <w:r w:rsidR="008B596B" w:rsidRPr="00771340">
        <w:rPr>
          <w:rFonts w:ascii="Arial" w:hAnsi="Arial" w:cs="Arial"/>
          <w:i/>
          <w:sz w:val="18"/>
          <w:szCs w:val="18"/>
          <w:lang w:val="en-US"/>
        </w:rPr>
        <w:t>: Laws and Advocacy for Legal Gender Recognition of Trans People</w:t>
      </w:r>
      <w:r w:rsidR="008B596B" w:rsidRPr="00771340">
        <w:rPr>
          <w:rFonts w:ascii="Arial" w:hAnsi="Arial" w:cs="Arial"/>
          <w:sz w:val="18"/>
          <w:szCs w:val="18"/>
          <w:lang w:val="en-US"/>
        </w:rPr>
        <w:t xml:space="preserve">, </w:t>
      </w:r>
      <w:r w:rsidR="008B596B" w:rsidRPr="00771340">
        <w:rPr>
          <w:rFonts w:ascii="Arial" w:hAnsi="Arial" w:cs="Arial"/>
          <w:sz w:val="18"/>
          <w:szCs w:val="18"/>
        </w:rPr>
        <w:t xml:space="preserve">Open Society Foundations, New York: </w:t>
      </w:r>
      <w:r w:rsidR="008B596B" w:rsidRPr="00771340">
        <w:rPr>
          <w:rFonts w:ascii="Arial" w:hAnsi="Arial" w:cs="Arial"/>
          <w:sz w:val="18"/>
          <w:szCs w:val="18"/>
          <w:lang w:val="en-US"/>
        </w:rPr>
        <w:t>May 2014, p.13 (available at https://www.opensocietyfoundations.org/reports/license-be-yourself)</w:t>
      </w:r>
    </w:p>
  </w:footnote>
  <w:footnote w:id="5">
    <w:p w:rsidR="002D6FB8" w:rsidRPr="00771340" w:rsidRDefault="002D6FB8" w:rsidP="002D6FB8">
      <w:pPr>
        <w:pStyle w:val="FootnoteText"/>
        <w:rPr>
          <w:rFonts w:ascii="Arial" w:hAnsi="Arial" w:cs="Arial"/>
          <w:sz w:val="18"/>
          <w:szCs w:val="18"/>
          <w:lang w:val="en-IE"/>
        </w:rPr>
      </w:pPr>
      <w:r w:rsidRPr="00771340">
        <w:rPr>
          <w:rStyle w:val="FootnoteReference"/>
          <w:rFonts w:ascii="Arial" w:hAnsi="Arial" w:cs="Arial"/>
          <w:sz w:val="18"/>
          <w:szCs w:val="18"/>
        </w:rPr>
        <w:footnoteRef/>
      </w:r>
      <w:r w:rsidRPr="00771340">
        <w:rPr>
          <w:rFonts w:ascii="Arial" w:hAnsi="Arial" w:cs="Arial"/>
          <w:sz w:val="18"/>
          <w:szCs w:val="18"/>
        </w:rPr>
        <w:t xml:space="preserve"> </w:t>
      </w:r>
      <w:r w:rsidRPr="00771340">
        <w:rPr>
          <w:rFonts w:ascii="Arial" w:hAnsi="Arial" w:cs="Arial"/>
          <w:sz w:val="18"/>
          <w:szCs w:val="18"/>
          <w:lang w:val="en-IE"/>
        </w:rPr>
        <w:t>A/HRC/29/23, para 79(</w:t>
      </w:r>
      <w:proofErr w:type="spellStart"/>
      <w:r w:rsidRPr="00771340">
        <w:rPr>
          <w:rFonts w:ascii="Arial" w:hAnsi="Arial" w:cs="Arial"/>
          <w:sz w:val="18"/>
          <w:szCs w:val="18"/>
          <w:lang w:val="en-IE"/>
        </w:rPr>
        <w:t>i</w:t>
      </w:r>
      <w:proofErr w:type="spellEnd"/>
      <w:r w:rsidRPr="00771340">
        <w:rPr>
          <w:rFonts w:ascii="Arial" w:hAnsi="Arial" w:cs="Arial"/>
          <w:sz w:val="18"/>
          <w:szCs w:val="18"/>
          <w:lang w:val="en-IE"/>
        </w:rPr>
        <w:t xml:space="preserve">). The report refers to </w:t>
      </w:r>
      <w:r w:rsidRPr="00771340">
        <w:rPr>
          <w:rFonts w:ascii="Arial" w:hAnsi="Arial" w:cs="Arial"/>
          <w:sz w:val="18"/>
          <w:szCs w:val="18"/>
        </w:rPr>
        <w:t xml:space="preserve">Concluding Observations of the Human Rights Committee (CCPR/C/IRL/CO/4, para. </w:t>
      </w:r>
      <w:r w:rsidRPr="00771340">
        <w:rPr>
          <w:rFonts w:ascii="Arial" w:hAnsi="Arial" w:cs="Arial"/>
          <w:sz w:val="18"/>
          <w:szCs w:val="18"/>
          <w:lang w:val="en-IE"/>
        </w:rPr>
        <w:t xml:space="preserve">7, CCPR/C/UKR/CO/7, para. </w:t>
      </w:r>
      <w:r w:rsidRPr="00771340">
        <w:rPr>
          <w:rFonts w:ascii="Arial" w:hAnsi="Arial" w:cs="Arial"/>
          <w:sz w:val="18"/>
          <w:szCs w:val="18"/>
        </w:rPr>
        <w:t>10), Special Rapporteur on torture and other cruel, inhuman or degrading treatment or punishment’s report on abuse in health settings (A/HRC/22/53, para. 88); also “Eliminating forced, coercive and otherwise involuntary sterilization: an interagency statement”, OHCHR, UN-Women, UNAIDS, UNDP, UNFPA, UNICEF and WHO, 2014.</w:t>
      </w:r>
    </w:p>
  </w:footnote>
  <w:footnote w:id="6">
    <w:p w:rsidR="00953DF1" w:rsidRPr="00771340" w:rsidRDefault="00953DF1" w:rsidP="00545D4E">
      <w:pPr>
        <w:pStyle w:val="FootnoteText"/>
        <w:rPr>
          <w:rFonts w:ascii="Arial" w:hAnsi="Arial" w:cs="Arial"/>
          <w:sz w:val="18"/>
          <w:szCs w:val="18"/>
          <w:lang w:val="fr-FR"/>
        </w:rPr>
      </w:pPr>
      <w:r w:rsidRPr="00771340">
        <w:rPr>
          <w:rStyle w:val="FootnoteReference"/>
          <w:rFonts w:ascii="Arial" w:hAnsi="Arial" w:cs="Arial"/>
          <w:sz w:val="18"/>
          <w:szCs w:val="18"/>
        </w:rPr>
        <w:footnoteRef/>
      </w:r>
      <w:r w:rsidR="00545D4E" w:rsidRPr="00771340">
        <w:rPr>
          <w:rFonts w:ascii="Arial" w:hAnsi="Arial" w:cs="Arial"/>
          <w:sz w:val="18"/>
          <w:szCs w:val="18"/>
          <w:lang w:val="fr-FR"/>
        </w:rPr>
        <w:t xml:space="preserve"> Enquête sur la Visibilité des Lesbiennes et la </w:t>
      </w:r>
      <w:proofErr w:type="spellStart"/>
      <w:r w:rsidR="00545D4E" w:rsidRPr="00771340">
        <w:rPr>
          <w:rFonts w:ascii="Arial" w:hAnsi="Arial" w:cs="Arial"/>
          <w:sz w:val="18"/>
          <w:szCs w:val="18"/>
          <w:lang w:val="fr-FR"/>
        </w:rPr>
        <w:t>lesbophobie</w:t>
      </w:r>
      <w:proofErr w:type="spellEnd"/>
      <w:r w:rsidR="00545D4E" w:rsidRPr="00771340">
        <w:rPr>
          <w:rFonts w:ascii="Arial" w:hAnsi="Arial" w:cs="Arial"/>
          <w:sz w:val="18"/>
          <w:szCs w:val="18"/>
          <w:lang w:val="fr-FR"/>
        </w:rPr>
        <w:t xml:space="preserve"> (2015) SOS Homophobie.</w:t>
      </w:r>
    </w:p>
  </w:footnote>
  <w:footnote w:id="7">
    <w:p w:rsidR="00D40D73" w:rsidRPr="00771340" w:rsidRDefault="00D40D73">
      <w:pPr>
        <w:pStyle w:val="FootnoteText"/>
        <w:rPr>
          <w:rFonts w:ascii="Arial" w:hAnsi="Arial" w:cs="Arial"/>
          <w:sz w:val="18"/>
          <w:szCs w:val="18"/>
          <w:lang w:val="fr-FR"/>
        </w:rPr>
      </w:pPr>
      <w:r w:rsidRPr="00771340">
        <w:rPr>
          <w:rStyle w:val="FootnoteReference"/>
          <w:rFonts w:ascii="Arial" w:hAnsi="Arial" w:cs="Arial"/>
          <w:sz w:val="18"/>
          <w:szCs w:val="18"/>
        </w:rPr>
        <w:footnoteRef/>
      </w:r>
      <w:r w:rsidR="00545D4E" w:rsidRPr="00771340">
        <w:rPr>
          <w:rFonts w:ascii="Arial" w:hAnsi="Arial" w:cs="Arial"/>
          <w:sz w:val="18"/>
          <w:szCs w:val="18"/>
          <w:lang w:val="fr-FR"/>
        </w:rPr>
        <w:t xml:space="preserve"> Ibid.</w:t>
      </w:r>
    </w:p>
  </w:footnote>
  <w:footnote w:id="8">
    <w:p w:rsidR="00653791" w:rsidRPr="00771340" w:rsidRDefault="00653791">
      <w:pPr>
        <w:pStyle w:val="FootnoteText"/>
        <w:rPr>
          <w:rFonts w:ascii="Arial" w:hAnsi="Arial" w:cs="Arial"/>
          <w:sz w:val="18"/>
          <w:szCs w:val="18"/>
          <w:lang w:val="en-IE"/>
        </w:rPr>
      </w:pPr>
      <w:r w:rsidRPr="00771340">
        <w:rPr>
          <w:rStyle w:val="FootnoteReference"/>
          <w:rFonts w:ascii="Arial" w:hAnsi="Arial" w:cs="Arial"/>
          <w:sz w:val="18"/>
          <w:szCs w:val="18"/>
        </w:rPr>
        <w:footnoteRef/>
      </w:r>
      <w:r w:rsidRPr="00771340">
        <w:rPr>
          <w:rFonts w:ascii="Arial" w:hAnsi="Arial" w:cs="Arial"/>
          <w:sz w:val="18"/>
          <w:szCs w:val="18"/>
          <w:lang w:val="es-AR"/>
        </w:rPr>
        <w:t xml:space="preserve"> </w:t>
      </w:r>
      <w:r w:rsidR="00796FCF" w:rsidRPr="00771340">
        <w:rPr>
          <w:rFonts w:ascii="Arial" w:hAnsi="Arial" w:cs="Arial"/>
          <w:sz w:val="18"/>
          <w:szCs w:val="18"/>
          <w:lang w:val="es-AR"/>
        </w:rPr>
        <w:t>A/HRC/29/23,</w:t>
      </w:r>
      <w:r w:rsidRPr="00771340">
        <w:rPr>
          <w:rFonts w:ascii="Arial" w:hAnsi="Arial" w:cs="Arial"/>
          <w:sz w:val="18"/>
          <w:szCs w:val="18"/>
          <w:lang w:val="es-AR"/>
        </w:rPr>
        <w:t xml:space="preserve"> para. </w:t>
      </w:r>
      <w:r w:rsidRPr="00771340">
        <w:rPr>
          <w:rFonts w:ascii="Arial" w:hAnsi="Arial" w:cs="Arial"/>
          <w:sz w:val="18"/>
          <w:szCs w:val="18"/>
          <w:lang w:val="en-IE"/>
        </w:rPr>
        <w:t xml:space="preserve">54. </w:t>
      </w:r>
    </w:p>
  </w:footnote>
  <w:footnote w:id="9">
    <w:p w:rsidR="00545D4E" w:rsidRPr="00771340" w:rsidRDefault="00545D4E">
      <w:pPr>
        <w:pStyle w:val="FootnoteText"/>
        <w:rPr>
          <w:rFonts w:ascii="Arial" w:hAnsi="Arial" w:cs="Arial"/>
          <w:sz w:val="18"/>
          <w:szCs w:val="18"/>
          <w:lang w:val="es-AR"/>
        </w:rPr>
      </w:pPr>
      <w:r w:rsidRPr="00771340">
        <w:rPr>
          <w:rStyle w:val="FootnoteReference"/>
          <w:rFonts w:ascii="Arial" w:hAnsi="Arial" w:cs="Arial"/>
          <w:sz w:val="18"/>
          <w:szCs w:val="18"/>
        </w:rPr>
        <w:footnoteRef/>
      </w:r>
      <w:r w:rsidRPr="00771340">
        <w:rPr>
          <w:rFonts w:ascii="Arial" w:hAnsi="Arial" w:cs="Arial"/>
          <w:sz w:val="18"/>
          <w:szCs w:val="18"/>
          <w:lang w:val="es-AR"/>
        </w:rPr>
        <w:t xml:space="preserve"> A/HRC/19/41, para 57.</w:t>
      </w:r>
    </w:p>
  </w:footnote>
  <w:footnote w:id="10">
    <w:p w:rsidR="00FD6613" w:rsidRPr="00771340" w:rsidRDefault="00FD6613" w:rsidP="00FD6613">
      <w:pPr>
        <w:pStyle w:val="FootnoteText"/>
        <w:spacing w:line="240" w:lineRule="atLeast"/>
        <w:rPr>
          <w:rFonts w:ascii="Arial" w:hAnsi="Arial" w:cs="Arial"/>
          <w:sz w:val="18"/>
          <w:szCs w:val="18"/>
          <w:lang w:eastAsia="en-US"/>
        </w:rPr>
      </w:pPr>
      <w:r w:rsidRPr="00771340">
        <w:rPr>
          <w:rStyle w:val="FootnoteReference"/>
          <w:rFonts w:ascii="Arial" w:hAnsi="Arial" w:cs="Arial"/>
          <w:sz w:val="18"/>
          <w:szCs w:val="18"/>
        </w:rPr>
        <w:footnoteRef/>
      </w:r>
      <w:r w:rsidRPr="00771340">
        <w:rPr>
          <w:rFonts w:ascii="Arial" w:hAnsi="Arial" w:cs="Arial"/>
          <w:sz w:val="18"/>
          <w:szCs w:val="18"/>
          <w:lang w:val="es-AR"/>
        </w:rPr>
        <w:t xml:space="preserve"> </w:t>
      </w:r>
      <w:proofErr w:type="spellStart"/>
      <w:r w:rsidRPr="00771340">
        <w:rPr>
          <w:rStyle w:val="FootnoteTextCharCharChar1"/>
          <w:rFonts w:ascii="Arial" w:hAnsi="Arial" w:cs="Arial"/>
          <w:sz w:val="18"/>
          <w:szCs w:val="18"/>
          <w:lang w:val="es-AR"/>
        </w:rPr>
        <w:t>See</w:t>
      </w:r>
      <w:proofErr w:type="spellEnd"/>
      <w:r w:rsidRPr="00771340">
        <w:rPr>
          <w:rStyle w:val="FootnoteTextCharCharChar1"/>
          <w:rFonts w:ascii="Arial" w:hAnsi="Arial" w:cs="Arial"/>
          <w:sz w:val="18"/>
          <w:szCs w:val="18"/>
          <w:lang w:val="es-AR"/>
        </w:rPr>
        <w:t xml:space="preserve"> CRC/C/CHE/CO/2-4, para. 42, CAT/C/DEU/CO/5, para, 20, A/HRC/22/53, para. </w:t>
      </w:r>
      <w:r w:rsidRPr="00771340">
        <w:rPr>
          <w:rStyle w:val="FootnoteTextCharCharChar1"/>
          <w:rFonts w:ascii="Arial" w:hAnsi="Arial" w:cs="Arial"/>
          <w:sz w:val="18"/>
          <w:szCs w:val="18"/>
        </w:rPr>
        <w:t xml:space="preserve">88, A/64/272, para. 49 </w:t>
      </w:r>
    </w:p>
  </w:footnote>
  <w:footnote w:id="11">
    <w:p w:rsidR="00C94327" w:rsidRPr="00771340" w:rsidRDefault="00C94327">
      <w:pPr>
        <w:pStyle w:val="FootnoteText"/>
        <w:rPr>
          <w:rFonts w:ascii="Arial" w:hAnsi="Arial" w:cs="Arial"/>
          <w:sz w:val="18"/>
          <w:szCs w:val="18"/>
          <w:lang w:val="en-IE"/>
        </w:rPr>
      </w:pPr>
      <w:r w:rsidRPr="00771340">
        <w:rPr>
          <w:rStyle w:val="FootnoteReference"/>
          <w:rFonts w:ascii="Arial" w:hAnsi="Arial" w:cs="Arial"/>
          <w:sz w:val="18"/>
          <w:szCs w:val="18"/>
        </w:rPr>
        <w:footnoteRef/>
      </w:r>
      <w:r w:rsidRPr="00771340">
        <w:rPr>
          <w:rFonts w:ascii="Arial" w:hAnsi="Arial" w:cs="Arial"/>
          <w:sz w:val="18"/>
          <w:szCs w:val="18"/>
        </w:rPr>
        <w:t xml:space="preserve"> A/HRC/29/20, para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11" w:rsidRPr="00BA24BE" w:rsidRDefault="00AE1411" w:rsidP="00AE1411">
    <w:pPr>
      <w:pStyle w:val="Header"/>
      <w:jc w:val="center"/>
      <w:rPr>
        <w:rFonts w:ascii="Arial" w:hAnsi="Arial" w:cs="Arial"/>
        <w:b/>
      </w:rPr>
    </w:pPr>
    <w:r w:rsidRPr="00BA24BE">
      <w:rPr>
        <w:rFonts w:ascii="Arial" w:hAnsi="Arial" w:cs="Arial"/>
        <w:b/>
        <w:noProof/>
        <w:lang w:val="en-IE" w:eastAsia="en-IE"/>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-22860</wp:posOffset>
          </wp:positionV>
          <wp:extent cx="608965" cy="864235"/>
          <wp:effectExtent l="0" t="0" r="0" b="0"/>
          <wp:wrapThrough wrapText="bothSides">
            <wp:wrapPolygon edited="0">
              <wp:start x="0" y="0"/>
              <wp:lineTo x="0" y="20949"/>
              <wp:lineTo x="20947" y="20949"/>
              <wp:lineTo x="20947" y="0"/>
              <wp:lineTo x="0" y="0"/>
            </wp:wrapPolygon>
          </wp:wrapThrough>
          <wp:docPr id="1" name="Picture 1" descr="2009_logo_ILG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_logo_ILGA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 cy="864235"/>
                  </a:xfrm>
                  <a:prstGeom prst="rect">
                    <a:avLst/>
                  </a:prstGeom>
                  <a:noFill/>
                  <a:ln>
                    <a:noFill/>
                  </a:ln>
                </pic:spPr>
              </pic:pic>
            </a:graphicData>
          </a:graphic>
        </wp:anchor>
      </w:drawing>
    </w:r>
    <w:r w:rsidRPr="00BA24BE">
      <w:rPr>
        <w:rFonts w:ascii="Arial" w:hAnsi="Arial" w:cs="Arial"/>
        <w:b/>
      </w:rPr>
      <w:t>ILGA – International Lesbian, Gay, Bisexual, Trans and Intersex Association</w:t>
    </w:r>
    <w:r>
      <w:rPr>
        <w:rFonts w:ascii="Arial" w:hAnsi="Arial" w:cs="Arial"/>
        <w:b/>
      </w:rPr>
      <w:br/>
    </w:r>
  </w:p>
  <w:p w:rsidR="00771340" w:rsidRDefault="00AE1411" w:rsidP="00771340">
    <w:pPr>
      <w:spacing w:after="0"/>
      <w:jc w:val="center"/>
      <w:rPr>
        <w:rFonts w:ascii="Arial" w:hAnsi="Arial" w:cs="Arial"/>
        <w:b/>
        <w:sz w:val="20"/>
        <w:szCs w:val="20"/>
      </w:rPr>
    </w:pPr>
    <w:r w:rsidRPr="009717D7">
      <w:rPr>
        <w:rFonts w:ascii="Arial" w:hAnsi="Arial" w:cs="Arial"/>
        <w:b/>
        <w:sz w:val="20"/>
        <w:szCs w:val="20"/>
      </w:rPr>
      <w:t xml:space="preserve">Submission to the Working Group </w:t>
    </w:r>
    <w:r w:rsidR="00771340" w:rsidRPr="00771340">
      <w:rPr>
        <w:rFonts w:ascii="Arial" w:hAnsi="Arial" w:cs="Arial"/>
        <w:b/>
        <w:sz w:val="20"/>
        <w:szCs w:val="20"/>
      </w:rPr>
      <w:t xml:space="preserve">on the issue of </w:t>
    </w:r>
  </w:p>
  <w:p w:rsidR="00AE1411" w:rsidRDefault="00771340" w:rsidP="00771340">
    <w:pPr>
      <w:spacing w:after="0"/>
      <w:jc w:val="center"/>
      <w:rPr>
        <w:rFonts w:ascii="Arial" w:hAnsi="Arial" w:cs="Arial"/>
        <w:b/>
        <w:sz w:val="20"/>
        <w:szCs w:val="20"/>
      </w:rPr>
    </w:pPr>
    <w:proofErr w:type="gramStart"/>
    <w:r>
      <w:rPr>
        <w:rFonts w:ascii="Arial" w:hAnsi="Arial" w:cs="Arial"/>
        <w:b/>
        <w:sz w:val="20"/>
        <w:szCs w:val="20"/>
      </w:rPr>
      <w:t>d</w:t>
    </w:r>
    <w:r w:rsidR="00AE1411" w:rsidRPr="009717D7">
      <w:rPr>
        <w:rFonts w:ascii="Arial" w:hAnsi="Arial" w:cs="Arial"/>
        <w:b/>
        <w:sz w:val="20"/>
        <w:szCs w:val="20"/>
      </w:rPr>
      <w:t>iscrimination</w:t>
    </w:r>
    <w:proofErr w:type="gramEnd"/>
    <w:r w:rsidR="00AE1411" w:rsidRPr="009717D7">
      <w:rPr>
        <w:rFonts w:ascii="Arial" w:hAnsi="Arial" w:cs="Arial"/>
        <w:b/>
        <w:sz w:val="20"/>
        <w:szCs w:val="20"/>
      </w:rPr>
      <w:t xml:space="preserve"> against women</w:t>
    </w:r>
    <w:r>
      <w:rPr>
        <w:rFonts w:ascii="Arial" w:hAnsi="Arial" w:cs="Arial"/>
        <w:b/>
        <w:sz w:val="20"/>
        <w:szCs w:val="20"/>
      </w:rPr>
      <w:t xml:space="preserve"> </w:t>
    </w:r>
    <w:r w:rsidR="00AE1411" w:rsidRPr="009717D7">
      <w:rPr>
        <w:rFonts w:ascii="Arial" w:hAnsi="Arial" w:cs="Arial"/>
        <w:b/>
        <w:sz w:val="20"/>
        <w:szCs w:val="20"/>
      </w:rPr>
      <w:t xml:space="preserve">in law and </w:t>
    </w:r>
    <w:r>
      <w:rPr>
        <w:rFonts w:ascii="Arial" w:hAnsi="Arial" w:cs="Arial"/>
        <w:b/>
        <w:sz w:val="20"/>
        <w:szCs w:val="20"/>
      </w:rPr>
      <w:t xml:space="preserve">in </w:t>
    </w:r>
    <w:r w:rsidR="00AE1411" w:rsidRPr="009717D7">
      <w:rPr>
        <w:rFonts w:ascii="Arial" w:hAnsi="Arial" w:cs="Arial"/>
        <w:b/>
        <w:sz w:val="20"/>
        <w:szCs w:val="20"/>
      </w:rPr>
      <w:t>practice</w:t>
    </w:r>
    <w:r w:rsidR="009717D7">
      <w:rPr>
        <w:rFonts w:ascii="Arial" w:hAnsi="Arial" w:cs="Arial"/>
        <w:b/>
        <w:sz w:val="20"/>
        <w:szCs w:val="20"/>
      </w:rPr>
      <w:t>:</w:t>
    </w:r>
  </w:p>
  <w:p w:rsidR="00771340" w:rsidRPr="009717D7" w:rsidRDefault="00771340" w:rsidP="00771340">
    <w:pPr>
      <w:spacing w:after="0"/>
      <w:jc w:val="center"/>
      <w:rPr>
        <w:rFonts w:ascii="Arial" w:hAnsi="Arial" w:cs="Arial"/>
        <w:b/>
        <w:sz w:val="20"/>
        <w:szCs w:val="20"/>
      </w:rPr>
    </w:pPr>
  </w:p>
  <w:p w:rsidR="00AE1411" w:rsidRPr="0044139A" w:rsidRDefault="00AE1411" w:rsidP="00AE1411">
    <w:pPr>
      <w:jc w:val="center"/>
      <w:rPr>
        <w:rFonts w:ascii="Arial" w:hAnsi="Arial" w:cs="Arial"/>
        <w:b/>
        <w:i/>
        <w:sz w:val="20"/>
        <w:szCs w:val="20"/>
      </w:rPr>
    </w:pPr>
    <w:r w:rsidRPr="0044139A">
      <w:rPr>
        <w:rFonts w:ascii="Arial" w:hAnsi="Arial" w:cs="Arial"/>
        <w:b/>
        <w:i/>
        <w:sz w:val="20"/>
        <w:szCs w:val="20"/>
      </w:rPr>
      <w:t xml:space="preserve">Discrimination in relation to the right to health </w:t>
    </w:r>
    <w:r w:rsidR="00771340">
      <w:rPr>
        <w:rFonts w:ascii="Arial" w:hAnsi="Arial" w:cs="Arial"/>
        <w:b/>
        <w:i/>
        <w:sz w:val="20"/>
        <w:szCs w:val="20"/>
      </w:rPr>
      <w:t>and safety of lesbian, bisexual and</w:t>
    </w:r>
    <w:r w:rsidRPr="0044139A">
      <w:rPr>
        <w:rFonts w:ascii="Arial" w:hAnsi="Arial" w:cs="Arial"/>
        <w:b/>
        <w:i/>
        <w:sz w:val="20"/>
        <w:szCs w:val="20"/>
      </w:rPr>
      <w:t xml:space="preserve"> intersex </w:t>
    </w:r>
    <w:r w:rsidR="00771340">
      <w:rPr>
        <w:rFonts w:ascii="Arial" w:hAnsi="Arial" w:cs="Arial"/>
        <w:b/>
        <w:i/>
        <w:sz w:val="20"/>
        <w:szCs w:val="20"/>
      </w:rPr>
      <w:t xml:space="preserve">women </w:t>
    </w:r>
    <w:r w:rsidRPr="0044139A">
      <w:rPr>
        <w:rFonts w:ascii="Arial" w:hAnsi="Arial" w:cs="Arial"/>
        <w:b/>
        <w:i/>
        <w:sz w:val="20"/>
        <w:szCs w:val="20"/>
      </w:rPr>
      <w:t xml:space="preserve">and trans </w:t>
    </w:r>
    <w:r w:rsidR="00771340">
      <w:rPr>
        <w:rFonts w:ascii="Arial" w:hAnsi="Arial" w:cs="Arial"/>
        <w:b/>
        <w:i/>
        <w:sz w:val="20"/>
        <w:szCs w:val="20"/>
      </w:rPr>
      <w:t>persons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D53B3"/>
    <w:multiLevelType w:val="hybridMultilevel"/>
    <w:tmpl w:val="4C92DBB0"/>
    <w:lvl w:ilvl="0" w:tplc="FDE4B8C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648B"/>
    <w:rsid w:val="00006564"/>
    <w:rsid w:val="000258B8"/>
    <w:rsid w:val="0002648B"/>
    <w:rsid w:val="00086294"/>
    <w:rsid w:val="000D57A2"/>
    <w:rsid w:val="0010253B"/>
    <w:rsid w:val="00113C44"/>
    <w:rsid w:val="00164B5F"/>
    <w:rsid w:val="001A1E48"/>
    <w:rsid w:val="00260012"/>
    <w:rsid w:val="00277556"/>
    <w:rsid w:val="00295EEC"/>
    <w:rsid w:val="002B1C90"/>
    <w:rsid w:val="002C0A01"/>
    <w:rsid w:val="002D6FB8"/>
    <w:rsid w:val="00301095"/>
    <w:rsid w:val="00325A7A"/>
    <w:rsid w:val="00351DD5"/>
    <w:rsid w:val="00357C0E"/>
    <w:rsid w:val="00364BA3"/>
    <w:rsid w:val="003715EB"/>
    <w:rsid w:val="00373FE1"/>
    <w:rsid w:val="003A42FF"/>
    <w:rsid w:val="003B0117"/>
    <w:rsid w:val="003C7E0D"/>
    <w:rsid w:val="003D4046"/>
    <w:rsid w:val="003E38BD"/>
    <w:rsid w:val="0044139A"/>
    <w:rsid w:val="004D33FB"/>
    <w:rsid w:val="004D5A6F"/>
    <w:rsid w:val="00505C04"/>
    <w:rsid w:val="00510AD6"/>
    <w:rsid w:val="00545D4E"/>
    <w:rsid w:val="005960BF"/>
    <w:rsid w:val="005D1DFB"/>
    <w:rsid w:val="00614475"/>
    <w:rsid w:val="00653791"/>
    <w:rsid w:val="006A62FE"/>
    <w:rsid w:val="006F6E81"/>
    <w:rsid w:val="0070276D"/>
    <w:rsid w:val="0070729F"/>
    <w:rsid w:val="007215C9"/>
    <w:rsid w:val="00764D4A"/>
    <w:rsid w:val="00771340"/>
    <w:rsid w:val="00796FCF"/>
    <w:rsid w:val="00817C59"/>
    <w:rsid w:val="008B596B"/>
    <w:rsid w:val="008E0F59"/>
    <w:rsid w:val="008F42D8"/>
    <w:rsid w:val="00912E29"/>
    <w:rsid w:val="00917E2A"/>
    <w:rsid w:val="0092309D"/>
    <w:rsid w:val="00953DF1"/>
    <w:rsid w:val="009717D7"/>
    <w:rsid w:val="00987D32"/>
    <w:rsid w:val="009C6A62"/>
    <w:rsid w:val="009D0F5A"/>
    <w:rsid w:val="009F14B3"/>
    <w:rsid w:val="009F52AA"/>
    <w:rsid w:val="00A555B5"/>
    <w:rsid w:val="00A71F1E"/>
    <w:rsid w:val="00AB6735"/>
    <w:rsid w:val="00AE0DDA"/>
    <w:rsid w:val="00AE1411"/>
    <w:rsid w:val="00B12BF8"/>
    <w:rsid w:val="00B35F4A"/>
    <w:rsid w:val="00BA22BA"/>
    <w:rsid w:val="00BB1000"/>
    <w:rsid w:val="00BB554E"/>
    <w:rsid w:val="00BE63F2"/>
    <w:rsid w:val="00C24FEF"/>
    <w:rsid w:val="00C94327"/>
    <w:rsid w:val="00CB58F3"/>
    <w:rsid w:val="00CC319F"/>
    <w:rsid w:val="00D16130"/>
    <w:rsid w:val="00D40D73"/>
    <w:rsid w:val="00D60712"/>
    <w:rsid w:val="00D61184"/>
    <w:rsid w:val="00D61479"/>
    <w:rsid w:val="00D95A01"/>
    <w:rsid w:val="00DA76B9"/>
    <w:rsid w:val="00DE2A50"/>
    <w:rsid w:val="00DF4F43"/>
    <w:rsid w:val="00E15A9C"/>
    <w:rsid w:val="00EB788A"/>
    <w:rsid w:val="00EE1557"/>
    <w:rsid w:val="00F15CD9"/>
    <w:rsid w:val="00F8204B"/>
    <w:rsid w:val="00FB2AA0"/>
    <w:rsid w:val="00FD661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24475-9C55-4DD6-A8DD-E4964E30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29"/>
    <w:rPr>
      <w:lang w:val="en-GB" w:eastAsia="zh-SG"/>
    </w:rPr>
  </w:style>
  <w:style w:type="paragraph" w:styleId="Heading2">
    <w:name w:val="heading 2"/>
    <w:basedOn w:val="Normal"/>
    <w:next w:val="Normal"/>
    <w:link w:val="Heading2Char"/>
    <w:uiPriority w:val="9"/>
    <w:unhideWhenUsed/>
    <w:qFormat/>
    <w:rsid w:val="008F42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294"/>
  </w:style>
  <w:style w:type="paragraph" w:styleId="ListParagraph">
    <w:name w:val="List Paragraph"/>
    <w:basedOn w:val="Normal"/>
    <w:uiPriority w:val="34"/>
    <w:qFormat/>
    <w:rsid w:val="00086294"/>
    <w:pPr>
      <w:ind w:left="720"/>
      <w:contextualSpacing/>
    </w:p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nhideWhenUsed/>
    <w:rsid w:val="00E15A9C"/>
    <w:pPr>
      <w:spacing w:after="0" w:line="240" w:lineRule="auto"/>
    </w:pPr>
    <w:rPr>
      <w:sz w:val="20"/>
      <w:szCs w:val="20"/>
    </w:rPr>
  </w:style>
  <w:style w:type="character" w:customStyle="1" w:styleId="FootnoteTextChar">
    <w:name w:val="Footnote Text Char"/>
    <w:aliases w:val="5_G Char,Footnote Text Char Char Char2,Footnote Text Char1 Char Char Char1,Footnote Text Char Char Char Char Char1,Footnote Text Char Char1 Char1,Footnote Text Char1 Char Char2,Footnote Text Char Char Char Char2,Char Char Char1"/>
    <w:basedOn w:val="DefaultParagraphFont"/>
    <w:link w:val="FootnoteText"/>
    <w:rsid w:val="00E15A9C"/>
    <w:rPr>
      <w:sz w:val="20"/>
      <w:szCs w:val="20"/>
      <w:lang w:val="en-GB" w:eastAsia="zh-SG"/>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
    <w:basedOn w:val="DefaultParagraphFont"/>
    <w:link w:val="4GCharCharCharChar"/>
    <w:unhideWhenUsed/>
    <w:rsid w:val="00E15A9C"/>
    <w:rPr>
      <w:vertAlign w:val="superscript"/>
    </w:rPr>
  </w:style>
  <w:style w:type="paragraph" w:customStyle="1" w:styleId="SingleTxtG">
    <w:name w:val="_ Single Txt_G"/>
    <w:basedOn w:val="Normal"/>
    <w:link w:val="SingleTxtGChar"/>
    <w:rsid w:val="00CC319F"/>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CC319F"/>
    <w:rPr>
      <w:rFonts w:ascii="Times New Roman" w:eastAsia="Times New Roman" w:hAnsi="Times New Roman" w:cs="Times New Roman"/>
      <w:sz w:val="20"/>
      <w:szCs w:val="20"/>
      <w:lang w:val="en-GB"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CC319F"/>
    <w:pPr>
      <w:spacing w:after="160" w:line="240" w:lineRule="exact"/>
      <w:jc w:val="both"/>
    </w:pPr>
    <w:rPr>
      <w:vertAlign w:val="superscript"/>
      <w:lang w:val="en-SG" w:eastAsia="zh-CN"/>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3D4046"/>
    <w:rPr>
      <w:lang w:eastAsia="en-US"/>
    </w:rPr>
  </w:style>
  <w:style w:type="character" w:styleId="CommentReference">
    <w:name w:val="annotation reference"/>
    <w:basedOn w:val="DefaultParagraphFont"/>
    <w:uiPriority w:val="99"/>
    <w:semiHidden/>
    <w:unhideWhenUsed/>
    <w:rsid w:val="00295EEC"/>
    <w:rPr>
      <w:sz w:val="16"/>
      <w:szCs w:val="16"/>
    </w:rPr>
  </w:style>
  <w:style w:type="paragraph" w:styleId="CommentText">
    <w:name w:val="annotation text"/>
    <w:basedOn w:val="Normal"/>
    <w:link w:val="CommentTextChar"/>
    <w:uiPriority w:val="99"/>
    <w:semiHidden/>
    <w:unhideWhenUsed/>
    <w:rsid w:val="00295EEC"/>
    <w:pPr>
      <w:spacing w:line="240" w:lineRule="auto"/>
    </w:pPr>
    <w:rPr>
      <w:sz w:val="20"/>
      <w:szCs w:val="20"/>
    </w:rPr>
  </w:style>
  <w:style w:type="character" w:customStyle="1" w:styleId="CommentTextChar">
    <w:name w:val="Comment Text Char"/>
    <w:basedOn w:val="DefaultParagraphFont"/>
    <w:link w:val="CommentText"/>
    <w:uiPriority w:val="99"/>
    <w:semiHidden/>
    <w:rsid w:val="00295EEC"/>
    <w:rPr>
      <w:sz w:val="20"/>
      <w:szCs w:val="20"/>
      <w:lang w:val="en-GB" w:eastAsia="zh-SG"/>
    </w:rPr>
  </w:style>
  <w:style w:type="paragraph" w:styleId="CommentSubject">
    <w:name w:val="annotation subject"/>
    <w:basedOn w:val="CommentText"/>
    <w:next w:val="CommentText"/>
    <w:link w:val="CommentSubjectChar"/>
    <w:uiPriority w:val="99"/>
    <w:semiHidden/>
    <w:unhideWhenUsed/>
    <w:rsid w:val="00295EEC"/>
    <w:rPr>
      <w:b/>
      <w:bCs/>
    </w:rPr>
  </w:style>
  <w:style w:type="character" w:customStyle="1" w:styleId="CommentSubjectChar">
    <w:name w:val="Comment Subject Char"/>
    <w:basedOn w:val="CommentTextChar"/>
    <w:link w:val="CommentSubject"/>
    <w:uiPriority w:val="99"/>
    <w:semiHidden/>
    <w:rsid w:val="00295EEC"/>
    <w:rPr>
      <w:b/>
      <w:bCs/>
      <w:sz w:val="20"/>
      <w:szCs w:val="20"/>
      <w:lang w:val="en-GB" w:eastAsia="zh-SG"/>
    </w:rPr>
  </w:style>
  <w:style w:type="paragraph" w:styleId="BalloonText">
    <w:name w:val="Balloon Text"/>
    <w:basedOn w:val="Normal"/>
    <w:link w:val="BalloonTextChar"/>
    <w:uiPriority w:val="99"/>
    <w:semiHidden/>
    <w:unhideWhenUsed/>
    <w:rsid w:val="0029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EC"/>
    <w:rPr>
      <w:rFonts w:ascii="Tahoma" w:hAnsi="Tahoma" w:cs="Tahoma"/>
      <w:sz w:val="16"/>
      <w:szCs w:val="16"/>
      <w:lang w:val="en-GB" w:eastAsia="zh-SG"/>
    </w:rPr>
  </w:style>
  <w:style w:type="paragraph" w:styleId="Header">
    <w:name w:val="header"/>
    <w:basedOn w:val="Normal"/>
    <w:link w:val="HeaderChar"/>
    <w:uiPriority w:val="99"/>
    <w:unhideWhenUsed/>
    <w:rsid w:val="00AE1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411"/>
    <w:rPr>
      <w:lang w:val="en-GB" w:eastAsia="zh-SG"/>
    </w:rPr>
  </w:style>
  <w:style w:type="paragraph" w:styleId="Footer">
    <w:name w:val="footer"/>
    <w:basedOn w:val="Normal"/>
    <w:link w:val="FooterChar"/>
    <w:uiPriority w:val="99"/>
    <w:unhideWhenUsed/>
    <w:rsid w:val="00AE1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411"/>
    <w:rPr>
      <w:lang w:val="en-GB" w:eastAsia="zh-SG"/>
    </w:rPr>
  </w:style>
  <w:style w:type="character" w:customStyle="1" w:styleId="Heading2Char">
    <w:name w:val="Heading 2 Char"/>
    <w:basedOn w:val="DefaultParagraphFont"/>
    <w:link w:val="Heading2"/>
    <w:uiPriority w:val="9"/>
    <w:rsid w:val="008F42D8"/>
    <w:rPr>
      <w:rFonts w:asciiTheme="majorHAnsi" w:eastAsiaTheme="majorEastAsia" w:hAnsiTheme="majorHAnsi" w:cstheme="majorBidi"/>
      <w:color w:val="365F91" w:themeColor="accent1" w:themeShade="BF"/>
      <w:sz w:val="26"/>
      <w:szCs w:val="26"/>
      <w:lang w:val="en-GB" w:eastAsia="zh-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D82FA-990C-41D0-9FB5-F9D4CD0415A2}"/>
</file>

<file path=customXml/itemProps2.xml><?xml version="1.0" encoding="utf-8"?>
<ds:datastoreItem xmlns:ds="http://schemas.openxmlformats.org/officeDocument/2006/customXml" ds:itemID="{9B720D62-62FE-4B6D-9939-5180D7B8BCB9}"/>
</file>

<file path=customXml/itemProps3.xml><?xml version="1.0" encoding="utf-8"?>
<ds:datastoreItem xmlns:ds="http://schemas.openxmlformats.org/officeDocument/2006/customXml" ds:itemID="{9C21E829-FBFB-4C78-8AB0-2E1F37964819}"/>
</file>

<file path=customXml/itemProps4.xml><?xml version="1.0" encoding="utf-8"?>
<ds:datastoreItem xmlns:ds="http://schemas.openxmlformats.org/officeDocument/2006/customXml" ds:itemID="{C5FE0AB2-E6EB-4EE3-9A37-734CDB1EA34C}"/>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Helen Nolan</cp:lastModifiedBy>
  <cp:revision>2</cp:revision>
  <dcterms:created xsi:type="dcterms:W3CDTF">2015-08-14T16:24:00Z</dcterms:created>
  <dcterms:modified xsi:type="dcterms:W3CDTF">2015-08-14T16:24:00Z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