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5B" w:rsidRPr="005A7E31" w:rsidRDefault="00B97E5B" w:rsidP="0048506D">
      <w:pPr>
        <w:jc w:val="both"/>
        <w:rPr>
          <w:rFonts w:asciiTheme="majorHAnsi" w:hAnsiTheme="majorHAnsi"/>
          <w:b/>
          <w:i/>
          <w:caps/>
          <w:sz w:val="24"/>
          <w:szCs w:val="24"/>
          <w:lang w:val="es-CL"/>
        </w:rPr>
      </w:pPr>
      <w:r w:rsidRPr="005A7E31">
        <w:rPr>
          <w:rFonts w:asciiTheme="majorHAnsi" w:hAnsiTheme="majorHAnsi"/>
          <w:b/>
          <w:i/>
          <w:caps/>
          <w:sz w:val="24"/>
          <w:szCs w:val="24"/>
          <w:lang w:val="es-CL"/>
        </w:rPr>
        <w:t>Informe del gobierno brasileño</w:t>
      </w:r>
    </w:p>
    <w:p w:rsidR="00B97E5B" w:rsidRPr="00B97E5B" w:rsidRDefault="00B97E5B" w:rsidP="0048506D">
      <w:pPr>
        <w:jc w:val="both"/>
        <w:rPr>
          <w:rFonts w:asciiTheme="majorHAnsi" w:hAnsiTheme="majorHAnsi"/>
          <w:b/>
          <w:i/>
          <w:smallCaps/>
          <w:sz w:val="24"/>
          <w:szCs w:val="24"/>
          <w:lang w:val="es-CL"/>
        </w:rPr>
      </w:pPr>
      <w:r w:rsidRPr="00B97E5B">
        <w:rPr>
          <w:rFonts w:asciiTheme="majorHAnsi" w:hAnsiTheme="majorHAnsi"/>
          <w:b/>
          <w:i/>
          <w:smallCaps/>
          <w:sz w:val="24"/>
          <w:szCs w:val="24"/>
          <w:lang w:val="es-CL"/>
        </w:rPr>
        <w:t>“Prevención y eliminación del matrimonio precoz</w:t>
      </w:r>
      <w:r>
        <w:rPr>
          <w:rFonts w:asciiTheme="majorHAnsi" w:hAnsiTheme="majorHAnsi"/>
          <w:b/>
          <w:i/>
          <w:smallCaps/>
          <w:sz w:val="24"/>
          <w:szCs w:val="24"/>
          <w:lang w:val="es-CL"/>
        </w:rPr>
        <w:t xml:space="preserve"> y forzado de niñas</w:t>
      </w:r>
      <w:r w:rsidRPr="00B97E5B">
        <w:rPr>
          <w:rFonts w:asciiTheme="majorHAnsi" w:hAnsiTheme="majorHAnsi"/>
          <w:b/>
          <w:i/>
          <w:smallCaps/>
          <w:sz w:val="24"/>
          <w:szCs w:val="24"/>
          <w:lang w:val="es-CL"/>
        </w:rPr>
        <w:t>”.</w:t>
      </w:r>
    </w:p>
    <w:p w:rsidR="00B97E5B" w:rsidRPr="00B97E5B" w:rsidRDefault="00B97E5B" w:rsidP="0048506D">
      <w:pPr>
        <w:jc w:val="both"/>
        <w:rPr>
          <w:rFonts w:asciiTheme="majorHAnsi" w:hAnsiTheme="majorHAnsi"/>
          <w:b/>
          <w:i/>
          <w:sz w:val="24"/>
          <w:szCs w:val="24"/>
          <w:lang w:val="es-CL"/>
        </w:rPr>
      </w:pPr>
    </w:p>
    <w:p w:rsidR="005A7E31" w:rsidRDefault="005A7E31" w:rsidP="0048506D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4"/>
          <w:szCs w:val="24"/>
          <w:lang w:val="es-CL"/>
        </w:rPr>
      </w:pPr>
      <w:r>
        <w:rPr>
          <w:rFonts w:asciiTheme="majorHAnsi" w:hAnsiTheme="majorHAnsi"/>
          <w:b/>
          <w:sz w:val="24"/>
          <w:szCs w:val="24"/>
          <w:lang w:val="es-CL"/>
        </w:rPr>
        <w:t xml:space="preserve">Como el Estado implementa obligaciones relativas a las convenciones internacionales de derechos humanos y </w:t>
      </w:r>
      <w:r w:rsidR="00FF5407">
        <w:rPr>
          <w:rFonts w:asciiTheme="majorHAnsi" w:hAnsiTheme="majorHAnsi"/>
          <w:b/>
          <w:sz w:val="24"/>
          <w:szCs w:val="24"/>
          <w:lang w:val="es-CL"/>
        </w:rPr>
        <w:t xml:space="preserve">a los </w:t>
      </w:r>
      <w:r>
        <w:rPr>
          <w:rFonts w:asciiTheme="majorHAnsi" w:hAnsiTheme="majorHAnsi"/>
          <w:b/>
          <w:sz w:val="24"/>
          <w:szCs w:val="24"/>
          <w:lang w:val="es-CL"/>
        </w:rPr>
        <w:t xml:space="preserve">tratados internacionales de derechos humanos </w:t>
      </w:r>
      <w:r w:rsidR="00B24B8D">
        <w:rPr>
          <w:rFonts w:asciiTheme="majorHAnsi" w:hAnsiTheme="majorHAnsi"/>
          <w:b/>
          <w:sz w:val="24"/>
          <w:szCs w:val="24"/>
          <w:lang w:val="es-CL"/>
        </w:rPr>
        <w:t xml:space="preserve">de </w:t>
      </w:r>
      <w:r w:rsidR="00FF5407">
        <w:rPr>
          <w:rFonts w:asciiTheme="majorHAnsi" w:hAnsiTheme="majorHAnsi"/>
          <w:b/>
          <w:sz w:val="24"/>
          <w:szCs w:val="24"/>
          <w:lang w:val="es-CL"/>
        </w:rPr>
        <w:t xml:space="preserve">los niños relacionados al matrimonio precoz y forzado </w:t>
      </w:r>
      <w:r w:rsidR="0016271E">
        <w:rPr>
          <w:rFonts w:asciiTheme="majorHAnsi" w:hAnsiTheme="majorHAnsi"/>
          <w:b/>
          <w:sz w:val="24"/>
          <w:szCs w:val="24"/>
          <w:lang w:val="es-CL"/>
        </w:rPr>
        <w:t xml:space="preserve"> a nivel nacional.</w:t>
      </w:r>
    </w:p>
    <w:p w:rsidR="00B97E5B" w:rsidRDefault="0016271E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104A28">
        <w:rPr>
          <w:rFonts w:asciiTheme="majorHAnsi" w:hAnsiTheme="majorHAnsi"/>
          <w:sz w:val="24"/>
          <w:szCs w:val="24"/>
          <w:lang w:val="es-CL"/>
        </w:rPr>
        <w:t xml:space="preserve">Brasil es signatario de la Convención </w:t>
      </w:r>
      <w:r w:rsidR="00104A28" w:rsidRPr="00104A28">
        <w:rPr>
          <w:rFonts w:asciiTheme="majorHAnsi" w:hAnsiTheme="majorHAnsi"/>
          <w:sz w:val="24"/>
          <w:szCs w:val="24"/>
          <w:lang w:val="es-CL"/>
        </w:rPr>
        <w:t>sobre la Eliminación de Todas las Formas de Discriminación contra las Mujeres – CEDAW (1979), firmada en  31 de marzo de</w:t>
      </w:r>
      <w:r w:rsidR="004D419F">
        <w:rPr>
          <w:rFonts w:asciiTheme="majorHAnsi" w:hAnsiTheme="majorHAnsi"/>
          <w:sz w:val="24"/>
          <w:szCs w:val="24"/>
          <w:lang w:val="es-CL"/>
        </w:rPr>
        <w:t>l</w:t>
      </w:r>
      <w:r w:rsidR="00104A28" w:rsidRPr="00104A28">
        <w:rPr>
          <w:rFonts w:asciiTheme="majorHAnsi" w:hAnsiTheme="majorHAnsi"/>
          <w:sz w:val="24"/>
          <w:szCs w:val="24"/>
          <w:lang w:val="es-CL"/>
        </w:rPr>
        <w:t xml:space="preserve"> 1981 y ratificada en 20 de marzo de</w:t>
      </w:r>
      <w:r w:rsidR="004D419F">
        <w:rPr>
          <w:rFonts w:asciiTheme="majorHAnsi" w:hAnsiTheme="majorHAnsi"/>
          <w:sz w:val="24"/>
          <w:szCs w:val="24"/>
          <w:lang w:val="es-CL"/>
        </w:rPr>
        <w:t>l</w:t>
      </w:r>
      <w:r w:rsidR="00104A28" w:rsidRPr="00104A28">
        <w:rPr>
          <w:rFonts w:asciiTheme="majorHAnsi" w:hAnsiTheme="majorHAnsi"/>
          <w:sz w:val="24"/>
          <w:szCs w:val="24"/>
          <w:lang w:val="es-CL"/>
        </w:rPr>
        <w:t xml:space="preserve"> 1984.</w:t>
      </w:r>
    </w:p>
    <w:p w:rsidR="00104A28" w:rsidRDefault="00104A28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En el 13 de septiembre del 2002, </w:t>
      </w:r>
      <w:r w:rsidR="00D47E1B">
        <w:rPr>
          <w:rFonts w:asciiTheme="majorHAnsi" w:hAnsiTheme="majorHAnsi"/>
          <w:sz w:val="24"/>
          <w:szCs w:val="24"/>
          <w:lang w:val="es-CL"/>
        </w:rPr>
        <w:t>ha retirado todas las reservas a la C</w:t>
      </w:r>
      <w:r w:rsidR="004D419F">
        <w:rPr>
          <w:rFonts w:asciiTheme="majorHAnsi" w:hAnsiTheme="majorHAnsi"/>
          <w:sz w:val="24"/>
          <w:szCs w:val="24"/>
          <w:lang w:val="es-CL"/>
        </w:rPr>
        <w:t>onvención y asumió cumplir</w:t>
      </w:r>
      <w:r w:rsidR="00D47E1B">
        <w:rPr>
          <w:rFonts w:asciiTheme="majorHAnsi" w:hAnsiTheme="majorHAnsi"/>
          <w:sz w:val="24"/>
          <w:szCs w:val="24"/>
          <w:lang w:val="es-CL"/>
        </w:rPr>
        <w:t xml:space="preserve"> con su implementación.</w:t>
      </w:r>
    </w:p>
    <w:p w:rsidR="00651CFB" w:rsidRDefault="00651CFB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Cabe señalar, en este</w:t>
      </w:r>
      <w:r w:rsidR="00D47E1B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7241BE">
        <w:rPr>
          <w:rFonts w:asciiTheme="majorHAnsi" w:hAnsiTheme="majorHAnsi"/>
          <w:sz w:val="24"/>
          <w:szCs w:val="24"/>
          <w:lang w:val="es-CL"/>
        </w:rPr>
        <w:t>contexto, que el Artículo 16-</w:t>
      </w:r>
      <w:r>
        <w:rPr>
          <w:rFonts w:asciiTheme="majorHAnsi" w:hAnsiTheme="majorHAnsi"/>
          <w:sz w:val="24"/>
          <w:szCs w:val="24"/>
          <w:lang w:val="es-CL"/>
        </w:rPr>
        <w:t>1 de la CEDAW establece que:</w:t>
      </w:r>
    </w:p>
    <w:p w:rsidR="00651CFB" w:rsidRDefault="00651CFB" w:rsidP="0048506D">
      <w:pPr>
        <w:jc w:val="both"/>
        <w:rPr>
          <w:rFonts w:asciiTheme="majorHAnsi" w:hAnsiTheme="majorHAnsi"/>
          <w:sz w:val="24"/>
          <w:szCs w:val="24"/>
          <w:lang w:val="es-CL"/>
        </w:rPr>
      </w:pPr>
    </w:p>
    <w:p w:rsidR="00651CFB" w:rsidRPr="00651CFB" w:rsidRDefault="00651CFB" w:rsidP="0048506D">
      <w:pPr>
        <w:ind w:left="993" w:right="1041"/>
        <w:jc w:val="both"/>
        <w:rPr>
          <w:rFonts w:asciiTheme="majorHAnsi" w:hAnsiTheme="majorHAnsi"/>
          <w:i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ab/>
        <w:t>“</w:t>
      </w:r>
      <w:r>
        <w:rPr>
          <w:rFonts w:asciiTheme="majorHAnsi" w:hAnsiTheme="majorHAnsi"/>
          <w:i/>
          <w:sz w:val="24"/>
          <w:szCs w:val="24"/>
          <w:lang w:val="es-CL"/>
        </w:rPr>
        <w:t>Los Estados- partes adoptarán todas las medidas adecuadas para eliminar la discriminación en contra de la mujer en todos los asuntos relativos al matrimonio y a las relaciones fami</w:t>
      </w:r>
      <w:r w:rsidR="004D419F">
        <w:rPr>
          <w:rFonts w:asciiTheme="majorHAnsi" w:hAnsiTheme="majorHAnsi"/>
          <w:i/>
          <w:sz w:val="24"/>
          <w:szCs w:val="24"/>
          <w:lang w:val="es-CL"/>
        </w:rPr>
        <w:t>liares  y, en particular, basándo</w:t>
      </w:r>
      <w:r w:rsidR="00945317">
        <w:rPr>
          <w:rFonts w:asciiTheme="majorHAnsi" w:hAnsiTheme="majorHAnsi"/>
          <w:i/>
          <w:sz w:val="24"/>
          <w:szCs w:val="24"/>
          <w:lang w:val="es-CL"/>
        </w:rPr>
        <w:t xml:space="preserve">se en la igualdad entre hombres y mujeres, garantizarán : a) el mismo derecho de contraer matrimonio; b) el mismo derecho de elegir libremente el cónyuge y de contraer matrimonio solamente bajo libre y pleno consentimiento; c) los </w:t>
      </w:r>
      <w:r w:rsidR="00F70FE5">
        <w:rPr>
          <w:rFonts w:asciiTheme="majorHAnsi" w:hAnsiTheme="majorHAnsi"/>
          <w:i/>
          <w:sz w:val="24"/>
          <w:szCs w:val="24"/>
          <w:lang w:val="es-CL"/>
        </w:rPr>
        <w:t>mismos derechos y responsabilidades durante  y en caso de disolución del matrimonio; d) los mismos derechos y responsabilidades como padres, cualquiera que sea su estado civil, en temas pertinentes a los hijos</w:t>
      </w:r>
      <w:r w:rsidR="00A87DCD">
        <w:rPr>
          <w:rFonts w:asciiTheme="majorHAnsi" w:hAnsiTheme="majorHAnsi"/>
          <w:i/>
          <w:sz w:val="24"/>
          <w:szCs w:val="24"/>
          <w:lang w:val="es-CL"/>
        </w:rPr>
        <w:t xml:space="preserve"> </w:t>
      </w:r>
      <w:r w:rsidR="00F70FE5">
        <w:rPr>
          <w:rFonts w:asciiTheme="majorHAnsi" w:hAnsiTheme="majorHAnsi"/>
          <w:i/>
          <w:sz w:val="24"/>
          <w:szCs w:val="24"/>
          <w:lang w:val="es-CL"/>
        </w:rPr>
        <w:t>.</w:t>
      </w:r>
      <w:r w:rsidR="00A87DCD">
        <w:rPr>
          <w:rFonts w:asciiTheme="majorHAnsi" w:hAnsiTheme="majorHAnsi"/>
          <w:i/>
          <w:sz w:val="24"/>
          <w:szCs w:val="24"/>
          <w:lang w:val="es-CL"/>
        </w:rPr>
        <w:t xml:space="preserve"> En todos los casos, se considerarán </w:t>
      </w:r>
      <w:r w:rsidR="0076097F">
        <w:rPr>
          <w:rFonts w:asciiTheme="majorHAnsi" w:hAnsiTheme="majorHAnsi"/>
          <w:i/>
          <w:sz w:val="24"/>
          <w:szCs w:val="24"/>
          <w:lang w:val="es-CL"/>
        </w:rPr>
        <w:t>primordia</w:t>
      </w:r>
      <w:r w:rsidR="007241BE">
        <w:rPr>
          <w:rFonts w:asciiTheme="majorHAnsi" w:hAnsiTheme="majorHAnsi"/>
          <w:i/>
          <w:sz w:val="24"/>
          <w:szCs w:val="24"/>
          <w:lang w:val="es-CL"/>
        </w:rPr>
        <w:t>les los intereses de los hijos</w:t>
      </w:r>
      <w:r w:rsidR="0076097F">
        <w:rPr>
          <w:rFonts w:asciiTheme="majorHAnsi" w:hAnsiTheme="majorHAnsi"/>
          <w:i/>
          <w:sz w:val="24"/>
          <w:szCs w:val="24"/>
          <w:lang w:val="es-CL"/>
        </w:rPr>
        <w:t>.</w:t>
      </w:r>
      <w:r w:rsidR="004D419F">
        <w:rPr>
          <w:rFonts w:asciiTheme="majorHAnsi" w:hAnsiTheme="majorHAnsi"/>
          <w:i/>
          <w:sz w:val="24"/>
          <w:szCs w:val="24"/>
          <w:lang w:val="es-CL"/>
        </w:rPr>
        <w:t>”</w:t>
      </w:r>
    </w:p>
    <w:p w:rsidR="00B97E5B" w:rsidRPr="00FF5407" w:rsidRDefault="00B97E5B" w:rsidP="0048506D">
      <w:pPr>
        <w:pStyle w:val="PargrafodaLista"/>
        <w:jc w:val="both"/>
        <w:rPr>
          <w:rFonts w:asciiTheme="majorHAnsi" w:hAnsiTheme="majorHAnsi"/>
          <w:sz w:val="24"/>
          <w:szCs w:val="24"/>
          <w:lang w:val="es-CL"/>
        </w:rPr>
      </w:pPr>
    </w:p>
    <w:p w:rsidR="0076097F" w:rsidRPr="0076097F" w:rsidRDefault="0076097F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76097F">
        <w:rPr>
          <w:rFonts w:asciiTheme="majorHAnsi" w:hAnsiTheme="majorHAnsi"/>
          <w:sz w:val="24"/>
          <w:szCs w:val="24"/>
          <w:lang w:val="es-CL"/>
        </w:rPr>
        <w:t>Además, según</w:t>
      </w:r>
      <w:r w:rsidR="00EA7822">
        <w:rPr>
          <w:rFonts w:asciiTheme="majorHAnsi" w:hAnsiTheme="majorHAnsi"/>
          <w:sz w:val="24"/>
          <w:szCs w:val="24"/>
          <w:lang w:val="es-CL"/>
        </w:rPr>
        <w:t xml:space="preserve"> el Artículo 16-2, “</w:t>
      </w:r>
      <w:r w:rsidRPr="0076097F">
        <w:rPr>
          <w:rFonts w:asciiTheme="majorHAnsi" w:hAnsiTheme="majorHAnsi"/>
          <w:sz w:val="24"/>
          <w:szCs w:val="24"/>
          <w:lang w:val="es-CL"/>
        </w:rPr>
        <w:t>Los desposorios</w:t>
      </w:r>
      <w:r>
        <w:rPr>
          <w:rFonts w:asciiTheme="majorHAnsi" w:hAnsiTheme="majorHAnsi"/>
          <w:sz w:val="24"/>
          <w:szCs w:val="24"/>
          <w:lang w:val="es-CL"/>
        </w:rPr>
        <w:t xml:space="preserve"> y el matrimonio de un niño </w:t>
      </w:r>
      <w:r w:rsidR="00EA7822">
        <w:rPr>
          <w:rFonts w:asciiTheme="majorHAnsi" w:hAnsiTheme="majorHAnsi"/>
          <w:sz w:val="24"/>
          <w:szCs w:val="24"/>
          <w:u w:val="single"/>
          <w:lang w:val="es-CL"/>
        </w:rPr>
        <w:t>no tendrán efecto legal</w:t>
      </w:r>
      <w:r>
        <w:rPr>
          <w:rFonts w:asciiTheme="majorHAnsi" w:hAnsiTheme="majorHAnsi"/>
          <w:sz w:val="24"/>
          <w:szCs w:val="24"/>
          <w:lang w:val="es-CL"/>
        </w:rPr>
        <w:t xml:space="preserve"> y todas las medidas necesarias, incluye</w:t>
      </w:r>
      <w:r w:rsidR="00EA7822">
        <w:rPr>
          <w:rFonts w:asciiTheme="majorHAnsi" w:hAnsiTheme="majorHAnsi"/>
          <w:sz w:val="24"/>
          <w:szCs w:val="24"/>
          <w:lang w:val="es-CL"/>
        </w:rPr>
        <w:t>ndo las de carácter legislativo</w:t>
      </w:r>
      <w:r>
        <w:rPr>
          <w:rFonts w:asciiTheme="majorHAnsi" w:hAnsiTheme="majorHAnsi"/>
          <w:sz w:val="24"/>
          <w:szCs w:val="24"/>
          <w:lang w:val="es-CL"/>
        </w:rPr>
        <w:t xml:space="preserve">, serán adoptadas para establecer una </w:t>
      </w:r>
      <w:r>
        <w:rPr>
          <w:rFonts w:asciiTheme="majorHAnsi" w:hAnsiTheme="majorHAnsi"/>
          <w:sz w:val="24"/>
          <w:szCs w:val="24"/>
          <w:u w:val="single"/>
          <w:lang w:val="es-CL"/>
        </w:rPr>
        <w:t xml:space="preserve">edad mínima para el matrimonio </w:t>
      </w:r>
      <w:r>
        <w:rPr>
          <w:rFonts w:asciiTheme="majorHAnsi" w:hAnsiTheme="majorHAnsi"/>
          <w:sz w:val="24"/>
          <w:szCs w:val="24"/>
          <w:lang w:val="es-CL"/>
        </w:rPr>
        <w:t xml:space="preserve"> y para hacer obligatoria la inscripción de m</w:t>
      </w:r>
      <w:r w:rsidR="00EA7822">
        <w:rPr>
          <w:rFonts w:asciiTheme="majorHAnsi" w:hAnsiTheme="majorHAnsi"/>
          <w:sz w:val="24"/>
          <w:szCs w:val="24"/>
          <w:lang w:val="es-CL"/>
        </w:rPr>
        <w:t>atrimonios en registro oficial”</w:t>
      </w:r>
      <w:r>
        <w:rPr>
          <w:rFonts w:asciiTheme="majorHAnsi" w:hAnsiTheme="majorHAnsi"/>
          <w:sz w:val="24"/>
          <w:szCs w:val="24"/>
          <w:lang w:val="es-CL"/>
        </w:rPr>
        <w:t>.</w:t>
      </w:r>
    </w:p>
    <w:p w:rsidR="00B97E5B" w:rsidRPr="00FF5407" w:rsidRDefault="00B97E5B" w:rsidP="0048506D">
      <w:pPr>
        <w:pStyle w:val="PargrafodaLista"/>
        <w:jc w:val="both"/>
        <w:rPr>
          <w:rFonts w:asciiTheme="majorHAnsi" w:hAnsiTheme="majorHAnsi"/>
          <w:sz w:val="24"/>
          <w:szCs w:val="24"/>
          <w:lang w:val="es-CL"/>
        </w:rPr>
      </w:pPr>
    </w:p>
    <w:p w:rsidR="0076097F" w:rsidRDefault="0076097F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76097F">
        <w:rPr>
          <w:rFonts w:asciiTheme="majorHAnsi" w:hAnsiTheme="majorHAnsi"/>
          <w:sz w:val="24"/>
          <w:szCs w:val="24"/>
          <w:lang w:val="es-CL"/>
        </w:rPr>
        <w:lastRenderedPageBreak/>
        <w:t xml:space="preserve">Adicionalmente, la Convención sobre los Derechos Del Niño (1989), firmada </w:t>
      </w:r>
      <w:proofErr w:type="spellStart"/>
      <w:r w:rsidRPr="0076097F">
        <w:rPr>
          <w:rFonts w:asciiTheme="majorHAnsi" w:hAnsiTheme="majorHAnsi"/>
          <w:sz w:val="24"/>
          <w:szCs w:val="24"/>
          <w:lang w:val="es-CL"/>
        </w:rPr>
        <w:t>em</w:t>
      </w:r>
      <w:proofErr w:type="spellEnd"/>
      <w:r w:rsidRPr="0076097F">
        <w:rPr>
          <w:rFonts w:asciiTheme="majorHAnsi" w:hAnsiTheme="majorHAnsi"/>
          <w:sz w:val="24"/>
          <w:szCs w:val="24"/>
          <w:lang w:val="es-CL"/>
        </w:rPr>
        <w:t xml:space="preserve"> 26 </w:t>
      </w:r>
      <w:r w:rsidR="004D419F">
        <w:rPr>
          <w:rFonts w:asciiTheme="majorHAnsi" w:hAnsiTheme="majorHAnsi"/>
          <w:sz w:val="24"/>
          <w:szCs w:val="24"/>
          <w:lang w:val="es-CL"/>
        </w:rPr>
        <w:t>de enero del 1990 y ratificada en</w:t>
      </w:r>
      <w:r w:rsidRPr="0076097F">
        <w:rPr>
          <w:rFonts w:asciiTheme="majorHAnsi" w:hAnsiTheme="majorHAnsi"/>
          <w:sz w:val="24"/>
          <w:szCs w:val="24"/>
          <w:lang w:val="es-CL"/>
        </w:rPr>
        <w:t xml:space="preserve"> 14 de septiembre de</w:t>
      </w:r>
      <w:r w:rsidR="004D419F">
        <w:rPr>
          <w:rFonts w:asciiTheme="majorHAnsi" w:hAnsiTheme="majorHAnsi"/>
          <w:sz w:val="24"/>
          <w:szCs w:val="24"/>
          <w:lang w:val="es-CL"/>
        </w:rPr>
        <w:t>l</w:t>
      </w:r>
      <w:r w:rsidRPr="0076097F">
        <w:rPr>
          <w:rFonts w:asciiTheme="majorHAnsi" w:hAnsiTheme="majorHAnsi"/>
          <w:sz w:val="24"/>
          <w:szCs w:val="24"/>
          <w:lang w:val="es-CL"/>
        </w:rPr>
        <w:t xml:space="preserve"> 1990, </w:t>
      </w:r>
      <w:r w:rsidR="00741ACB">
        <w:rPr>
          <w:rFonts w:asciiTheme="majorHAnsi" w:hAnsiTheme="majorHAnsi"/>
          <w:sz w:val="24"/>
          <w:szCs w:val="24"/>
          <w:lang w:val="es-CL"/>
        </w:rPr>
        <w:t>establece, en sus artículos 19 y 35, medidas de protección a los niños en situaciones de abuso o violencia sexual, prohibiendo el secuestro, la venta y el tráfico de niñas y niños para fines sexuales, conforme lo siguiente:</w:t>
      </w:r>
    </w:p>
    <w:p w:rsidR="00741ACB" w:rsidRPr="00741ACB" w:rsidRDefault="00741ACB" w:rsidP="0048506D">
      <w:pPr>
        <w:pStyle w:val="NormalWeb"/>
        <w:ind w:left="1418" w:right="849"/>
        <w:jc w:val="both"/>
        <w:rPr>
          <w:rFonts w:asciiTheme="majorHAnsi" w:hAnsiTheme="majorHAnsi" w:cs="Arial"/>
          <w:i/>
          <w:color w:val="000000"/>
          <w:lang w:val="es-CL"/>
        </w:rPr>
      </w:pPr>
      <w:r w:rsidRPr="00741ACB">
        <w:rPr>
          <w:rFonts w:asciiTheme="majorHAnsi" w:hAnsiTheme="majorHAnsi" w:cs="Arial"/>
          <w:i/>
          <w:color w:val="000000"/>
          <w:lang w:val="es-CL"/>
        </w:rPr>
        <w:t xml:space="preserve">“Artículo 19 </w:t>
      </w:r>
    </w:p>
    <w:p w:rsidR="00741ACB" w:rsidRPr="00741ACB" w:rsidRDefault="00741ACB" w:rsidP="0048506D">
      <w:pPr>
        <w:pStyle w:val="NormalWeb"/>
        <w:ind w:left="1418" w:right="849" w:firstLine="450"/>
        <w:jc w:val="both"/>
        <w:rPr>
          <w:rFonts w:asciiTheme="majorHAnsi" w:hAnsiTheme="majorHAnsi" w:cs="Arial"/>
          <w:i/>
          <w:color w:val="000000"/>
          <w:lang w:val="es-CL"/>
        </w:rPr>
      </w:pPr>
      <w:r w:rsidRPr="00741ACB">
        <w:rPr>
          <w:rFonts w:asciiTheme="majorHAnsi" w:hAnsiTheme="majorHAnsi" w:cs="Arial"/>
          <w:i/>
          <w:color w:val="000000"/>
          <w:lang w:val="es-CL"/>
        </w:rPr>
        <w:t>Los Estados Partes adoptarán todas las medidas legislativas, administrativas</w:t>
      </w:r>
      <w:r>
        <w:rPr>
          <w:rFonts w:asciiTheme="majorHAnsi" w:hAnsiTheme="majorHAnsi" w:cs="Arial"/>
          <w:i/>
          <w:color w:val="000000"/>
          <w:lang w:val="es-CL"/>
        </w:rPr>
        <w:t xml:space="preserve">, sociales y educacionales apropiadas para proteger los niños contra todas las formas de violencia física o mental, abuso o </w:t>
      </w:r>
      <w:r w:rsidR="00547657">
        <w:rPr>
          <w:rFonts w:asciiTheme="majorHAnsi" w:hAnsiTheme="majorHAnsi" w:cs="Arial"/>
          <w:i/>
          <w:color w:val="000000"/>
          <w:lang w:val="es-CL"/>
        </w:rPr>
        <w:t>trato negligente, malos tratos o explotación, incluyendo abuso sexual, mientras el niño esté bajo la custodia de los padres, del representante legal o de cualquiera otra persona que sea responsable del niño.</w:t>
      </w:r>
    </w:p>
    <w:p w:rsidR="00B97E5B" w:rsidRPr="004D419F" w:rsidRDefault="00547657" w:rsidP="0048506D">
      <w:pPr>
        <w:pStyle w:val="NormalWeb"/>
        <w:ind w:left="1418" w:right="849"/>
        <w:jc w:val="both"/>
        <w:rPr>
          <w:rFonts w:asciiTheme="majorHAnsi" w:hAnsiTheme="majorHAnsi" w:cs="Arial"/>
          <w:i/>
          <w:color w:val="000000"/>
          <w:lang w:val="es-CL"/>
        </w:rPr>
      </w:pPr>
      <w:r w:rsidRPr="004D419F">
        <w:rPr>
          <w:rFonts w:asciiTheme="majorHAnsi" w:hAnsiTheme="majorHAnsi" w:cs="Arial"/>
          <w:i/>
          <w:color w:val="000000"/>
          <w:lang w:val="es-CL"/>
        </w:rPr>
        <w:t>Artículo 35</w:t>
      </w:r>
    </w:p>
    <w:p w:rsidR="00547657" w:rsidRPr="00611E87" w:rsidRDefault="00547657" w:rsidP="0048506D">
      <w:pPr>
        <w:pStyle w:val="NormalWeb"/>
        <w:ind w:left="1418" w:right="849" w:firstLine="450"/>
        <w:jc w:val="both"/>
        <w:rPr>
          <w:rFonts w:asciiTheme="majorHAnsi" w:hAnsiTheme="majorHAnsi" w:cs="Arial"/>
          <w:i/>
          <w:color w:val="000000"/>
          <w:lang w:val="es-CL"/>
        </w:rPr>
      </w:pPr>
      <w:r w:rsidRPr="00611E87">
        <w:rPr>
          <w:rFonts w:asciiTheme="majorHAnsi" w:hAnsiTheme="majorHAnsi" w:cs="Arial"/>
          <w:i/>
          <w:color w:val="000000"/>
          <w:lang w:val="es-CL"/>
        </w:rPr>
        <w:t>Los</w:t>
      </w:r>
      <w:r w:rsidR="00611E87" w:rsidRPr="00611E87">
        <w:rPr>
          <w:rFonts w:asciiTheme="majorHAnsi" w:hAnsiTheme="majorHAnsi" w:cs="Arial"/>
          <w:i/>
          <w:color w:val="000000"/>
          <w:lang w:val="es-CL"/>
        </w:rPr>
        <w:t xml:space="preserve"> Estados Partes emprenderán </w:t>
      </w:r>
      <w:r w:rsidR="00611E87">
        <w:rPr>
          <w:rFonts w:asciiTheme="majorHAnsi" w:hAnsiTheme="majorHAnsi" w:cs="Arial"/>
          <w:i/>
          <w:color w:val="000000"/>
          <w:lang w:val="es-CL"/>
        </w:rPr>
        <w:t xml:space="preserve">todas las acciones </w:t>
      </w:r>
      <w:r w:rsidR="00611E87" w:rsidRPr="00611E87">
        <w:rPr>
          <w:rFonts w:asciiTheme="majorHAnsi" w:hAnsiTheme="majorHAnsi" w:cs="Arial"/>
          <w:i/>
          <w:color w:val="000000"/>
          <w:lang w:val="es-CL"/>
        </w:rPr>
        <w:t xml:space="preserve"> de car</w:t>
      </w:r>
      <w:r w:rsidR="00611E87">
        <w:rPr>
          <w:rFonts w:asciiTheme="majorHAnsi" w:hAnsiTheme="majorHAnsi" w:cs="Arial"/>
          <w:i/>
          <w:color w:val="000000"/>
          <w:lang w:val="es-CL"/>
        </w:rPr>
        <w:t>ácter nacional, bilateral y multilateral que sean necesarias para impedir el secuestro, la venta o el tráfico de niños para cualquier fin o bajo cualquier forma”.</w:t>
      </w:r>
    </w:p>
    <w:p w:rsidR="00B97E5B" w:rsidRPr="00611E87" w:rsidRDefault="00611E87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611E87">
        <w:rPr>
          <w:rFonts w:asciiTheme="majorHAnsi" w:hAnsiTheme="majorHAnsi"/>
          <w:sz w:val="24"/>
          <w:szCs w:val="24"/>
          <w:lang w:val="es-CL"/>
        </w:rPr>
        <w:t>E</w:t>
      </w:r>
      <w:r>
        <w:rPr>
          <w:rFonts w:asciiTheme="majorHAnsi" w:hAnsiTheme="majorHAnsi"/>
          <w:sz w:val="24"/>
          <w:szCs w:val="24"/>
          <w:lang w:val="es-CL"/>
        </w:rPr>
        <w:t>n</w:t>
      </w:r>
      <w:r w:rsidRPr="00611E87">
        <w:rPr>
          <w:rFonts w:asciiTheme="majorHAnsi" w:hAnsiTheme="majorHAnsi"/>
          <w:sz w:val="24"/>
          <w:szCs w:val="24"/>
          <w:lang w:val="es-CL"/>
        </w:rPr>
        <w:t xml:space="preserve"> consonancia con los compromisos internacionales asumidos, el C</w:t>
      </w:r>
      <w:r>
        <w:rPr>
          <w:rFonts w:asciiTheme="majorHAnsi" w:hAnsiTheme="majorHAnsi"/>
          <w:sz w:val="24"/>
          <w:szCs w:val="24"/>
          <w:lang w:val="es-CL"/>
        </w:rPr>
        <w:t xml:space="preserve">ódigo Civil Brasileño, Ley </w:t>
      </w:r>
      <w:r w:rsidRPr="00611E87">
        <w:rPr>
          <w:rFonts w:asciiTheme="majorHAnsi" w:hAnsiTheme="majorHAnsi"/>
          <w:sz w:val="24"/>
          <w:szCs w:val="24"/>
          <w:lang w:val="es-CL"/>
        </w:rPr>
        <w:t>nº 10.406, de</w:t>
      </w:r>
      <w:r>
        <w:rPr>
          <w:rFonts w:asciiTheme="majorHAnsi" w:hAnsiTheme="majorHAnsi"/>
          <w:sz w:val="24"/>
          <w:szCs w:val="24"/>
          <w:lang w:val="es-CL"/>
        </w:rPr>
        <w:t>l 10 de enero del 2002, considera nulo el matrimonio forzado y prohíbe, terminantemente, el matrimonio precoz de niños</w:t>
      </w:r>
      <w:r w:rsidR="00BB1477">
        <w:rPr>
          <w:rFonts w:asciiTheme="majorHAnsi" w:hAnsiTheme="majorHAnsi"/>
          <w:sz w:val="24"/>
          <w:szCs w:val="24"/>
          <w:lang w:val="es-CL"/>
        </w:rPr>
        <w:t xml:space="preserve"> y niñas</w:t>
      </w:r>
      <w:r w:rsidRPr="00FF0416">
        <w:rPr>
          <w:rStyle w:val="Refdenotaderodap"/>
          <w:rFonts w:asciiTheme="majorHAnsi" w:hAnsiTheme="majorHAnsi"/>
          <w:sz w:val="24"/>
          <w:szCs w:val="24"/>
        </w:rPr>
        <w:footnoteReference w:id="1"/>
      </w:r>
      <w:r w:rsidRPr="00611E87">
        <w:rPr>
          <w:rFonts w:asciiTheme="majorHAnsi" w:hAnsiTheme="majorHAnsi"/>
          <w:sz w:val="24"/>
          <w:szCs w:val="24"/>
          <w:lang w:val="es-CL"/>
        </w:rPr>
        <w:t>.</w:t>
      </w:r>
    </w:p>
    <w:p w:rsidR="00611E87" w:rsidRPr="00611E87" w:rsidRDefault="00611E87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611E87">
        <w:rPr>
          <w:rFonts w:asciiTheme="majorHAnsi" w:hAnsiTheme="majorHAnsi"/>
          <w:sz w:val="24"/>
          <w:szCs w:val="24"/>
          <w:lang w:val="es-CL"/>
        </w:rPr>
        <w:t xml:space="preserve">La edad núbil establecida por el referido instrumento legal es la de 16 años. </w:t>
      </w:r>
      <w:r>
        <w:rPr>
          <w:rFonts w:asciiTheme="majorHAnsi" w:hAnsiTheme="majorHAnsi"/>
          <w:sz w:val="24"/>
          <w:szCs w:val="24"/>
          <w:lang w:val="es-CL"/>
        </w:rPr>
        <w:t xml:space="preserve">De acuerdo con el Capítulo II </w:t>
      </w:r>
      <w:r w:rsidRPr="00611E87">
        <w:rPr>
          <w:rFonts w:asciiTheme="majorHAnsi" w:hAnsiTheme="majorHAnsi"/>
          <w:sz w:val="24"/>
          <w:szCs w:val="24"/>
          <w:lang w:val="es-CL"/>
        </w:rPr>
        <w:t xml:space="preserve">(art. 1517) del Código Civil Brasileño, que </w:t>
      </w:r>
      <w:r w:rsidR="0079450D">
        <w:rPr>
          <w:rFonts w:asciiTheme="majorHAnsi" w:hAnsiTheme="majorHAnsi"/>
          <w:sz w:val="24"/>
          <w:szCs w:val="24"/>
          <w:lang w:val="es-CL"/>
        </w:rPr>
        <w:t>se refiere a la capacidad para el matrimonio, “El hombre y la mujer con dieciséis años pueden casar, sin embargo los padres o representantes legales deben autorizar el matrimonio, mie</w:t>
      </w:r>
      <w:r w:rsidR="00BB1477">
        <w:rPr>
          <w:rFonts w:asciiTheme="majorHAnsi" w:hAnsiTheme="majorHAnsi"/>
          <w:sz w:val="24"/>
          <w:szCs w:val="24"/>
          <w:lang w:val="es-CL"/>
        </w:rPr>
        <w:t>ntras no sea atingida la mayoridad</w:t>
      </w:r>
      <w:r w:rsidR="0079450D">
        <w:rPr>
          <w:rFonts w:asciiTheme="majorHAnsi" w:hAnsiTheme="majorHAnsi"/>
          <w:sz w:val="24"/>
          <w:szCs w:val="24"/>
          <w:lang w:val="es-CL"/>
        </w:rPr>
        <w:t xml:space="preserve"> legal</w:t>
      </w:r>
      <w:r w:rsidR="00BB1477">
        <w:rPr>
          <w:rFonts w:asciiTheme="majorHAnsi" w:hAnsiTheme="majorHAnsi"/>
          <w:sz w:val="24"/>
          <w:szCs w:val="24"/>
          <w:lang w:val="es-CL"/>
        </w:rPr>
        <w:t>"</w:t>
      </w:r>
      <w:r w:rsidR="0079450D">
        <w:rPr>
          <w:rFonts w:asciiTheme="majorHAnsi" w:hAnsiTheme="majorHAnsi"/>
          <w:sz w:val="24"/>
          <w:szCs w:val="24"/>
          <w:lang w:val="es-CL"/>
        </w:rPr>
        <w:t xml:space="preserve">. De acuerdo con el artículo 1520 del referido Código solamente “excepcionalmente, será permitido el </w:t>
      </w:r>
      <w:r w:rsidR="00FD64DF">
        <w:rPr>
          <w:rFonts w:asciiTheme="majorHAnsi" w:hAnsiTheme="majorHAnsi"/>
          <w:sz w:val="24"/>
          <w:szCs w:val="24"/>
          <w:lang w:val="es-CL"/>
        </w:rPr>
        <w:t>matrimonio de quienes aún no hayan</w:t>
      </w:r>
      <w:r w:rsidR="0079450D">
        <w:rPr>
          <w:rFonts w:asciiTheme="majorHAnsi" w:hAnsiTheme="majorHAnsi"/>
          <w:sz w:val="24"/>
          <w:szCs w:val="24"/>
          <w:lang w:val="es-CL"/>
        </w:rPr>
        <w:t xml:space="preserve"> alcanzado la edad núb</w:t>
      </w:r>
      <w:r w:rsidR="00C57490">
        <w:rPr>
          <w:rFonts w:asciiTheme="majorHAnsi" w:hAnsiTheme="majorHAnsi"/>
          <w:sz w:val="24"/>
          <w:szCs w:val="24"/>
          <w:lang w:val="es-CL"/>
        </w:rPr>
        <w:t>il (artículo 1517), para evitar</w:t>
      </w:r>
      <w:r w:rsidR="0079450D">
        <w:rPr>
          <w:rFonts w:asciiTheme="majorHAnsi" w:hAnsiTheme="majorHAnsi"/>
          <w:sz w:val="24"/>
          <w:szCs w:val="24"/>
          <w:lang w:val="es-CL"/>
        </w:rPr>
        <w:t xml:space="preserve"> imposición o </w:t>
      </w:r>
      <w:r w:rsidR="00C57490">
        <w:rPr>
          <w:rFonts w:asciiTheme="majorHAnsi" w:hAnsiTheme="majorHAnsi"/>
          <w:sz w:val="24"/>
          <w:szCs w:val="24"/>
          <w:lang w:val="es-CL"/>
        </w:rPr>
        <w:t>cumplimiento de pena criminal o en caso de embarazo”.</w:t>
      </w:r>
    </w:p>
    <w:p w:rsidR="00AE57B1" w:rsidRPr="00AE57B1" w:rsidRDefault="00AE57B1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AE57B1">
        <w:rPr>
          <w:rFonts w:asciiTheme="majorHAnsi" w:hAnsiTheme="majorHAnsi"/>
          <w:sz w:val="24"/>
          <w:szCs w:val="24"/>
          <w:lang w:val="es-CL"/>
        </w:rPr>
        <w:t xml:space="preserve">Según el artículo 1.548 del Código Civil Brasileño, </w:t>
      </w:r>
      <w:r>
        <w:rPr>
          <w:rFonts w:asciiTheme="majorHAnsi" w:hAnsiTheme="majorHAnsi"/>
          <w:sz w:val="24"/>
          <w:szCs w:val="24"/>
          <w:lang w:val="es-CL"/>
        </w:rPr>
        <w:t xml:space="preserve">“es anulable el matrimonio “I- de quién no haya completado la edad mínima para casarse; II- del menor en edad núbil, desde que no sea autorizado por su representante legal”. Sin embargo, según el </w:t>
      </w:r>
      <w:r>
        <w:rPr>
          <w:rFonts w:asciiTheme="majorHAnsi" w:hAnsiTheme="majorHAnsi"/>
          <w:sz w:val="24"/>
          <w:szCs w:val="24"/>
          <w:lang w:val="es-CL"/>
        </w:rPr>
        <w:lastRenderedPageBreak/>
        <w:t xml:space="preserve">mismo Código Jurídico, en su artículo 1.551, “No será considerado nulo, en razón de la edad, el matrimonio </w:t>
      </w:r>
      <w:r w:rsidR="002B51DE">
        <w:rPr>
          <w:rFonts w:asciiTheme="majorHAnsi" w:hAnsiTheme="majorHAnsi"/>
          <w:sz w:val="24"/>
          <w:szCs w:val="24"/>
          <w:lang w:val="es-CL"/>
        </w:rPr>
        <w:t>de lo cual haya resultado embarazo”.</w:t>
      </w:r>
    </w:p>
    <w:p w:rsidR="002B51DE" w:rsidRPr="002B51DE" w:rsidRDefault="002B51DE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2B51DE">
        <w:rPr>
          <w:rFonts w:asciiTheme="majorHAnsi" w:hAnsiTheme="majorHAnsi"/>
          <w:sz w:val="24"/>
          <w:szCs w:val="24"/>
          <w:lang w:val="es-CL"/>
        </w:rPr>
        <w:t>Aún, de acuerdo con el art</w:t>
      </w:r>
      <w:r>
        <w:rPr>
          <w:rFonts w:asciiTheme="majorHAnsi" w:hAnsiTheme="majorHAnsi"/>
          <w:sz w:val="24"/>
          <w:szCs w:val="24"/>
          <w:lang w:val="es-CL"/>
        </w:rPr>
        <w:t>ículo 1.552, “la anulación del matrimonio de los menores de dieciséis años será requerida: I por el propio cónyuge menor; II- por sus representantes legales; III- por sus ascendientes”.</w:t>
      </w:r>
    </w:p>
    <w:p w:rsidR="002B51DE" w:rsidRPr="002B51DE" w:rsidRDefault="002B51DE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2B51DE">
        <w:rPr>
          <w:rFonts w:asciiTheme="majorHAnsi" w:hAnsiTheme="majorHAnsi"/>
          <w:sz w:val="24"/>
          <w:szCs w:val="24"/>
          <w:lang w:val="es-CL"/>
        </w:rPr>
        <w:t>Además, el Código Penal, en su art</w:t>
      </w:r>
      <w:r>
        <w:rPr>
          <w:rFonts w:asciiTheme="majorHAnsi" w:hAnsiTheme="majorHAnsi"/>
          <w:sz w:val="24"/>
          <w:szCs w:val="24"/>
          <w:lang w:val="es-CL"/>
        </w:rPr>
        <w:t xml:space="preserve">ículo 217-A, incluyendo la Ley </w:t>
      </w:r>
      <w:r w:rsidRPr="002B51DE">
        <w:rPr>
          <w:rFonts w:asciiTheme="majorHAnsi" w:hAnsiTheme="majorHAnsi"/>
          <w:sz w:val="24"/>
          <w:szCs w:val="24"/>
          <w:lang w:val="es-CL"/>
        </w:rPr>
        <w:t>nº 12.015,</w:t>
      </w:r>
      <w:r>
        <w:rPr>
          <w:rFonts w:asciiTheme="majorHAnsi" w:hAnsiTheme="majorHAnsi"/>
          <w:sz w:val="24"/>
          <w:szCs w:val="24"/>
          <w:lang w:val="es-CL"/>
        </w:rPr>
        <w:t xml:space="preserve"> del 2009</w:t>
      </w:r>
      <w:r w:rsidR="001912DB">
        <w:rPr>
          <w:rFonts w:asciiTheme="majorHAnsi" w:hAnsiTheme="majorHAnsi"/>
          <w:sz w:val="24"/>
          <w:szCs w:val="24"/>
          <w:lang w:val="es-CL"/>
        </w:rPr>
        <w:t>, criminaliza cualquier práctica sexual con niños</w:t>
      </w:r>
      <w:r w:rsidR="004D4CCA">
        <w:rPr>
          <w:rFonts w:asciiTheme="majorHAnsi" w:hAnsiTheme="majorHAnsi"/>
          <w:sz w:val="24"/>
          <w:szCs w:val="24"/>
          <w:lang w:val="es-CL"/>
        </w:rPr>
        <w:t xml:space="preserve"> y niñas</w:t>
      </w:r>
      <w:r w:rsidR="001912DB">
        <w:rPr>
          <w:rFonts w:asciiTheme="majorHAnsi" w:hAnsiTheme="majorHAnsi"/>
          <w:sz w:val="24"/>
          <w:szCs w:val="24"/>
          <w:lang w:val="es-CL"/>
        </w:rPr>
        <w:t xml:space="preserve">, las cuales podrán ser objeto de encuadre como Violación de Vulnerable, en los siguientes términos: “tener conjunción carnal o </w:t>
      </w:r>
      <w:r w:rsidR="003A7AE1">
        <w:rPr>
          <w:rFonts w:asciiTheme="majorHAnsi" w:hAnsiTheme="majorHAnsi"/>
          <w:sz w:val="24"/>
          <w:szCs w:val="24"/>
          <w:lang w:val="es-CL"/>
        </w:rPr>
        <w:t xml:space="preserve">actos libidinosos con menor de 14 (catorce años), </w:t>
      </w:r>
      <w:r w:rsidR="001D48EB">
        <w:rPr>
          <w:rFonts w:asciiTheme="majorHAnsi" w:hAnsiTheme="majorHAnsi"/>
          <w:sz w:val="24"/>
          <w:szCs w:val="24"/>
          <w:lang w:val="es-CL"/>
        </w:rPr>
        <w:t>acarrearía en pena de reclusión de 8 (ocho) a 15 (quince) años”.</w:t>
      </w:r>
    </w:p>
    <w:p w:rsidR="001D48EB" w:rsidRPr="001D48EB" w:rsidRDefault="001D48EB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1D48EB">
        <w:rPr>
          <w:rFonts w:asciiTheme="majorHAnsi" w:hAnsiTheme="majorHAnsi"/>
          <w:sz w:val="24"/>
          <w:szCs w:val="24"/>
          <w:lang w:val="es-CL"/>
        </w:rPr>
        <w:t>De la misma forma, el Art</w:t>
      </w:r>
      <w:r>
        <w:rPr>
          <w:rFonts w:asciiTheme="majorHAnsi" w:hAnsiTheme="majorHAnsi"/>
          <w:sz w:val="24"/>
          <w:szCs w:val="24"/>
          <w:lang w:val="es-CL"/>
        </w:rPr>
        <w:t xml:space="preserve">ículo 218 del Código Penal </w:t>
      </w:r>
      <w:r w:rsidR="002211B3">
        <w:rPr>
          <w:rFonts w:asciiTheme="majorHAnsi" w:hAnsiTheme="majorHAnsi"/>
          <w:sz w:val="24"/>
          <w:szCs w:val="24"/>
          <w:lang w:val="es-CL"/>
        </w:rPr>
        <w:t>tipifica el crimen de corrupción de menores, cual sea, “inducir a alguien menor de 14 años a satisfacer la lascivia de alguien” y crimen de satisfacción de lascivia mediante la presencia de niño o adolescente, tipificado por el artículo 218-A según lo cual es crimen “practicar en la presencia de alguien menor de 14 años, o inducirle a presenciar, conjunción carnal u otro acto libidinoso, con el objetivo de satisfacer la lascivia propia o de tercero</w:t>
      </w:r>
      <w:r w:rsidR="00C938C0">
        <w:rPr>
          <w:rFonts w:asciiTheme="majorHAnsi" w:hAnsiTheme="majorHAnsi"/>
          <w:sz w:val="24"/>
          <w:szCs w:val="24"/>
          <w:lang w:val="es-CL"/>
        </w:rPr>
        <w:t>, sujetos a pena de 2 (dos) a 4 (cuatro) años.</w:t>
      </w:r>
    </w:p>
    <w:p w:rsidR="00C938C0" w:rsidRPr="00C938C0" w:rsidRDefault="00C938C0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C938C0">
        <w:rPr>
          <w:rFonts w:asciiTheme="majorHAnsi" w:hAnsiTheme="majorHAnsi"/>
          <w:sz w:val="24"/>
          <w:szCs w:val="24"/>
          <w:lang w:val="es-CL"/>
        </w:rPr>
        <w:t xml:space="preserve">De acuerdo con el Artículo 218-B </w:t>
      </w:r>
      <w:r w:rsidR="00510F83">
        <w:rPr>
          <w:rFonts w:asciiTheme="majorHAnsi" w:hAnsiTheme="majorHAnsi"/>
          <w:sz w:val="24"/>
          <w:szCs w:val="24"/>
          <w:lang w:val="es-CL"/>
        </w:rPr>
        <w:t>d</w:t>
      </w:r>
      <w:r w:rsidRPr="00C938C0">
        <w:rPr>
          <w:rFonts w:asciiTheme="majorHAnsi" w:hAnsiTheme="majorHAnsi"/>
          <w:sz w:val="24"/>
          <w:szCs w:val="24"/>
          <w:lang w:val="es-CL"/>
        </w:rPr>
        <w:t>el C</w:t>
      </w:r>
      <w:r>
        <w:rPr>
          <w:rFonts w:asciiTheme="majorHAnsi" w:hAnsiTheme="majorHAnsi"/>
          <w:sz w:val="24"/>
          <w:szCs w:val="24"/>
          <w:lang w:val="es-CL"/>
        </w:rPr>
        <w:t xml:space="preserve">ódigo Penal Brasileño, es crimen de favorecimiento de la prostitución </w:t>
      </w:r>
      <w:r w:rsidR="0002569B">
        <w:rPr>
          <w:rFonts w:asciiTheme="majorHAnsi" w:hAnsiTheme="majorHAnsi"/>
          <w:sz w:val="24"/>
          <w:szCs w:val="24"/>
          <w:lang w:val="es-CL"/>
        </w:rPr>
        <w:t>u</w:t>
      </w:r>
      <w:r>
        <w:rPr>
          <w:rFonts w:asciiTheme="majorHAnsi" w:hAnsiTheme="majorHAnsi"/>
          <w:sz w:val="24"/>
          <w:szCs w:val="24"/>
          <w:lang w:val="es-CL"/>
        </w:rPr>
        <w:t xml:space="preserve"> otra forma de explotación sexual de vulnerable, sujeto a pena de reclusión de 4 (cuatro) a 10 (diez) años, “someter, inducir o atraer a la prostitución </w:t>
      </w:r>
      <w:r w:rsidR="0002569B">
        <w:rPr>
          <w:rFonts w:asciiTheme="majorHAnsi" w:hAnsiTheme="majorHAnsi"/>
          <w:sz w:val="24"/>
          <w:szCs w:val="24"/>
          <w:lang w:val="es-CL"/>
        </w:rPr>
        <w:t>u</w:t>
      </w:r>
      <w:r>
        <w:rPr>
          <w:rFonts w:asciiTheme="majorHAnsi" w:hAnsiTheme="majorHAnsi"/>
          <w:sz w:val="24"/>
          <w:szCs w:val="24"/>
          <w:lang w:val="es-CL"/>
        </w:rPr>
        <w:t xml:space="preserve"> otra forma de explotación sexual alguien menor de 18 (dieciocho) años o que, por enfermedad o discapacidad mental, no tenga el necesario </w:t>
      </w:r>
      <w:r w:rsidR="002F3057">
        <w:rPr>
          <w:rFonts w:asciiTheme="majorHAnsi" w:hAnsiTheme="majorHAnsi"/>
          <w:sz w:val="24"/>
          <w:szCs w:val="24"/>
          <w:lang w:val="es-CL"/>
        </w:rPr>
        <w:t>discernimiento para la práctica del acto, facilitar la práctica, impedir o dificultar que la abandone”.</w:t>
      </w:r>
      <w:r w:rsidR="00F75C22">
        <w:rPr>
          <w:rFonts w:asciiTheme="majorHAnsi" w:hAnsiTheme="majorHAnsi"/>
          <w:sz w:val="24"/>
          <w:szCs w:val="24"/>
          <w:lang w:val="es-CL"/>
        </w:rPr>
        <w:t xml:space="preserve"> Según lo </w:t>
      </w:r>
      <w:r w:rsidR="009221C2">
        <w:rPr>
          <w:rFonts w:asciiTheme="majorHAnsi" w:hAnsiTheme="majorHAnsi"/>
          <w:sz w:val="24"/>
          <w:szCs w:val="24"/>
          <w:lang w:val="es-CL"/>
        </w:rPr>
        <w:t>párra</w:t>
      </w:r>
      <w:r w:rsidR="00C6198D" w:rsidRPr="00C6198D">
        <w:rPr>
          <w:rFonts w:asciiTheme="majorHAnsi" w:hAnsiTheme="majorHAnsi"/>
          <w:sz w:val="24"/>
          <w:szCs w:val="24"/>
          <w:lang w:val="es-CL"/>
        </w:rPr>
        <w:t>fo</w:t>
      </w:r>
      <w:r w:rsidR="00F75C22" w:rsidRPr="00C6198D">
        <w:rPr>
          <w:rFonts w:asciiTheme="majorHAnsi" w:hAnsiTheme="majorHAnsi"/>
          <w:sz w:val="24"/>
          <w:szCs w:val="24"/>
          <w:lang w:val="es-CL"/>
        </w:rPr>
        <w:t xml:space="preserve"> 2</w:t>
      </w:r>
      <w:r w:rsidR="0002569B">
        <w:rPr>
          <w:rFonts w:asciiTheme="majorHAnsi" w:hAnsiTheme="majorHAnsi"/>
          <w:sz w:val="24"/>
          <w:szCs w:val="24"/>
          <w:lang w:val="es-CL"/>
        </w:rPr>
        <w:t>º</w:t>
      </w:r>
      <w:r w:rsidR="00F75C22" w:rsidRPr="00C6198D">
        <w:rPr>
          <w:rFonts w:asciiTheme="majorHAnsi" w:hAnsiTheme="majorHAnsi"/>
          <w:sz w:val="24"/>
          <w:szCs w:val="24"/>
          <w:lang w:val="es-CL"/>
        </w:rPr>
        <w:t xml:space="preserve"> del mismo artículo, </w:t>
      </w:r>
      <w:r w:rsidR="00C6198D" w:rsidRPr="00C6198D">
        <w:rPr>
          <w:rFonts w:asciiTheme="majorHAnsi" w:hAnsiTheme="majorHAnsi"/>
          <w:sz w:val="24"/>
          <w:szCs w:val="24"/>
          <w:lang w:val="es-CL"/>
        </w:rPr>
        <w:t xml:space="preserve">incurre en las mismas penas: </w:t>
      </w:r>
      <w:r w:rsidR="00C6198D">
        <w:rPr>
          <w:rFonts w:asciiTheme="majorHAnsi" w:hAnsiTheme="majorHAnsi"/>
          <w:sz w:val="24"/>
          <w:szCs w:val="24"/>
          <w:lang w:val="es-CL"/>
        </w:rPr>
        <w:t>“</w:t>
      </w:r>
      <w:r w:rsidR="00C6198D" w:rsidRPr="00C6198D">
        <w:rPr>
          <w:rFonts w:asciiTheme="majorHAnsi" w:hAnsiTheme="majorHAnsi"/>
          <w:sz w:val="24"/>
          <w:szCs w:val="24"/>
          <w:lang w:val="es-CL"/>
        </w:rPr>
        <w:t xml:space="preserve">I </w:t>
      </w:r>
      <w:r w:rsidR="00C6198D">
        <w:rPr>
          <w:rFonts w:asciiTheme="majorHAnsi" w:hAnsiTheme="majorHAnsi"/>
          <w:sz w:val="24"/>
          <w:szCs w:val="24"/>
          <w:lang w:val="es-CL"/>
        </w:rPr>
        <w:t>–</w:t>
      </w:r>
      <w:r w:rsidR="00C6198D" w:rsidRPr="00C6198D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C6198D">
        <w:rPr>
          <w:rFonts w:asciiTheme="majorHAnsi" w:hAnsiTheme="majorHAnsi"/>
          <w:sz w:val="24"/>
          <w:szCs w:val="24"/>
          <w:lang w:val="es-CL"/>
        </w:rPr>
        <w:t>quien practica conjunción carnal u otro acto libidinoso con alguien menor de 18 (dieciocho) y mayor de 14 (catorce) años en la situación descrita en el título de esto artículo”.</w:t>
      </w:r>
    </w:p>
    <w:p w:rsidR="00B97E5B" w:rsidRPr="009221C2" w:rsidRDefault="00B97E5B" w:rsidP="0048506D">
      <w:pPr>
        <w:pStyle w:val="PargrafodaLista"/>
        <w:jc w:val="both"/>
        <w:rPr>
          <w:rFonts w:asciiTheme="majorHAnsi" w:hAnsiTheme="majorHAnsi"/>
          <w:sz w:val="24"/>
          <w:szCs w:val="24"/>
          <w:lang w:val="es-CL"/>
        </w:rPr>
      </w:pPr>
    </w:p>
    <w:p w:rsidR="00B97E5B" w:rsidRPr="0085466A" w:rsidRDefault="00C6198D" w:rsidP="0048506D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4"/>
          <w:szCs w:val="24"/>
          <w:lang w:val="es-CL"/>
        </w:rPr>
      </w:pPr>
      <w:r w:rsidRPr="0085466A">
        <w:rPr>
          <w:rFonts w:asciiTheme="majorHAnsi" w:hAnsiTheme="majorHAnsi"/>
          <w:b/>
          <w:sz w:val="24"/>
          <w:szCs w:val="24"/>
          <w:lang w:val="es-CL"/>
        </w:rPr>
        <w:t>Investigaciones, evaluaciones y estudios realiz</w:t>
      </w:r>
      <w:r w:rsidR="004D419F">
        <w:rPr>
          <w:rFonts w:asciiTheme="majorHAnsi" w:hAnsiTheme="majorHAnsi"/>
          <w:b/>
          <w:sz w:val="24"/>
          <w:szCs w:val="24"/>
          <w:lang w:val="es-CL"/>
        </w:rPr>
        <w:t xml:space="preserve">ados en el ámbito nacional y </w:t>
      </w:r>
      <w:proofErr w:type="spellStart"/>
      <w:r w:rsidR="004D419F">
        <w:rPr>
          <w:rFonts w:asciiTheme="majorHAnsi" w:hAnsiTheme="majorHAnsi"/>
          <w:b/>
          <w:sz w:val="24"/>
          <w:szCs w:val="24"/>
          <w:lang w:val="es-CL"/>
        </w:rPr>
        <w:t>sub</w:t>
      </w:r>
      <w:r w:rsidRPr="0085466A">
        <w:rPr>
          <w:rFonts w:asciiTheme="majorHAnsi" w:hAnsiTheme="majorHAnsi"/>
          <w:b/>
          <w:sz w:val="24"/>
          <w:szCs w:val="24"/>
          <w:lang w:val="es-CL"/>
        </w:rPr>
        <w:t>nacional</w:t>
      </w:r>
      <w:proofErr w:type="spellEnd"/>
      <w:r w:rsidRPr="0085466A">
        <w:rPr>
          <w:rFonts w:asciiTheme="majorHAnsi" w:hAnsiTheme="majorHAnsi"/>
          <w:b/>
          <w:sz w:val="24"/>
          <w:szCs w:val="24"/>
          <w:lang w:val="es-CL"/>
        </w:rPr>
        <w:t xml:space="preserve"> con respecto a </w:t>
      </w:r>
      <w:r w:rsidR="0085466A" w:rsidRPr="0085466A">
        <w:rPr>
          <w:rFonts w:asciiTheme="majorHAnsi" w:hAnsiTheme="majorHAnsi"/>
          <w:b/>
          <w:sz w:val="24"/>
          <w:szCs w:val="24"/>
          <w:lang w:val="es-CL"/>
        </w:rPr>
        <w:t>prevalencia del matrimonio precoz y forzado de niños y/o sus impactos en los derechos de las mujeres y niñas y otros grupos afectados.</w:t>
      </w:r>
    </w:p>
    <w:p w:rsidR="0002569B" w:rsidRPr="00FF5407" w:rsidRDefault="0002569B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El Brasil ha creado e</w:t>
      </w:r>
      <w:r w:rsidRPr="00FF5407">
        <w:rPr>
          <w:rFonts w:asciiTheme="majorHAnsi" w:hAnsiTheme="majorHAnsi"/>
          <w:sz w:val="24"/>
          <w:szCs w:val="24"/>
          <w:lang w:val="es-CL"/>
        </w:rPr>
        <w:t xml:space="preserve">l servicio de llamadas </w:t>
      </w:r>
      <w:r>
        <w:rPr>
          <w:rFonts w:asciiTheme="majorHAnsi" w:hAnsiTheme="majorHAnsi"/>
          <w:sz w:val="24"/>
          <w:szCs w:val="24"/>
          <w:lang w:val="es-CL"/>
        </w:rPr>
        <w:t>"</w:t>
      </w:r>
      <w:r w:rsidRPr="00FF5407">
        <w:rPr>
          <w:rFonts w:asciiTheme="majorHAnsi" w:hAnsiTheme="majorHAnsi"/>
          <w:sz w:val="24"/>
          <w:szCs w:val="24"/>
          <w:lang w:val="es-CL"/>
        </w:rPr>
        <w:t>DISQUE 100</w:t>
      </w:r>
      <w:r>
        <w:rPr>
          <w:rFonts w:asciiTheme="majorHAnsi" w:hAnsiTheme="majorHAnsi"/>
          <w:sz w:val="24"/>
          <w:szCs w:val="24"/>
          <w:lang w:val="es-CL"/>
        </w:rPr>
        <w:t xml:space="preserve">", </w:t>
      </w:r>
      <w:r w:rsidRPr="00FF5407">
        <w:rPr>
          <w:rFonts w:asciiTheme="majorHAnsi" w:hAnsiTheme="majorHAnsi"/>
          <w:sz w:val="24"/>
          <w:szCs w:val="24"/>
          <w:lang w:val="es-CL"/>
        </w:rPr>
        <w:t xml:space="preserve">un programa destinado a recibir demandas </w:t>
      </w:r>
      <w:r>
        <w:rPr>
          <w:rFonts w:asciiTheme="majorHAnsi" w:hAnsiTheme="majorHAnsi"/>
          <w:sz w:val="24"/>
          <w:szCs w:val="24"/>
          <w:lang w:val="es-CL"/>
        </w:rPr>
        <w:t xml:space="preserve">relativas a violaciones de los </w:t>
      </w:r>
      <w:r w:rsidR="00E731A2">
        <w:rPr>
          <w:rFonts w:asciiTheme="majorHAnsi" w:hAnsiTheme="majorHAnsi"/>
          <w:sz w:val="24"/>
          <w:szCs w:val="24"/>
          <w:lang w:val="es-CL"/>
        </w:rPr>
        <w:t>d</w:t>
      </w:r>
      <w:r>
        <w:rPr>
          <w:rFonts w:asciiTheme="majorHAnsi" w:hAnsiTheme="majorHAnsi"/>
          <w:sz w:val="24"/>
          <w:szCs w:val="24"/>
          <w:lang w:val="es-CL"/>
        </w:rPr>
        <w:t xml:space="preserve">erechos </w:t>
      </w:r>
      <w:r w:rsidR="00E731A2">
        <w:rPr>
          <w:rFonts w:asciiTheme="majorHAnsi" w:hAnsiTheme="majorHAnsi"/>
          <w:sz w:val="24"/>
          <w:szCs w:val="24"/>
          <w:lang w:val="es-CL"/>
        </w:rPr>
        <w:t>h</w:t>
      </w:r>
      <w:r>
        <w:rPr>
          <w:rFonts w:asciiTheme="majorHAnsi" w:hAnsiTheme="majorHAnsi"/>
          <w:sz w:val="24"/>
          <w:szCs w:val="24"/>
          <w:lang w:val="es-CL"/>
        </w:rPr>
        <w:t xml:space="preserve">umanos, sobre todo las que afectan poblaciones con vulnerabilidad acentuada, como niños, niñas y </w:t>
      </w:r>
      <w:r>
        <w:rPr>
          <w:rFonts w:asciiTheme="majorHAnsi" w:hAnsiTheme="majorHAnsi"/>
          <w:sz w:val="24"/>
          <w:szCs w:val="24"/>
          <w:lang w:val="es-CL"/>
        </w:rPr>
        <w:lastRenderedPageBreak/>
        <w:t xml:space="preserve">adolescentes. Esa </w:t>
      </w:r>
      <w:r w:rsidRPr="00FF5407">
        <w:rPr>
          <w:rFonts w:asciiTheme="majorHAnsi" w:hAnsiTheme="majorHAnsi"/>
          <w:sz w:val="24"/>
          <w:szCs w:val="24"/>
          <w:lang w:val="es-CL"/>
        </w:rPr>
        <w:t>pol</w:t>
      </w:r>
      <w:r>
        <w:rPr>
          <w:rFonts w:asciiTheme="majorHAnsi" w:hAnsiTheme="majorHAnsi"/>
          <w:sz w:val="24"/>
          <w:szCs w:val="24"/>
          <w:lang w:val="es-CL"/>
        </w:rPr>
        <w:t xml:space="preserve">ítica pública brasileña ha obtenido gran reconocimiento por su efectividad </w:t>
      </w:r>
      <w:proofErr w:type="spellStart"/>
      <w:proofErr w:type="gramStart"/>
      <w:r w:rsidR="00E731A2">
        <w:rPr>
          <w:rFonts w:asciiTheme="majorHAnsi" w:hAnsiTheme="majorHAnsi"/>
          <w:sz w:val="24"/>
          <w:szCs w:val="24"/>
          <w:lang w:val="es-CL"/>
        </w:rPr>
        <w:t>y</w:t>
      </w:r>
      <w:proofErr w:type="spellEnd"/>
      <w:proofErr w:type="gramEnd"/>
      <w:r w:rsidR="00E731A2">
        <w:rPr>
          <w:rFonts w:asciiTheme="majorHAnsi" w:hAnsiTheme="majorHAnsi"/>
          <w:sz w:val="24"/>
          <w:szCs w:val="24"/>
          <w:lang w:val="es-CL"/>
        </w:rPr>
        <w:t xml:space="preserve"> importancia en la resolución de violaciones y recolección de datos.</w:t>
      </w:r>
    </w:p>
    <w:p w:rsidR="00FF5407" w:rsidRPr="00FF5407" w:rsidRDefault="00FF5407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FF5407">
        <w:rPr>
          <w:rFonts w:asciiTheme="majorHAnsi" w:hAnsiTheme="majorHAnsi"/>
          <w:sz w:val="24"/>
          <w:szCs w:val="24"/>
          <w:lang w:val="es-CL"/>
        </w:rPr>
        <w:t xml:space="preserve">De acuerdo </w:t>
      </w:r>
      <w:r>
        <w:rPr>
          <w:rFonts w:asciiTheme="majorHAnsi" w:hAnsiTheme="majorHAnsi"/>
          <w:sz w:val="24"/>
          <w:szCs w:val="24"/>
          <w:lang w:val="es-CL"/>
        </w:rPr>
        <w:t>con</w:t>
      </w:r>
      <w:r w:rsidRPr="00FF5407">
        <w:rPr>
          <w:rFonts w:asciiTheme="majorHAnsi" w:hAnsiTheme="majorHAnsi"/>
          <w:sz w:val="24"/>
          <w:szCs w:val="24"/>
          <w:lang w:val="es-CL"/>
        </w:rPr>
        <w:t xml:space="preserve"> datos del servicio DISQUE 100,</w:t>
      </w:r>
      <w:r>
        <w:rPr>
          <w:rFonts w:asciiTheme="majorHAnsi" w:hAnsiTheme="majorHAnsi"/>
          <w:sz w:val="24"/>
          <w:szCs w:val="24"/>
          <w:lang w:val="es-CL"/>
        </w:rPr>
        <w:t xml:space="preserve"> no hubo en los últimos años denuncias relativas a matrimonio precoz o forzado de niñas en Brasil.</w:t>
      </w:r>
    </w:p>
    <w:p w:rsidR="00AE364C" w:rsidRPr="00AE364C" w:rsidRDefault="00AE364C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AE364C">
        <w:rPr>
          <w:rFonts w:asciiTheme="majorHAnsi" w:hAnsiTheme="majorHAnsi"/>
          <w:sz w:val="24"/>
          <w:szCs w:val="24"/>
          <w:lang w:val="es-CL"/>
        </w:rPr>
        <w:t xml:space="preserve">De forma complementaria, según los datos del </w:t>
      </w:r>
      <w:r>
        <w:rPr>
          <w:rFonts w:asciiTheme="majorHAnsi" w:hAnsiTheme="majorHAnsi"/>
          <w:sz w:val="24"/>
          <w:szCs w:val="24"/>
          <w:lang w:val="es-CL"/>
        </w:rPr>
        <w:t xml:space="preserve">último censo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nacional realizado por </w:t>
      </w:r>
      <w:r>
        <w:rPr>
          <w:rFonts w:asciiTheme="majorHAnsi" w:hAnsiTheme="majorHAnsi"/>
          <w:sz w:val="24"/>
          <w:szCs w:val="24"/>
          <w:lang w:val="es-CL"/>
        </w:rPr>
        <w:t xml:space="preserve">el Instituto Brasileño de Geografía y Estadística (IBGE), en 2011, solamente 0,04% de los matrimonios en Brasil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involucraron a </w:t>
      </w:r>
      <w:r>
        <w:rPr>
          <w:rFonts w:asciiTheme="majorHAnsi" w:hAnsiTheme="majorHAnsi"/>
          <w:sz w:val="24"/>
          <w:szCs w:val="24"/>
          <w:lang w:val="es-CL"/>
        </w:rPr>
        <w:t>mujeres de menos de 15 años</w:t>
      </w:r>
      <w:r w:rsidR="00510F83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en comparación con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el </w:t>
      </w:r>
      <w:r>
        <w:rPr>
          <w:rFonts w:asciiTheme="majorHAnsi" w:hAnsiTheme="majorHAnsi"/>
          <w:sz w:val="24"/>
          <w:szCs w:val="24"/>
          <w:lang w:val="es-CL"/>
        </w:rPr>
        <w:t xml:space="preserve">0,12%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registrados por </w:t>
      </w:r>
      <w:r>
        <w:rPr>
          <w:rFonts w:asciiTheme="majorHAnsi" w:hAnsiTheme="majorHAnsi"/>
          <w:sz w:val="24"/>
          <w:szCs w:val="24"/>
          <w:lang w:val="es-CL"/>
        </w:rPr>
        <w:t xml:space="preserve">el censo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nacional </w:t>
      </w:r>
      <w:r>
        <w:rPr>
          <w:rFonts w:asciiTheme="majorHAnsi" w:hAnsiTheme="majorHAnsi"/>
          <w:sz w:val="24"/>
          <w:szCs w:val="24"/>
          <w:lang w:val="es-CL"/>
        </w:rPr>
        <w:t>del IBGE ocurrido en 2003</w:t>
      </w:r>
      <w:r w:rsidRPr="00BE3E9A">
        <w:rPr>
          <w:rStyle w:val="Refdenotaderodap"/>
          <w:rFonts w:asciiTheme="majorHAnsi" w:hAnsiTheme="majorHAnsi"/>
          <w:sz w:val="24"/>
          <w:szCs w:val="24"/>
        </w:rPr>
        <w:footnoteReference w:id="2"/>
      </w:r>
      <w:r w:rsidRPr="00AE364C">
        <w:rPr>
          <w:rFonts w:asciiTheme="majorHAnsi" w:hAnsiTheme="majorHAnsi"/>
          <w:sz w:val="24"/>
          <w:szCs w:val="24"/>
          <w:lang w:val="es-CL"/>
        </w:rPr>
        <w:t>.</w:t>
      </w:r>
    </w:p>
    <w:p w:rsidR="00AE364C" w:rsidRPr="00AE364C" w:rsidRDefault="00AE364C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AE364C">
        <w:rPr>
          <w:rFonts w:asciiTheme="majorHAnsi" w:hAnsiTheme="majorHAnsi"/>
          <w:sz w:val="24"/>
          <w:szCs w:val="24"/>
          <w:lang w:val="es-CL"/>
        </w:rPr>
        <w:t xml:space="preserve">De acuerdo con el IBGE, </w:t>
      </w:r>
      <w:r>
        <w:rPr>
          <w:rFonts w:asciiTheme="majorHAnsi" w:hAnsiTheme="majorHAnsi"/>
          <w:sz w:val="24"/>
          <w:szCs w:val="24"/>
          <w:lang w:val="es-CL"/>
        </w:rPr>
        <w:t>la tasa de nupcialidad legal del 2011 ha indicado que</w:t>
      </w:r>
      <w:r w:rsidR="00E20C75">
        <w:rPr>
          <w:rFonts w:asciiTheme="majorHAnsi" w:hAnsiTheme="majorHAnsi"/>
          <w:sz w:val="24"/>
          <w:szCs w:val="24"/>
          <w:lang w:val="es-CL"/>
        </w:rPr>
        <w:t xml:space="preserve"> los brasileños están casándose cada vez más tarde. En 1980, el promedio de la edad para casar</w:t>
      </w:r>
      <w:r w:rsidR="00E731A2">
        <w:rPr>
          <w:rFonts w:asciiTheme="majorHAnsi" w:hAnsiTheme="majorHAnsi"/>
          <w:sz w:val="24"/>
          <w:szCs w:val="24"/>
          <w:lang w:val="es-CL"/>
        </w:rPr>
        <w:t>se</w:t>
      </w:r>
      <w:r w:rsidR="00E20C75">
        <w:rPr>
          <w:rFonts w:asciiTheme="majorHAnsi" w:hAnsiTheme="majorHAnsi"/>
          <w:sz w:val="24"/>
          <w:szCs w:val="24"/>
          <w:lang w:val="es-CL"/>
        </w:rPr>
        <w:t xml:space="preserve"> era de 24,1 años; en 1991, 24,3 años; en 2000, 24,2 años; y en </w:t>
      </w:r>
      <w:proofErr w:type="gramStart"/>
      <w:r w:rsidR="00E20C75">
        <w:rPr>
          <w:rFonts w:asciiTheme="majorHAnsi" w:hAnsiTheme="majorHAnsi"/>
          <w:sz w:val="24"/>
          <w:szCs w:val="24"/>
          <w:lang w:val="es-CL"/>
        </w:rPr>
        <w:t>2010 ,</w:t>
      </w:r>
      <w:proofErr w:type="gramEnd"/>
      <w:r w:rsidR="00E20C75">
        <w:rPr>
          <w:rFonts w:asciiTheme="majorHAnsi" w:hAnsiTheme="majorHAnsi"/>
          <w:sz w:val="24"/>
          <w:szCs w:val="24"/>
          <w:lang w:val="es-CL"/>
        </w:rPr>
        <w:t xml:space="preserve"> pasó a 24,4 años de edad. El promedio de la diferencia de edad entre hombres y mujeres que se </w:t>
      </w:r>
      <w:r w:rsidR="00AF4C8B">
        <w:rPr>
          <w:rFonts w:asciiTheme="majorHAnsi" w:hAnsiTheme="majorHAnsi"/>
          <w:sz w:val="24"/>
          <w:szCs w:val="24"/>
          <w:lang w:val="es-CL"/>
        </w:rPr>
        <w:t>casan no ha cambiado en est</w:t>
      </w:r>
      <w:r w:rsidR="00E731A2">
        <w:rPr>
          <w:rFonts w:asciiTheme="majorHAnsi" w:hAnsiTheme="majorHAnsi"/>
          <w:sz w:val="24"/>
          <w:szCs w:val="24"/>
          <w:lang w:val="es-CL"/>
        </w:rPr>
        <w:t>o</w:t>
      </w:r>
      <w:r w:rsidR="00AF4C8B">
        <w:rPr>
          <w:rFonts w:asciiTheme="majorHAnsi" w:hAnsiTheme="majorHAnsi"/>
          <w:sz w:val="24"/>
          <w:szCs w:val="24"/>
          <w:lang w:val="es-CL"/>
        </w:rPr>
        <w:t>s de</w:t>
      </w:r>
      <w:r w:rsidR="00E20C75">
        <w:rPr>
          <w:rFonts w:asciiTheme="majorHAnsi" w:hAnsiTheme="majorHAnsi"/>
          <w:sz w:val="24"/>
          <w:szCs w:val="24"/>
          <w:lang w:val="es-CL"/>
        </w:rPr>
        <w:t>c</w:t>
      </w:r>
      <w:r w:rsidR="00E731A2">
        <w:rPr>
          <w:rFonts w:asciiTheme="majorHAnsi" w:hAnsiTheme="majorHAnsi"/>
          <w:sz w:val="24"/>
          <w:szCs w:val="24"/>
          <w:lang w:val="es-CL"/>
        </w:rPr>
        <w:t>enios</w:t>
      </w:r>
      <w:r w:rsidR="00E20C75">
        <w:rPr>
          <w:rFonts w:asciiTheme="majorHAnsi" w:hAnsiTheme="majorHAnsi"/>
          <w:sz w:val="24"/>
          <w:szCs w:val="24"/>
          <w:lang w:val="es-CL"/>
        </w:rPr>
        <w:t xml:space="preserve">; los hombres siguen casándose, en </w:t>
      </w:r>
      <w:r w:rsidR="00E731A2">
        <w:rPr>
          <w:rFonts w:asciiTheme="majorHAnsi" w:hAnsiTheme="majorHAnsi"/>
          <w:sz w:val="24"/>
          <w:szCs w:val="24"/>
          <w:lang w:val="es-CL"/>
        </w:rPr>
        <w:t>promedio</w:t>
      </w:r>
      <w:r w:rsidR="00E20C75">
        <w:rPr>
          <w:rFonts w:asciiTheme="majorHAnsi" w:hAnsiTheme="majorHAnsi"/>
          <w:sz w:val="24"/>
          <w:szCs w:val="24"/>
          <w:lang w:val="es-CL"/>
        </w:rPr>
        <w:t>, con 3 años de edad más que la</w:t>
      </w:r>
      <w:r w:rsidR="00EF7CDC">
        <w:rPr>
          <w:rFonts w:asciiTheme="majorHAnsi" w:hAnsiTheme="majorHAnsi"/>
          <w:sz w:val="24"/>
          <w:szCs w:val="24"/>
          <w:lang w:val="es-CL"/>
        </w:rPr>
        <w:t>s</w:t>
      </w:r>
      <w:r w:rsidR="00E20C75">
        <w:rPr>
          <w:rFonts w:asciiTheme="majorHAnsi" w:hAnsiTheme="majorHAnsi"/>
          <w:sz w:val="24"/>
          <w:szCs w:val="24"/>
          <w:lang w:val="es-CL"/>
        </w:rPr>
        <w:t xml:space="preserve"> mujeres. El Censo del 2010 ha registrado también que entre jóvenes de 10 a 19 años de edad</w:t>
      </w:r>
      <w:r w:rsidR="00510F83">
        <w:rPr>
          <w:rFonts w:asciiTheme="majorHAnsi" w:hAnsiTheme="majorHAnsi"/>
          <w:sz w:val="24"/>
          <w:szCs w:val="24"/>
          <w:lang w:val="es-CL"/>
        </w:rPr>
        <w:t>,</w:t>
      </w:r>
      <w:r w:rsidR="00E20C75">
        <w:rPr>
          <w:rFonts w:asciiTheme="majorHAnsi" w:hAnsiTheme="majorHAnsi"/>
          <w:sz w:val="24"/>
          <w:szCs w:val="24"/>
          <w:lang w:val="es-CL"/>
        </w:rPr>
        <w:t xml:space="preserve"> 96,8% de los hombres y 90,0% de las mujeres no vivían </w:t>
      </w:r>
      <w:r w:rsidR="00A70FD4">
        <w:rPr>
          <w:rFonts w:asciiTheme="majorHAnsi" w:hAnsiTheme="majorHAnsi"/>
          <w:sz w:val="24"/>
          <w:szCs w:val="24"/>
          <w:lang w:val="es-CL"/>
        </w:rPr>
        <w:t>en ninguno tipo de unión matrimonial.</w:t>
      </w:r>
    </w:p>
    <w:p w:rsidR="00B42FFB" w:rsidRPr="00180114" w:rsidRDefault="00C71A12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EF7CDC">
        <w:rPr>
          <w:rFonts w:asciiTheme="majorHAnsi" w:hAnsiTheme="majorHAnsi"/>
          <w:sz w:val="24"/>
          <w:szCs w:val="24"/>
          <w:lang w:val="es-CL"/>
        </w:rPr>
        <w:t>La</w:t>
      </w:r>
      <w:r w:rsidR="00B42FFB" w:rsidRPr="00EF7CDC">
        <w:rPr>
          <w:rFonts w:asciiTheme="majorHAnsi" w:hAnsiTheme="majorHAnsi"/>
          <w:sz w:val="24"/>
          <w:szCs w:val="24"/>
          <w:lang w:val="es-CL"/>
        </w:rPr>
        <w:t xml:space="preserve"> reducción de los índices de uniones civiles de hecho y de matrimonios precoces de niñas en Brasil </w:t>
      </w:r>
      <w:r w:rsidRPr="00EF7CDC">
        <w:rPr>
          <w:rFonts w:asciiTheme="majorHAnsi" w:hAnsiTheme="majorHAnsi"/>
          <w:sz w:val="24"/>
          <w:szCs w:val="24"/>
          <w:lang w:val="es-CL"/>
        </w:rPr>
        <w:t xml:space="preserve">se debe a la mejora del </w:t>
      </w:r>
      <w:r w:rsidR="00180114" w:rsidRPr="00EF7CDC">
        <w:rPr>
          <w:rFonts w:asciiTheme="majorHAnsi" w:hAnsiTheme="majorHAnsi"/>
          <w:sz w:val="24"/>
          <w:szCs w:val="24"/>
          <w:lang w:val="es-CL"/>
        </w:rPr>
        <w:t>nivel educaci</w:t>
      </w:r>
      <w:r w:rsidR="00510F83">
        <w:rPr>
          <w:rFonts w:asciiTheme="majorHAnsi" w:hAnsiTheme="majorHAnsi"/>
          <w:sz w:val="24"/>
          <w:szCs w:val="24"/>
          <w:lang w:val="es-CL"/>
        </w:rPr>
        <w:t>onal</w:t>
      </w:r>
      <w:r w:rsidR="00180114" w:rsidRPr="00EF7CDC">
        <w:rPr>
          <w:rFonts w:asciiTheme="majorHAnsi" w:hAnsiTheme="majorHAnsi"/>
          <w:sz w:val="24"/>
          <w:szCs w:val="24"/>
          <w:lang w:val="es-CL"/>
        </w:rPr>
        <w:t xml:space="preserve"> de</w:t>
      </w:r>
      <w:r w:rsidRPr="00EF7CDC">
        <w:rPr>
          <w:rFonts w:asciiTheme="majorHAnsi" w:hAnsiTheme="majorHAnsi"/>
          <w:sz w:val="24"/>
          <w:szCs w:val="24"/>
          <w:lang w:val="es-CL"/>
        </w:rPr>
        <w:t xml:space="preserve"> las </w:t>
      </w:r>
      <w:r w:rsidR="00180114" w:rsidRPr="00EF7CDC">
        <w:rPr>
          <w:rFonts w:asciiTheme="majorHAnsi" w:hAnsiTheme="majorHAnsi"/>
          <w:sz w:val="24"/>
          <w:szCs w:val="24"/>
          <w:lang w:val="es-CL"/>
        </w:rPr>
        <w:t xml:space="preserve"> niñas. De acuerdo con </w:t>
      </w:r>
      <w:r w:rsidR="00180114">
        <w:rPr>
          <w:rFonts w:asciiTheme="majorHAnsi" w:hAnsiTheme="majorHAnsi"/>
          <w:sz w:val="24"/>
          <w:szCs w:val="24"/>
          <w:lang w:val="es-CL"/>
        </w:rPr>
        <w:t xml:space="preserve">los últimos datos del IBGE </w:t>
      </w:r>
      <w:r w:rsidR="00EF7CDC">
        <w:rPr>
          <w:rFonts w:asciiTheme="majorHAnsi" w:hAnsiTheme="majorHAnsi"/>
          <w:sz w:val="24"/>
          <w:szCs w:val="24"/>
          <w:lang w:val="es-CL"/>
        </w:rPr>
        <w:t xml:space="preserve">sobre </w:t>
      </w:r>
      <w:r w:rsidR="00180114">
        <w:rPr>
          <w:rFonts w:asciiTheme="majorHAnsi" w:hAnsiTheme="majorHAnsi"/>
          <w:sz w:val="24"/>
          <w:szCs w:val="24"/>
          <w:lang w:val="es-CL"/>
        </w:rPr>
        <w:t>la tasa de escolarización, 97,67% de niños brasileños de 7 a 14 años frecuentan escuelas de forma regular</w:t>
      </w:r>
      <w:r w:rsidR="00180114" w:rsidRPr="002359A4">
        <w:rPr>
          <w:rStyle w:val="Refdenotaderodap"/>
          <w:rFonts w:asciiTheme="majorHAnsi" w:hAnsiTheme="majorHAnsi"/>
          <w:sz w:val="24"/>
          <w:szCs w:val="24"/>
        </w:rPr>
        <w:footnoteReference w:id="3"/>
      </w:r>
      <w:r w:rsidR="00180114" w:rsidRPr="00180114">
        <w:rPr>
          <w:rFonts w:asciiTheme="majorHAnsi" w:hAnsiTheme="majorHAnsi"/>
          <w:sz w:val="24"/>
          <w:szCs w:val="24"/>
          <w:lang w:val="es-CL"/>
        </w:rPr>
        <w:t>.</w:t>
      </w:r>
    </w:p>
    <w:p w:rsidR="00180114" w:rsidRPr="00180114" w:rsidRDefault="00FA183C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De la misma forma, el descenso de los índices de pobreza en </w:t>
      </w:r>
      <w:r w:rsidR="00EF7CDC">
        <w:rPr>
          <w:rFonts w:asciiTheme="majorHAnsi" w:hAnsiTheme="majorHAnsi"/>
          <w:sz w:val="24"/>
          <w:szCs w:val="24"/>
          <w:lang w:val="es-CL"/>
        </w:rPr>
        <w:t>Brasil y la mejora</w:t>
      </w:r>
      <w:r>
        <w:rPr>
          <w:rFonts w:asciiTheme="majorHAnsi" w:hAnsiTheme="majorHAnsi"/>
          <w:sz w:val="24"/>
          <w:szCs w:val="24"/>
          <w:lang w:val="es-CL"/>
        </w:rPr>
        <w:t xml:space="preserve"> del índice de desarrollo humano </w:t>
      </w:r>
      <w:r w:rsidR="00EF7CDC">
        <w:rPr>
          <w:rFonts w:asciiTheme="majorHAnsi" w:hAnsiTheme="majorHAnsi"/>
          <w:sz w:val="24"/>
          <w:szCs w:val="24"/>
          <w:lang w:val="es-CL"/>
        </w:rPr>
        <w:t xml:space="preserve">redujeran la vulnerabilidad económica de </w:t>
      </w:r>
      <w:r>
        <w:rPr>
          <w:rFonts w:asciiTheme="majorHAnsi" w:hAnsiTheme="majorHAnsi"/>
          <w:sz w:val="24"/>
          <w:szCs w:val="24"/>
          <w:lang w:val="es-CL"/>
        </w:rPr>
        <w:t>las niñas y sus familias</w:t>
      </w:r>
      <w:r w:rsidR="00EF7CDC">
        <w:rPr>
          <w:rFonts w:asciiTheme="majorHAnsi" w:hAnsiTheme="majorHAnsi"/>
          <w:sz w:val="24"/>
          <w:szCs w:val="24"/>
          <w:lang w:val="es-CL"/>
        </w:rPr>
        <w:t xml:space="preserve">, lo que evita que </w:t>
      </w:r>
      <w:r w:rsidR="00510F83">
        <w:rPr>
          <w:rFonts w:asciiTheme="majorHAnsi" w:hAnsiTheme="majorHAnsi"/>
          <w:sz w:val="24"/>
          <w:szCs w:val="24"/>
          <w:lang w:val="es-CL"/>
        </w:rPr>
        <w:t xml:space="preserve"> sean inducidas o obligadas a someterse a un </w:t>
      </w:r>
      <w:r>
        <w:rPr>
          <w:rFonts w:asciiTheme="majorHAnsi" w:hAnsiTheme="majorHAnsi"/>
          <w:sz w:val="24"/>
          <w:szCs w:val="24"/>
          <w:lang w:val="es-CL"/>
        </w:rPr>
        <w:t xml:space="preserve">matrimonio precoz o la prostitución </w:t>
      </w:r>
      <w:r w:rsidR="006E66BF">
        <w:rPr>
          <w:rFonts w:asciiTheme="majorHAnsi" w:hAnsiTheme="majorHAnsi"/>
          <w:sz w:val="24"/>
          <w:szCs w:val="24"/>
          <w:lang w:val="es-CL"/>
        </w:rPr>
        <w:t>infantil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s-CL"/>
        </w:rPr>
        <w:t>.</w:t>
      </w:r>
    </w:p>
    <w:p w:rsidR="001B7BB0" w:rsidRPr="001B7BB0" w:rsidRDefault="001B7BB0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1B7BB0">
        <w:rPr>
          <w:rFonts w:asciiTheme="majorHAnsi" w:hAnsiTheme="majorHAnsi"/>
          <w:sz w:val="24"/>
          <w:szCs w:val="24"/>
          <w:lang w:val="es-CL"/>
        </w:rPr>
        <w:t>Según el Instituto de Investigaci</w:t>
      </w:r>
      <w:r>
        <w:rPr>
          <w:rFonts w:asciiTheme="majorHAnsi" w:hAnsiTheme="majorHAnsi"/>
          <w:sz w:val="24"/>
          <w:szCs w:val="24"/>
          <w:lang w:val="es-CL"/>
        </w:rPr>
        <w:t xml:space="preserve">ón Económica Aplicada, IPEA, alrededor de 3,5 millones de brasileños han salido de </w:t>
      </w:r>
      <w:r w:rsidR="00EF7CDC">
        <w:rPr>
          <w:rFonts w:asciiTheme="majorHAnsi" w:hAnsiTheme="majorHAnsi"/>
          <w:sz w:val="24"/>
          <w:szCs w:val="24"/>
          <w:lang w:val="es-CL"/>
        </w:rPr>
        <w:t xml:space="preserve">la </w:t>
      </w:r>
      <w:r>
        <w:rPr>
          <w:rFonts w:asciiTheme="majorHAnsi" w:hAnsiTheme="majorHAnsi"/>
          <w:sz w:val="24"/>
          <w:szCs w:val="24"/>
          <w:lang w:val="es-CL"/>
        </w:rPr>
        <w:t>pobreza solamente en el último año</w:t>
      </w:r>
      <w:r w:rsidRPr="002359A4">
        <w:rPr>
          <w:rStyle w:val="Refdenotaderodap"/>
          <w:rFonts w:asciiTheme="majorHAnsi" w:hAnsiTheme="majorHAnsi"/>
          <w:sz w:val="24"/>
          <w:szCs w:val="24"/>
        </w:rPr>
        <w:footnoteReference w:id="4"/>
      </w:r>
      <w:r w:rsidRPr="001B7BB0">
        <w:rPr>
          <w:rFonts w:asciiTheme="majorHAnsi" w:hAnsiTheme="majorHAnsi"/>
          <w:sz w:val="24"/>
          <w:szCs w:val="24"/>
          <w:lang w:val="es-CL"/>
        </w:rPr>
        <w:t>.</w:t>
      </w:r>
      <w:r>
        <w:rPr>
          <w:rFonts w:asciiTheme="majorHAnsi" w:hAnsiTheme="majorHAnsi"/>
          <w:sz w:val="24"/>
          <w:szCs w:val="24"/>
          <w:lang w:val="es-CL"/>
        </w:rPr>
        <w:t xml:space="preserve"> Políticas intern</w:t>
      </w:r>
      <w:r w:rsidR="00EA3F3E">
        <w:rPr>
          <w:rFonts w:asciiTheme="majorHAnsi" w:hAnsiTheme="majorHAnsi"/>
          <w:sz w:val="24"/>
          <w:szCs w:val="24"/>
          <w:lang w:val="es-CL"/>
        </w:rPr>
        <w:t>acionalmente reconocidas como los programas</w:t>
      </w:r>
      <w:r>
        <w:rPr>
          <w:rFonts w:asciiTheme="majorHAnsi" w:hAnsiTheme="majorHAnsi"/>
          <w:sz w:val="24"/>
          <w:szCs w:val="24"/>
          <w:lang w:val="es-CL"/>
        </w:rPr>
        <w:t xml:space="preserve"> Bolsa Familia</w:t>
      </w:r>
      <w:r w:rsidR="00AF4C8B">
        <w:rPr>
          <w:rFonts w:asciiTheme="majorHAnsi" w:hAnsiTheme="majorHAnsi"/>
          <w:sz w:val="24"/>
          <w:szCs w:val="24"/>
          <w:lang w:val="es-CL"/>
        </w:rPr>
        <w:t xml:space="preserve"> y Brasil Cariñoso</w:t>
      </w:r>
      <w:r w:rsidR="00EA3F3E">
        <w:rPr>
          <w:rFonts w:asciiTheme="majorHAnsi" w:hAnsiTheme="majorHAnsi"/>
          <w:sz w:val="24"/>
          <w:szCs w:val="24"/>
          <w:lang w:val="es-CL"/>
        </w:rPr>
        <w:t>, en el marco del Programa Brasil Sin Miseria, contribuyeron, en los últimos diez años</w:t>
      </w:r>
      <w:r w:rsidR="00510F83">
        <w:rPr>
          <w:rFonts w:asciiTheme="majorHAnsi" w:hAnsiTheme="majorHAnsi"/>
          <w:sz w:val="24"/>
          <w:szCs w:val="24"/>
          <w:lang w:val="es-CL"/>
        </w:rPr>
        <w:t>,</w:t>
      </w:r>
      <w:r w:rsidR="00EA3F3E">
        <w:rPr>
          <w:rFonts w:asciiTheme="majorHAnsi" w:hAnsiTheme="majorHAnsi"/>
          <w:sz w:val="24"/>
          <w:szCs w:val="24"/>
          <w:lang w:val="es-CL"/>
        </w:rPr>
        <w:t xml:space="preserve"> para la retirada de más de 40 millones de brasileños de la miseria</w:t>
      </w:r>
      <w:r w:rsidR="00EF7CDC">
        <w:rPr>
          <w:rFonts w:asciiTheme="majorHAnsi" w:hAnsiTheme="majorHAnsi"/>
          <w:sz w:val="24"/>
          <w:szCs w:val="24"/>
          <w:lang w:val="es-CL"/>
        </w:rPr>
        <w:t xml:space="preserve"> –</w:t>
      </w:r>
      <w:r w:rsidR="00EA3F3E">
        <w:rPr>
          <w:rFonts w:asciiTheme="majorHAnsi" w:hAnsiTheme="majorHAnsi"/>
          <w:sz w:val="24"/>
          <w:szCs w:val="24"/>
          <w:lang w:val="es-CL"/>
        </w:rPr>
        <w:t xml:space="preserve"> afectando directamente la reducción de las peores formas de trabajo infantil y otras violaciones de los derechos de niñas y adolescentes, como el matrimonio precoz y forzado.</w:t>
      </w:r>
    </w:p>
    <w:p w:rsidR="00B97E5B" w:rsidRPr="004D419F" w:rsidRDefault="00B97E5B" w:rsidP="0048506D">
      <w:pPr>
        <w:pStyle w:val="PargrafodaLista"/>
        <w:jc w:val="both"/>
        <w:rPr>
          <w:rFonts w:asciiTheme="majorHAnsi" w:hAnsiTheme="majorHAnsi"/>
          <w:b/>
          <w:sz w:val="24"/>
          <w:szCs w:val="24"/>
          <w:lang w:val="es-CL"/>
        </w:rPr>
      </w:pPr>
    </w:p>
    <w:p w:rsidR="00EA3F3E" w:rsidRPr="00EA3F3E" w:rsidRDefault="00EA3F3E" w:rsidP="0048506D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4"/>
          <w:szCs w:val="24"/>
          <w:lang w:val="es-CL"/>
        </w:rPr>
      </w:pPr>
      <w:r w:rsidRPr="00EA3F3E">
        <w:rPr>
          <w:rFonts w:asciiTheme="majorHAnsi" w:hAnsiTheme="majorHAnsi"/>
          <w:b/>
          <w:sz w:val="24"/>
          <w:szCs w:val="24"/>
          <w:lang w:val="es-CL"/>
        </w:rPr>
        <w:t>Políticas, proyectos y medidas e</w:t>
      </w:r>
      <w:r w:rsidR="00EF7CDC">
        <w:rPr>
          <w:rFonts w:asciiTheme="majorHAnsi" w:hAnsiTheme="majorHAnsi"/>
          <w:b/>
          <w:sz w:val="24"/>
          <w:szCs w:val="24"/>
          <w:lang w:val="es-CL"/>
        </w:rPr>
        <w:t>n los ám</w:t>
      </w:r>
      <w:r w:rsidRPr="00EA3F3E">
        <w:rPr>
          <w:rFonts w:asciiTheme="majorHAnsi" w:hAnsiTheme="majorHAnsi"/>
          <w:b/>
          <w:sz w:val="24"/>
          <w:szCs w:val="24"/>
          <w:lang w:val="es-CL"/>
        </w:rPr>
        <w:t>bito</w:t>
      </w:r>
      <w:r w:rsidR="00EF7CDC">
        <w:rPr>
          <w:rFonts w:asciiTheme="majorHAnsi" w:hAnsiTheme="majorHAnsi"/>
          <w:b/>
          <w:sz w:val="24"/>
          <w:szCs w:val="24"/>
          <w:lang w:val="es-CL"/>
        </w:rPr>
        <w:t xml:space="preserve">s </w:t>
      </w:r>
      <w:r w:rsidRPr="00EA3F3E">
        <w:rPr>
          <w:rFonts w:asciiTheme="majorHAnsi" w:hAnsiTheme="majorHAnsi"/>
          <w:b/>
          <w:sz w:val="24"/>
          <w:szCs w:val="24"/>
          <w:lang w:val="es-CL"/>
        </w:rPr>
        <w:t xml:space="preserve">nacional y </w:t>
      </w:r>
      <w:proofErr w:type="spellStart"/>
      <w:r w:rsidRPr="00EA3F3E">
        <w:rPr>
          <w:rFonts w:asciiTheme="majorHAnsi" w:hAnsiTheme="majorHAnsi"/>
          <w:b/>
          <w:sz w:val="24"/>
          <w:szCs w:val="24"/>
          <w:lang w:val="es-CL"/>
        </w:rPr>
        <w:t>subnacional</w:t>
      </w:r>
      <w:proofErr w:type="spellEnd"/>
      <w:r w:rsidRPr="00EA3F3E">
        <w:rPr>
          <w:rFonts w:asciiTheme="majorHAnsi" w:hAnsiTheme="majorHAnsi"/>
          <w:b/>
          <w:sz w:val="24"/>
          <w:szCs w:val="24"/>
          <w:lang w:val="es-CL"/>
        </w:rPr>
        <w:t xml:space="preserve"> que promueven </w:t>
      </w:r>
      <w:r w:rsidR="00E6272A">
        <w:rPr>
          <w:rFonts w:asciiTheme="majorHAnsi" w:hAnsiTheme="majorHAnsi"/>
          <w:b/>
          <w:sz w:val="24"/>
          <w:szCs w:val="24"/>
          <w:lang w:val="es-CL"/>
        </w:rPr>
        <w:t>la eliminación del matrimonio precoz y forzado de niños</w:t>
      </w:r>
      <w:r w:rsidR="00EF7CDC">
        <w:rPr>
          <w:rFonts w:asciiTheme="majorHAnsi" w:hAnsiTheme="majorHAnsi"/>
          <w:b/>
          <w:sz w:val="24"/>
          <w:szCs w:val="24"/>
          <w:lang w:val="es-CL"/>
        </w:rPr>
        <w:t xml:space="preserve"> y niñas</w:t>
      </w:r>
      <w:r w:rsidR="00E6272A">
        <w:rPr>
          <w:rFonts w:asciiTheme="majorHAnsi" w:hAnsiTheme="majorHAnsi"/>
          <w:b/>
          <w:sz w:val="24"/>
          <w:szCs w:val="24"/>
          <w:lang w:val="es-CL"/>
        </w:rPr>
        <w:t>, incluyendo medidas tomadas para solucionar la cuestión en comunidades marginadas y en minorías, para afrontar y mitigar su impacto, incluyendo informaciones sobre los resultados de tales políticas , proyectos y medidas.</w:t>
      </w:r>
    </w:p>
    <w:p w:rsidR="00E6272A" w:rsidRPr="00E6272A" w:rsidRDefault="00E6272A" w:rsidP="0048506D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4"/>
          <w:szCs w:val="24"/>
          <w:lang w:val="es-CL"/>
        </w:rPr>
      </w:pPr>
      <w:r w:rsidRPr="00E6272A">
        <w:rPr>
          <w:rFonts w:asciiTheme="majorHAnsi" w:hAnsiTheme="majorHAnsi"/>
          <w:b/>
          <w:sz w:val="24"/>
          <w:szCs w:val="24"/>
          <w:lang w:val="es-CL"/>
        </w:rPr>
        <w:t xml:space="preserve">Medidas tomadas para impedir el matrimonio precoz y forzado de niños, </w:t>
      </w:r>
      <w:r>
        <w:rPr>
          <w:rFonts w:asciiTheme="majorHAnsi" w:hAnsiTheme="majorHAnsi"/>
          <w:b/>
          <w:sz w:val="24"/>
          <w:szCs w:val="24"/>
          <w:lang w:val="es-CL"/>
        </w:rPr>
        <w:t>así como ejemplos de experiencias positivas y retos e enfrentados en el ámbito nacional al adoptar políticas, medidas e implementación de  estrategias para  tratar del asunto.</w:t>
      </w:r>
    </w:p>
    <w:p w:rsidR="00E6272A" w:rsidRPr="00446A4E" w:rsidRDefault="00E6272A" w:rsidP="0048506D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/>
          <w:b/>
          <w:sz w:val="24"/>
          <w:szCs w:val="24"/>
          <w:lang w:val="es-CL"/>
        </w:rPr>
      </w:pPr>
      <w:r w:rsidRPr="00446A4E">
        <w:rPr>
          <w:rFonts w:asciiTheme="majorHAnsi" w:hAnsiTheme="majorHAnsi"/>
          <w:b/>
          <w:sz w:val="24"/>
          <w:szCs w:val="24"/>
          <w:lang w:val="es-CL"/>
        </w:rPr>
        <w:t xml:space="preserve">Recomendaciones de buenas prácticas </w:t>
      </w:r>
      <w:r w:rsidR="00446A4E" w:rsidRPr="00446A4E">
        <w:rPr>
          <w:rFonts w:asciiTheme="majorHAnsi" w:hAnsiTheme="majorHAnsi"/>
          <w:b/>
          <w:sz w:val="24"/>
          <w:szCs w:val="24"/>
          <w:lang w:val="es-CL"/>
        </w:rPr>
        <w:t xml:space="preserve">sobre posibles medidas y estrategias adecuadas para </w:t>
      </w:r>
      <w:r w:rsidR="00446A4E">
        <w:rPr>
          <w:rFonts w:asciiTheme="majorHAnsi" w:hAnsiTheme="majorHAnsi"/>
          <w:b/>
          <w:sz w:val="24"/>
          <w:szCs w:val="24"/>
          <w:lang w:val="es-CL"/>
        </w:rPr>
        <w:t>prevención del matrimonio precoz y forzado de niños.</w:t>
      </w:r>
    </w:p>
    <w:p w:rsidR="00446A4E" w:rsidRPr="00446A4E" w:rsidRDefault="00B97E5B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446A4E">
        <w:rPr>
          <w:rFonts w:asciiTheme="majorHAnsi" w:hAnsiTheme="majorHAnsi"/>
          <w:sz w:val="24"/>
          <w:szCs w:val="24"/>
          <w:lang w:val="es-CL"/>
        </w:rPr>
        <w:t xml:space="preserve">Conforme </w:t>
      </w:r>
      <w:r w:rsidR="00446A4E" w:rsidRPr="00446A4E">
        <w:rPr>
          <w:rFonts w:asciiTheme="majorHAnsi" w:hAnsiTheme="majorHAnsi"/>
          <w:sz w:val="24"/>
          <w:szCs w:val="24"/>
          <w:lang w:val="es-CL"/>
        </w:rPr>
        <w:t xml:space="preserve">se indicó anteriormente, Brasil prohíbe el matrimonio precoz de niños menores de 16 años. </w:t>
      </w:r>
      <w:r w:rsidR="00446A4E">
        <w:rPr>
          <w:rFonts w:asciiTheme="majorHAnsi" w:hAnsiTheme="majorHAnsi"/>
          <w:sz w:val="24"/>
          <w:szCs w:val="24"/>
          <w:lang w:val="es-CL"/>
        </w:rPr>
        <w:t xml:space="preserve">El tema es regulado por el artículo 1517 del Código Civil brasileño, lo cual establece los requisitos de capacidad de los contrayentes y las condiciones de anulación del matrimonio por los artículos </w:t>
      </w:r>
      <w:r w:rsidR="00446A4E" w:rsidRPr="00446A4E">
        <w:rPr>
          <w:rFonts w:asciiTheme="majorHAnsi" w:hAnsiTheme="majorHAnsi"/>
          <w:sz w:val="24"/>
          <w:szCs w:val="24"/>
          <w:lang w:val="es-CL"/>
        </w:rPr>
        <w:t xml:space="preserve">1520, 1548, 1551, 1552 e 1553. </w:t>
      </w:r>
    </w:p>
    <w:p w:rsidR="00446A4E" w:rsidRPr="00951B0D" w:rsidRDefault="00446A4E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951B0D">
        <w:rPr>
          <w:rFonts w:asciiTheme="majorHAnsi" w:hAnsiTheme="majorHAnsi"/>
          <w:sz w:val="24"/>
          <w:szCs w:val="24"/>
          <w:lang w:val="es-CL"/>
        </w:rPr>
        <w:t xml:space="preserve">Por </w:t>
      </w:r>
      <w:r w:rsidR="00951B0D">
        <w:rPr>
          <w:rFonts w:asciiTheme="majorHAnsi" w:hAnsiTheme="majorHAnsi"/>
          <w:sz w:val="24"/>
          <w:szCs w:val="24"/>
          <w:lang w:val="es-CL"/>
        </w:rPr>
        <w:t>o</w:t>
      </w:r>
      <w:r w:rsidRPr="00951B0D">
        <w:rPr>
          <w:rFonts w:asciiTheme="majorHAnsi" w:hAnsiTheme="majorHAnsi"/>
          <w:sz w:val="24"/>
          <w:szCs w:val="24"/>
          <w:lang w:val="es-CL"/>
        </w:rPr>
        <w:t>tro lado, el Estad</w:t>
      </w:r>
      <w:r w:rsidR="00951B0D">
        <w:rPr>
          <w:rFonts w:asciiTheme="majorHAnsi" w:hAnsiTheme="majorHAnsi"/>
          <w:sz w:val="24"/>
          <w:szCs w:val="24"/>
          <w:lang w:val="es-CL"/>
        </w:rPr>
        <w:t>o brasileño criminaliza delitos</w:t>
      </w:r>
      <w:r w:rsidRPr="00951B0D">
        <w:rPr>
          <w:rFonts w:asciiTheme="majorHAnsi" w:hAnsiTheme="majorHAnsi"/>
          <w:sz w:val="24"/>
          <w:szCs w:val="24"/>
          <w:lang w:val="es-CL"/>
        </w:rPr>
        <w:t xml:space="preserve"> sexuales </w:t>
      </w:r>
      <w:r w:rsidR="00951B0D" w:rsidRPr="00951B0D">
        <w:rPr>
          <w:rFonts w:asciiTheme="majorHAnsi" w:hAnsiTheme="majorHAnsi"/>
          <w:sz w:val="24"/>
          <w:szCs w:val="24"/>
          <w:lang w:val="es-CL"/>
        </w:rPr>
        <w:t xml:space="preserve">contra niños y adolescentes, los cuales </w:t>
      </w:r>
      <w:r w:rsidR="00951B0D">
        <w:rPr>
          <w:rFonts w:asciiTheme="majorHAnsi" w:hAnsiTheme="majorHAnsi"/>
          <w:sz w:val="24"/>
          <w:szCs w:val="24"/>
          <w:lang w:val="es-CL"/>
        </w:rPr>
        <w:t xml:space="preserve">están sujetos a tipificación como Violación de Vulnerables, corrupción de menores, satisfacción de lascivia mediante la presencia de niños y adolescentes y el favorecimiento de la prostitución o otra forma de explotación sexual de vulnerable </w:t>
      </w:r>
      <w:proofErr w:type="gramStart"/>
      <w:r w:rsidR="00951B0D">
        <w:rPr>
          <w:rFonts w:asciiTheme="majorHAnsi" w:hAnsiTheme="majorHAnsi"/>
          <w:sz w:val="24"/>
          <w:szCs w:val="24"/>
          <w:lang w:val="es-CL"/>
        </w:rPr>
        <w:t>( artículos</w:t>
      </w:r>
      <w:proofErr w:type="gramEnd"/>
      <w:r w:rsidR="00951B0D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951B0D" w:rsidRPr="00951B0D">
        <w:rPr>
          <w:rFonts w:asciiTheme="majorHAnsi" w:hAnsiTheme="majorHAnsi"/>
          <w:sz w:val="24"/>
          <w:szCs w:val="24"/>
          <w:lang w:val="es-CL"/>
        </w:rPr>
        <w:t>217-A, 248, 218-A e 218-B</w:t>
      </w:r>
      <w:r w:rsidR="00951B0D">
        <w:rPr>
          <w:rFonts w:asciiTheme="majorHAnsi" w:hAnsiTheme="majorHAnsi"/>
          <w:sz w:val="24"/>
          <w:szCs w:val="24"/>
          <w:lang w:val="es-CL"/>
        </w:rPr>
        <w:t xml:space="preserve"> del Código Penal Brasileño).</w:t>
      </w:r>
    </w:p>
    <w:p w:rsidR="000467FA" w:rsidRPr="000467FA" w:rsidRDefault="000467FA" w:rsidP="0048506D">
      <w:pPr>
        <w:ind w:firstLine="708"/>
        <w:jc w:val="both"/>
        <w:rPr>
          <w:rFonts w:asciiTheme="majorHAnsi" w:hAnsiTheme="majorHAnsi"/>
          <w:sz w:val="24"/>
          <w:szCs w:val="24"/>
          <w:lang w:val="es-CL"/>
        </w:rPr>
      </w:pPr>
      <w:r w:rsidRPr="000467FA">
        <w:rPr>
          <w:rFonts w:asciiTheme="majorHAnsi" w:hAnsiTheme="majorHAnsi"/>
          <w:sz w:val="24"/>
          <w:szCs w:val="24"/>
          <w:lang w:val="es-CL"/>
        </w:rPr>
        <w:t xml:space="preserve">El </w:t>
      </w:r>
      <w:r w:rsidR="006F7945">
        <w:rPr>
          <w:rFonts w:asciiTheme="majorHAnsi" w:hAnsiTheme="majorHAnsi"/>
          <w:sz w:val="24"/>
          <w:szCs w:val="24"/>
          <w:lang w:val="es-CL"/>
        </w:rPr>
        <w:t>fenó</w:t>
      </w:r>
      <w:r w:rsidRPr="000467FA">
        <w:rPr>
          <w:rFonts w:asciiTheme="majorHAnsi" w:hAnsiTheme="majorHAnsi"/>
          <w:sz w:val="24"/>
          <w:szCs w:val="24"/>
          <w:lang w:val="es-CL"/>
        </w:rPr>
        <w:t>meno del matrimonio forzado</w:t>
      </w:r>
      <w:r>
        <w:rPr>
          <w:rFonts w:asciiTheme="majorHAnsi" w:hAnsiTheme="majorHAnsi"/>
          <w:sz w:val="24"/>
          <w:szCs w:val="24"/>
          <w:lang w:val="es-CL"/>
        </w:rPr>
        <w:t xml:space="preserve"> de niños puede considerarse residual en Brasil, no siendo necesaria una política federal específica para evitarlo. Las políticas de promoción y protección de los derechos de la infancia, asociadas a las políticas sociales y acciones represivas en los casos concretos eventualmente identificados han logrado </w:t>
      </w:r>
      <w:r w:rsidR="006F7945">
        <w:rPr>
          <w:rFonts w:asciiTheme="majorHAnsi" w:hAnsiTheme="majorHAnsi"/>
          <w:sz w:val="24"/>
          <w:szCs w:val="24"/>
          <w:lang w:val="es-CL"/>
        </w:rPr>
        <w:t xml:space="preserve">la </w:t>
      </w:r>
      <w:r w:rsidR="00A93978">
        <w:rPr>
          <w:rFonts w:asciiTheme="majorHAnsi" w:hAnsiTheme="majorHAnsi"/>
          <w:sz w:val="24"/>
          <w:szCs w:val="24"/>
          <w:lang w:val="es-CL"/>
        </w:rPr>
        <w:t xml:space="preserve">virtual </w:t>
      </w:r>
      <w:r w:rsidR="006F7945">
        <w:rPr>
          <w:rFonts w:asciiTheme="majorHAnsi" w:hAnsiTheme="majorHAnsi"/>
          <w:sz w:val="24"/>
          <w:szCs w:val="24"/>
          <w:lang w:val="es-CL"/>
        </w:rPr>
        <w:t>eliminación de la práctica en el País.</w:t>
      </w:r>
    </w:p>
    <w:sectPr w:rsidR="000467FA" w:rsidRPr="000467FA" w:rsidSect="000F38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AA" w:rsidRDefault="00214AAA" w:rsidP="00B97E5B">
      <w:pPr>
        <w:spacing w:after="0" w:line="240" w:lineRule="auto"/>
      </w:pPr>
      <w:r>
        <w:separator/>
      </w:r>
    </w:p>
  </w:endnote>
  <w:endnote w:type="continuationSeparator" w:id="0">
    <w:p w:rsidR="00214AAA" w:rsidRDefault="00214AAA" w:rsidP="00B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AA" w:rsidRDefault="00214AAA" w:rsidP="00B97E5B">
      <w:pPr>
        <w:spacing w:after="0" w:line="240" w:lineRule="auto"/>
      </w:pPr>
      <w:r>
        <w:separator/>
      </w:r>
    </w:p>
  </w:footnote>
  <w:footnote w:type="continuationSeparator" w:id="0">
    <w:p w:rsidR="00214AAA" w:rsidRDefault="00214AAA" w:rsidP="00B97E5B">
      <w:pPr>
        <w:spacing w:after="0" w:line="240" w:lineRule="auto"/>
      </w:pPr>
      <w:r>
        <w:continuationSeparator/>
      </w:r>
    </w:p>
  </w:footnote>
  <w:footnote w:id="1">
    <w:p w:rsidR="00C57490" w:rsidRPr="00C57490" w:rsidRDefault="00611E87" w:rsidP="00611E87">
      <w:pPr>
        <w:pStyle w:val="Textodenotaderodap"/>
        <w:rPr>
          <w:lang w:val="es-CL"/>
        </w:rPr>
      </w:pPr>
      <w:r>
        <w:rPr>
          <w:rStyle w:val="Refdenotaderodap"/>
        </w:rPr>
        <w:footnoteRef/>
      </w:r>
      <w:r w:rsidRPr="00C57490">
        <w:rPr>
          <w:lang w:val="es-CL"/>
        </w:rPr>
        <w:t xml:space="preserve"> De ac</w:t>
      </w:r>
      <w:r w:rsidR="00C57490" w:rsidRPr="00C57490">
        <w:rPr>
          <w:lang w:val="es-CL"/>
        </w:rPr>
        <w:t xml:space="preserve">uerdo </w:t>
      </w:r>
      <w:r w:rsidR="00C57490">
        <w:rPr>
          <w:lang w:val="es-CL"/>
        </w:rPr>
        <w:t>con</w:t>
      </w:r>
      <w:r w:rsidR="00C57490" w:rsidRPr="00C57490">
        <w:rPr>
          <w:lang w:val="es-CL"/>
        </w:rPr>
        <w:t xml:space="preserve"> el artículo 2º del Estatuto Del Niño y del</w:t>
      </w:r>
      <w:r w:rsidRPr="00C57490">
        <w:rPr>
          <w:lang w:val="es-CL"/>
        </w:rPr>
        <w:t xml:space="preserve"> Adolescente (ECA), </w:t>
      </w:r>
      <w:proofErr w:type="gramStart"/>
      <w:r w:rsidRPr="00C57490">
        <w:rPr>
          <w:lang w:val="es-CL"/>
        </w:rPr>
        <w:t>“</w:t>
      </w:r>
      <w:r w:rsidR="00C57490">
        <w:rPr>
          <w:lang w:val="es-CL"/>
        </w:rPr>
        <w:t xml:space="preserve"> son</w:t>
      </w:r>
      <w:proofErr w:type="gramEnd"/>
      <w:r w:rsidR="00C57490">
        <w:rPr>
          <w:lang w:val="es-CL"/>
        </w:rPr>
        <w:t xml:space="preserve"> considerados niños para efecto de esta ley, la persona hasta doce años de edad incompletos, y adolescente</w:t>
      </w:r>
      <w:r w:rsidR="004D419F">
        <w:rPr>
          <w:lang w:val="es-CL"/>
        </w:rPr>
        <w:t xml:space="preserve">s </w:t>
      </w:r>
      <w:r w:rsidR="00C57490">
        <w:rPr>
          <w:lang w:val="es-CL"/>
        </w:rPr>
        <w:t xml:space="preserve"> entre doce y dieciocho años de edad”.</w:t>
      </w:r>
    </w:p>
    <w:p w:rsidR="00611E87" w:rsidRPr="00C57490" w:rsidRDefault="00611E87" w:rsidP="00611E87">
      <w:pPr>
        <w:pStyle w:val="Textodenotaderodap"/>
        <w:rPr>
          <w:lang w:val="es-CL"/>
        </w:rPr>
      </w:pPr>
    </w:p>
  </w:footnote>
  <w:footnote w:id="2">
    <w:p w:rsidR="00AE364C" w:rsidRPr="00933FE7" w:rsidRDefault="00AE364C" w:rsidP="00AE364C">
      <w:pPr>
        <w:pStyle w:val="Textodenotaderodap"/>
        <w:jc w:val="both"/>
        <w:rPr>
          <w:rFonts w:asciiTheme="majorHAnsi" w:hAnsiTheme="majorHAnsi"/>
          <w:sz w:val="18"/>
          <w:szCs w:val="18"/>
          <w:lang w:val="es-CL"/>
        </w:rPr>
      </w:pPr>
      <w:r w:rsidRPr="00BD23BB">
        <w:rPr>
          <w:rStyle w:val="Refdenotaderodap"/>
          <w:rFonts w:asciiTheme="majorHAnsi" w:hAnsiTheme="majorHAnsi"/>
          <w:sz w:val="18"/>
          <w:szCs w:val="18"/>
        </w:rPr>
        <w:footnoteRef/>
      </w:r>
      <w:r w:rsidRPr="00933FE7">
        <w:rPr>
          <w:rFonts w:asciiTheme="majorHAnsi" w:hAnsiTheme="majorHAnsi"/>
          <w:sz w:val="18"/>
          <w:szCs w:val="18"/>
          <w:lang w:val="es-CL"/>
        </w:rPr>
        <w:t>&lt;</w:t>
      </w:r>
      <w:hyperlink r:id="rId1" w:history="1">
        <w:r w:rsidRPr="00933FE7">
          <w:rPr>
            <w:rStyle w:val="Hyperlink"/>
            <w:rFonts w:asciiTheme="majorHAnsi" w:hAnsiTheme="majorHAnsi"/>
            <w:sz w:val="18"/>
            <w:szCs w:val="18"/>
            <w:lang w:val="es-CL"/>
          </w:rPr>
          <w:t>http://seriesestatisticas.ibge.gov.br/series.aspx?no=10&amp;op=0&amp;vcodigo=RC63&amp;t=casamento-faixa-etaria-mulheres</w:t>
        </w:r>
      </w:hyperlink>
      <w:r w:rsidR="00933FE7" w:rsidRPr="00933FE7">
        <w:rPr>
          <w:rFonts w:asciiTheme="majorHAnsi" w:hAnsiTheme="majorHAnsi"/>
          <w:sz w:val="18"/>
          <w:szCs w:val="18"/>
          <w:lang w:val="es-CL"/>
        </w:rPr>
        <w:t xml:space="preserve"> &gt;, accedido en 5 de diciembre del 2013</w:t>
      </w:r>
      <w:r w:rsidRPr="00933FE7">
        <w:rPr>
          <w:rFonts w:asciiTheme="majorHAnsi" w:hAnsiTheme="majorHAnsi"/>
          <w:sz w:val="18"/>
          <w:szCs w:val="18"/>
          <w:lang w:val="es-CL"/>
        </w:rPr>
        <w:t>.</w:t>
      </w:r>
    </w:p>
  </w:footnote>
  <w:footnote w:id="3">
    <w:p w:rsidR="00180114" w:rsidRPr="001B7BB0" w:rsidRDefault="00180114" w:rsidP="00180114">
      <w:pPr>
        <w:pStyle w:val="Textodenotaderodap"/>
        <w:rPr>
          <w:lang w:val="es-CL"/>
        </w:rPr>
      </w:pPr>
      <w:r>
        <w:rPr>
          <w:rStyle w:val="Refdenotaderodap"/>
        </w:rPr>
        <w:footnoteRef/>
      </w:r>
      <w:r w:rsidRPr="001B7BB0">
        <w:rPr>
          <w:rFonts w:asciiTheme="majorHAnsi" w:hAnsiTheme="majorHAnsi"/>
          <w:sz w:val="18"/>
          <w:szCs w:val="18"/>
          <w:lang w:val="es-CL"/>
        </w:rPr>
        <w:t>&lt;</w:t>
      </w:r>
      <w:hyperlink r:id="rId2" w:history="1">
        <w:r w:rsidRPr="001B7BB0">
          <w:rPr>
            <w:rStyle w:val="Hyperlink"/>
            <w:sz w:val="18"/>
            <w:szCs w:val="18"/>
            <w:lang w:val="es-CL"/>
          </w:rPr>
          <w:t>http://seriesestatisticas.ibge.gov.br/series.aspx?vcodigo=PD170</w:t>
        </w:r>
      </w:hyperlink>
      <w:r w:rsidRPr="001B7BB0">
        <w:rPr>
          <w:sz w:val="18"/>
          <w:szCs w:val="18"/>
          <w:lang w:val="es-CL"/>
        </w:rPr>
        <w:t xml:space="preserve"> </w:t>
      </w:r>
      <w:r w:rsidRPr="001B7BB0">
        <w:rPr>
          <w:rFonts w:asciiTheme="majorHAnsi" w:hAnsiTheme="majorHAnsi"/>
          <w:sz w:val="18"/>
          <w:szCs w:val="18"/>
          <w:lang w:val="es-CL"/>
        </w:rPr>
        <w:t>&gt;</w:t>
      </w:r>
      <w:r w:rsidRPr="001B7BB0">
        <w:rPr>
          <w:sz w:val="18"/>
          <w:szCs w:val="18"/>
          <w:lang w:val="es-CL"/>
        </w:rPr>
        <w:t>, ac</w:t>
      </w:r>
      <w:r w:rsidR="00933FE7" w:rsidRPr="001B7BB0">
        <w:rPr>
          <w:sz w:val="18"/>
          <w:szCs w:val="18"/>
          <w:lang w:val="es-CL"/>
        </w:rPr>
        <w:t xml:space="preserve">cedido </w:t>
      </w:r>
      <w:proofErr w:type="spellStart"/>
      <w:r w:rsidR="00933FE7" w:rsidRPr="001B7BB0">
        <w:rPr>
          <w:sz w:val="18"/>
          <w:szCs w:val="18"/>
          <w:lang w:val="es-CL"/>
        </w:rPr>
        <w:t>em</w:t>
      </w:r>
      <w:proofErr w:type="spellEnd"/>
      <w:r w:rsidR="00933FE7" w:rsidRPr="001B7BB0">
        <w:rPr>
          <w:sz w:val="18"/>
          <w:szCs w:val="18"/>
          <w:lang w:val="es-CL"/>
        </w:rPr>
        <w:t xml:space="preserve"> 6 de diciembre del 2013</w:t>
      </w:r>
      <w:r w:rsidRPr="001B7BB0">
        <w:rPr>
          <w:sz w:val="18"/>
          <w:szCs w:val="18"/>
          <w:lang w:val="es-CL"/>
        </w:rPr>
        <w:t>.</w:t>
      </w:r>
    </w:p>
  </w:footnote>
  <w:footnote w:id="4">
    <w:p w:rsidR="001B7BB0" w:rsidRPr="00951B0D" w:rsidRDefault="001B7BB0" w:rsidP="001B7BB0">
      <w:pPr>
        <w:pStyle w:val="Textodenotaderodap"/>
        <w:rPr>
          <w:sz w:val="18"/>
          <w:szCs w:val="18"/>
          <w:lang w:val="es-CL"/>
        </w:rPr>
      </w:pPr>
      <w:r>
        <w:rPr>
          <w:rStyle w:val="Refdenotaderodap"/>
        </w:rPr>
        <w:footnoteRef/>
      </w:r>
      <w:r w:rsidRPr="00951B0D">
        <w:rPr>
          <w:rFonts w:asciiTheme="majorHAnsi" w:hAnsiTheme="majorHAnsi"/>
          <w:sz w:val="18"/>
          <w:szCs w:val="18"/>
          <w:lang w:val="es-CL"/>
        </w:rPr>
        <w:t>&lt;</w:t>
      </w:r>
      <w:r w:rsidRPr="00951B0D">
        <w:rPr>
          <w:lang w:val="es-CL"/>
        </w:rPr>
        <w:t xml:space="preserve"> </w:t>
      </w:r>
      <w:hyperlink r:id="rId3" w:history="1">
        <w:r w:rsidRPr="00951B0D">
          <w:rPr>
            <w:rStyle w:val="Hyperlink"/>
            <w:sz w:val="18"/>
            <w:szCs w:val="18"/>
            <w:lang w:val="es-CL"/>
          </w:rPr>
          <w:t>http://www.brasil.gov.br/cidadania-e-justica/2013/10/mais-de-3-5-milhoes-sairam-da-pobreza-em-2012-diz-ipea</w:t>
        </w:r>
      </w:hyperlink>
      <w:r w:rsidRPr="00951B0D">
        <w:rPr>
          <w:rFonts w:asciiTheme="majorHAnsi" w:hAnsiTheme="majorHAnsi"/>
          <w:sz w:val="18"/>
          <w:szCs w:val="18"/>
          <w:lang w:val="es-CL"/>
        </w:rPr>
        <w:t>&gt;</w:t>
      </w:r>
      <w:r w:rsidR="00951B0D" w:rsidRPr="00951B0D">
        <w:rPr>
          <w:sz w:val="18"/>
          <w:szCs w:val="18"/>
          <w:lang w:val="es-CL"/>
        </w:rPr>
        <w:t xml:space="preserve">, accedido en </w:t>
      </w:r>
      <w:r w:rsidR="00951B0D">
        <w:rPr>
          <w:sz w:val="18"/>
          <w:szCs w:val="18"/>
          <w:lang w:val="es-CL"/>
        </w:rPr>
        <w:t xml:space="preserve">13 de diciembre del </w:t>
      </w:r>
      <w:r w:rsidRPr="00951B0D">
        <w:rPr>
          <w:sz w:val="18"/>
          <w:szCs w:val="18"/>
          <w:lang w:val="es-CL"/>
        </w:rPr>
        <w:t xml:space="preserve">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E03"/>
    <w:multiLevelType w:val="hybridMultilevel"/>
    <w:tmpl w:val="DF009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B"/>
    <w:rsid w:val="000126F9"/>
    <w:rsid w:val="0002569B"/>
    <w:rsid w:val="000467FA"/>
    <w:rsid w:val="000E09A2"/>
    <w:rsid w:val="000F3856"/>
    <w:rsid w:val="00104A28"/>
    <w:rsid w:val="0016271E"/>
    <w:rsid w:val="00177D5E"/>
    <w:rsid w:val="00180114"/>
    <w:rsid w:val="001912DB"/>
    <w:rsid w:val="001B7BB0"/>
    <w:rsid w:val="001D48EB"/>
    <w:rsid w:val="00214AAA"/>
    <w:rsid w:val="002211B3"/>
    <w:rsid w:val="0027515B"/>
    <w:rsid w:val="002774B4"/>
    <w:rsid w:val="002B51DE"/>
    <w:rsid w:val="002F3057"/>
    <w:rsid w:val="003A7AE1"/>
    <w:rsid w:val="00446A4E"/>
    <w:rsid w:val="0048506D"/>
    <w:rsid w:val="004D419F"/>
    <w:rsid w:val="004D4CCA"/>
    <w:rsid w:val="00510F83"/>
    <w:rsid w:val="00547657"/>
    <w:rsid w:val="00560A33"/>
    <w:rsid w:val="0058067C"/>
    <w:rsid w:val="00587E64"/>
    <w:rsid w:val="00597A18"/>
    <w:rsid w:val="005A7E31"/>
    <w:rsid w:val="00611E87"/>
    <w:rsid w:val="00651CFB"/>
    <w:rsid w:val="006C635E"/>
    <w:rsid w:val="006E66BF"/>
    <w:rsid w:val="006F7227"/>
    <w:rsid w:val="006F7945"/>
    <w:rsid w:val="007241BE"/>
    <w:rsid w:val="00741ACB"/>
    <w:rsid w:val="00746CA5"/>
    <w:rsid w:val="0076097F"/>
    <w:rsid w:val="0079450D"/>
    <w:rsid w:val="0085466A"/>
    <w:rsid w:val="008B50C8"/>
    <w:rsid w:val="008F3D28"/>
    <w:rsid w:val="009221C2"/>
    <w:rsid w:val="00933FE7"/>
    <w:rsid w:val="00945317"/>
    <w:rsid w:val="00951B0D"/>
    <w:rsid w:val="00A56615"/>
    <w:rsid w:val="00A70FD4"/>
    <w:rsid w:val="00A87DCD"/>
    <w:rsid w:val="00A93978"/>
    <w:rsid w:val="00AE364C"/>
    <w:rsid w:val="00AE57B1"/>
    <w:rsid w:val="00AF4C8B"/>
    <w:rsid w:val="00B24B8D"/>
    <w:rsid w:val="00B42FFB"/>
    <w:rsid w:val="00B97E5B"/>
    <w:rsid w:val="00BB1477"/>
    <w:rsid w:val="00BD5DC2"/>
    <w:rsid w:val="00C11238"/>
    <w:rsid w:val="00C57490"/>
    <w:rsid w:val="00C6198D"/>
    <w:rsid w:val="00C71A12"/>
    <w:rsid w:val="00C9050E"/>
    <w:rsid w:val="00C938C0"/>
    <w:rsid w:val="00D21864"/>
    <w:rsid w:val="00D47E1B"/>
    <w:rsid w:val="00D537A3"/>
    <w:rsid w:val="00E20C75"/>
    <w:rsid w:val="00E345ED"/>
    <w:rsid w:val="00E6272A"/>
    <w:rsid w:val="00E731A2"/>
    <w:rsid w:val="00EA3F3E"/>
    <w:rsid w:val="00EA4B6D"/>
    <w:rsid w:val="00EA7822"/>
    <w:rsid w:val="00EF7CDC"/>
    <w:rsid w:val="00F70FE5"/>
    <w:rsid w:val="00F75C22"/>
    <w:rsid w:val="00FA183C"/>
    <w:rsid w:val="00FD64D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E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7E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E5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B97E5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22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10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F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F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F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E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7E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E5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B97E5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22"/>
    <w:rPr>
      <w:rFonts w:ascii="Tahoma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10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0F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0F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0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0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sil.gov.br/cidadania-e-justica/2013/10/mais-de-3-5-milhoes-sairam-da-pobreza-em-2012-diz-ipea" TargetMode="External"/><Relationship Id="rId2" Type="http://schemas.openxmlformats.org/officeDocument/2006/relationships/hyperlink" Target="http://seriesestatisticas.ibge.gov.br/series.aspx?vcodigo=PD170" TargetMode="External"/><Relationship Id="rId1" Type="http://schemas.openxmlformats.org/officeDocument/2006/relationships/hyperlink" Target="http://seriesestatisticas.ibge.gov.br/series.aspx?no=10&amp;op=0&amp;vcodigo=RC63&amp;t=casamento-faixa-etaria-mulh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1815D-8D82-47F8-93B8-06B219DD52FE}"/>
</file>

<file path=customXml/itemProps2.xml><?xml version="1.0" encoding="utf-8"?>
<ds:datastoreItem xmlns:ds="http://schemas.openxmlformats.org/officeDocument/2006/customXml" ds:itemID="{8A4C14F9-DF7E-40FF-9C61-E892ED05C228}"/>
</file>

<file path=customXml/itemProps3.xml><?xml version="1.0" encoding="utf-8"?>
<ds:datastoreItem xmlns:ds="http://schemas.openxmlformats.org/officeDocument/2006/customXml" ds:itemID="{8AFF2BCC-40E1-4842-BB78-D77B16BF9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Brasil2</dc:creator>
  <cp:lastModifiedBy>Ministério das Relações Exteriores</cp:lastModifiedBy>
  <cp:revision>2</cp:revision>
  <cp:lastPrinted>2014-01-03T12:33:00Z</cp:lastPrinted>
  <dcterms:created xsi:type="dcterms:W3CDTF">2014-01-10T20:09:00Z</dcterms:created>
  <dcterms:modified xsi:type="dcterms:W3CDTF">2014-01-10T20:09:00Z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